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9.xml" ContentType="application/vnd.openxmlformats-officedocument.themeOverride+xml"/>
  <Override PartName="/word/drawings/drawing2.xml" ContentType="application/vnd.openxmlformats-officedocument.drawingml.chartshapes+xml"/>
  <Override PartName="/word/charts/chart10.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0.xml" ContentType="application/vnd.openxmlformats-officedocument.themeOverride+xml"/>
  <Override PartName="/word/drawings/drawing3.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chart11.xml" ContentType="application/vnd.openxmlformats-officedocument.drawingml.chart+xml"/>
  <Override PartName="/word/charts/chart20.xml" ContentType="application/vnd.openxmlformats-officedocument.drawingml.chart+xml"/>
  <Override PartName="/word/charts/chart30.xml" ContentType="application/vnd.openxmlformats-officedocument.drawingml.chart+xml"/>
  <Override PartName="/word/drawings/drawing10.xml" ContentType="application/vnd.openxmlformats-officedocument.drawingml.chartshapes+xml"/>
  <Override PartName="/word/theme/themeOverride11.xml" ContentType="application/vnd.openxmlformats-officedocument.themeOverride+xml"/>
  <Override PartName="/word/theme/themeOverride20.xml" ContentType="application/vnd.openxmlformats-officedocument.themeOverride+xml"/>
  <Override PartName="/word/theme/themeOverride30.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8238FD" w14:textId="6BC3B281" w:rsidR="008D6BEC" w:rsidRDefault="008D6BEC" w:rsidP="008D6BEC">
      <w:pPr>
        <w:tabs>
          <w:tab w:val="clear" w:pos="567"/>
          <w:tab w:val="left" w:pos="720"/>
        </w:tabs>
        <w:spacing w:before="0" w:line="240" w:lineRule="auto"/>
        <w:rPr>
          <w:rFonts w:eastAsiaTheme="majorEastAsia" w:cs="Open Sans"/>
          <w:bCs/>
          <w:color w:val="006991"/>
          <w:sz w:val="40"/>
          <w:szCs w:val="40"/>
        </w:rPr>
      </w:pPr>
      <w:bookmarkStart w:id="0" w:name="_Toc161322644"/>
      <w:bookmarkStart w:id="1" w:name="_Toc133236159"/>
      <w:bookmarkStart w:id="2" w:name="_Toc133236185"/>
      <w:bookmarkStart w:id="3" w:name="_Toc159675656"/>
      <w:bookmarkStart w:id="4" w:name="_Toc159675963"/>
      <w:bookmarkStart w:id="5" w:name="_Toc159676030"/>
      <w:r>
        <w:br w:type="page"/>
      </w:r>
      <w:r>
        <w:rPr>
          <w:noProof/>
        </w:rPr>
        <w:drawing>
          <wp:anchor distT="0" distB="0" distL="114300" distR="114300" simplePos="0" relativeHeight="251658263" behindDoc="1" locked="0" layoutInCell="1" allowOverlap="1" wp14:anchorId="3EDE678C" wp14:editId="75E47D4C">
            <wp:simplePos x="0" y="0"/>
            <wp:positionH relativeFrom="margin">
              <wp:align>left</wp:align>
            </wp:positionH>
            <wp:positionV relativeFrom="paragraph">
              <wp:posOffset>0</wp:posOffset>
            </wp:positionV>
            <wp:extent cx="2519680" cy="474345"/>
            <wp:effectExtent l="0" t="0" r="0" b="1905"/>
            <wp:wrapNone/>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19680" cy="47434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0" behindDoc="0" locked="0" layoutInCell="1" allowOverlap="1" wp14:anchorId="61829F7E" wp14:editId="20466AF3">
                <wp:simplePos x="0" y="0"/>
                <wp:positionH relativeFrom="margin">
                  <wp:posOffset>271780</wp:posOffset>
                </wp:positionH>
                <wp:positionV relativeFrom="paragraph">
                  <wp:posOffset>1769110</wp:posOffset>
                </wp:positionV>
                <wp:extent cx="4853305" cy="3326765"/>
                <wp:effectExtent l="0" t="0" r="0" b="6985"/>
                <wp:wrapNone/>
                <wp:docPr id="7"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53305" cy="3326765"/>
                        </a:xfrm>
                        <a:prstGeom prst="rect">
                          <a:avLst/>
                        </a:prstGeom>
                        <a:noFill/>
                        <a:ln w="6350">
                          <a:noFill/>
                        </a:ln>
                      </wps:spPr>
                      <wps:txbx>
                        <w:txbxContent>
                          <w:p w14:paraId="76CC9F42" w14:textId="0FD458B3" w:rsidR="008D6BEC" w:rsidRDefault="008D6BEC" w:rsidP="008D6BEC">
                            <w:pPr>
                              <w:spacing w:before="0" w:line="240" w:lineRule="auto"/>
                              <w:jc w:val="center"/>
                              <w:rPr>
                                <w:rFonts w:cs="Open Sans Semibold"/>
                                <w:b/>
                                <w:color w:val="FFFFFF"/>
                                <w:sz w:val="72"/>
                                <w:szCs w:val="72"/>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829F7E" id="_x0000_t202" coordsize="21600,21600" o:spt="202" path="m,l,21600r21600,l21600,xe">
                <v:stroke joinstyle="miter"/>
                <v:path gradientshapeok="t" o:connecttype="rect"/>
              </v:shapetype>
              <v:shape id="Text Box 7" o:spid="_x0000_s1026" type="#_x0000_t202" alt="&quot;&quot;" style="position:absolute;margin-left:21.4pt;margin-top:139.3pt;width:382.15pt;height:261.9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" filled="f" stroked="f" strokeweight=".5pt">
                <v:textbox>
                  <w:txbxContent>
                    <w:p w14:paraId="76CC9F42" w14:textId="0FD458B3" w:rsidR="008D6BEC" w:rsidRDefault="008D6BEC" w:rsidP="008D6BEC">
                      <w:pPr>
                        <w:spacing w:before="0" w:line="240" w:lineRule="auto"/>
                        <w:jc w:val="center"/>
                        <w:rPr>
                          <w:rFonts w:cs="Open Sans Semibold"/>
                          <w:b/>
                          <w:color w:val="FFFFFF"/>
                          <w:sz w:val="72"/>
                          <w:szCs w:val="72"/>
                        </w:rPr>
                      </w:pPr>
                    </w:p>
                  </w:txbxContent>
                </v:textbox>
                <w10:wrap anchorx="margin"/>
              </v:shape>
            </w:pict>
          </mc:Fallback>
        </mc:AlternateContent>
      </w:r>
    </w:p>
    <w:p w14:paraId="28D0EEB8" w14:textId="0C941F88" w:rsidR="008D6BEC" w:rsidRDefault="008D6BEC" w:rsidP="008D6BEC">
      <w:r>
        <w:rPr>
          <w:noProof/>
        </w:rPr>
        <w:lastRenderedPageBreak/>
        <mc:AlternateContent>
          <mc:Choice Requires="wps">
            <w:drawing>
              <wp:anchor distT="0" distB="0" distL="114300" distR="114300" simplePos="0" relativeHeight="251658241" behindDoc="1" locked="0" layoutInCell="1" allowOverlap="1" wp14:anchorId="6B2D9BAF" wp14:editId="76AFF5CF">
                <wp:simplePos x="0" y="0"/>
                <wp:positionH relativeFrom="margin">
                  <wp:align>left</wp:align>
                </wp:positionH>
                <wp:positionV relativeFrom="paragraph">
                  <wp:posOffset>-69850</wp:posOffset>
                </wp:positionV>
                <wp:extent cx="5758180" cy="1403350"/>
                <wp:effectExtent l="0" t="0" r="0" b="635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8180" cy="1403350"/>
                        </a:xfrm>
                        <a:prstGeom prst="rect">
                          <a:avLst/>
                        </a:prstGeom>
                        <a:solidFill>
                          <a:srgbClr val="E5F8FF"/>
                        </a:solidFill>
                        <a:ln>
                          <a:noFill/>
                        </a:ln>
                      </wps:spPr>
                      <wps:txbx>
                        <w:txbxContent>
                          <w:p w14:paraId="2306A708" w14:textId="77777777" w:rsidR="008D6BEC" w:rsidRDefault="008D6BEC" w:rsidP="00A541D6">
                            <w:pPr>
                              <w:pStyle w:val="Heading2"/>
                              <w:spacing w:before="240"/>
                            </w:pPr>
                            <w:bookmarkStart w:id="6" w:name="_Toc190780902"/>
                            <w:r>
                              <w:t>Acknowledgement of Country</w:t>
                            </w:r>
                            <w:bookmarkEnd w:id="6"/>
                          </w:p>
                          <w:p w14:paraId="5142A1B7" w14:textId="77777777" w:rsidR="008D6BEC" w:rsidRDefault="008D6BEC" w:rsidP="008D6BEC">
                            <w:r>
                              <w:t>The Commonwealth Grants Commission acknowledges the Traditional Owners of Country throughout Australia, and their continuing connection to land, water and community. We pay our respects to them and their cultures and to Elders both past and present.</w:t>
                            </w:r>
                          </w:p>
                          <w:p w14:paraId="0442D216" w14:textId="77777777" w:rsidR="008D6BEC" w:rsidRDefault="008D6BEC" w:rsidP="008D6BEC">
                            <w:pPr>
                              <w:rPr>
                                <w:lang w:bidi="hi-IN"/>
                              </w:rPr>
                            </w:pPr>
                          </w:p>
                        </w:txbxContent>
                      </wps:txbx>
                      <wps:bodyPr rot="0" vertOverflow="clip" horzOverflow="clip"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B2D9BAF" id="Rectangle 6" o:spid="_x0000_s1027" style="position:absolute;margin-left:0;margin-top:-5.5pt;width:453.4pt;height:110.5pt;z-index:-25165823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" fillcolor="#e5f8ff" stroked="f">
                <v:textbox>
                  <w:txbxContent>
                    <w:p w14:paraId="2306A708" w14:textId="77777777" w:rsidR="008D6BEC" w:rsidRDefault="008D6BEC" w:rsidP="00A541D6">
                      <w:pPr>
                        <w:pStyle w:val="Heading2"/>
                        <w:spacing w:before="240"/>
                      </w:pPr>
                      <w:bookmarkStart w:id="7" w:name="_Toc190780902"/>
                      <w:r>
                        <w:t>Acknowledgement of Country</w:t>
                      </w:r>
                      <w:bookmarkEnd w:id="7"/>
                    </w:p>
                    <w:p w14:paraId="5142A1B7" w14:textId="77777777" w:rsidR="008D6BEC" w:rsidRDefault="008D6BEC" w:rsidP="008D6BEC">
                      <w:r>
                        <w:t>The Commonwealth Grants Commission acknowledges the Traditional Owners of Country throughout Australia, and their continuing connection to land, water and community. We pay our respects to them and their cultures and to Elders both past and present.</w:t>
                      </w:r>
                    </w:p>
                    <w:p w14:paraId="0442D216" w14:textId="77777777" w:rsidR="008D6BEC" w:rsidRDefault="008D6BEC" w:rsidP="008D6BEC">
                      <w:pPr>
                        <w:rPr>
                          <w:lang w:bidi="hi-IN"/>
                        </w:rPr>
                      </w:pPr>
                    </w:p>
                  </w:txbxContent>
                </v:textbox>
                <w10:wrap anchorx="margin"/>
              </v:rect>
            </w:pict>
          </mc:Fallback>
        </mc:AlternateContent>
      </w:r>
    </w:p>
    <w:p w14:paraId="7262D425" w14:textId="77777777" w:rsidR="008D6BEC" w:rsidRDefault="008D6BEC" w:rsidP="008D6BEC"/>
    <w:p w14:paraId="54717E56" w14:textId="77777777" w:rsidR="008D6BEC" w:rsidRDefault="008D6BEC" w:rsidP="008D6BEC"/>
    <w:p w14:paraId="21087C7D" w14:textId="77777777" w:rsidR="008D6BEC" w:rsidRDefault="008D6BEC" w:rsidP="008D6BEC"/>
    <w:p w14:paraId="5D9C99AE" w14:textId="77777777" w:rsidR="008D6BEC" w:rsidRDefault="008D6BEC" w:rsidP="008D6BEC"/>
    <w:p w14:paraId="205CEE6D" w14:textId="0F499EEF" w:rsidR="008D6BEC" w:rsidRDefault="007867A4" w:rsidP="008D6BEC">
      <w:r>
        <w:br/>
      </w:r>
    </w:p>
    <w:p w14:paraId="023038A1" w14:textId="602A633F" w:rsidR="0057554D" w:rsidRPr="00F728BA" w:rsidRDefault="0057554D" w:rsidP="0057554D">
      <w:pPr>
        <w:pStyle w:val="Heading3"/>
        <w:spacing w:before="120" w:after="0"/>
      </w:pPr>
      <w:r w:rsidRPr="00BC2612">
        <w:t>Copyright</w:t>
      </w:r>
    </w:p>
    <w:p w14:paraId="257016CF" w14:textId="77777777" w:rsidR="00407B61" w:rsidRDefault="00407B61" w:rsidP="0057554D">
      <w:pPr>
        <w:spacing w:before="0" w:line="252" w:lineRule="auto"/>
      </w:pPr>
    </w:p>
    <w:p w14:paraId="0EF916FD" w14:textId="69B710A6" w:rsidR="0057554D" w:rsidRDefault="0057554D" w:rsidP="0057554D">
      <w:pPr>
        <w:spacing w:before="0" w:line="252" w:lineRule="auto"/>
      </w:pPr>
      <w:r>
        <w:t xml:space="preserve">ISBN: </w:t>
      </w:r>
      <w:r w:rsidR="00CF19B2" w:rsidRPr="00CF19B2">
        <w:t>978-0-6485912-9-0</w:t>
      </w:r>
    </w:p>
    <w:p w14:paraId="7965CCD3" w14:textId="77777777" w:rsidR="000D1A01" w:rsidRDefault="000D1A01" w:rsidP="0057554D">
      <w:pPr>
        <w:spacing w:before="0" w:line="252" w:lineRule="auto"/>
      </w:pPr>
    </w:p>
    <w:p w14:paraId="478E07A7" w14:textId="7AD807D9" w:rsidR="000D1A01" w:rsidRPr="00B12B63" w:rsidRDefault="000D1A01" w:rsidP="0057554D">
      <w:pPr>
        <w:spacing w:before="0" w:line="252" w:lineRule="auto"/>
      </w:pPr>
      <w:r>
        <w:t xml:space="preserve">© Commonwealth of Australia 2025 </w:t>
      </w:r>
    </w:p>
    <w:p w14:paraId="04F3989F" w14:textId="77777777" w:rsidR="0057554D" w:rsidRPr="00B12B63" w:rsidRDefault="0057554D" w:rsidP="0057554D">
      <w:pPr>
        <w:spacing w:before="0" w:line="252" w:lineRule="auto"/>
      </w:pPr>
    </w:p>
    <w:p w14:paraId="2CE2E686" w14:textId="28E1BA7B" w:rsidR="00E7248F" w:rsidRDefault="00E7248F" w:rsidP="0057554D">
      <w:pPr>
        <w:spacing w:before="0" w:line="252" w:lineRule="auto"/>
      </w:pPr>
      <w:r>
        <w:t xml:space="preserve">All material presented in this document is provided under a </w:t>
      </w:r>
      <w:hyperlink r:id="rId12" w:history="1">
        <w:r w:rsidRPr="00407B61">
          <w:rPr>
            <w:rStyle w:val="Hyperlink"/>
          </w:rPr>
          <w:t>Creative Commons Attribution 4.0 International Licence</w:t>
        </w:r>
      </w:hyperlink>
      <w:r>
        <w:t>, with the exception of the Commonwealth Coat of Arms, Commonwealth Grants Commission logo and all images.</w:t>
      </w:r>
    </w:p>
    <w:p w14:paraId="03F3CEF3" w14:textId="77777777" w:rsidR="0057554D" w:rsidRPr="00B12B63" w:rsidRDefault="0057554D" w:rsidP="0057554D">
      <w:pPr>
        <w:spacing w:before="0" w:line="252" w:lineRule="auto"/>
      </w:pPr>
    </w:p>
    <w:p w14:paraId="15641E67" w14:textId="40FB95B4" w:rsidR="0057554D" w:rsidRDefault="0057554D" w:rsidP="007867A4">
      <w:pPr>
        <w:spacing w:before="0" w:line="252" w:lineRule="auto"/>
      </w:pPr>
      <w:r w:rsidRPr="00B12B63">
        <w:rPr>
          <w:noProof/>
        </w:rPr>
        <w:drawing>
          <wp:inline distT="0" distB="0" distL="0" distR="0" wp14:anchorId="39598934" wp14:editId="09910643">
            <wp:extent cx="819785" cy="284480"/>
            <wp:effectExtent l="0" t="0" r="0" b="0"/>
            <wp:docPr id="11" name="Picture 11" descr="Creative Commons - At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 Commons - Attributi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19785" cy="284480"/>
                    </a:xfrm>
                    <a:prstGeom prst="rect">
                      <a:avLst/>
                    </a:prstGeom>
                    <a:noFill/>
                    <a:ln>
                      <a:noFill/>
                    </a:ln>
                  </pic:spPr>
                </pic:pic>
              </a:graphicData>
            </a:graphic>
          </wp:inline>
        </w:drawing>
      </w:r>
      <w:bookmarkStart w:id="7" w:name="_Toc127802138"/>
      <w:bookmarkStart w:id="8" w:name="_Toc127804760"/>
    </w:p>
    <w:p w14:paraId="5CC245AB" w14:textId="77777777" w:rsidR="007867A4" w:rsidRDefault="007867A4" w:rsidP="007867A4">
      <w:pPr>
        <w:spacing w:before="0" w:line="252" w:lineRule="auto"/>
      </w:pPr>
    </w:p>
    <w:p w14:paraId="3CEF1B7A" w14:textId="77777777" w:rsidR="0057554D" w:rsidRPr="00707B3A" w:rsidRDefault="0057554D" w:rsidP="0057554D">
      <w:pPr>
        <w:pStyle w:val="Heading3"/>
        <w:spacing w:before="0" w:after="0"/>
      </w:pPr>
      <w:r w:rsidRPr="00707B3A">
        <w:t xml:space="preserve">Use of the </w:t>
      </w:r>
      <w:r>
        <w:t xml:space="preserve">Commonwealth </w:t>
      </w:r>
      <w:r w:rsidRPr="00707B3A">
        <w:t>Coat of Arms</w:t>
      </w:r>
      <w:bookmarkEnd w:id="7"/>
      <w:bookmarkEnd w:id="8"/>
    </w:p>
    <w:p w14:paraId="5D8A82A4" w14:textId="768AE43C" w:rsidR="00C72BBA" w:rsidRPr="003A4669" w:rsidRDefault="0057554D" w:rsidP="00C72BBA">
      <w:pPr>
        <w:spacing w:before="0"/>
      </w:pPr>
      <w:r>
        <w:t>Guidelines for using</w:t>
      </w:r>
      <w:r w:rsidRPr="003A4669">
        <w:t xml:space="preserve"> the </w:t>
      </w:r>
      <w:r>
        <w:t xml:space="preserve">Commonwealth </w:t>
      </w:r>
      <w:r w:rsidRPr="003A4669">
        <w:t xml:space="preserve">Coat of Arms are </w:t>
      </w:r>
      <w:r>
        <w:t xml:space="preserve">published on the website of the Department of the Prime Minister and Cabinet: </w:t>
      </w:r>
      <w:hyperlink r:id="rId14" w:history="1">
        <w:r w:rsidR="005D0673" w:rsidRPr="005D0673">
          <w:rPr>
            <w:rStyle w:val="Hyperlink"/>
          </w:rPr>
          <w:t>www.pmc.gov.au/honours-and-symbols/commonwealth-coat-arms</w:t>
        </w:r>
      </w:hyperlink>
    </w:p>
    <w:p w14:paraId="16584286" w14:textId="77777777" w:rsidR="005D0673" w:rsidRPr="003A4669" w:rsidRDefault="005D0673" w:rsidP="00C72BBA">
      <w:pPr>
        <w:spacing w:before="0"/>
      </w:pPr>
    </w:p>
    <w:p w14:paraId="0878025D" w14:textId="77777777" w:rsidR="0057554D" w:rsidRPr="00707B3A" w:rsidRDefault="0057554D" w:rsidP="0057554D">
      <w:pPr>
        <w:pStyle w:val="Heading3"/>
        <w:spacing w:before="120" w:after="0"/>
      </w:pPr>
      <w:bookmarkStart w:id="9" w:name="_Toc127802139"/>
      <w:bookmarkStart w:id="10" w:name="_Toc127804761"/>
      <w:r w:rsidRPr="00707B3A">
        <w:t>Attribution</w:t>
      </w:r>
      <w:bookmarkEnd w:id="9"/>
      <w:bookmarkEnd w:id="10"/>
    </w:p>
    <w:p w14:paraId="24E62DCF" w14:textId="20BA8600" w:rsidR="0057554D" w:rsidRPr="003A4669" w:rsidRDefault="0057554D" w:rsidP="0057554D">
      <w:pPr>
        <w:spacing w:before="0" w:line="240" w:lineRule="auto"/>
      </w:pPr>
      <w:r w:rsidRPr="003A4669">
        <w:t xml:space="preserve">The recommended attribution for this document is </w:t>
      </w:r>
      <w:r w:rsidRPr="007644EE">
        <w:t xml:space="preserve">Commonwealth Grants Commission, </w:t>
      </w:r>
      <w:r w:rsidR="00BC14F5">
        <w:rPr>
          <w:i/>
          <w:iCs/>
        </w:rPr>
        <w:t>GST Relativities 2025</w:t>
      </w:r>
      <w:r w:rsidR="003622EB">
        <w:rPr>
          <w:i/>
          <w:iCs/>
        </w:rPr>
        <w:t>–</w:t>
      </w:r>
      <w:r w:rsidR="00BC14F5">
        <w:rPr>
          <w:i/>
          <w:iCs/>
        </w:rPr>
        <w:t>2</w:t>
      </w:r>
      <w:r w:rsidR="00E257E2">
        <w:rPr>
          <w:i/>
          <w:iCs/>
        </w:rPr>
        <w:t>6</w:t>
      </w:r>
      <w:r w:rsidRPr="003A4669">
        <w:t>.</w:t>
      </w:r>
    </w:p>
    <w:p w14:paraId="2D781D11" w14:textId="77777777" w:rsidR="0057554D" w:rsidRPr="003A4669" w:rsidRDefault="0057554D" w:rsidP="0057554D">
      <w:pPr>
        <w:spacing w:before="0" w:line="252" w:lineRule="auto"/>
      </w:pPr>
    </w:p>
    <w:p w14:paraId="73FFD7DC" w14:textId="77777777" w:rsidR="0057554D" w:rsidRPr="00707B3A" w:rsidRDefault="0057554D" w:rsidP="0057554D">
      <w:pPr>
        <w:pStyle w:val="Heading3"/>
        <w:spacing w:before="0" w:after="0"/>
      </w:pPr>
      <w:bookmarkStart w:id="11" w:name="_Toc127802140"/>
      <w:bookmarkStart w:id="12" w:name="_Toc127804762"/>
      <w:r w:rsidRPr="00707B3A">
        <w:t>Contact us</w:t>
      </w:r>
      <w:bookmarkEnd w:id="11"/>
      <w:bookmarkEnd w:id="12"/>
    </w:p>
    <w:p w14:paraId="39090616" w14:textId="77777777" w:rsidR="0057554D" w:rsidRPr="003A4669" w:rsidRDefault="0057554D" w:rsidP="0057554D">
      <w:pPr>
        <w:spacing w:before="0" w:line="252" w:lineRule="auto"/>
      </w:pPr>
      <w:r w:rsidRPr="003A4669">
        <w:t>Inquiries regarding the licence and any use of this document should be directed to:</w:t>
      </w:r>
    </w:p>
    <w:p w14:paraId="2A3B5AE0" w14:textId="77777777" w:rsidR="0057554D" w:rsidRPr="003A4669" w:rsidRDefault="0057554D" w:rsidP="0057554D">
      <w:pPr>
        <w:spacing w:before="0" w:line="252" w:lineRule="auto"/>
      </w:pPr>
    </w:p>
    <w:p w14:paraId="421A17E5" w14:textId="77777777" w:rsidR="0057554D" w:rsidRPr="003A4669" w:rsidRDefault="0057554D" w:rsidP="0057554D">
      <w:pPr>
        <w:spacing w:before="0" w:line="252" w:lineRule="auto"/>
      </w:pPr>
      <w:r w:rsidRPr="003A4669">
        <w:t>Secretary</w:t>
      </w:r>
    </w:p>
    <w:p w14:paraId="7E1381D5" w14:textId="77777777" w:rsidR="0057554D" w:rsidRPr="003A4669" w:rsidRDefault="0057554D" w:rsidP="0057554D">
      <w:pPr>
        <w:spacing w:before="0" w:line="252" w:lineRule="auto"/>
      </w:pPr>
      <w:r w:rsidRPr="003A4669">
        <w:t>Commonwealth Grants Commission</w:t>
      </w:r>
    </w:p>
    <w:p w14:paraId="4D68B9D2" w14:textId="77777777" w:rsidR="0057554D" w:rsidRPr="003A4669" w:rsidRDefault="0057554D" w:rsidP="0057554D">
      <w:pPr>
        <w:spacing w:before="0" w:line="252" w:lineRule="auto"/>
      </w:pPr>
      <w:r w:rsidRPr="003A4669">
        <w:t>73 Northbourne Avenue</w:t>
      </w:r>
    </w:p>
    <w:p w14:paraId="45AD876E" w14:textId="77777777" w:rsidR="0057554D" w:rsidRPr="003A4669" w:rsidRDefault="0057554D" w:rsidP="0057554D">
      <w:pPr>
        <w:spacing w:before="0" w:line="252" w:lineRule="auto"/>
      </w:pPr>
      <w:r w:rsidRPr="003A4669">
        <w:t>CANBERRA ACT 2601</w:t>
      </w:r>
    </w:p>
    <w:p w14:paraId="2D314E25" w14:textId="77777777" w:rsidR="0057554D" w:rsidRPr="003A4669" w:rsidRDefault="0057554D" w:rsidP="0057554D">
      <w:pPr>
        <w:spacing w:before="0" w:line="252" w:lineRule="auto"/>
      </w:pPr>
      <w:r w:rsidRPr="003A4669">
        <w:t>Telephone (02) 6218 5700</w:t>
      </w:r>
    </w:p>
    <w:p w14:paraId="7B81451D" w14:textId="69FD82DC" w:rsidR="0057554D" w:rsidRDefault="0057554D" w:rsidP="0057554D">
      <w:pPr>
        <w:spacing w:before="0" w:line="252" w:lineRule="auto"/>
      </w:pPr>
      <w:r w:rsidRPr="003A4669">
        <w:t xml:space="preserve">Email </w:t>
      </w:r>
      <w:hyperlink r:id="rId15" w:history="1">
        <w:r w:rsidRPr="003A4669">
          <w:rPr>
            <w:rStyle w:val="Hyperlink"/>
          </w:rPr>
          <w:t>secretary@cgc.gov.au</w:t>
        </w:r>
      </w:hyperlink>
    </w:p>
    <w:p w14:paraId="64AC0DB8" w14:textId="77777777" w:rsidR="0057554D" w:rsidRPr="003A4669" w:rsidRDefault="0057554D" w:rsidP="0057554D">
      <w:pPr>
        <w:spacing w:before="0" w:line="252" w:lineRule="auto"/>
      </w:pPr>
    </w:p>
    <w:p w14:paraId="2945562F" w14:textId="77777777" w:rsidR="0057554D" w:rsidRPr="00F728BA" w:rsidRDefault="0057554D" w:rsidP="0057554D">
      <w:pPr>
        <w:pStyle w:val="Heading3"/>
        <w:spacing w:before="0" w:after="0"/>
      </w:pPr>
      <w:bookmarkStart w:id="13" w:name="_Toc127802141"/>
      <w:bookmarkStart w:id="14" w:name="_Toc127804763"/>
      <w:r w:rsidRPr="00F728BA">
        <w:t>Internet</w:t>
      </w:r>
      <w:bookmarkEnd w:id="13"/>
      <w:bookmarkEnd w:id="14"/>
    </w:p>
    <w:p w14:paraId="64080B3C" w14:textId="2D66377A" w:rsidR="0057554D" w:rsidRDefault="0057554D" w:rsidP="0057554D">
      <w:pPr>
        <w:spacing w:before="0"/>
      </w:pPr>
      <w:r w:rsidRPr="003A4669">
        <w:t xml:space="preserve">A copy of this report can be obtained from the </w:t>
      </w:r>
      <w:r w:rsidRPr="00C2633C">
        <w:t>Commission’s website</w:t>
      </w:r>
      <w:r>
        <w:t xml:space="preserve"> </w:t>
      </w:r>
      <w:hyperlink r:id="rId16" w:history="1">
        <w:r w:rsidR="00D07688" w:rsidRPr="00BD7DE4">
          <w:rPr>
            <w:rStyle w:val="Hyperlink"/>
          </w:rPr>
          <w:t>www.cgc.gov.au</w:t>
        </w:r>
      </w:hyperlink>
      <w:r w:rsidR="00E3543E">
        <w:t>.</w:t>
      </w:r>
    </w:p>
    <w:p w14:paraId="61AA0326" w14:textId="77777777" w:rsidR="0057554D" w:rsidRDefault="0057554D" w:rsidP="0057554D">
      <w:pPr>
        <w:spacing w:before="0"/>
      </w:pPr>
    </w:p>
    <w:p w14:paraId="5247BA18" w14:textId="77777777" w:rsidR="0057554D" w:rsidRPr="00F728BA" w:rsidRDefault="0057554D" w:rsidP="0057554D">
      <w:pPr>
        <w:pStyle w:val="Heading3"/>
        <w:spacing w:before="0" w:after="0"/>
      </w:pPr>
      <w:r>
        <w:t>Glossary</w:t>
      </w:r>
    </w:p>
    <w:p w14:paraId="65CBA605" w14:textId="5C0336BD" w:rsidR="006F6182" w:rsidRDefault="0057554D" w:rsidP="0057554D">
      <w:pPr>
        <w:spacing w:before="0"/>
      </w:pPr>
      <w:r>
        <w:t>A glossary is available from the Commission’s website</w:t>
      </w:r>
      <w:r w:rsidR="00EB1C11">
        <w:t xml:space="preserve"> </w:t>
      </w:r>
      <w:hyperlink r:id="rId17" w:history="1">
        <w:r w:rsidR="00F4414F" w:rsidRPr="00F4414F">
          <w:rPr>
            <w:rStyle w:val="Hyperlink"/>
          </w:rPr>
          <w:t>www.cgc.gov.au/publications/glossary</w:t>
        </w:r>
      </w:hyperlink>
      <w:r w:rsidRPr="003A4669">
        <w:t>.</w:t>
      </w:r>
    </w:p>
    <w:p w14:paraId="229B6C65" w14:textId="77777777" w:rsidR="00D6048F" w:rsidRDefault="00D6048F" w:rsidP="0057554D">
      <w:pPr>
        <w:spacing w:before="0"/>
      </w:pPr>
    </w:p>
    <w:p w14:paraId="14227717" w14:textId="77777777" w:rsidR="007867A4" w:rsidRPr="00F728BA" w:rsidRDefault="007867A4" w:rsidP="007867A4">
      <w:pPr>
        <w:pStyle w:val="Heading3"/>
        <w:spacing w:before="0" w:after="0"/>
      </w:pPr>
      <w:r>
        <w:t>Quality Assurance Framework</w:t>
      </w:r>
    </w:p>
    <w:p w14:paraId="6A7732E6" w14:textId="198806C0" w:rsidR="00601708" w:rsidRDefault="007867A4" w:rsidP="007867A4">
      <w:r>
        <w:t xml:space="preserve">The Commission’s Quality Assurance Framework is available on the Commission’s website </w:t>
      </w:r>
      <w:hyperlink r:id="rId18" w:history="1">
        <w:r w:rsidRPr="000256B2">
          <w:rPr>
            <w:rStyle w:val="Hyperlink"/>
          </w:rPr>
          <w:t>www.cgc.gov.au/publications/quality-assurance-framework</w:t>
        </w:r>
      </w:hyperlink>
      <w:r>
        <w:t>.</w:t>
      </w:r>
    </w:p>
    <w:p w14:paraId="7047AEFD" w14:textId="45B6CB70" w:rsidR="009F32B0" w:rsidRDefault="000F38CE" w:rsidP="000F38CE">
      <w:pPr>
        <w:pStyle w:val="Heading1"/>
      </w:pPr>
      <w:bookmarkStart w:id="15" w:name="_Toc190781283"/>
      <w:bookmarkStart w:id="16" w:name="_Toc190781839"/>
      <w:r>
        <w:lastRenderedPageBreak/>
        <w:t>Table of contents</w:t>
      </w:r>
      <w:bookmarkEnd w:id="15"/>
      <w:bookmarkEnd w:id="16"/>
    </w:p>
    <w:p w14:paraId="77A05C24" w14:textId="05B044C7" w:rsidR="00634E53" w:rsidRDefault="00634E53">
      <w:pPr>
        <w:pStyle w:val="TOC1"/>
        <w:tabs>
          <w:tab w:val="right" w:leader="dot" w:pos="9016"/>
        </w:tabs>
        <w:rPr>
          <w:rFonts w:asciiTheme="minorHAnsi" w:eastAsiaTheme="minorEastAsia" w:hAnsiTheme="minorHAnsi"/>
          <w:bCs w:val="0"/>
          <w:noProof/>
          <w:kern w:val="2"/>
          <w:sz w:val="24"/>
          <w:lang w:eastAsia="en-AU"/>
          <w14:ligatures w14:val="standardContextual"/>
        </w:rPr>
      </w:pPr>
      <w:r>
        <w:rPr>
          <w:rFonts w:ascii="Work Sans SemiBold" w:hAnsi="Work Sans SemiBold"/>
          <w:smallCaps/>
        </w:rPr>
        <w:fldChar w:fldCharType="begin"/>
      </w:r>
      <w:r>
        <w:rPr>
          <w:rFonts w:ascii="Work Sans SemiBold" w:hAnsi="Work Sans SemiBold"/>
          <w:smallCaps/>
        </w:rPr>
        <w:instrText xml:space="preserve"> TOC \o "1-1" \h \z \u </w:instrText>
      </w:r>
      <w:r>
        <w:rPr>
          <w:rFonts w:ascii="Work Sans SemiBold" w:hAnsi="Work Sans SemiBold"/>
          <w:smallCaps/>
        </w:rPr>
        <w:fldChar w:fldCharType="separate"/>
      </w:r>
    </w:p>
    <w:p w14:paraId="5DFBBCD3" w14:textId="71D6692B" w:rsidR="00634E53" w:rsidRDefault="00000000">
      <w:pPr>
        <w:pStyle w:val="TOC1"/>
        <w:tabs>
          <w:tab w:val="right" w:leader="dot" w:pos="9016"/>
        </w:tabs>
        <w:rPr>
          <w:rFonts w:asciiTheme="minorHAnsi" w:eastAsiaTheme="minorEastAsia" w:hAnsiTheme="minorHAnsi"/>
          <w:bCs w:val="0"/>
          <w:noProof/>
          <w:kern w:val="2"/>
          <w:sz w:val="24"/>
          <w:lang w:eastAsia="en-AU"/>
          <w14:ligatures w14:val="standardContextual"/>
        </w:rPr>
      </w:pPr>
      <w:hyperlink w:anchor="_Toc190781840" w:history="1">
        <w:r w:rsidR="00634E53" w:rsidRPr="00740EF9">
          <w:rPr>
            <w:rStyle w:val="Hyperlink"/>
            <w:noProof/>
          </w:rPr>
          <w:t>Letter of transmittal</w:t>
        </w:r>
        <w:r w:rsidR="00634E53">
          <w:rPr>
            <w:noProof/>
            <w:webHidden/>
          </w:rPr>
          <w:tab/>
        </w:r>
        <w:r w:rsidR="00634E53">
          <w:rPr>
            <w:noProof/>
            <w:webHidden/>
          </w:rPr>
          <w:fldChar w:fldCharType="begin"/>
        </w:r>
        <w:r w:rsidR="00634E53">
          <w:rPr>
            <w:noProof/>
            <w:webHidden/>
          </w:rPr>
          <w:instrText xml:space="preserve"> PAGEREF _Toc190781840 \h </w:instrText>
        </w:r>
        <w:r w:rsidR="00634E53">
          <w:rPr>
            <w:noProof/>
            <w:webHidden/>
          </w:rPr>
        </w:r>
        <w:r w:rsidR="00634E53">
          <w:rPr>
            <w:noProof/>
            <w:webHidden/>
          </w:rPr>
          <w:fldChar w:fldCharType="separate"/>
        </w:r>
        <w:r w:rsidR="008F1DBF">
          <w:rPr>
            <w:noProof/>
            <w:webHidden/>
          </w:rPr>
          <w:t>4</w:t>
        </w:r>
        <w:r w:rsidR="00634E53">
          <w:rPr>
            <w:noProof/>
            <w:webHidden/>
          </w:rPr>
          <w:fldChar w:fldCharType="end"/>
        </w:r>
      </w:hyperlink>
    </w:p>
    <w:p w14:paraId="1D87CC49" w14:textId="576453E2" w:rsidR="00634E53" w:rsidRDefault="00000000">
      <w:pPr>
        <w:pStyle w:val="TOC1"/>
        <w:tabs>
          <w:tab w:val="right" w:leader="dot" w:pos="9016"/>
        </w:tabs>
        <w:rPr>
          <w:rFonts w:asciiTheme="minorHAnsi" w:eastAsiaTheme="minorEastAsia" w:hAnsiTheme="minorHAnsi"/>
          <w:bCs w:val="0"/>
          <w:noProof/>
          <w:kern w:val="2"/>
          <w:sz w:val="24"/>
          <w:lang w:eastAsia="en-AU"/>
          <w14:ligatures w14:val="standardContextual"/>
        </w:rPr>
      </w:pPr>
      <w:hyperlink w:anchor="_Toc190781841" w:history="1">
        <w:r w:rsidR="00634E53" w:rsidRPr="00740EF9">
          <w:rPr>
            <w:rStyle w:val="Hyperlink"/>
            <w:noProof/>
          </w:rPr>
          <w:t>Acknowledgements</w:t>
        </w:r>
        <w:r w:rsidR="00634E53">
          <w:rPr>
            <w:noProof/>
            <w:webHidden/>
          </w:rPr>
          <w:tab/>
        </w:r>
        <w:r w:rsidR="00634E53">
          <w:rPr>
            <w:noProof/>
            <w:webHidden/>
          </w:rPr>
          <w:fldChar w:fldCharType="begin"/>
        </w:r>
        <w:r w:rsidR="00634E53">
          <w:rPr>
            <w:noProof/>
            <w:webHidden/>
          </w:rPr>
          <w:instrText xml:space="preserve"> PAGEREF _Toc190781841 \h </w:instrText>
        </w:r>
        <w:r w:rsidR="00634E53">
          <w:rPr>
            <w:noProof/>
            <w:webHidden/>
          </w:rPr>
        </w:r>
        <w:r w:rsidR="00634E53">
          <w:rPr>
            <w:noProof/>
            <w:webHidden/>
          </w:rPr>
          <w:fldChar w:fldCharType="separate"/>
        </w:r>
        <w:r w:rsidR="008F1DBF">
          <w:rPr>
            <w:noProof/>
            <w:webHidden/>
          </w:rPr>
          <w:t>5</w:t>
        </w:r>
        <w:r w:rsidR="00634E53">
          <w:rPr>
            <w:noProof/>
            <w:webHidden/>
          </w:rPr>
          <w:fldChar w:fldCharType="end"/>
        </w:r>
      </w:hyperlink>
    </w:p>
    <w:p w14:paraId="7DB4D9FE" w14:textId="09DD8D02" w:rsidR="00634E53" w:rsidRDefault="00000000">
      <w:pPr>
        <w:pStyle w:val="TOC1"/>
        <w:tabs>
          <w:tab w:val="right" w:leader="dot" w:pos="9016"/>
        </w:tabs>
        <w:rPr>
          <w:rFonts w:asciiTheme="minorHAnsi" w:eastAsiaTheme="minorEastAsia" w:hAnsiTheme="minorHAnsi"/>
          <w:bCs w:val="0"/>
          <w:noProof/>
          <w:kern w:val="2"/>
          <w:sz w:val="24"/>
          <w:lang w:eastAsia="en-AU"/>
          <w14:ligatures w14:val="standardContextual"/>
        </w:rPr>
      </w:pPr>
      <w:hyperlink w:anchor="_Toc190781842" w:history="1">
        <w:r w:rsidR="00634E53" w:rsidRPr="00740EF9">
          <w:rPr>
            <w:rStyle w:val="Hyperlink"/>
            <w:noProof/>
          </w:rPr>
          <w:t>Terms of reference</w:t>
        </w:r>
        <w:r w:rsidR="00634E53">
          <w:rPr>
            <w:noProof/>
            <w:webHidden/>
          </w:rPr>
          <w:tab/>
        </w:r>
        <w:r w:rsidR="00634E53">
          <w:rPr>
            <w:noProof/>
            <w:webHidden/>
          </w:rPr>
          <w:fldChar w:fldCharType="begin"/>
        </w:r>
        <w:r w:rsidR="00634E53">
          <w:rPr>
            <w:noProof/>
            <w:webHidden/>
          </w:rPr>
          <w:instrText xml:space="preserve"> PAGEREF _Toc190781842 \h </w:instrText>
        </w:r>
        <w:r w:rsidR="00634E53">
          <w:rPr>
            <w:noProof/>
            <w:webHidden/>
          </w:rPr>
        </w:r>
        <w:r w:rsidR="00634E53">
          <w:rPr>
            <w:noProof/>
            <w:webHidden/>
          </w:rPr>
          <w:fldChar w:fldCharType="separate"/>
        </w:r>
        <w:r w:rsidR="008F1DBF">
          <w:rPr>
            <w:noProof/>
            <w:webHidden/>
          </w:rPr>
          <w:t>6</w:t>
        </w:r>
        <w:r w:rsidR="00634E53">
          <w:rPr>
            <w:noProof/>
            <w:webHidden/>
          </w:rPr>
          <w:fldChar w:fldCharType="end"/>
        </w:r>
      </w:hyperlink>
    </w:p>
    <w:p w14:paraId="1E1BDE6F" w14:textId="5D704D5E" w:rsidR="00634E53" w:rsidRDefault="00000000">
      <w:pPr>
        <w:pStyle w:val="TOC1"/>
        <w:tabs>
          <w:tab w:val="right" w:leader="dot" w:pos="9016"/>
        </w:tabs>
        <w:rPr>
          <w:rFonts w:asciiTheme="minorHAnsi" w:eastAsiaTheme="minorEastAsia" w:hAnsiTheme="minorHAnsi"/>
          <w:bCs w:val="0"/>
          <w:noProof/>
          <w:kern w:val="2"/>
          <w:sz w:val="24"/>
          <w:lang w:eastAsia="en-AU"/>
          <w14:ligatures w14:val="standardContextual"/>
        </w:rPr>
      </w:pPr>
      <w:hyperlink w:anchor="_Toc190781843" w:history="1">
        <w:r w:rsidR="00634E53" w:rsidRPr="00740EF9">
          <w:rPr>
            <w:rStyle w:val="Hyperlink"/>
            <w:noProof/>
          </w:rPr>
          <w:t>List of acronyms</w:t>
        </w:r>
        <w:r w:rsidR="00634E53">
          <w:rPr>
            <w:noProof/>
            <w:webHidden/>
          </w:rPr>
          <w:tab/>
        </w:r>
        <w:r w:rsidR="00634E53">
          <w:rPr>
            <w:noProof/>
            <w:webHidden/>
          </w:rPr>
          <w:fldChar w:fldCharType="begin"/>
        </w:r>
        <w:r w:rsidR="00634E53">
          <w:rPr>
            <w:noProof/>
            <w:webHidden/>
          </w:rPr>
          <w:instrText xml:space="preserve"> PAGEREF _Toc190781843 \h </w:instrText>
        </w:r>
        <w:r w:rsidR="00634E53">
          <w:rPr>
            <w:noProof/>
            <w:webHidden/>
          </w:rPr>
        </w:r>
        <w:r w:rsidR="00634E53">
          <w:rPr>
            <w:noProof/>
            <w:webHidden/>
          </w:rPr>
          <w:fldChar w:fldCharType="separate"/>
        </w:r>
        <w:r w:rsidR="008F1DBF">
          <w:rPr>
            <w:noProof/>
            <w:webHidden/>
          </w:rPr>
          <w:t>7</w:t>
        </w:r>
        <w:r w:rsidR="00634E53">
          <w:rPr>
            <w:noProof/>
            <w:webHidden/>
          </w:rPr>
          <w:fldChar w:fldCharType="end"/>
        </w:r>
      </w:hyperlink>
    </w:p>
    <w:p w14:paraId="2E31173A" w14:textId="2CF69E06" w:rsidR="00634E53" w:rsidRDefault="00000000">
      <w:pPr>
        <w:pStyle w:val="TOC1"/>
        <w:tabs>
          <w:tab w:val="right" w:leader="dot" w:pos="9016"/>
        </w:tabs>
        <w:rPr>
          <w:rFonts w:asciiTheme="minorHAnsi" w:eastAsiaTheme="minorEastAsia" w:hAnsiTheme="minorHAnsi"/>
          <w:bCs w:val="0"/>
          <w:noProof/>
          <w:kern w:val="2"/>
          <w:sz w:val="24"/>
          <w:lang w:eastAsia="en-AU"/>
          <w14:ligatures w14:val="standardContextual"/>
        </w:rPr>
      </w:pPr>
      <w:hyperlink w:anchor="_Toc190781844" w:history="1">
        <w:r w:rsidR="00634E53" w:rsidRPr="00740EF9">
          <w:rPr>
            <w:rStyle w:val="Hyperlink"/>
            <w:noProof/>
          </w:rPr>
          <w:t>Notes</w:t>
        </w:r>
        <w:r w:rsidR="00634E53">
          <w:rPr>
            <w:noProof/>
            <w:webHidden/>
          </w:rPr>
          <w:tab/>
        </w:r>
        <w:r w:rsidR="00634E53">
          <w:rPr>
            <w:noProof/>
            <w:webHidden/>
          </w:rPr>
          <w:fldChar w:fldCharType="begin"/>
        </w:r>
        <w:r w:rsidR="00634E53">
          <w:rPr>
            <w:noProof/>
            <w:webHidden/>
          </w:rPr>
          <w:instrText xml:space="preserve"> PAGEREF _Toc190781844 \h </w:instrText>
        </w:r>
        <w:r w:rsidR="00634E53">
          <w:rPr>
            <w:noProof/>
            <w:webHidden/>
          </w:rPr>
        </w:r>
        <w:r w:rsidR="00634E53">
          <w:rPr>
            <w:noProof/>
            <w:webHidden/>
          </w:rPr>
          <w:fldChar w:fldCharType="separate"/>
        </w:r>
        <w:r w:rsidR="008F1DBF">
          <w:rPr>
            <w:noProof/>
            <w:webHidden/>
          </w:rPr>
          <w:t>7</w:t>
        </w:r>
        <w:r w:rsidR="00634E53">
          <w:rPr>
            <w:noProof/>
            <w:webHidden/>
          </w:rPr>
          <w:fldChar w:fldCharType="end"/>
        </w:r>
      </w:hyperlink>
    </w:p>
    <w:p w14:paraId="2C54C9D0" w14:textId="3833E943" w:rsidR="00634E53" w:rsidRDefault="00000000">
      <w:pPr>
        <w:pStyle w:val="TOC1"/>
        <w:tabs>
          <w:tab w:val="right" w:leader="dot" w:pos="9016"/>
        </w:tabs>
        <w:rPr>
          <w:rFonts w:asciiTheme="minorHAnsi" w:eastAsiaTheme="minorEastAsia" w:hAnsiTheme="minorHAnsi"/>
          <w:bCs w:val="0"/>
          <w:noProof/>
          <w:kern w:val="2"/>
          <w:sz w:val="24"/>
          <w:lang w:eastAsia="en-AU"/>
          <w14:ligatures w14:val="standardContextual"/>
        </w:rPr>
      </w:pPr>
      <w:hyperlink w:anchor="_Toc190781845" w:history="1">
        <w:r w:rsidR="00634E53" w:rsidRPr="00740EF9">
          <w:rPr>
            <w:rStyle w:val="Hyperlink"/>
            <w:noProof/>
          </w:rPr>
          <w:t>Executive summary</w:t>
        </w:r>
        <w:r w:rsidR="00634E53">
          <w:rPr>
            <w:noProof/>
            <w:webHidden/>
          </w:rPr>
          <w:tab/>
        </w:r>
        <w:r w:rsidR="00634E53">
          <w:rPr>
            <w:noProof/>
            <w:webHidden/>
          </w:rPr>
          <w:fldChar w:fldCharType="begin"/>
        </w:r>
        <w:r w:rsidR="00634E53">
          <w:rPr>
            <w:noProof/>
            <w:webHidden/>
          </w:rPr>
          <w:instrText xml:space="preserve"> PAGEREF _Toc190781845 \h </w:instrText>
        </w:r>
        <w:r w:rsidR="00634E53">
          <w:rPr>
            <w:noProof/>
            <w:webHidden/>
          </w:rPr>
        </w:r>
        <w:r w:rsidR="00634E53">
          <w:rPr>
            <w:noProof/>
            <w:webHidden/>
          </w:rPr>
          <w:fldChar w:fldCharType="separate"/>
        </w:r>
        <w:r w:rsidR="008F1DBF">
          <w:rPr>
            <w:noProof/>
            <w:webHidden/>
          </w:rPr>
          <w:t>8</w:t>
        </w:r>
        <w:r w:rsidR="00634E53">
          <w:rPr>
            <w:noProof/>
            <w:webHidden/>
          </w:rPr>
          <w:fldChar w:fldCharType="end"/>
        </w:r>
      </w:hyperlink>
    </w:p>
    <w:p w14:paraId="4BCEFDD0" w14:textId="2134B035" w:rsidR="00634E53" w:rsidRDefault="00000000">
      <w:pPr>
        <w:pStyle w:val="TOC1"/>
        <w:tabs>
          <w:tab w:val="right" w:leader="dot" w:pos="9016"/>
        </w:tabs>
        <w:rPr>
          <w:rFonts w:asciiTheme="minorHAnsi" w:eastAsiaTheme="minorEastAsia" w:hAnsiTheme="minorHAnsi"/>
          <w:bCs w:val="0"/>
          <w:noProof/>
          <w:kern w:val="2"/>
          <w:sz w:val="24"/>
          <w:lang w:eastAsia="en-AU"/>
          <w14:ligatures w14:val="standardContextual"/>
        </w:rPr>
      </w:pPr>
      <w:hyperlink w:anchor="_Toc190781846" w:history="1">
        <w:r w:rsidR="00634E53" w:rsidRPr="00740EF9">
          <w:rPr>
            <w:rStyle w:val="Hyperlink"/>
            <w:noProof/>
          </w:rPr>
          <w:t xml:space="preserve">1. Recommended GST relativities </w:t>
        </w:r>
        <w:r w:rsidR="00634E53">
          <w:rPr>
            <w:noProof/>
            <w:webHidden/>
          </w:rPr>
          <w:tab/>
        </w:r>
        <w:r w:rsidR="00634E53">
          <w:rPr>
            <w:noProof/>
            <w:webHidden/>
          </w:rPr>
          <w:fldChar w:fldCharType="begin"/>
        </w:r>
        <w:r w:rsidR="00634E53">
          <w:rPr>
            <w:noProof/>
            <w:webHidden/>
          </w:rPr>
          <w:instrText xml:space="preserve"> PAGEREF _Toc190781846 \h </w:instrText>
        </w:r>
        <w:r w:rsidR="00634E53">
          <w:rPr>
            <w:noProof/>
            <w:webHidden/>
          </w:rPr>
        </w:r>
        <w:r w:rsidR="00634E53">
          <w:rPr>
            <w:noProof/>
            <w:webHidden/>
          </w:rPr>
          <w:fldChar w:fldCharType="separate"/>
        </w:r>
        <w:r w:rsidR="008F1DBF">
          <w:rPr>
            <w:noProof/>
            <w:webHidden/>
          </w:rPr>
          <w:t>17</w:t>
        </w:r>
        <w:r w:rsidR="00634E53">
          <w:rPr>
            <w:noProof/>
            <w:webHidden/>
          </w:rPr>
          <w:fldChar w:fldCharType="end"/>
        </w:r>
      </w:hyperlink>
    </w:p>
    <w:p w14:paraId="5EEBF8D1" w14:textId="4BEF68DA" w:rsidR="00634E53" w:rsidRDefault="00000000">
      <w:pPr>
        <w:pStyle w:val="TOC1"/>
        <w:tabs>
          <w:tab w:val="right" w:leader="dot" w:pos="9016"/>
        </w:tabs>
        <w:rPr>
          <w:rFonts w:asciiTheme="minorHAnsi" w:eastAsiaTheme="minorEastAsia" w:hAnsiTheme="minorHAnsi"/>
          <w:bCs w:val="0"/>
          <w:noProof/>
          <w:kern w:val="2"/>
          <w:sz w:val="24"/>
          <w:lang w:eastAsia="en-AU"/>
          <w14:ligatures w14:val="standardContextual"/>
        </w:rPr>
      </w:pPr>
      <w:hyperlink w:anchor="_Toc190781847" w:history="1">
        <w:r w:rsidR="00634E53" w:rsidRPr="00740EF9">
          <w:rPr>
            <w:rStyle w:val="Hyperlink"/>
            <w:noProof/>
          </w:rPr>
          <w:t>2. Drivers of GST distribution</w:t>
        </w:r>
        <w:r w:rsidR="00634E53">
          <w:rPr>
            <w:noProof/>
            <w:webHidden/>
          </w:rPr>
          <w:tab/>
        </w:r>
        <w:r w:rsidR="00634E53">
          <w:rPr>
            <w:noProof/>
            <w:webHidden/>
          </w:rPr>
          <w:fldChar w:fldCharType="begin"/>
        </w:r>
        <w:r w:rsidR="00634E53">
          <w:rPr>
            <w:noProof/>
            <w:webHidden/>
          </w:rPr>
          <w:instrText xml:space="preserve"> PAGEREF _Toc190781847 \h </w:instrText>
        </w:r>
        <w:r w:rsidR="00634E53">
          <w:rPr>
            <w:noProof/>
            <w:webHidden/>
          </w:rPr>
        </w:r>
        <w:r w:rsidR="00634E53">
          <w:rPr>
            <w:noProof/>
            <w:webHidden/>
          </w:rPr>
          <w:fldChar w:fldCharType="separate"/>
        </w:r>
        <w:r w:rsidR="008F1DBF">
          <w:rPr>
            <w:noProof/>
            <w:webHidden/>
          </w:rPr>
          <w:t>22</w:t>
        </w:r>
        <w:r w:rsidR="00634E53">
          <w:rPr>
            <w:noProof/>
            <w:webHidden/>
          </w:rPr>
          <w:fldChar w:fldCharType="end"/>
        </w:r>
      </w:hyperlink>
    </w:p>
    <w:p w14:paraId="1DB5451E" w14:textId="35778886" w:rsidR="00634E53" w:rsidRDefault="00000000">
      <w:pPr>
        <w:pStyle w:val="TOC1"/>
        <w:tabs>
          <w:tab w:val="right" w:leader="dot" w:pos="9016"/>
        </w:tabs>
        <w:rPr>
          <w:rFonts w:asciiTheme="minorHAnsi" w:eastAsiaTheme="minorEastAsia" w:hAnsiTheme="minorHAnsi"/>
          <w:bCs w:val="0"/>
          <w:noProof/>
          <w:kern w:val="2"/>
          <w:sz w:val="24"/>
          <w:lang w:eastAsia="en-AU"/>
          <w14:ligatures w14:val="standardContextual"/>
        </w:rPr>
      </w:pPr>
      <w:hyperlink w:anchor="_Toc190781848" w:history="1">
        <w:r w:rsidR="00634E53" w:rsidRPr="00740EF9">
          <w:rPr>
            <w:rStyle w:val="Hyperlink"/>
            <w:noProof/>
          </w:rPr>
          <w:t>3. State by state changes</w:t>
        </w:r>
        <w:r w:rsidR="00634E53">
          <w:rPr>
            <w:noProof/>
            <w:webHidden/>
          </w:rPr>
          <w:tab/>
        </w:r>
        <w:r w:rsidR="00634E53">
          <w:rPr>
            <w:noProof/>
            <w:webHidden/>
          </w:rPr>
          <w:fldChar w:fldCharType="begin"/>
        </w:r>
        <w:r w:rsidR="00634E53">
          <w:rPr>
            <w:noProof/>
            <w:webHidden/>
          </w:rPr>
          <w:instrText xml:space="preserve"> PAGEREF _Toc190781848 \h </w:instrText>
        </w:r>
        <w:r w:rsidR="00634E53">
          <w:rPr>
            <w:noProof/>
            <w:webHidden/>
          </w:rPr>
        </w:r>
        <w:r w:rsidR="00634E53">
          <w:rPr>
            <w:noProof/>
            <w:webHidden/>
          </w:rPr>
          <w:fldChar w:fldCharType="separate"/>
        </w:r>
        <w:r w:rsidR="008F1DBF">
          <w:rPr>
            <w:noProof/>
            <w:webHidden/>
          </w:rPr>
          <w:t>41</w:t>
        </w:r>
        <w:r w:rsidR="00634E53">
          <w:rPr>
            <w:noProof/>
            <w:webHidden/>
          </w:rPr>
          <w:fldChar w:fldCharType="end"/>
        </w:r>
      </w:hyperlink>
    </w:p>
    <w:p w14:paraId="4E29458C" w14:textId="0CE92FC4" w:rsidR="00634E53" w:rsidRDefault="00000000">
      <w:pPr>
        <w:pStyle w:val="TOC1"/>
        <w:tabs>
          <w:tab w:val="right" w:leader="dot" w:pos="9016"/>
        </w:tabs>
        <w:rPr>
          <w:rFonts w:asciiTheme="minorHAnsi" w:eastAsiaTheme="minorEastAsia" w:hAnsiTheme="minorHAnsi"/>
          <w:bCs w:val="0"/>
          <w:noProof/>
          <w:kern w:val="2"/>
          <w:sz w:val="24"/>
          <w:lang w:eastAsia="en-AU"/>
          <w14:ligatures w14:val="standardContextual"/>
        </w:rPr>
      </w:pPr>
      <w:hyperlink w:anchor="_Toc190781849" w:history="1">
        <w:r w:rsidR="00634E53" w:rsidRPr="00740EF9">
          <w:rPr>
            <w:rStyle w:val="Hyperlink"/>
            <w:noProof/>
          </w:rPr>
          <w:t>Attachment A: How GST relativities are calculated</w:t>
        </w:r>
        <w:r w:rsidR="00634E53">
          <w:rPr>
            <w:noProof/>
            <w:webHidden/>
          </w:rPr>
          <w:tab/>
        </w:r>
        <w:r w:rsidR="00634E53">
          <w:rPr>
            <w:noProof/>
            <w:webHidden/>
          </w:rPr>
          <w:fldChar w:fldCharType="begin"/>
        </w:r>
        <w:r w:rsidR="00634E53">
          <w:rPr>
            <w:noProof/>
            <w:webHidden/>
          </w:rPr>
          <w:instrText xml:space="preserve"> PAGEREF _Toc190781849 \h </w:instrText>
        </w:r>
        <w:r w:rsidR="00634E53">
          <w:rPr>
            <w:noProof/>
            <w:webHidden/>
          </w:rPr>
        </w:r>
        <w:r w:rsidR="00634E53">
          <w:rPr>
            <w:noProof/>
            <w:webHidden/>
          </w:rPr>
          <w:fldChar w:fldCharType="separate"/>
        </w:r>
        <w:r w:rsidR="008F1DBF">
          <w:rPr>
            <w:noProof/>
            <w:webHidden/>
          </w:rPr>
          <w:t>59</w:t>
        </w:r>
        <w:r w:rsidR="00634E53">
          <w:rPr>
            <w:noProof/>
            <w:webHidden/>
          </w:rPr>
          <w:fldChar w:fldCharType="end"/>
        </w:r>
      </w:hyperlink>
    </w:p>
    <w:p w14:paraId="205DE7CC" w14:textId="14E14A81" w:rsidR="00634E53" w:rsidRDefault="00000000">
      <w:pPr>
        <w:pStyle w:val="TOC1"/>
        <w:tabs>
          <w:tab w:val="right" w:leader="dot" w:pos="9016"/>
        </w:tabs>
        <w:rPr>
          <w:rFonts w:asciiTheme="minorHAnsi" w:eastAsiaTheme="minorEastAsia" w:hAnsiTheme="minorHAnsi"/>
          <w:bCs w:val="0"/>
          <w:noProof/>
          <w:kern w:val="2"/>
          <w:sz w:val="24"/>
          <w:lang w:eastAsia="en-AU"/>
          <w14:ligatures w14:val="standardContextual"/>
        </w:rPr>
      </w:pPr>
      <w:hyperlink w:anchor="_Toc190781850" w:history="1">
        <w:r w:rsidR="00634E53" w:rsidRPr="00740EF9">
          <w:rPr>
            <w:rStyle w:val="Hyperlink"/>
            <w:noProof/>
          </w:rPr>
          <w:t>Attachment B: GST distribution since 2000–</w:t>
        </w:r>
        <w:r w:rsidR="00634E53" w:rsidRPr="00740EF9">
          <w:rPr>
            <w:rStyle w:val="Hyperlink"/>
            <w:rFonts w:ascii="Times New Roman" w:hAnsi="Times New Roman" w:cs="Times New Roman" w:hint="eastAsia"/>
            <w:noProof/>
            <w:rtl/>
          </w:rPr>
          <w:t>‍</w:t>
        </w:r>
        <w:r w:rsidR="00634E53" w:rsidRPr="00740EF9">
          <w:rPr>
            <w:rStyle w:val="Hyperlink"/>
            <w:noProof/>
          </w:rPr>
          <w:t>01</w:t>
        </w:r>
        <w:r w:rsidR="00634E53">
          <w:rPr>
            <w:noProof/>
            <w:webHidden/>
          </w:rPr>
          <w:tab/>
        </w:r>
        <w:r w:rsidR="00634E53">
          <w:rPr>
            <w:noProof/>
            <w:webHidden/>
          </w:rPr>
          <w:fldChar w:fldCharType="begin"/>
        </w:r>
        <w:r w:rsidR="00634E53">
          <w:rPr>
            <w:noProof/>
            <w:webHidden/>
          </w:rPr>
          <w:instrText xml:space="preserve"> PAGEREF _Toc190781850 \h </w:instrText>
        </w:r>
        <w:r w:rsidR="00634E53">
          <w:rPr>
            <w:noProof/>
            <w:webHidden/>
          </w:rPr>
        </w:r>
        <w:r w:rsidR="00634E53">
          <w:rPr>
            <w:noProof/>
            <w:webHidden/>
          </w:rPr>
          <w:fldChar w:fldCharType="separate"/>
        </w:r>
        <w:r w:rsidR="008F1DBF">
          <w:rPr>
            <w:noProof/>
            <w:webHidden/>
          </w:rPr>
          <w:t>65</w:t>
        </w:r>
        <w:r w:rsidR="00634E53">
          <w:rPr>
            <w:noProof/>
            <w:webHidden/>
          </w:rPr>
          <w:fldChar w:fldCharType="end"/>
        </w:r>
      </w:hyperlink>
    </w:p>
    <w:p w14:paraId="0101C1F6" w14:textId="4D925214" w:rsidR="009F32B0" w:rsidRPr="009F32B0" w:rsidRDefault="00634E53" w:rsidP="009F32B0">
      <w:r>
        <w:rPr>
          <w:rFonts w:ascii="Work Sans SemiBold" w:hAnsi="Work Sans SemiBold"/>
          <w:smallCaps/>
          <w:szCs w:val="24"/>
        </w:rPr>
        <w:fldChar w:fldCharType="end"/>
      </w:r>
    </w:p>
    <w:p w14:paraId="6D492389" w14:textId="6A2032BF" w:rsidR="000F38CE" w:rsidRDefault="000F38CE" w:rsidP="000F38CE">
      <w:pPr>
        <w:pStyle w:val="Heading1"/>
      </w:pPr>
      <w:r>
        <w:br w:type="page"/>
      </w:r>
    </w:p>
    <w:p w14:paraId="56245C73" w14:textId="5D86AA34" w:rsidR="000F38CE" w:rsidRPr="00665ED9" w:rsidRDefault="000F38CE" w:rsidP="00541776">
      <w:pPr>
        <w:pStyle w:val="Heading1"/>
      </w:pPr>
      <w:bookmarkStart w:id="17" w:name="_Toc190781284"/>
      <w:bookmarkStart w:id="18" w:name="_Toc190781840"/>
      <w:r>
        <w:lastRenderedPageBreak/>
        <w:t>Letter of transmittal</w:t>
      </w:r>
      <w:bookmarkEnd w:id="17"/>
      <w:bookmarkEnd w:id="18"/>
      <w:r>
        <w:br/>
      </w:r>
      <w:r>
        <w:rPr>
          <w:noProof/>
        </w:rPr>
        <w:drawing>
          <wp:inline distT="0" distB="0" distL="0" distR="0" wp14:anchorId="7AD32CA2" wp14:editId="6FA2F88A">
            <wp:extent cx="5418162" cy="8217139"/>
            <wp:effectExtent l="0" t="0" r="0" b="0"/>
            <wp:docPr id="846925367" name="Picture 1"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925367" name="Picture 1" descr="A close-up of a letter&#10;&#10;Description automatically generated"/>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5428207" cy="8232373"/>
                    </a:xfrm>
                    <a:prstGeom prst="rect">
                      <a:avLst/>
                    </a:prstGeom>
                    <a:ln>
                      <a:noFill/>
                    </a:ln>
                    <a:extLst>
                      <a:ext uri="{53640926-AAD7-44D8-BBD7-CCE9431645EC}">
                        <a14:shadowObscured xmlns:a14="http://schemas.microsoft.com/office/drawing/2010/main"/>
                      </a:ext>
                    </a:extLst>
                  </pic:spPr>
                </pic:pic>
              </a:graphicData>
            </a:graphic>
          </wp:inline>
        </w:drawing>
      </w:r>
      <w:r w:rsidRPr="00665ED9">
        <w:br w:type="page"/>
      </w:r>
    </w:p>
    <w:p w14:paraId="4BFB976C" w14:textId="77777777" w:rsidR="000F38CE" w:rsidRDefault="000F38CE" w:rsidP="000F38CE">
      <w:pPr>
        <w:pStyle w:val="Heading1"/>
      </w:pPr>
      <w:bookmarkStart w:id="19" w:name="_Toc190781285"/>
      <w:bookmarkStart w:id="20" w:name="_Toc190781841"/>
      <w:r>
        <w:lastRenderedPageBreak/>
        <w:t>Acknowledgements</w:t>
      </w:r>
      <w:bookmarkEnd w:id="19"/>
      <w:bookmarkEnd w:id="20"/>
    </w:p>
    <w:p w14:paraId="0DECD671" w14:textId="77777777" w:rsidR="000F38CE" w:rsidRDefault="000F38CE" w:rsidP="000F38CE">
      <w:pPr>
        <w:pStyle w:val="NormalCGC"/>
      </w:pPr>
      <w:r>
        <w:t>The Commission appreciates the co-operation extended to the Commission and its staff during this review by staff of the Commonwealth Treasury, state and territory treasuries and other agencies.</w:t>
      </w:r>
    </w:p>
    <w:p w14:paraId="51EB561C" w14:textId="77777777" w:rsidR="000F38CE" w:rsidRDefault="000F38CE" w:rsidP="000F38CE">
      <w:pPr>
        <w:pStyle w:val="NormalCGC"/>
      </w:pPr>
      <w:r w:rsidRPr="0019657A">
        <w:t>The Commission greatly appreciates the dedication and commitment of its staff, and thanks them for their extensive work in undertaking the 2025 Methodology Review.</w:t>
      </w:r>
      <w:r w:rsidRPr="00E17D06" w:rsidDel="00E17D06">
        <w:t xml:space="preserve"> </w:t>
      </w:r>
      <w:r>
        <w:br w:type="page"/>
      </w:r>
    </w:p>
    <w:p w14:paraId="4C535EB1" w14:textId="77777777" w:rsidR="000F38CE" w:rsidRDefault="000F38CE" w:rsidP="000F38CE">
      <w:pPr>
        <w:pStyle w:val="Heading1"/>
      </w:pPr>
      <w:bookmarkStart w:id="21" w:name="_Toc190781286"/>
      <w:bookmarkStart w:id="22" w:name="_Toc190781842"/>
      <w:r>
        <w:lastRenderedPageBreak/>
        <w:t>Terms of reference</w:t>
      </w:r>
      <w:bookmarkEnd w:id="21"/>
      <w:bookmarkEnd w:id="22"/>
    </w:p>
    <w:p w14:paraId="185F7DA0" w14:textId="0BD9FEE3" w:rsidR="000F38CE" w:rsidRDefault="00F54ED6" w:rsidP="00F54ED6">
      <w:r>
        <w:t>T</w:t>
      </w:r>
      <w:r w:rsidR="000F38CE">
        <w:t xml:space="preserve">he Commission received </w:t>
      </w:r>
      <w:hyperlink r:id="rId20" w:history="1">
        <w:r w:rsidR="000F38CE" w:rsidRPr="00AB5999">
          <w:rPr>
            <w:rStyle w:val="Hyperlink"/>
          </w:rPr>
          <w:t>terms of reference</w:t>
        </w:r>
      </w:hyperlink>
      <w:r w:rsidR="000F38CE">
        <w:t xml:space="preserve"> requiring it to review the methods used to calculate the relativities for distributing Goods and Services Tax (GST) revenue among the states and territories to apply from 2025-26.</w:t>
      </w:r>
      <w:r w:rsidR="000F38CE">
        <w:br w:type="page"/>
      </w:r>
    </w:p>
    <w:p w14:paraId="226321FE" w14:textId="77777777" w:rsidR="000F38CE" w:rsidRDefault="000F38CE" w:rsidP="000F38CE">
      <w:pPr>
        <w:pStyle w:val="Heading1"/>
      </w:pPr>
      <w:bookmarkStart w:id="23" w:name="_Toc190781287"/>
      <w:bookmarkStart w:id="24" w:name="_Toc190781843"/>
      <w:r>
        <w:lastRenderedPageBreak/>
        <w:t>List of acronyms</w:t>
      </w:r>
      <w:bookmarkEnd w:id="23"/>
      <w:bookmarkEnd w:id="24"/>
    </w:p>
    <w:tbl>
      <w:tblPr>
        <w:tblW w:w="8940" w:type="dxa"/>
        <w:tblInd w:w="93" w:type="dxa"/>
        <w:tblBorders>
          <w:top w:val="single" w:sz="4" w:space="0" w:color="ADD6EA"/>
          <w:bottom w:val="single" w:sz="4" w:space="0" w:color="ADD6EA"/>
          <w:insideH w:val="single" w:sz="4" w:space="0" w:color="ADD6EA"/>
        </w:tblBorders>
        <w:tblLook w:val="04A0" w:firstRow="1" w:lastRow="0" w:firstColumn="1" w:lastColumn="0" w:noHBand="0" w:noVBand="1"/>
      </w:tblPr>
      <w:tblGrid>
        <w:gridCol w:w="1440"/>
        <w:gridCol w:w="7500"/>
      </w:tblGrid>
      <w:tr w:rsidR="000F38CE" w:rsidRPr="00570C7B" w14:paraId="143174C4" w14:textId="77777777">
        <w:trPr>
          <w:trHeight w:val="340"/>
        </w:trPr>
        <w:tc>
          <w:tcPr>
            <w:tcW w:w="1440" w:type="dxa"/>
            <w:shd w:val="clear" w:color="auto" w:fill="auto"/>
          </w:tcPr>
          <w:p w14:paraId="11119884" w14:textId="77777777" w:rsidR="000F38CE" w:rsidRPr="00570C7B" w:rsidRDefault="000F38CE">
            <w:r>
              <w:t>ABS</w:t>
            </w:r>
          </w:p>
        </w:tc>
        <w:tc>
          <w:tcPr>
            <w:tcW w:w="7500" w:type="dxa"/>
            <w:shd w:val="clear" w:color="auto" w:fill="auto"/>
          </w:tcPr>
          <w:p w14:paraId="6B14B35A" w14:textId="77777777" w:rsidR="000F38CE" w:rsidRPr="00570C7B" w:rsidRDefault="000F38CE">
            <w:r w:rsidRPr="00570C7B">
              <w:t>Australian Bureau of Statistics</w:t>
            </w:r>
          </w:p>
        </w:tc>
      </w:tr>
      <w:tr w:rsidR="000F38CE" w:rsidRPr="00570C7B" w14:paraId="3CD1A006" w14:textId="77777777">
        <w:trPr>
          <w:trHeight w:val="340"/>
        </w:trPr>
        <w:tc>
          <w:tcPr>
            <w:tcW w:w="1440" w:type="dxa"/>
            <w:shd w:val="clear" w:color="auto" w:fill="auto"/>
          </w:tcPr>
          <w:p w14:paraId="48593A6D" w14:textId="77777777" w:rsidR="000F38CE" w:rsidRPr="00570C7B" w:rsidRDefault="000F38CE">
            <w:r w:rsidRPr="00570C7B">
              <w:t>ACT</w:t>
            </w:r>
          </w:p>
        </w:tc>
        <w:tc>
          <w:tcPr>
            <w:tcW w:w="7500" w:type="dxa"/>
            <w:shd w:val="clear" w:color="auto" w:fill="auto"/>
          </w:tcPr>
          <w:p w14:paraId="22233C6B" w14:textId="77777777" w:rsidR="000F38CE" w:rsidRPr="00570C7B" w:rsidRDefault="000F38CE">
            <w:r w:rsidRPr="00570C7B">
              <w:t>Australian Capital Territory</w:t>
            </w:r>
          </w:p>
        </w:tc>
      </w:tr>
      <w:tr w:rsidR="000F38CE" w:rsidRPr="00570C7B" w14:paraId="0AEBD9C0" w14:textId="77777777">
        <w:trPr>
          <w:trHeight w:val="340"/>
        </w:trPr>
        <w:tc>
          <w:tcPr>
            <w:tcW w:w="1440" w:type="dxa"/>
            <w:shd w:val="clear" w:color="auto" w:fill="auto"/>
          </w:tcPr>
          <w:p w14:paraId="536A46F6" w14:textId="77777777" w:rsidR="000F38CE" w:rsidRDefault="000F38CE">
            <w:r>
              <w:t>ARIA+</w:t>
            </w:r>
          </w:p>
        </w:tc>
        <w:tc>
          <w:tcPr>
            <w:tcW w:w="7500" w:type="dxa"/>
            <w:shd w:val="clear" w:color="auto" w:fill="auto"/>
          </w:tcPr>
          <w:p w14:paraId="2F3121D6" w14:textId="77777777" w:rsidR="000F38CE" w:rsidRPr="008C1DE4" w:rsidRDefault="000F38CE">
            <w:r>
              <w:t>Accessibility/Remoteness Index of Australia Plus</w:t>
            </w:r>
          </w:p>
        </w:tc>
      </w:tr>
      <w:tr w:rsidR="000F38CE" w:rsidRPr="00570C7B" w14:paraId="7C46265C" w14:textId="77777777">
        <w:trPr>
          <w:trHeight w:val="340"/>
        </w:trPr>
        <w:tc>
          <w:tcPr>
            <w:tcW w:w="1440" w:type="dxa"/>
            <w:shd w:val="clear" w:color="auto" w:fill="auto"/>
          </w:tcPr>
          <w:p w14:paraId="150D4769" w14:textId="77777777" w:rsidR="000F38CE" w:rsidRDefault="000F38CE">
            <w:r>
              <w:t>CGC</w:t>
            </w:r>
          </w:p>
        </w:tc>
        <w:tc>
          <w:tcPr>
            <w:tcW w:w="7500" w:type="dxa"/>
            <w:shd w:val="clear" w:color="auto" w:fill="auto"/>
          </w:tcPr>
          <w:p w14:paraId="39794483" w14:textId="77777777" w:rsidR="000F38CE" w:rsidRPr="008C1DE4" w:rsidRDefault="000F38CE">
            <w:r>
              <w:t>Commonwealth Grants Commission</w:t>
            </w:r>
          </w:p>
        </w:tc>
      </w:tr>
      <w:tr w:rsidR="000F38CE" w:rsidRPr="00570C7B" w14:paraId="75C60092" w14:textId="77777777">
        <w:trPr>
          <w:trHeight w:val="340"/>
        </w:trPr>
        <w:tc>
          <w:tcPr>
            <w:tcW w:w="1440" w:type="dxa"/>
            <w:shd w:val="clear" w:color="auto" w:fill="auto"/>
          </w:tcPr>
          <w:p w14:paraId="0F3DAC51" w14:textId="77777777" w:rsidR="000F38CE" w:rsidRPr="00570C7B" w:rsidRDefault="000F38CE">
            <w:r w:rsidRPr="00570C7B">
              <w:t>GST</w:t>
            </w:r>
          </w:p>
        </w:tc>
        <w:tc>
          <w:tcPr>
            <w:tcW w:w="7500" w:type="dxa"/>
            <w:shd w:val="clear" w:color="auto" w:fill="auto"/>
          </w:tcPr>
          <w:p w14:paraId="4C084EDB" w14:textId="77777777" w:rsidR="000F38CE" w:rsidRPr="00570C7B" w:rsidRDefault="000F38CE">
            <w:r w:rsidRPr="00570C7B">
              <w:t>Goods and Services Tax</w:t>
            </w:r>
          </w:p>
        </w:tc>
      </w:tr>
      <w:tr w:rsidR="00094EA7" w:rsidRPr="00570C7B" w14:paraId="2ABC29EF" w14:textId="77777777">
        <w:trPr>
          <w:trHeight w:val="340"/>
        </w:trPr>
        <w:tc>
          <w:tcPr>
            <w:tcW w:w="1440" w:type="dxa"/>
            <w:shd w:val="clear" w:color="auto" w:fill="auto"/>
          </w:tcPr>
          <w:p w14:paraId="72BC65D5" w14:textId="71D624F4" w:rsidR="00094EA7" w:rsidRPr="00570C7B" w:rsidRDefault="00094EA7">
            <w:r>
              <w:t>pc</w:t>
            </w:r>
          </w:p>
        </w:tc>
        <w:tc>
          <w:tcPr>
            <w:tcW w:w="7500" w:type="dxa"/>
            <w:shd w:val="clear" w:color="auto" w:fill="auto"/>
          </w:tcPr>
          <w:p w14:paraId="409B8EA5" w14:textId="19F05BED" w:rsidR="00094EA7" w:rsidRPr="00570C7B" w:rsidRDefault="00094EA7">
            <w:r>
              <w:t>Per capita</w:t>
            </w:r>
          </w:p>
        </w:tc>
      </w:tr>
      <w:tr w:rsidR="000F38CE" w:rsidRPr="00570C7B" w14:paraId="76BBB46C" w14:textId="77777777">
        <w:trPr>
          <w:trHeight w:val="58"/>
        </w:trPr>
        <w:tc>
          <w:tcPr>
            <w:tcW w:w="1440" w:type="dxa"/>
            <w:shd w:val="clear" w:color="auto" w:fill="auto"/>
          </w:tcPr>
          <w:p w14:paraId="01C2A741" w14:textId="5263F1DA" w:rsidR="000F38CE" w:rsidRDefault="000F38CE">
            <w:r>
              <w:t xml:space="preserve">SA1 </w:t>
            </w:r>
          </w:p>
        </w:tc>
        <w:tc>
          <w:tcPr>
            <w:tcW w:w="7500" w:type="dxa"/>
            <w:shd w:val="clear" w:color="auto" w:fill="auto"/>
          </w:tcPr>
          <w:p w14:paraId="2397198B" w14:textId="030EDA6B" w:rsidR="000F38CE" w:rsidRDefault="000F38CE">
            <w:r>
              <w:t>Statistical Area Level 1</w:t>
            </w:r>
          </w:p>
        </w:tc>
      </w:tr>
      <w:tr w:rsidR="00094EA7" w:rsidRPr="00570C7B" w14:paraId="05DD68DC" w14:textId="77777777">
        <w:trPr>
          <w:trHeight w:val="58"/>
        </w:trPr>
        <w:tc>
          <w:tcPr>
            <w:tcW w:w="1440" w:type="dxa"/>
            <w:shd w:val="clear" w:color="auto" w:fill="auto"/>
          </w:tcPr>
          <w:p w14:paraId="6FB351CF" w14:textId="56E76084" w:rsidR="00094EA7" w:rsidRDefault="00094EA7">
            <w:r>
              <w:t>SDC</w:t>
            </w:r>
          </w:p>
        </w:tc>
        <w:tc>
          <w:tcPr>
            <w:tcW w:w="7500" w:type="dxa"/>
            <w:shd w:val="clear" w:color="auto" w:fill="auto"/>
          </w:tcPr>
          <w:p w14:paraId="4D56613E" w14:textId="2679E8C3" w:rsidR="00094EA7" w:rsidRDefault="00094EA7">
            <w:r>
              <w:t xml:space="preserve">Socio-demographic </w:t>
            </w:r>
            <w:r w:rsidR="002A7A81">
              <w:t>composition</w:t>
            </w:r>
          </w:p>
        </w:tc>
      </w:tr>
    </w:tbl>
    <w:p w14:paraId="4B1E4712" w14:textId="29EC72A7" w:rsidR="000F38CE" w:rsidRDefault="000F38CE" w:rsidP="000F38CE">
      <w:pPr>
        <w:pStyle w:val="Heading1"/>
      </w:pPr>
      <w:bookmarkStart w:id="25" w:name="_Toc190781288"/>
      <w:bookmarkStart w:id="26" w:name="_Toc190781844"/>
      <w:r>
        <w:t>Notes</w:t>
      </w:r>
      <w:bookmarkEnd w:id="25"/>
      <w:bookmarkEnd w:id="26"/>
    </w:p>
    <w:p w14:paraId="63994B50" w14:textId="77777777" w:rsidR="000F38CE" w:rsidRDefault="000F38CE" w:rsidP="000F38CE">
      <w:pPr>
        <w:ind w:left="1276" w:hanging="1276"/>
      </w:pPr>
      <w:bookmarkStart w:id="27" w:name="_Toc127804769"/>
      <w:r w:rsidRPr="003D7EC0">
        <w:t xml:space="preserve">State(s): </w:t>
      </w:r>
      <w:r w:rsidRPr="003D7EC0">
        <w:tab/>
        <w:t>Unless the context indicates otherwise, the term ‘state(s)’ includes the ACT</w:t>
      </w:r>
      <w:r>
        <w:t> </w:t>
      </w:r>
      <w:r w:rsidRPr="003D7EC0">
        <w:t>and the Northern Territory</w:t>
      </w:r>
      <w:bookmarkEnd w:id="27"/>
      <w:r w:rsidRPr="003D7EC0">
        <w:t xml:space="preserve">. </w:t>
      </w:r>
    </w:p>
    <w:p w14:paraId="0AEB2ABC" w14:textId="77777777" w:rsidR="000F38CE" w:rsidRPr="003D7EC0" w:rsidRDefault="000F38CE" w:rsidP="000F38CE">
      <w:pPr>
        <w:ind w:left="1276" w:hanging="1276"/>
      </w:pPr>
      <w:r>
        <w:t>n/a:</w:t>
      </w:r>
      <w:r>
        <w:tab/>
      </w:r>
      <w:r>
        <w:tab/>
        <w:t>Unless indicated otherwise, n/a refers to not applicable.</w:t>
      </w:r>
    </w:p>
    <w:p w14:paraId="3139696C" w14:textId="77777777" w:rsidR="000F38CE" w:rsidRDefault="000F38CE">
      <w:pPr>
        <w:tabs>
          <w:tab w:val="clear" w:pos="567"/>
        </w:tabs>
        <w:spacing w:before="0" w:after="200" w:line="276" w:lineRule="auto"/>
        <w:rPr>
          <w:rFonts w:eastAsia="Times New Roman" w:cs="Open Sans"/>
          <w:b/>
          <w:bCs/>
          <w:color w:val="006991"/>
          <w:sz w:val="40"/>
          <w:szCs w:val="40"/>
        </w:rPr>
      </w:pPr>
      <w:r>
        <w:br w:type="page"/>
      </w:r>
    </w:p>
    <w:p w14:paraId="28E3C912" w14:textId="15554282" w:rsidR="00B86BA0" w:rsidRPr="00AB1E40" w:rsidRDefault="00B86BA0" w:rsidP="00BF2B74">
      <w:pPr>
        <w:pStyle w:val="Heading1"/>
        <w:spacing w:after="120"/>
      </w:pPr>
      <w:bookmarkStart w:id="28" w:name="_Toc190781289"/>
      <w:bookmarkStart w:id="29" w:name="_Toc190781845"/>
      <w:r w:rsidRPr="00AB1E40">
        <w:rPr>
          <w:noProof/>
        </w:rPr>
        <w:lastRenderedPageBreak/>
        <mc:AlternateContent>
          <mc:Choice Requires="wps">
            <w:drawing>
              <wp:anchor distT="45720" distB="45720" distL="114300" distR="114300" simplePos="0" relativeHeight="251658245" behindDoc="0" locked="0" layoutInCell="1" allowOverlap="1" wp14:anchorId="45A58AA2" wp14:editId="0A6542C7">
                <wp:simplePos x="0" y="0"/>
                <wp:positionH relativeFrom="margin">
                  <wp:posOffset>0</wp:posOffset>
                </wp:positionH>
                <wp:positionV relativeFrom="topMargin">
                  <wp:posOffset>1263650</wp:posOffset>
                </wp:positionV>
                <wp:extent cx="5853430" cy="8750300"/>
                <wp:effectExtent l="0" t="0" r="13970" b="1270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430" cy="8750300"/>
                        </a:xfrm>
                        <a:prstGeom prst="rect">
                          <a:avLst/>
                        </a:prstGeom>
                        <a:solidFill>
                          <a:srgbClr val="E5F8FF"/>
                        </a:solidFill>
                        <a:ln w="9525">
                          <a:solidFill>
                            <a:schemeClr val="bg1"/>
                          </a:solidFill>
                          <a:miter lim="800000"/>
                          <a:headEnd/>
                          <a:tailEnd/>
                        </a:ln>
                      </wps:spPr>
                      <wps:txbx>
                        <w:txbxContent>
                          <w:p w14:paraId="4E9479C2" w14:textId="79186249" w:rsidR="00B86BA0" w:rsidRDefault="00157145" w:rsidP="00B86BA0">
                            <w:pPr>
                              <w:ind w:right="6"/>
                            </w:pPr>
                            <w:r>
                              <w:t xml:space="preserve">In </w:t>
                            </w:r>
                            <w:r w:rsidR="00492CC8">
                              <w:t>accordance</w:t>
                            </w:r>
                            <w:r>
                              <w:t xml:space="preserve"> with the terms of reference </w:t>
                            </w:r>
                            <w:r w:rsidR="00382295">
                              <w:t xml:space="preserve">for the </w:t>
                            </w:r>
                            <w:r w:rsidR="00B86BA0">
                              <w:t xml:space="preserve">2025 Methodology Review, the Commission presents its recommended GST relativities for </w:t>
                            </w:r>
                            <w:r w:rsidR="00B86BA0" w:rsidRPr="00507F5E">
                              <w:t>2025–26</w:t>
                            </w:r>
                            <w:r w:rsidR="00B86BA0">
                              <w:t>.</w:t>
                            </w:r>
                            <w:r w:rsidR="00C176D9">
                              <w:t xml:space="preserve"> These recommendations incorporate </w:t>
                            </w:r>
                            <w:r w:rsidR="006C67A2">
                              <w:t>assessment method changes from the 2025 Review.</w:t>
                            </w:r>
                          </w:p>
                          <w:p w14:paraId="310FE2AA" w14:textId="77777777" w:rsidR="00B86BA0" w:rsidRDefault="00B86BA0" w:rsidP="00994767">
                            <w:pPr>
                              <w:pStyle w:val="HeadingBox-Level2"/>
                            </w:pPr>
                            <w:bookmarkStart w:id="30" w:name="_Toc127786109"/>
                            <w:bookmarkStart w:id="31" w:name="_Toc127786240"/>
                            <w:bookmarkStart w:id="32" w:name="_Toc127786541"/>
                            <w:bookmarkStart w:id="33" w:name="_Toc127786866"/>
                            <w:bookmarkStart w:id="34" w:name="_Toc127787083"/>
                            <w:bookmarkStart w:id="35" w:name="_Toc127788019"/>
                            <w:bookmarkStart w:id="36" w:name="_Toc127802148"/>
                            <w:bookmarkStart w:id="37" w:name="_Toc127804771"/>
                            <w:r>
                              <w:t>Recommended GST relativities</w:t>
                            </w:r>
                            <w:bookmarkEnd w:id="30"/>
                            <w:bookmarkEnd w:id="31"/>
                            <w:bookmarkEnd w:id="32"/>
                            <w:bookmarkEnd w:id="33"/>
                            <w:bookmarkEnd w:id="34"/>
                            <w:bookmarkEnd w:id="35"/>
                            <w:bookmarkEnd w:id="36"/>
                            <w:bookmarkEnd w:id="37"/>
                          </w:p>
                          <w:p w14:paraId="49776FC5" w14:textId="6B71F58F" w:rsidR="00B86BA0" w:rsidRDefault="00B86BA0" w:rsidP="00B86BA0">
                            <w:pPr>
                              <w:ind w:right="6"/>
                            </w:pPr>
                            <w:r>
                              <w:t xml:space="preserve">The table below sets out the distribution of the estimated GST pool in </w:t>
                            </w:r>
                            <w:r w:rsidRPr="00507F5E">
                              <w:t>2025–26, based on the Commission’s recommended GST relativities. The table compares the 2025–26 GST</w:t>
                            </w:r>
                            <w:r w:rsidR="00EF2549">
                              <w:t> </w:t>
                            </w:r>
                            <w:r w:rsidRPr="00507F5E">
                              <w:t>relativities with those from 2024–25,</w:t>
                            </w:r>
                            <w:r>
                              <w:t xml:space="preserve"> showing each state and territory’s (state’s) GST</w:t>
                            </w:r>
                            <w:r w:rsidR="00EF2549">
                              <w:t> </w:t>
                            </w:r>
                            <w:r w:rsidRPr="00293C06">
                              <w:t xml:space="preserve">relativity, share of </w:t>
                            </w:r>
                            <w:r w:rsidR="002005E7" w:rsidRPr="00293C06">
                              <w:t>the</w:t>
                            </w:r>
                            <w:r w:rsidRPr="00293C06">
                              <w:t xml:space="preserve"> GST </w:t>
                            </w:r>
                            <w:r w:rsidR="002005E7" w:rsidRPr="00293C06">
                              <w:t>pool</w:t>
                            </w:r>
                            <w:r w:rsidRPr="00293C06">
                              <w:t>, and estimated amount of GST.</w:t>
                            </w:r>
                            <w:r w:rsidR="00FC7D07" w:rsidRPr="00293C06">
                              <w:t xml:space="preserve"> </w:t>
                            </w:r>
                            <w:r w:rsidR="00FC7D07" w:rsidRPr="00E95564">
                              <w:t xml:space="preserve">The </w:t>
                            </w:r>
                            <w:r w:rsidR="002654BA" w:rsidRPr="00E95564">
                              <w:t>actual</w:t>
                            </w:r>
                            <w:r w:rsidR="00FC7D07" w:rsidRPr="00E95564">
                              <w:t xml:space="preserve"> amount of GST each state receives</w:t>
                            </w:r>
                            <w:r w:rsidR="0077107E" w:rsidRPr="00E95564">
                              <w:t xml:space="preserve"> in 2025–26</w:t>
                            </w:r>
                            <w:r w:rsidR="00FC7D07" w:rsidRPr="00E95564">
                              <w:t xml:space="preserve"> </w:t>
                            </w:r>
                            <w:r w:rsidR="000D66F5" w:rsidRPr="00E95564">
                              <w:t xml:space="preserve">will </w:t>
                            </w:r>
                            <w:r w:rsidR="00EF5F87" w:rsidRPr="00E95564">
                              <w:t xml:space="preserve">be based on </w:t>
                            </w:r>
                            <w:r w:rsidR="00524D25" w:rsidRPr="00E95564">
                              <w:t xml:space="preserve">state populations and </w:t>
                            </w:r>
                            <w:r w:rsidR="0040635E" w:rsidRPr="00E95564">
                              <w:t>the</w:t>
                            </w:r>
                            <w:r w:rsidR="00524D25" w:rsidRPr="00E95564">
                              <w:t xml:space="preserve"> </w:t>
                            </w:r>
                            <w:r w:rsidR="002654BA" w:rsidRPr="00E95564">
                              <w:t>GST</w:t>
                            </w:r>
                            <w:r w:rsidR="000A5D80">
                              <w:t> </w:t>
                            </w:r>
                            <w:r w:rsidR="00E4521D" w:rsidRPr="00E95564">
                              <w:t>pool</w:t>
                            </w:r>
                            <w:r w:rsidR="003E7AF0" w:rsidRPr="00E95564">
                              <w:t xml:space="preserve"> </w:t>
                            </w:r>
                            <w:r w:rsidR="00E51A0E">
                              <w:t>det</w:t>
                            </w:r>
                            <w:r w:rsidR="008B2299">
                              <w:t>ermined after</w:t>
                            </w:r>
                            <w:r w:rsidR="00ED4C66">
                              <w:t xml:space="preserve"> the 202</w:t>
                            </w:r>
                            <w:r w:rsidR="00FB6F9A">
                              <w:t>5</w:t>
                            </w:r>
                            <w:r w:rsidR="00ED4C66">
                              <w:t>-2</w:t>
                            </w:r>
                            <w:r w:rsidR="00FB6F9A">
                              <w:t>6</w:t>
                            </w:r>
                            <w:r w:rsidR="00ED4C66">
                              <w:t xml:space="preserve"> Final Budget </w:t>
                            </w:r>
                            <w:r w:rsidR="000F6903">
                              <w:t>Outcome</w:t>
                            </w:r>
                            <w:r w:rsidR="0037568D">
                              <w:t>.</w:t>
                            </w:r>
                          </w:p>
                          <w:p w14:paraId="0607B482" w14:textId="19BE9F4A" w:rsidR="00B86BA0" w:rsidRDefault="00B86BA0" w:rsidP="00B86BA0">
                            <w:pPr>
                              <w:ind w:right="6"/>
                            </w:pPr>
                            <w:r>
                              <w:t>This table, and most of the tables and analysis in this report, do not include no worse off payments provided by the Commonwealth under the</w:t>
                            </w:r>
                            <w:r w:rsidR="00EC2EAF">
                              <w:t xml:space="preserve"> 2018</w:t>
                            </w:r>
                            <w:r>
                              <w:t xml:space="preserve"> </w:t>
                            </w:r>
                            <w:r w:rsidR="00CB0C7C">
                              <w:t>GST distribution legislation</w:t>
                            </w:r>
                            <w:r>
                              <w:t xml:space="preserve">. Information on no worse off payments is provided at the end of this Executive Summary and in </w:t>
                            </w:r>
                            <w:r w:rsidRPr="004E2E89">
                              <w:t>Chapter 1</w:t>
                            </w:r>
                            <w:r>
                              <w:t>.</w:t>
                            </w:r>
                          </w:p>
                          <w:p w14:paraId="70A48DD4" w14:textId="77777777" w:rsidR="00B86BA0" w:rsidRPr="00F438B0" w:rsidRDefault="00B86BA0" w:rsidP="00C746A5">
                            <w:pPr>
                              <w:pStyle w:val="CGC2025Caption"/>
                              <w:spacing w:before="160"/>
                            </w:pPr>
                            <w:r w:rsidRPr="00F438B0">
                              <w:t>GST relativities, shares and estimated GST distribution, 2024–25 and 2025–26 (excludes no worse off payments)</w:t>
                            </w:r>
                          </w:p>
                          <w:tbl>
                            <w:tblPr>
                              <w:tblW w:w="8940" w:type="dxa"/>
                              <w:tblLook w:val="04A0" w:firstRow="1" w:lastRow="0" w:firstColumn="1" w:lastColumn="0" w:noHBand="0" w:noVBand="1"/>
                            </w:tblPr>
                            <w:tblGrid>
                              <w:gridCol w:w="1668"/>
                              <w:gridCol w:w="808"/>
                              <w:gridCol w:w="808"/>
                              <w:gridCol w:w="808"/>
                              <w:gridCol w:w="808"/>
                              <w:gridCol w:w="808"/>
                              <w:gridCol w:w="808"/>
                              <w:gridCol w:w="808"/>
                              <w:gridCol w:w="808"/>
                              <w:gridCol w:w="808"/>
                            </w:tblGrid>
                            <w:tr w:rsidR="000E396B" w:rsidRPr="000E396B" w14:paraId="43EB47D8" w14:textId="77777777" w:rsidTr="000E396B">
                              <w:trPr>
                                <w:trHeight w:val="379"/>
                              </w:trPr>
                              <w:tc>
                                <w:tcPr>
                                  <w:tcW w:w="2460" w:type="dxa"/>
                                  <w:tcBorders>
                                    <w:top w:val="nil"/>
                                    <w:left w:val="nil"/>
                                    <w:bottom w:val="nil"/>
                                    <w:right w:val="nil"/>
                                  </w:tcBorders>
                                  <w:shd w:val="clear" w:color="000000" w:fill="006991"/>
                                  <w:vAlign w:val="center"/>
                                  <w:hideMark/>
                                </w:tcPr>
                                <w:p w14:paraId="07F859C7" w14:textId="77777777" w:rsidR="000E396B" w:rsidRPr="000E396B" w:rsidRDefault="000E396B" w:rsidP="000E396B">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38" w:name="RANGE!A4:J15"/>
                                  <w:bookmarkStart w:id="39" w:name="_Toc127786110"/>
                                  <w:bookmarkStart w:id="40" w:name="_Toc127786241"/>
                                  <w:bookmarkStart w:id="41" w:name="_Toc127786542"/>
                                  <w:bookmarkStart w:id="42" w:name="_Toc127786867"/>
                                  <w:bookmarkStart w:id="43" w:name="_Toc127787084"/>
                                  <w:bookmarkStart w:id="44" w:name="_Toc127788020"/>
                                  <w:bookmarkStart w:id="45" w:name="_Toc127802149"/>
                                  <w:bookmarkStart w:id="46" w:name="_Toc127804772"/>
                                  <w:r w:rsidRPr="000E396B">
                                    <w:rPr>
                                      <w:rFonts w:ascii="Open Sans Semibold" w:eastAsia="Times New Roman" w:hAnsi="Open Sans Semibold" w:cs="Open Sans Semibold"/>
                                      <w:color w:val="FFFFFF"/>
                                      <w:sz w:val="16"/>
                                      <w:szCs w:val="16"/>
                                      <w:lang w:eastAsia="en-AU"/>
                                    </w:rPr>
                                    <w:t> </w:t>
                                  </w:r>
                                  <w:bookmarkEnd w:id="38"/>
                                </w:p>
                              </w:tc>
                              <w:tc>
                                <w:tcPr>
                                  <w:tcW w:w="720" w:type="dxa"/>
                                  <w:tcBorders>
                                    <w:top w:val="nil"/>
                                    <w:left w:val="nil"/>
                                    <w:bottom w:val="nil"/>
                                    <w:right w:val="nil"/>
                                  </w:tcBorders>
                                  <w:shd w:val="clear" w:color="000000" w:fill="006991"/>
                                  <w:vAlign w:val="center"/>
                                  <w:hideMark/>
                                </w:tcPr>
                                <w:p w14:paraId="5D98DEBD"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NSW</w:t>
                                  </w:r>
                                </w:p>
                              </w:tc>
                              <w:tc>
                                <w:tcPr>
                                  <w:tcW w:w="720" w:type="dxa"/>
                                  <w:tcBorders>
                                    <w:top w:val="nil"/>
                                    <w:left w:val="nil"/>
                                    <w:bottom w:val="nil"/>
                                    <w:right w:val="nil"/>
                                  </w:tcBorders>
                                  <w:shd w:val="clear" w:color="000000" w:fill="006991"/>
                                  <w:vAlign w:val="center"/>
                                  <w:hideMark/>
                                </w:tcPr>
                                <w:p w14:paraId="4CA5E262"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Vic</w:t>
                                  </w:r>
                                </w:p>
                              </w:tc>
                              <w:tc>
                                <w:tcPr>
                                  <w:tcW w:w="720" w:type="dxa"/>
                                  <w:tcBorders>
                                    <w:top w:val="nil"/>
                                    <w:left w:val="nil"/>
                                    <w:bottom w:val="nil"/>
                                    <w:right w:val="nil"/>
                                  </w:tcBorders>
                                  <w:shd w:val="clear" w:color="000000" w:fill="006991"/>
                                  <w:vAlign w:val="center"/>
                                  <w:hideMark/>
                                </w:tcPr>
                                <w:p w14:paraId="12EAAEC2"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Qld</w:t>
                                  </w:r>
                                </w:p>
                              </w:tc>
                              <w:tc>
                                <w:tcPr>
                                  <w:tcW w:w="720" w:type="dxa"/>
                                  <w:tcBorders>
                                    <w:top w:val="nil"/>
                                    <w:left w:val="nil"/>
                                    <w:bottom w:val="nil"/>
                                    <w:right w:val="nil"/>
                                  </w:tcBorders>
                                  <w:shd w:val="clear" w:color="000000" w:fill="006991"/>
                                  <w:vAlign w:val="center"/>
                                  <w:hideMark/>
                                </w:tcPr>
                                <w:p w14:paraId="503F0432"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WA</w:t>
                                  </w:r>
                                </w:p>
                              </w:tc>
                              <w:tc>
                                <w:tcPr>
                                  <w:tcW w:w="720" w:type="dxa"/>
                                  <w:tcBorders>
                                    <w:top w:val="nil"/>
                                    <w:left w:val="nil"/>
                                    <w:bottom w:val="nil"/>
                                    <w:right w:val="nil"/>
                                  </w:tcBorders>
                                  <w:shd w:val="clear" w:color="000000" w:fill="006991"/>
                                  <w:vAlign w:val="center"/>
                                  <w:hideMark/>
                                </w:tcPr>
                                <w:p w14:paraId="1C90C317"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SA</w:t>
                                  </w:r>
                                </w:p>
                              </w:tc>
                              <w:tc>
                                <w:tcPr>
                                  <w:tcW w:w="720" w:type="dxa"/>
                                  <w:tcBorders>
                                    <w:top w:val="nil"/>
                                    <w:left w:val="nil"/>
                                    <w:bottom w:val="nil"/>
                                    <w:right w:val="nil"/>
                                  </w:tcBorders>
                                  <w:shd w:val="clear" w:color="000000" w:fill="006991"/>
                                  <w:vAlign w:val="center"/>
                                  <w:hideMark/>
                                </w:tcPr>
                                <w:p w14:paraId="7899036C"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Tas</w:t>
                                  </w:r>
                                </w:p>
                              </w:tc>
                              <w:tc>
                                <w:tcPr>
                                  <w:tcW w:w="720" w:type="dxa"/>
                                  <w:tcBorders>
                                    <w:top w:val="nil"/>
                                    <w:left w:val="nil"/>
                                    <w:bottom w:val="nil"/>
                                    <w:right w:val="nil"/>
                                  </w:tcBorders>
                                  <w:shd w:val="clear" w:color="000000" w:fill="006991"/>
                                  <w:vAlign w:val="center"/>
                                  <w:hideMark/>
                                </w:tcPr>
                                <w:p w14:paraId="21253DAC"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ACT</w:t>
                                  </w:r>
                                </w:p>
                              </w:tc>
                              <w:tc>
                                <w:tcPr>
                                  <w:tcW w:w="720" w:type="dxa"/>
                                  <w:tcBorders>
                                    <w:top w:val="nil"/>
                                    <w:left w:val="nil"/>
                                    <w:bottom w:val="nil"/>
                                    <w:right w:val="nil"/>
                                  </w:tcBorders>
                                  <w:shd w:val="clear" w:color="000000" w:fill="006991"/>
                                  <w:vAlign w:val="center"/>
                                  <w:hideMark/>
                                </w:tcPr>
                                <w:p w14:paraId="2CBBB7A4"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NT</w:t>
                                  </w:r>
                                </w:p>
                              </w:tc>
                              <w:tc>
                                <w:tcPr>
                                  <w:tcW w:w="720" w:type="dxa"/>
                                  <w:tcBorders>
                                    <w:top w:val="nil"/>
                                    <w:left w:val="nil"/>
                                    <w:bottom w:val="nil"/>
                                    <w:right w:val="nil"/>
                                  </w:tcBorders>
                                  <w:shd w:val="clear" w:color="000000" w:fill="006991"/>
                                  <w:vAlign w:val="center"/>
                                  <w:hideMark/>
                                </w:tcPr>
                                <w:p w14:paraId="3880E559"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Total</w:t>
                                  </w:r>
                                </w:p>
                              </w:tc>
                            </w:tr>
                            <w:tr w:rsidR="000E396B" w:rsidRPr="000E396B" w14:paraId="0EB1857A" w14:textId="77777777" w:rsidTr="000E396B">
                              <w:trPr>
                                <w:trHeight w:val="259"/>
                              </w:trPr>
                              <w:tc>
                                <w:tcPr>
                                  <w:tcW w:w="2460" w:type="dxa"/>
                                  <w:tcBorders>
                                    <w:top w:val="single" w:sz="4" w:space="0" w:color="ADD6EA"/>
                                    <w:left w:val="nil"/>
                                    <w:bottom w:val="single" w:sz="4" w:space="0" w:color="ADD6EA"/>
                                    <w:right w:val="nil"/>
                                  </w:tcBorders>
                                  <w:shd w:val="clear" w:color="000000" w:fill="B6D5E4"/>
                                  <w:vAlign w:val="bottom"/>
                                  <w:hideMark/>
                                </w:tcPr>
                                <w:p w14:paraId="3430125F" w14:textId="77777777" w:rsidR="000E396B" w:rsidRPr="000E396B" w:rsidRDefault="000E396B" w:rsidP="000E396B">
                                  <w:pPr>
                                    <w:tabs>
                                      <w:tab w:val="clear" w:pos="567"/>
                                    </w:tabs>
                                    <w:spacing w:before="0" w:line="240" w:lineRule="auto"/>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xml:space="preserve">GST relativities </w:t>
                                  </w:r>
                                </w:p>
                              </w:tc>
                              <w:tc>
                                <w:tcPr>
                                  <w:tcW w:w="720" w:type="dxa"/>
                                  <w:tcBorders>
                                    <w:top w:val="single" w:sz="4" w:space="0" w:color="ADD6EA"/>
                                    <w:left w:val="nil"/>
                                    <w:bottom w:val="single" w:sz="4" w:space="0" w:color="ADD6EA"/>
                                    <w:right w:val="nil"/>
                                  </w:tcBorders>
                                  <w:shd w:val="clear" w:color="000000" w:fill="B6D5E4"/>
                                  <w:vAlign w:val="bottom"/>
                                  <w:hideMark/>
                                </w:tcPr>
                                <w:p w14:paraId="333D8561" w14:textId="77777777" w:rsidR="000E396B" w:rsidRPr="000E396B" w:rsidRDefault="000E396B" w:rsidP="000E396B">
                                  <w:pPr>
                                    <w:tabs>
                                      <w:tab w:val="clear" w:pos="567"/>
                                    </w:tabs>
                                    <w:spacing w:before="0" w:line="240" w:lineRule="auto"/>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5A329CEC"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62BAFCE6"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3A84E45D"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17399157"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16896A02"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30B4996E"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1B6EEE79"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9BF65D0"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r>
                            <w:tr w:rsidR="000E396B" w:rsidRPr="000E396B" w14:paraId="30BFB910" w14:textId="77777777" w:rsidTr="000E396B">
                              <w:trPr>
                                <w:trHeight w:val="315"/>
                              </w:trPr>
                              <w:tc>
                                <w:tcPr>
                                  <w:tcW w:w="2460" w:type="dxa"/>
                                  <w:tcBorders>
                                    <w:top w:val="nil"/>
                                    <w:left w:val="nil"/>
                                    <w:bottom w:val="nil"/>
                                    <w:right w:val="nil"/>
                                  </w:tcBorders>
                                  <w:shd w:val="clear" w:color="000000" w:fill="FFFFFF"/>
                                  <w:vAlign w:val="center"/>
                                  <w:hideMark/>
                                </w:tcPr>
                                <w:p w14:paraId="4B5A538A" w14:textId="77777777" w:rsidR="000E396B" w:rsidRPr="000E396B" w:rsidRDefault="000E396B" w:rsidP="000E396B">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2024-25</w:t>
                                  </w:r>
                                </w:p>
                              </w:tc>
                              <w:tc>
                                <w:tcPr>
                                  <w:tcW w:w="720" w:type="dxa"/>
                                  <w:tcBorders>
                                    <w:top w:val="nil"/>
                                    <w:left w:val="nil"/>
                                    <w:bottom w:val="nil"/>
                                    <w:right w:val="nil"/>
                                  </w:tcBorders>
                                  <w:shd w:val="clear" w:color="000000" w:fill="FFFFFF"/>
                                  <w:vAlign w:val="center"/>
                                  <w:hideMark/>
                                </w:tcPr>
                                <w:p w14:paraId="6343B424"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0.86736</w:t>
                                  </w:r>
                                </w:p>
                              </w:tc>
                              <w:tc>
                                <w:tcPr>
                                  <w:tcW w:w="720" w:type="dxa"/>
                                  <w:tcBorders>
                                    <w:top w:val="single" w:sz="4" w:space="0" w:color="ADD6EA"/>
                                    <w:left w:val="nil"/>
                                    <w:bottom w:val="single" w:sz="4" w:space="0" w:color="ADD6EA"/>
                                    <w:right w:val="nil"/>
                                  </w:tcBorders>
                                  <w:shd w:val="clear" w:color="000000" w:fill="FFFFFF"/>
                                  <w:vAlign w:val="center"/>
                                  <w:hideMark/>
                                </w:tcPr>
                                <w:p w14:paraId="3762AF35"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0.96502</w:t>
                                  </w:r>
                                </w:p>
                              </w:tc>
                              <w:tc>
                                <w:tcPr>
                                  <w:tcW w:w="720" w:type="dxa"/>
                                  <w:tcBorders>
                                    <w:top w:val="single" w:sz="4" w:space="0" w:color="ADD6EA"/>
                                    <w:left w:val="nil"/>
                                    <w:bottom w:val="nil"/>
                                    <w:right w:val="nil"/>
                                  </w:tcBorders>
                                  <w:shd w:val="clear" w:color="000000" w:fill="FFFFFF"/>
                                  <w:vAlign w:val="center"/>
                                  <w:hideMark/>
                                </w:tcPr>
                                <w:p w14:paraId="5FE84DD5"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0.95232</w:t>
                                  </w:r>
                                </w:p>
                              </w:tc>
                              <w:tc>
                                <w:tcPr>
                                  <w:tcW w:w="720" w:type="dxa"/>
                                  <w:tcBorders>
                                    <w:top w:val="single" w:sz="4" w:space="0" w:color="ADD6EA"/>
                                    <w:left w:val="nil"/>
                                    <w:bottom w:val="nil"/>
                                    <w:right w:val="nil"/>
                                  </w:tcBorders>
                                  <w:shd w:val="clear" w:color="000000" w:fill="FFFFFF"/>
                                  <w:vAlign w:val="center"/>
                                  <w:hideMark/>
                                </w:tcPr>
                                <w:p w14:paraId="6DFECC74"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0.75000</w:t>
                                  </w:r>
                                </w:p>
                              </w:tc>
                              <w:tc>
                                <w:tcPr>
                                  <w:tcW w:w="720" w:type="dxa"/>
                                  <w:tcBorders>
                                    <w:top w:val="single" w:sz="4" w:space="0" w:color="ADD6EA"/>
                                    <w:left w:val="nil"/>
                                    <w:bottom w:val="nil"/>
                                    <w:right w:val="nil"/>
                                  </w:tcBorders>
                                  <w:shd w:val="clear" w:color="000000" w:fill="FFFFFF"/>
                                  <w:vAlign w:val="center"/>
                                  <w:hideMark/>
                                </w:tcPr>
                                <w:p w14:paraId="62F66371"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1.40312</w:t>
                                  </w:r>
                                </w:p>
                              </w:tc>
                              <w:tc>
                                <w:tcPr>
                                  <w:tcW w:w="720" w:type="dxa"/>
                                  <w:tcBorders>
                                    <w:top w:val="single" w:sz="4" w:space="0" w:color="ADD6EA"/>
                                    <w:left w:val="nil"/>
                                    <w:bottom w:val="nil"/>
                                    <w:right w:val="nil"/>
                                  </w:tcBorders>
                                  <w:shd w:val="clear" w:color="000000" w:fill="FFFFFF"/>
                                  <w:vAlign w:val="center"/>
                                  <w:hideMark/>
                                </w:tcPr>
                                <w:p w14:paraId="2151D612"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1.82832</w:t>
                                  </w:r>
                                </w:p>
                              </w:tc>
                              <w:tc>
                                <w:tcPr>
                                  <w:tcW w:w="720" w:type="dxa"/>
                                  <w:tcBorders>
                                    <w:top w:val="single" w:sz="4" w:space="0" w:color="ADD6EA"/>
                                    <w:left w:val="nil"/>
                                    <w:bottom w:val="nil"/>
                                    <w:right w:val="nil"/>
                                  </w:tcBorders>
                                  <w:shd w:val="clear" w:color="000000" w:fill="FFFFFF"/>
                                  <w:vAlign w:val="center"/>
                                  <w:hideMark/>
                                </w:tcPr>
                                <w:p w14:paraId="5B8E3938"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1.20419</w:t>
                                  </w:r>
                                </w:p>
                              </w:tc>
                              <w:tc>
                                <w:tcPr>
                                  <w:tcW w:w="720" w:type="dxa"/>
                                  <w:tcBorders>
                                    <w:top w:val="single" w:sz="4" w:space="0" w:color="ADD6EA"/>
                                    <w:left w:val="nil"/>
                                    <w:bottom w:val="nil"/>
                                    <w:right w:val="nil"/>
                                  </w:tcBorders>
                                  <w:shd w:val="clear" w:color="000000" w:fill="FFFFFF"/>
                                  <w:vAlign w:val="center"/>
                                  <w:hideMark/>
                                </w:tcPr>
                                <w:p w14:paraId="7A35FA86"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5.06681</w:t>
                                  </w:r>
                                </w:p>
                              </w:tc>
                              <w:tc>
                                <w:tcPr>
                                  <w:tcW w:w="720" w:type="dxa"/>
                                  <w:tcBorders>
                                    <w:top w:val="single" w:sz="4" w:space="0" w:color="ADD6EA"/>
                                    <w:left w:val="nil"/>
                                    <w:bottom w:val="nil"/>
                                    <w:right w:val="nil"/>
                                  </w:tcBorders>
                                  <w:shd w:val="clear" w:color="000000" w:fill="FFFFFF"/>
                                  <w:vAlign w:val="center"/>
                                  <w:hideMark/>
                                </w:tcPr>
                                <w:p w14:paraId="03D8D713"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1.00000</w:t>
                                  </w:r>
                                </w:p>
                              </w:tc>
                            </w:tr>
                            <w:tr w:rsidR="000E396B" w:rsidRPr="000E396B" w14:paraId="6DD81E3E" w14:textId="77777777" w:rsidTr="000E396B">
                              <w:trPr>
                                <w:trHeight w:val="315"/>
                              </w:trPr>
                              <w:tc>
                                <w:tcPr>
                                  <w:tcW w:w="2460" w:type="dxa"/>
                                  <w:tcBorders>
                                    <w:top w:val="single" w:sz="4" w:space="0" w:color="ADD6EA"/>
                                    <w:left w:val="nil"/>
                                    <w:bottom w:val="nil"/>
                                    <w:right w:val="nil"/>
                                  </w:tcBorders>
                                  <w:shd w:val="clear" w:color="000000" w:fill="FFFFFF"/>
                                  <w:vAlign w:val="center"/>
                                  <w:hideMark/>
                                </w:tcPr>
                                <w:p w14:paraId="462B6764" w14:textId="77777777" w:rsidR="000E396B" w:rsidRPr="000E396B" w:rsidRDefault="000E396B" w:rsidP="000E396B">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2025-26</w:t>
                                  </w:r>
                                </w:p>
                              </w:tc>
                              <w:tc>
                                <w:tcPr>
                                  <w:tcW w:w="720" w:type="dxa"/>
                                  <w:tcBorders>
                                    <w:top w:val="single" w:sz="4" w:space="0" w:color="ADD6EA"/>
                                    <w:left w:val="nil"/>
                                    <w:bottom w:val="nil"/>
                                    <w:right w:val="nil"/>
                                  </w:tcBorders>
                                  <w:shd w:val="clear" w:color="000000" w:fill="FFFFFF"/>
                                  <w:vAlign w:val="center"/>
                                  <w:hideMark/>
                                </w:tcPr>
                                <w:p w14:paraId="0A2A333C"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0.86034</w:t>
                                  </w:r>
                                </w:p>
                              </w:tc>
                              <w:tc>
                                <w:tcPr>
                                  <w:tcW w:w="720" w:type="dxa"/>
                                  <w:tcBorders>
                                    <w:top w:val="nil"/>
                                    <w:left w:val="nil"/>
                                    <w:bottom w:val="nil"/>
                                    <w:right w:val="nil"/>
                                  </w:tcBorders>
                                  <w:shd w:val="clear" w:color="000000" w:fill="FFFFFF"/>
                                  <w:vAlign w:val="center"/>
                                  <w:hideMark/>
                                </w:tcPr>
                                <w:p w14:paraId="0FFC385A"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1.06722</w:t>
                                  </w:r>
                                </w:p>
                              </w:tc>
                              <w:tc>
                                <w:tcPr>
                                  <w:tcW w:w="720" w:type="dxa"/>
                                  <w:tcBorders>
                                    <w:top w:val="single" w:sz="4" w:space="0" w:color="ADD6EA"/>
                                    <w:left w:val="nil"/>
                                    <w:bottom w:val="nil"/>
                                    <w:right w:val="nil"/>
                                  </w:tcBorders>
                                  <w:shd w:val="clear" w:color="000000" w:fill="FFFFFF"/>
                                  <w:vAlign w:val="center"/>
                                  <w:hideMark/>
                                </w:tcPr>
                                <w:p w14:paraId="5A0A86F9"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0.84571</w:t>
                                  </w:r>
                                </w:p>
                              </w:tc>
                              <w:tc>
                                <w:tcPr>
                                  <w:tcW w:w="720" w:type="dxa"/>
                                  <w:tcBorders>
                                    <w:top w:val="single" w:sz="4" w:space="0" w:color="ADD6EA"/>
                                    <w:left w:val="nil"/>
                                    <w:bottom w:val="nil"/>
                                    <w:right w:val="nil"/>
                                  </w:tcBorders>
                                  <w:shd w:val="clear" w:color="000000" w:fill="FFFFFF"/>
                                  <w:vAlign w:val="center"/>
                                  <w:hideMark/>
                                </w:tcPr>
                                <w:p w14:paraId="60E8D3B9"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0.75000</w:t>
                                  </w:r>
                                </w:p>
                              </w:tc>
                              <w:tc>
                                <w:tcPr>
                                  <w:tcW w:w="720" w:type="dxa"/>
                                  <w:tcBorders>
                                    <w:top w:val="single" w:sz="4" w:space="0" w:color="ADD6EA"/>
                                    <w:left w:val="nil"/>
                                    <w:bottom w:val="nil"/>
                                    <w:right w:val="nil"/>
                                  </w:tcBorders>
                                  <w:shd w:val="clear" w:color="000000" w:fill="FFFFFF"/>
                                  <w:vAlign w:val="center"/>
                                  <w:hideMark/>
                                </w:tcPr>
                                <w:p w14:paraId="5F0F552B"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1.38876</w:t>
                                  </w:r>
                                </w:p>
                              </w:tc>
                              <w:tc>
                                <w:tcPr>
                                  <w:tcW w:w="720" w:type="dxa"/>
                                  <w:tcBorders>
                                    <w:top w:val="single" w:sz="4" w:space="0" w:color="ADD6EA"/>
                                    <w:left w:val="nil"/>
                                    <w:bottom w:val="nil"/>
                                    <w:right w:val="nil"/>
                                  </w:tcBorders>
                                  <w:shd w:val="clear" w:color="000000" w:fill="FFFFFF"/>
                                  <w:vAlign w:val="center"/>
                                  <w:hideMark/>
                                </w:tcPr>
                                <w:p w14:paraId="6A434137"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1.84053</w:t>
                                  </w:r>
                                </w:p>
                              </w:tc>
                              <w:tc>
                                <w:tcPr>
                                  <w:tcW w:w="720" w:type="dxa"/>
                                  <w:tcBorders>
                                    <w:top w:val="single" w:sz="4" w:space="0" w:color="ADD6EA"/>
                                    <w:left w:val="nil"/>
                                    <w:bottom w:val="nil"/>
                                    <w:right w:val="nil"/>
                                  </w:tcBorders>
                                  <w:shd w:val="clear" w:color="000000" w:fill="FFFFFF"/>
                                  <w:vAlign w:val="center"/>
                                  <w:hideMark/>
                                </w:tcPr>
                                <w:p w14:paraId="3129B8B8"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1.17223</w:t>
                                  </w:r>
                                </w:p>
                              </w:tc>
                              <w:tc>
                                <w:tcPr>
                                  <w:tcW w:w="720" w:type="dxa"/>
                                  <w:tcBorders>
                                    <w:top w:val="single" w:sz="4" w:space="0" w:color="ADD6EA"/>
                                    <w:left w:val="nil"/>
                                    <w:bottom w:val="nil"/>
                                    <w:right w:val="nil"/>
                                  </w:tcBorders>
                                  <w:shd w:val="clear" w:color="000000" w:fill="FFFFFF"/>
                                  <w:vAlign w:val="center"/>
                                  <w:hideMark/>
                                </w:tcPr>
                                <w:p w14:paraId="28A0273D"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5.15112</w:t>
                                  </w:r>
                                </w:p>
                              </w:tc>
                              <w:tc>
                                <w:tcPr>
                                  <w:tcW w:w="720" w:type="dxa"/>
                                  <w:tcBorders>
                                    <w:top w:val="single" w:sz="4" w:space="0" w:color="ADD6EA"/>
                                    <w:left w:val="nil"/>
                                    <w:bottom w:val="nil"/>
                                    <w:right w:val="nil"/>
                                  </w:tcBorders>
                                  <w:shd w:val="clear" w:color="000000" w:fill="FFFFFF"/>
                                  <w:vAlign w:val="center"/>
                                  <w:hideMark/>
                                </w:tcPr>
                                <w:p w14:paraId="230E1213"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1.00000</w:t>
                                  </w:r>
                                </w:p>
                              </w:tc>
                            </w:tr>
                            <w:tr w:rsidR="000E396B" w:rsidRPr="000E396B" w14:paraId="7F1378D0" w14:textId="77777777" w:rsidTr="000E396B">
                              <w:trPr>
                                <w:trHeight w:val="255"/>
                              </w:trPr>
                              <w:tc>
                                <w:tcPr>
                                  <w:tcW w:w="2460" w:type="dxa"/>
                                  <w:tcBorders>
                                    <w:top w:val="single" w:sz="4" w:space="0" w:color="ADD6EA"/>
                                    <w:left w:val="nil"/>
                                    <w:bottom w:val="single" w:sz="4" w:space="0" w:color="ADD6EA"/>
                                    <w:right w:val="nil"/>
                                  </w:tcBorders>
                                  <w:shd w:val="clear" w:color="000000" w:fill="B6D5E4"/>
                                  <w:vAlign w:val="bottom"/>
                                  <w:hideMark/>
                                </w:tcPr>
                                <w:p w14:paraId="170D2B55" w14:textId="77777777" w:rsidR="000E396B" w:rsidRPr="000E396B" w:rsidRDefault="000E396B" w:rsidP="000E396B">
                                  <w:pPr>
                                    <w:tabs>
                                      <w:tab w:val="clear" w:pos="567"/>
                                    </w:tabs>
                                    <w:spacing w:before="0" w:line="240" w:lineRule="auto"/>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GST shares (%)</w:t>
                                  </w:r>
                                </w:p>
                              </w:tc>
                              <w:tc>
                                <w:tcPr>
                                  <w:tcW w:w="720" w:type="dxa"/>
                                  <w:tcBorders>
                                    <w:top w:val="single" w:sz="4" w:space="0" w:color="ADD6EA"/>
                                    <w:left w:val="nil"/>
                                    <w:bottom w:val="single" w:sz="4" w:space="0" w:color="ADD6EA"/>
                                    <w:right w:val="nil"/>
                                  </w:tcBorders>
                                  <w:shd w:val="clear" w:color="000000" w:fill="B6D5E4"/>
                                  <w:vAlign w:val="bottom"/>
                                  <w:hideMark/>
                                </w:tcPr>
                                <w:p w14:paraId="6F442AA0" w14:textId="77777777" w:rsidR="000E396B" w:rsidRPr="000E396B" w:rsidRDefault="000E396B" w:rsidP="000E396B">
                                  <w:pPr>
                                    <w:tabs>
                                      <w:tab w:val="clear" w:pos="567"/>
                                    </w:tabs>
                                    <w:spacing w:before="0" w:line="240" w:lineRule="auto"/>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52438A8"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799E5AAC"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4B0969ED"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4331833D"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5D848257"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3F8932E0"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D718B1A"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57F2221C"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r>
                            <w:tr w:rsidR="000E396B" w:rsidRPr="000E396B" w14:paraId="670AF240" w14:textId="77777777" w:rsidTr="000E396B">
                              <w:trPr>
                                <w:trHeight w:val="315"/>
                              </w:trPr>
                              <w:tc>
                                <w:tcPr>
                                  <w:tcW w:w="2460" w:type="dxa"/>
                                  <w:tcBorders>
                                    <w:top w:val="nil"/>
                                    <w:left w:val="nil"/>
                                    <w:bottom w:val="nil"/>
                                    <w:right w:val="nil"/>
                                  </w:tcBorders>
                                  <w:shd w:val="clear" w:color="000000" w:fill="FFFFFF"/>
                                  <w:vAlign w:val="bottom"/>
                                  <w:hideMark/>
                                </w:tcPr>
                                <w:p w14:paraId="290ED24D" w14:textId="77777777" w:rsidR="000E396B" w:rsidRPr="000E396B" w:rsidRDefault="000E396B" w:rsidP="000E396B">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2024-25</w:t>
                                  </w:r>
                                </w:p>
                              </w:tc>
                              <w:tc>
                                <w:tcPr>
                                  <w:tcW w:w="720" w:type="dxa"/>
                                  <w:tcBorders>
                                    <w:top w:val="nil"/>
                                    <w:left w:val="nil"/>
                                    <w:bottom w:val="nil"/>
                                    <w:right w:val="nil"/>
                                  </w:tcBorders>
                                  <w:shd w:val="clear" w:color="000000" w:fill="FFFFFF"/>
                                  <w:vAlign w:val="center"/>
                                  <w:hideMark/>
                                </w:tcPr>
                                <w:p w14:paraId="38A6AEDD"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27.1</w:t>
                                  </w:r>
                                </w:p>
                              </w:tc>
                              <w:tc>
                                <w:tcPr>
                                  <w:tcW w:w="720" w:type="dxa"/>
                                  <w:tcBorders>
                                    <w:top w:val="single" w:sz="4" w:space="0" w:color="ADD6EA"/>
                                    <w:left w:val="nil"/>
                                    <w:bottom w:val="nil"/>
                                    <w:right w:val="nil"/>
                                  </w:tcBorders>
                                  <w:shd w:val="clear" w:color="000000" w:fill="FFFFFF"/>
                                  <w:vAlign w:val="center"/>
                                  <w:hideMark/>
                                </w:tcPr>
                                <w:p w14:paraId="6D8F146C"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24.8</w:t>
                                  </w:r>
                                </w:p>
                              </w:tc>
                              <w:tc>
                                <w:tcPr>
                                  <w:tcW w:w="720" w:type="dxa"/>
                                  <w:tcBorders>
                                    <w:top w:val="single" w:sz="4" w:space="0" w:color="ADD6EA"/>
                                    <w:left w:val="nil"/>
                                    <w:bottom w:val="nil"/>
                                    <w:right w:val="nil"/>
                                  </w:tcBorders>
                                  <w:shd w:val="clear" w:color="000000" w:fill="FFFFFF"/>
                                  <w:vAlign w:val="center"/>
                                  <w:hideMark/>
                                </w:tcPr>
                                <w:p w14:paraId="250F5FA8"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19.6</w:t>
                                  </w:r>
                                </w:p>
                              </w:tc>
                              <w:tc>
                                <w:tcPr>
                                  <w:tcW w:w="720" w:type="dxa"/>
                                  <w:tcBorders>
                                    <w:top w:val="single" w:sz="4" w:space="0" w:color="ADD6EA"/>
                                    <w:left w:val="nil"/>
                                    <w:bottom w:val="nil"/>
                                    <w:right w:val="nil"/>
                                  </w:tcBorders>
                                  <w:shd w:val="clear" w:color="000000" w:fill="FFFFFF"/>
                                  <w:vAlign w:val="center"/>
                                  <w:hideMark/>
                                </w:tcPr>
                                <w:p w14:paraId="59D58393"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8.2</w:t>
                                  </w:r>
                                </w:p>
                              </w:tc>
                              <w:tc>
                                <w:tcPr>
                                  <w:tcW w:w="720" w:type="dxa"/>
                                  <w:tcBorders>
                                    <w:top w:val="single" w:sz="4" w:space="0" w:color="ADD6EA"/>
                                    <w:left w:val="nil"/>
                                    <w:bottom w:val="nil"/>
                                    <w:right w:val="nil"/>
                                  </w:tcBorders>
                                  <w:shd w:val="clear" w:color="000000" w:fill="FFFFFF"/>
                                  <w:vAlign w:val="center"/>
                                  <w:hideMark/>
                                </w:tcPr>
                                <w:p w14:paraId="6F258C8B"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9.7</w:t>
                                  </w:r>
                                </w:p>
                              </w:tc>
                              <w:tc>
                                <w:tcPr>
                                  <w:tcW w:w="720" w:type="dxa"/>
                                  <w:tcBorders>
                                    <w:top w:val="single" w:sz="4" w:space="0" w:color="ADD6EA"/>
                                    <w:left w:val="nil"/>
                                    <w:bottom w:val="nil"/>
                                    <w:right w:val="nil"/>
                                  </w:tcBorders>
                                  <w:shd w:val="clear" w:color="000000" w:fill="FFFFFF"/>
                                  <w:vAlign w:val="center"/>
                                  <w:hideMark/>
                                </w:tcPr>
                                <w:p w14:paraId="0E8DB127"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3.8</w:t>
                                  </w:r>
                                </w:p>
                              </w:tc>
                              <w:tc>
                                <w:tcPr>
                                  <w:tcW w:w="720" w:type="dxa"/>
                                  <w:tcBorders>
                                    <w:top w:val="single" w:sz="4" w:space="0" w:color="ADD6EA"/>
                                    <w:left w:val="nil"/>
                                    <w:bottom w:val="nil"/>
                                    <w:right w:val="nil"/>
                                  </w:tcBorders>
                                  <w:shd w:val="clear" w:color="000000" w:fill="FFFFFF"/>
                                  <w:vAlign w:val="center"/>
                                  <w:hideMark/>
                                </w:tcPr>
                                <w:p w14:paraId="6CD1D3FF"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2.1</w:t>
                                  </w:r>
                                </w:p>
                              </w:tc>
                              <w:tc>
                                <w:tcPr>
                                  <w:tcW w:w="720" w:type="dxa"/>
                                  <w:tcBorders>
                                    <w:top w:val="single" w:sz="4" w:space="0" w:color="ADD6EA"/>
                                    <w:left w:val="nil"/>
                                    <w:bottom w:val="nil"/>
                                    <w:right w:val="nil"/>
                                  </w:tcBorders>
                                  <w:shd w:val="clear" w:color="000000" w:fill="FFFFFF"/>
                                  <w:vAlign w:val="center"/>
                                  <w:hideMark/>
                                </w:tcPr>
                                <w:p w14:paraId="48BECBA2"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4.7</w:t>
                                  </w:r>
                                </w:p>
                              </w:tc>
                              <w:tc>
                                <w:tcPr>
                                  <w:tcW w:w="720" w:type="dxa"/>
                                  <w:tcBorders>
                                    <w:top w:val="single" w:sz="4" w:space="0" w:color="ADD6EA"/>
                                    <w:left w:val="nil"/>
                                    <w:bottom w:val="nil"/>
                                    <w:right w:val="nil"/>
                                  </w:tcBorders>
                                  <w:shd w:val="clear" w:color="000000" w:fill="FFFFFF"/>
                                  <w:vAlign w:val="center"/>
                                  <w:hideMark/>
                                </w:tcPr>
                                <w:p w14:paraId="5A96D234"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100</w:t>
                                  </w:r>
                                </w:p>
                              </w:tc>
                            </w:tr>
                            <w:tr w:rsidR="000E396B" w:rsidRPr="000E396B" w14:paraId="118F334C" w14:textId="77777777" w:rsidTr="000E396B">
                              <w:trPr>
                                <w:trHeight w:val="315"/>
                              </w:trPr>
                              <w:tc>
                                <w:tcPr>
                                  <w:tcW w:w="2460" w:type="dxa"/>
                                  <w:tcBorders>
                                    <w:top w:val="single" w:sz="4" w:space="0" w:color="ADD6EA"/>
                                    <w:left w:val="nil"/>
                                    <w:bottom w:val="nil"/>
                                    <w:right w:val="nil"/>
                                  </w:tcBorders>
                                  <w:shd w:val="clear" w:color="000000" w:fill="FFFFFF"/>
                                  <w:vAlign w:val="bottom"/>
                                  <w:hideMark/>
                                </w:tcPr>
                                <w:p w14:paraId="29FC6787" w14:textId="77777777" w:rsidR="000E396B" w:rsidRPr="000E396B" w:rsidRDefault="000E396B" w:rsidP="000E396B">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2025-26</w:t>
                                  </w:r>
                                </w:p>
                              </w:tc>
                              <w:tc>
                                <w:tcPr>
                                  <w:tcW w:w="720" w:type="dxa"/>
                                  <w:tcBorders>
                                    <w:top w:val="single" w:sz="4" w:space="0" w:color="ADD6EA"/>
                                    <w:left w:val="nil"/>
                                    <w:bottom w:val="nil"/>
                                    <w:right w:val="nil"/>
                                  </w:tcBorders>
                                  <w:shd w:val="clear" w:color="000000" w:fill="FFFFFF"/>
                                  <w:vAlign w:val="center"/>
                                  <w:hideMark/>
                                </w:tcPr>
                                <w:p w14:paraId="531C7D8F"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26.8</w:t>
                                  </w:r>
                                </w:p>
                              </w:tc>
                              <w:tc>
                                <w:tcPr>
                                  <w:tcW w:w="720" w:type="dxa"/>
                                  <w:tcBorders>
                                    <w:top w:val="single" w:sz="4" w:space="0" w:color="ADD6EA"/>
                                    <w:left w:val="nil"/>
                                    <w:bottom w:val="nil"/>
                                    <w:right w:val="nil"/>
                                  </w:tcBorders>
                                  <w:shd w:val="clear" w:color="000000" w:fill="FFFFFF"/>
                                  <w:vAlign w:val="center"/>
                                  <w:hideMark/>
                                </w:tcPr>
                                <w:p w14:paraId="0709B6C9"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27.5</w:t>
                                  </w:r>
                                </w:p>
                              </w:tc>
                              <w:tc>
                                <w:tcPr>
                                  <w:tcW w:w="720" w:type="dxa"/>
                                  <w:tcBorders>
                                    <w:top w:val="single" w:sz="4" w:space="0" w:color="ADD6EA"/>
                                    <w:left w:val="nil"/>
                                    <w:bottom w:val="nil"/>
                                    <w:right w:val="nil"/>
                                  </w:tcBorders>
                                  <w:shd w:val="clear" w:color="000000" w:fill="FFFFFF"/>
                                  <w:vAlign w:val="center"/>
                                  <w:hideMark/>
                                </w:tcPr>
                                <w:p w14:paraId="1AB5FCB6"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17.4</w:t>
                                  </w:r>
                                </w:p>
                              </w:tc>
                              <w:tc>
                                <w:tcPr>
                                  <w:tcW w:w="720" w:type="dxa"/>
                                  <w:tcBorders>
                                    <w:top w:val="single" w:sz="4" w:space="0" w:color="ADD6EA"/>
                                    <w:left w:val="nil"/>
                                    <w:bottom w:val="nil"/>
                                    <w:right w:val="nil"/>
                                  </w:tcBorders>
                                  <w:shd w:val="clear" w:color="000000" w:fill="FFFFFF"/>
                                  <w:vAlign w:val="center"/>
                                  <w:hideMark/>
                                </w:tcPr>
                                <w:p w14:paraId="52AC94BA"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8.2</w:t>
                                  </w:r>
                                </w:p>
                              </w:tc>
                              <w:tc>
                                <w:tcPr>
                                  <w:tcW w:w="720" w:type="dxa"/>
                                  <w:tcBorders>
                                    <w:top w:val="single" w:sz="4" w:space="0" w:color="ADD6EA"/>
                                    <w:left w:val="nil"/>
                                    <w:bottom w:val="nil"/>
                                    <w:right w:val="nil"/>
                                  </w:tcBorders>
                                  <w:shd w:val="clear" w:color="000000" w:fill="FFFFFF"/>
                                  <w:vAlign w:val="center"/>
                                  <w:hideMark/>
                                </w:tcPr>
                                <w:p w14:paraId="41D28FC4"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9.5</w:t>
                                  </w:r>
                                </w:p>
                              </w:tc>
                              <w:tc>
                                <w:tcPr>
                                  <w:tcW w:w="720" w:type="dxa"/>
                                  <w:tcBorders>
                                    <w:top w:val="single" w:sz="4" w:space="0" w:color="ADD6EA"/>
                                    <w:left w:val="nil"/>
                                    <w:bottom w:val="nil"/>
                                    <w:right w:val="nil"/>
                                  </w:tcBorders>
                                  <w:shd w:val="clear" w:color="000000" w:fill="FFFFFF"/>
                                  <w:vAlign w:val="center"/>
                                  <w:hideMark/>
                                </w:tcPr>
                                <w:p w14:paraId="45E23722"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3.8</w:t>
                                  </w:r>
                                </w:p>
                              </w:tc>
                              <w:tc>
                                <w:tcPr>
                                  <w:tcW w:w="720" w:type="dxa"/>
                                  <w:tcBorders>
                                    <w:top w:val="single" w:sz="4" w:space="0" w:color="ADD6EA"/>
                                    <w:left w:val="nil"/>
                                    <w:bottom w:val="nil"/>
                                    <w:right w:val="nil"/>
                                  </w:tcBorders>
                                  <w:shd w:val="clear" w:color="000000" w:fill="FFFFFF"/>
                                  <w:vAlign w:val="center"/>
                                  <w:hideMark/>
                                </w:tcPr>
                                <w:p w14:paraId="1269E088"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2.0</w:t>
                                  </w:r>
                                </w:p>
                              </w:tc>
                              <w:tc>
                                <w:tcPr>
                                  <w:tcW w:w="720" w:type="dxa"/>
                                  <w:tcBorders>
                                    <w:top w:val="single" w:sz="4" w:space="0" w:color="ADD6EA"/>
                                    <w:left w:val="nil"/>
                                    <w:bottom w:val="nil"/>
                                    <w:right w:val="nil"/>
                                  </w:tcBorders>
                                  <w:shd w:val="clear" w:color="000000" w:fill="FFFFFF"/>
                                  <w:vAlign w:val="center"/>
                                  <w:hideMark/>
                                </w:tcPr>
                                <w:p w14:paraId="02D77855"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4.8</w:t>
                                  </w:r>
                                </w:p>
                              </w:tc>
                              <w:tc>
                                <w:tcPr>
                                  <w:tcW w:w="720" w:type="dxa"/>
                                  <w:tcBorders>
                                    <w:top w:val="single" w:sz="4" w:space="0" w:color="ADD6EA"/>
                                    <w:left w:val="nil"/>
                                    <w:bottom w:val="nil"/>
                                    <w:right w:val="nil"/>
                                  </w:tcBorders>
                                  <w:shd w:val="clear" w:color="000000" w:fill="FFFFFF"/>
                                  <w:vAlign w:val="center"/>
                                  <w:hideMark/>
                                </w:tcPr>
                                <w:p w14:paraId="1F300DD4"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100</w:t>
                                  </w:r>
                                </w:p>
                              </w:tc>
                            </w:tr>
                            <w:tr w:rsidR="000E396B" w:rsidRPr="000E396B" w14:paraId="1E8FBF9E" w14:textId="77777777" w:rsidTr="000E396B">
                              <w:trPr>
                                <w:trHeight w:val="255"/>
                              </w:trPr>
                              <w:tc>
                                <w:tcPr>
                                  <w:tcW w:w="3180" w:type="dxa"/>
                                  <w:gridSpan w:val="2"/>
                                  <w:tcBorders>
                                    <w:top w:val="single" w:sz="4" w:space="0" w:color="ADD6EA"/>
                                    <w:left w:val="nil"/>
                                    <w:bottom w:val="single" w:sz="4" w:space="0" w:color="ADD6EA"/>
                                    <w:right w:val="nil"/>
                                  </w:tcBorders>
                                  <w:shd w:val="clear" w:color="000000" w:fill="B6D5E4"/>
                                  <w:vAlign w:val="bottom"/>
                                  <w:hideMark/>
                                </w:tcPr>
                                <w:p w14:paraId="3DAF9458" w14:textId="77777777" w:rsidR="000E396B" w:rsidRPr="000E396B" w:rsidRDefault="000E396B" w:rsidP="000E396B">
                                  <w:pPr>
                                    <w:tabs>
                                      <w:tab w:val="clear" w:pos="567"/>
                                    </w:tabs>
                                    <w:spacing w:before="0" w:line="240" w:lineRule="auto"/>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GST distribution ($m)</w:t>
                                  </w:r>
                                </w:p>
                              </w:tc>
                              <w:tc>
                                <w:tcPr>
                                  <w:tcW w:w="720" w:type="dxa"/>
                                  <w:tcBorders>
                                    <w:top w:val="single" w:sz="4" w:space="0" w:color="ADD6EA"/>
                                    <w:left w:val="nil"/>
                                    <w:bottom w:val="nil"/>
                                    <w:right w:val="nil"/>
                                  </w:tcBorders>
                                  <w:shd w:val="clear" w:color="000000" w:fill="B6D5E4"/>
                                  <w:vAlign w:val="bottom"/>
                                  <w:hideMark/>
                                </w:tcPr>
                                <w:p w14:paraId="13DAD47B"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4D16245C"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657DC7AB"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561DAB1"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360F7D89"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B4FC451"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E2B1F36"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7590E8B"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r>
                            <w:tr w:rsidR="000E396B" w:rsidRPr="000E396B" w14:paraId="51E41FB7" w14:textId="77777777" w:rsidTr="000E396B">
                              <w:trPr>
                                <w:trHeight w:val="315"/>
                              </w:trPr>
                              <w:tc>
                                <w:tcPr>
                                  <w:tcW w:w="2460" w:type="dxa"/>
                                  <w:tcBorders>
                                    <w:top w:val="nil"/>
                                    <w:left w:val="nil"/>
                                    <w:bottom w:val="nil"/>
                                    <w:right w:val="nil"/>
                                  </w:tcBorders>
                                  <w:shd w:val="clear" w:color="000000" w:fill="FFFFFF"/>
                                  <w:vAlign w:val="bottom"/>
                                  <w:hideMark/>
                                </w:tcPr>
                                <w:p w14:paraId="0BB6D111" w14:textId="77777777" w:rsidR="000E396B" w:rsidRPr="000E396B" w:rsidRDefault="000E396B" w:rsidP="000E396B">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2024-25</w:t>
                                  </w:r>
                                </w:p>
                              </w:tc>
                              <w:tc>
                                <w:tcPr>
                                  <w:tcW w:w="720" w:type="dxa"/>
                                  <w:tcBorders>
                                    <w:top w:val="nil"/>
                                    <w:left w:val="nil"/>
                                    <w:bottom w:val="nil"/>
                                    <w:right w:val="nil"/>
                                  </w:tcBorders>
                                  <w:shd w:val="clear" w:color="000000" w:fill="FFFFFF"/>
                                  <w:vAlign w:val="center"/>
                                  <w:hideMark/>
                                </w:tcPr>
                                <w:p w14:paraId="7F7F2348"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24,540</w:t>
                                  </w:r>
                                </w:p>
                              </w:tc>
                              <w:tc>
                                <w:tcPr>
                                  <w:tcW w:w="720" w:type="dxa"/>
                                  <w:tcBorders>
                                    <w:top w:val="single" w:sz="4" w:space="0" w:color="ADD6EA"/>
                                    <w:left w:val="nil"/>
                                    <w:bottom w:val="nil"/>
                                    <w:right w:val="nil"/>
                                  </w:tcBorders>
                                  <w:shd w:val="clear" w:color="000000" w:fill="FFFFFF"/>
                                  <w:vAlign w:val="center"/>
                                  <w:hideMark/>
                                </w:tcPr>
                                <w:p w14:paraId="4B798481"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22,491</w:t>
                                  </w:r>
                                </w:p>
                              </w:tc>
                              <w:tc>
                                <w:tcPr>
                                  <w:tcW w:w="720" w:type="dxa"/>
                                  <w:tcBorders>
                                    <w:top w:val="single" w:sz="4" w:space="0" w:color="ADD6EA"/>
                                    <w:left w:val="nil"/>
                                    <w:bottom w:val="nil"/>
                                    <w:right w:val="nil"/>
                                  </w:tcBorders>
                                  <w:shd w:val="clear" w:color="000000" w:fill="FFFFFF"/>
                                  <w:vAlign w:val="center"/>
                                  <w:hideMark/>
                                </w:tcPr>
                                <w:p w14:paraId="0FDD32BD"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17,751</w:t>
                                  </w:r>
                                </w:p>
                              </w:tc>
                              <w:tc>
                                <w:tcPr>
                                  <w:tcW w:w="720" w:type="dxa"/>
                                  <w:tcBorders>
                                    <w:top w:val="single" w:sz="4" w:space="0" w:color="ADD6EA"/>
                                    <w:left w:val="nil"/>
                                    <w:bottom w:val="nil"/>
                                    <w:right w:val="nil"/>
                                  </w:tcBorders>
                                  <w:shd w:val="clear" w:color="000000" w:fill="FFFFFF"/>
                                  <w:vAlign w:val="center"/>
                                  <w:hideMark/>
                                </w:tcPr>
                                <w:p w14:paraId="33F04963"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7,435</w:t>
                                  </w:r>
                                </w:p>
                              </w:tc>
                              <w:tc>
                                <w:tcPr>
                                  <w:tcW w:w="720" w:type="dxa"/>
                                  <w:tcBorders>
                                    <w:top w:val="single" w:sz="4" w:space="0" w:color="ADD6EA"/>
                                    <w:left w:val="nil"/>
                                    <w:bottom w:val="nil"/>
                                    <w:right w:val="nil"/>
                                  </w:tcBorders>
                                  <w:shd w:val="clear" w:color="000000" w:fill="FFFFFF"/>
                                  <w:vAlign w:val="center"/>
                                  <w:hideMark/>
                                </w:tcPr>
                                <w:p w14:paraId="243C34CE"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8,753</w:t>
                                  </w:r>
                                </w:p>
                              </w:tc>
                              <w:tc>
                                <w:tcPr>
                                  <w:tcW w:w="720" w:type="dxa"/>
                                  <w:tcBorders>
                                    <w:top w:val="single" w:sz="4" w:space="0" w:color="ADD6EA"/>
                                    <w:left w:val="nil"/>
                                    <w:bottom w:val="nil"/>
                                    <w:right w:val="nil"/>
                                  </w:tcBorders>
                                  <w:shd w:val="clear" w:color="000000" w:fill="FFFFFF"/>
                                  <w:vAlign w:val="center"/>
                                  <w:hideMark/>
                                </w:tcPr>
                                <w:p w14:paraId="34C29482"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3,484</w:t>
                                  </w:r>
                                </w:p>
                              </w:tc>
                              <w:tc>
                                <w:tcPr>
                                  <w:tcW w:w="720" w:type="dxa"/>
                                  <w:tcBorders>
                                    <w:top w:val="single" w:sz="4" w:space="0" w:color="ADD6EA"/>
                                    <w:left w:val="nil"/>
                                    <w:bottom w:val="nil"/>
                                    <w:right w:val="nil"/>
                                  </w:tcBorders>
                                  <w:shd w:val="clear" w:color="000000" w:fill="FFFFFF"/>
                                  <w:vAlign w:val="center"/>
                                  <w:hideMark/>
                                </w:tcPr>
                                <w:p w14:paraId="27C8189E"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1,899</w:t>
                                  </w:r>
                                </w:p>
                              </w:tc>
                              <w:tc>
                                <w:tcPr>
                                  <w:tcW w:w="720" w:type="dxa"/>
                                  <w:tcBorders>
                                    <w:top w:val="single" w:sz="4" w:space="0" w:color="ADD6EA"/>
                                    <w:left w:val="nil"/>
                                    <w:bottom w:val="nil"/>
                                    <w:right w:val="nil"/>
                                  </w:tcBorders>
                                  <w:shd w:val="clear" w:color="000000" w:fill="FFFFFF"/>
                                  <w:vAlign w:val="center"/>
                                  <w:hideMark/>
                                </w:tcPr>
                                <w:p w14:paraId="426533A0"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4,279</w:t>
                                  </w:r>
                                </w:p>
                              </w:tc>
                              <w:tc>
                                <w:tcPr>
                                  <w:tcW w:w="720" w:type="dxa"/>
                                  <w:tcBorders>
                                    <w:top w:val="single" w:sz="4" w:space="0" w:color="ADD6EA"/>
                                    <w:left w:val="nil"/>
                                    <w:bottom w:val="nil"/>
                                    <w:right w:val="nil"/>
                                  </w:tcBorders>
                                  <w:shd w:val="clear" w:color="000000" w:fill="FFFFFF"/>
                                  <w:vAlign w:val="center"/>
                                  <w:hideMark/>
                                </w:tcPr>
                                <w:p w14:paraId="3F7A4CE1"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90,631</w:t>
                                  </w:r>
                                </w:p>
                              </w:tc>
                            </w:tr>
                            <w:tr w:rsidR="000E396B" w:rsidRPr="000E396B" w14:paraId="0EC8220D" w14:textId="77777777" w:rsidTr="000E396B">
                              <w:trPr>
                                <w:trHeight w:val="315"/>
                              </w:trPr>
                              <w:tc>
                                <w:tcPr>
                                  <w:tcW w:w="2460" w:type="dxa"/>
                                  <w:tcBorders>
                                    <w:top w:val="single" w:sz="4" w:space="0" w:color="ADD6EA"/>
                                    <w:left w:val="nil"/>
                                    <w:bottom w:val="nil"/>
                                    <w:right w:val="nil"/>
                                  </w:tcBorders>
                                  <w:shd w:val="clear" w:color="000000" w:fill="FFFFFF"/>
                                  <w:vAlign w:val="bottom"/>
                                  <w:hideMark/>
                                </w:tcPr>
                                <w:p w14:paraId="37A1905D" w14:textId="77777777" w:rsidR="000E396B" w:rsidRPr="000E396B" w:rsidRDefault="000E396B" w:rsidP="000E396B">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2025-26</w:t>
                                  </w:r>
                                </w:p>
                              </w:tc>
                              <w:tc>
                                <w:tcPr>
                                  <w:tcW w:w="720" w:type="dxa"/>
                                  <w:tcBorders>
                                    <w:top w:val="single" w:sz="4" w:space="0" w:color="ADD6EA"/>
                                    <w:left w:val="nil"/>
                                    <w:bottom w:val="nil"/>
                                    <w:right w:val="nil"/>
                                  </w:tcBorders>
                                  <w:shd w:val="clear" w:color="000000" w:fill="FFFFFF"/>
                                  <w:vAlign w:val="center"/>
                                  <w:hideMark/>
                                </w:tcPr>
                                <w:p w14:paraId="4C2C144E"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25,482</w:t>
                                  </w:r>
                                </w:p>
                              </w:tc>
                              <w:tc>
                                <w:tcPr>
                                  <w:tcW w:w="720" w:type="dxa"/>
                                  <w:tcBorders>
                                    <w:top w:val="single" w:sz="4" w:space="0" w:color="ADD6EA"/>
                                    <w:left w:val="nil"/>
                                    <w:bottom w:val="nil"/>
                                    <w:right w:val="nil"/>
                                  </w:tcBorders>
                                  <w:shd w:val="clear" w:color="000000" w:fill="FFFFFF"/>
                                  <w:vAlign w:val="center"/>
                                  <w:hideMark/>
                                </w:tcPr>
                                <w:p w14:paraId="5213C9FA"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26,147</w:t>
                                  </w:r>
                                </w:p>
                              </w:tc>
                              <w:tc>
                                <w:tcPr>
                                  <w:tcW w:w="720" w:type="dxa"/>
                                  <w:tcBorders>
                                    <w:top w:val="single" w:sz="4" w:space="0" w:color="ADD6EA"/>
                                    <w:left w:val="nil"/>
                                    <w:bottom w:val="nil"/>
                                    <w:right w:val="nil"/>
                                  </w:tcBorders>
                                  <w:shd w:val="clear" w:color="000000" w:fill="FFFFFF"/>
                                  <w:vAlign w:val="center"/>
                                  <w:hideMark/>
                                </w:tcPr>
                                <w:p w14:paraId="5C386D43"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16,562</w:t>
                                  </w:r>
                                </w:p>
                              </w:tc>
                              <w:tc>
                                <w:tcPr>
                                  <w:tcW w:w="720" w:type="dxa"/>
                                  <w:tcBorders>
                                    <w:top w:val="single" w:sz="4" w:space="0" w:color="ADD6EA"/>
                                    <w:left w:val="nil"/>
                                    <w:bottom w:val="nil"/>
                                    <w:right w:val="nil"/>
                                  </w:tcBorders>
                                  <w:shd w:val="clear" w:color="000000" w:fill="FFFFFF"/>
                                  <w:vAlign w:val="center"/>
                                  <w:hideMark/>
                                </w:tcPr>
                                <w:p w14:paraId="7BC47D53"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7,830</w:t>
                                  </w:r>
                                </w:p>
                              </w:tc>
                              <w:tc>
                                <w:tcPr>
                                  <w:tcW w:w="720" w:type="dxa"/>
                                  <w:tcBorders>
                                    <w:top w:val="single" w:sz="4" w:space="0" w:color="ADD6EA"/>
                                    <w:left w:val="nil"/>
                                    <w:bottom w:val="nil"/>
                                    <w:right w:val="nil"/>
                                  </w:tcBorders>
                                  <w:shd w:val="clear" w:color="000000" w:fill="FFFFFF"/>
                                  <w:vAlign w:val="center"/>
                                  <w:hideMark/>
                                </w:tcPr>
                                <w:p w14:paraId="3C08DF20"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9,032</w:t>
                                  </w:r>
                                </w:p>
                              </w:tc>
                              <w:tc>
                                <w:tcPr>
                                  <w:tcW w:w="720" w:type="dxa"/>
                                  <w:tcBorders>
                                    <w:top w:val="single" w:sz="4" w:space="0" w:color="ADD6EA"/>
                                    <w:left w:val="nil"/>
                                    <w:bottom w:val="nil"/>
                                    <w:right w:val="nil"/>
                                  </w:tcBorders>
                                  <w:shd w:val="clear" w:color="000000" w:fill="FFFFFF"/>
                                  <w:vAlign w:val="center"/>
                                  <w:hideMark/>
                                </w:tcPr>
                                <w:p w14:paraId="3B649FC6"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3,635</w:t>
                                  </w:r>
                                </w:p>
                              </w:tc>
                              <w:tc>
                                <w:tcPr>
                                  <w:tcW w:w="720" w:type="dxa"/>
                                  <w:tcBorders>
                                    <w:top w:val="single" w:sz="4" w:space="0" w:color="ADD6EA"/>
                                    <w:left w:val="nil"/>
                                    <w:bottom w:val="nil"/>
                                    <w:right w:val="nil"/>
                                  </w:tcBorders>
                                  <w:shd w:val="clear" w:color="000000" w:fill="FFFFFF"/>
                                  <w:vAlign w:val="center"/>
                                  <w:hideMark/>
                                </w:tcPr>
                                <w:p w14:paraId="1E523DE8"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1,934</w:t>
                                  </w:r>
                                </w:p>
                              </w:tc>
                              <w:tc>
                                <w:tcPr>
                                  <w:tcW w:w="720" w:type="dxa"/>
                                  <w:tcBorders>
                                    <w:top w:val="single" w:sz="4" w:space="0" w:color="ADD6EA"/>
                                    <w:left w:val="nil"/>
                                    <w:bottom w:val="nil"/>
                                    <w:right w:val="nil"/>
                                  </w:tcBorders>
                                  <w:shd w:val="clear" w:color="000000" w:fill="FFFFFF"/>
                                  <w:vAlign w:val="center"/>
                                  <w:hideMark/>
                                </w:tcPr>
                                <w:p w14:paraId="541DB1FD"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4,527</w:t>
                                  </w:r>
                                </w:p>
                              </w:tc>
                              <w:tc>
                                <w:tcPr>
                                  <w:tcW w:w="720" w:type="dxa"/>
                                  <w:tcBorders>
                                    <w:top w:val="single" w:sz="4" w:space="0" w:color="ADD6EA"/>
                                    <w:left w:val="nil"/>
                                    <w:bottom w:val="nil"/>
                                    <w:right w:val="nil"/>
                                  </w:tcBorders>
                                  <w:shd w:val="clear" w:color="000000" w:fill="FFFFFF"/>
                                  <w:vAlign w:val="center"/>
                                  <w:hideMark/>
                                </w:tcPr>
                                <w:p w14:paraId="12422668"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95,150</w:t>
                                  </w:r>
                                </w:p>
                              </w:tc>
                            </w:tr>
                            <w:tr w:rsidR="000E396B" w:rsidRPr="000E396B" w14:paraId="2F31B395" w14:textId="77777777" w:rsidTr="000E396B">
                              <w:trPr>
                                <w:trHeight w:val="315"/>
                              </w:trPr>
                              <w:tc>
                                <w:tcPr>
                                  <w:tcW w:w="2460" w:type="dxa"/>
                                  <w:tcBorders>
                                    <w:top w:val="single" w:sz="4" w:space="0" w:color="ADD6EA"/>
                                    <w:left w:val="nil"/>
                                    <w:bottom w:val="single" w:sz="4" w:space="0" w:color="ADD6EA"/>
                                    <w:right w:val="nil"/>
                                  </w:tcBorders>
                                  <w:shd w:val="clear" w:color="000000" w:fill="D6E7F0"/>
                                  <w:vAlign w:val="bottom"/>
                                  <w:hideMark/>
                                </w:tcPr>
                                <w:p w14:paraId="2ECEFE07" w14:textId="77777777" w:rsidR="000E396B" w:rsidRPr="000E396B" w:rsidRDefault="000E396B" w:rsidP="000E396B">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Difference</w:t>
                                  </w:r>
                                </w:p>
                              </w:tc>
                              <w:tc>
                                <w:tcPr>
                                  <w:tcW w:w="720" w:type="dxa"/>
                                  <w:tcBorders>
                                    <w:top w:val="single" w:sz="4" w:space="0" w:color="ADD6EA"/>
                                    <w:left w:val="nil"/>
                                    <w:bottom w:val="single" w:sz="4" w:space="0" w:color="ADD6EA"/>
                                    <w:right w:val="nil"/>
                                  </w:tcBorders>
                                  <w:shd w:val="clear" w:color="000000" w:fill="D6E7F0"/>
                                  <w:vAlign w:val="center"/>
                                  <w:hideMark/>
                                </w:tcPr>
                                <w:p w14:paraId="55F419F3"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942</w:t>
                                  </w:r>
                                </w:p>
                              </w:tc>
                              <w:tc>
                                <w:tcPr>
                                  <w:tcW w:w="720" w:type="dxa"/>
                                  <w:tcBorders>
                                    <w:top w:val="single" w:sz="4" w:space="0" w:color="ADD6EA"/>
                                    <w:left w:val="nil"/>
                                    <w:bottom w:val="single" w:sz="4" w:space="0" w:color="ADD6EA"/>
                                    <w:right w:val="nil"/>
                                  </w:tcBorders>
                                  <w:shd w:val="clear" w:color="000000" w:fill="D6E7F0"/>
                                  <w:vAlign w:val="center"/>
                                  <w:hideMark/>
                                </w:tcPr>
                                <w:p w14:paraId="10945D17"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3,657</w:t>
                                  </w:r>
                                </w:p>
                              </w:tc>
                              <w:tc>
                                <w:tcPr>
                                  <w:tcW w:w="720" w:type="dxa"/>
                                  <w:tcBorders>
                                    <w:top w:val="single" w:sz="4" w:space="0" w:color="ADD6EA"/>
                                    <w:left w:val="nil"/>
                                    <w:bottom w:val="single" w:sz="4" w:space="0" w:color="ADD6EA"/>
                                    <w:right w:val="nil"/>
                                  </w:tcBorders>
                                  <w:shd w:val="clear" w:color="000000" w:fill="D6E7F0"/>
                                  <w:vAlign w:val="center"/>
                                  <w:hideMark/>
                                </w:tcPr>
                                <w:p w14:paraId="26C3FEB8"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-1,189</w:t>
                                  </w:r>
                                </w:p>
                              </w:tc>
                              <w:tc>
                                <w:tcPr>
                                  <w:tcW w:w="720" w:type="dxa"/>
                                  <w:tcBorders>
                                    <w:top w:val="single" w:sz="4" w:space="0" w:color="ADD6EA"/>
                                    <w:left w:val="nil"/>
                                    <w:bottom w:val="single" w:sz="4" w:space="0" w:color="ADD6EA"/>
                                    <w:right w:val="nil"/>
                                  </w:tcBorders>
                                  <w:shd w:val="clear" w:color="000000" w:fill="D6E7F0"/>
                                  <w:vAlign w:val="center"/>
                                  <w:hideMark/>
                                </w:tcPr>
                                <w:p w14:paraId="480F97A2"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395</w:t>
                                  </w:r>
                                </w:p>
                              </w:tc>
                              <w:tc>
                                <w:tcPr>
                                  <w:tcW w:w="720" w:type="dxa"/>
                                  <w:tcBorders>
                                    <w:top w:val="single" w:sz="4" w:space="0" w:color="ADD6EA"/>
                                    <w:left w:val="nil"/>
                                    <w:bottom w:val="single" w:sz="4" w:space="0" w:color="ADD6EA"/>
                                    <w:right w:val="nil"/>
                                  </w:tcBorders>
                                  <w:shd w:val="clear" w:color="000000" w:fill="D6E7F0"/>
                                  <w:vAlign w:val="center"/>
                                  <w:hideMark/>
                                </w:tcPr>
                                <w:p w14:paraId="193903EF"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279</w:t>
                                  </w:r>
                                </w:p>
                              </w:tc>
                              <w:tc>
                                <w:tcPr>
                                  <w:tcW w:w="720" w:type="dxa"/>
                                  <w:tcBorders>
                                    <w:top w:val="single" w:sz="4" w:space="0" w:color="ADD6EA"/>
                                    <w:left w:val="nil"/>
                                    <w:bottom w:val="nil"/>
                                    <w:right w:val="nil"/>
                                  </w:tcBorders>
                                  <w:shd w:val="clear" w:color="000000" w:fill="D6E7F0"/>
                                  <w:vAlign w:val="center"/>
                                  <w:hideMark/>
                                </w:tcPr>
                                <w:p w14:paraId="3B58B8BF"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151</w:t>
                                  </w:r>
                                </w:p>
                              </w:tc>
                              <w:tc>
                                <w:tcPr>
                                  <w:tcW w:w="720" w:type="dxa"/>
                                  <w:tcBorders>
                                    <w:top w:val="single" w:sz="4" w:space="0" w:color="ADD6EA"/>
                                    <w:left w:val="nil"/>
                                    <w:bottom w:val="single" w:sz="4" w:space="0" w:color="ADD6EA"/>
                                    <w:right w:val="nil"/>
                                  </w:tcBorders>
                                  <w:shd w:val="clear" w:color="000000" w:fill="D6E7F0"/>
                                  <w:vAlign w:val="center"/>
                                  <w:hideMark/>
                                </w:tcPr>
                                <w:p w14:paraId="55B457D2"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35</w:t>
                                  </w:r>
                                </w:p>
                              </w:tc>
                              <w:tc>
                                <w:tcPr>
                                  <w:tcW w:w="720" w:type="dxa"/>
                                  <w:tcBorders>
                                    <w:top w:val="single" w:sz="4" w:space="0" w:color="ADD6EA"/>
                                    <w:left w:val="nil"/>
                                    <w:bottom w:val="single" w:sz="4" w:space="0" w:color="ADD6EA"/>
                                    <w:right w:val="nil"/>
                                  </w:tcBorders>
                                  <w:shd w:val="clear" w:color="000000" w:fill="D6E7F0"/>
                                  <w:vAlign w:val="center"/>
                                  <w:hideMark/>
                                </w:tcPr>
                                <w:p w14:paraId="0299E45E"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248</w:t>
                                  </w:r>
                                </w:p>
                              </w:tc>
                              <w:tc>
                                <w:tcPr>
                                  <w:tcW w:w="720" w:type="dxa"/>
                                  <w:tcBorders>
                                    <w:top w:val="single" w:sz="4" w:space="0" w:color="ADD6EA"/>
                                    <w:left w:val="nil"/>
                                    <w:bottom w:val="single" w:sz="4" w:space="0" w:color="ADD6EA"/>
                                    <w:right w:val="nil"/>
                                  </w:tcBorders>
                                  <w:shd w:val="clear" w:color="000000" w:fill="D6E7F0"/>
                                  <w:vAlign w:val="center"/>
                                  <w:hideMark/>
                                </w:tcPr>
                                <w:p w14:paraId="64DA8BCA"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4,519</w:t>
                                  </w:r>
                                </w:p>
                              </w:tc>
                            </w:tr>
                            <w:tr w:rsidR="000E396B" w:rsidRPr="000E396B" w14:paraId="26C877CA" w14:textId="77777777" w:rsidTr="000E396B">
                              <w:trPr>
                                <w:trHeight w:val="255"/>
                              </w:trPr>
                              <w:tc>
                                <w:tcPr>
                                  <w:tcW w:w="3180" w:type="dxa"/>
                                  <w:gridSpan w:val="2"/>
                                  <w:tcBorders>
                                    <w:top w:val="single" w:sz="4" w:space="0" w:color="ADD6EA"/>
                                    <w:left w:val="nil"/>
                                    <w:bottom w:val="single" w:sz="4" w:space="0" w:color="ADD6EA"/>
                                    <w:right w:val="nil"/>
                                  </w:tcBorders>
                                  <w:shd w:val="clear" w:color="000000" w:fill="B6D5E4"/>
                                  <w:vAlign w:val="bottom"/>
                                  <w:hideMark/>
                                </w:tcPr>
                                <w:p w14:paraId="20C31487" w14:textId="77777777" w:rsidR="000E396B" w:rsidRPr="000E396B" w:rsidRDefault="000E396B" w:rsidP="000E396B">
                                  <w:pPr>
                                    <w:tabs>
                                      <w:tab w:val="clear" w:pos="567"/>
                                    </w:tabs>
                                    <w:spacing w:before="0" w:line="240" w:lineRule="auto"/>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GST distribution ($pc)</w:t>
                                  </w:r>
                                </w:p>
                              </w:tc>
                              <w:tc>
                                <w:tcPr>
                                  <w:tcW w:w="720" w:type="dxa"/>
                                  <w:tcBorders>
                                    <w:top w:val="nil"/>
                                    <w:left w:val="nil"/>
                                    <w:bottom w:val="single" w:sz="4" w:space="0" w:color="ADD6EA"/>
                                    <w:right w:val="nil"/>
                                  </w:tcBorders>
                                  <w:shd w:val="clear" w:color="000000" w:fill="B6D5E4"/>
                                  <w:vAlign w:val="bottom"/>
                                  <w:hideMark/>
                                </w:tcPr>
                                <w:p w14:paraId="76F737C3" w14:textId="77777777" w:rsidR="000E396B" w:rsidRPr="000E396B" w:rsidRDefault="000E396B" w:rsidP="000E396B">
                                  <w:pPr>
                                    <w:tabs>
                                      <w:tab w:val="clear" w:pos="567"/>
                                    </w:tabs>
                                    <w:spacing w:before="0" w:line="240" w:lineRule="auto"/>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052320F0"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2FB35CA6"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0EF60E65"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single" w:sz="4" w:space="0" w:color="ADD6EA"/>
                                    <w:right w:val="nil"/>
                                  </w:tcBorders>
                                  <w:shd w:val="clear" w:color="000000" w:fill="B6D5E4"/>
                                  <w:vAlign w:val="bottom"/>
                                  <w:hideMark/>
                                </w:tcPr>
                                <w:p w14:paraId="1092F41D"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70ABB195"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05C8920D"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7A97A601"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r>
                            <w:tr w:rsidR="000E396B" w:rsidRPr="000E396B" w14:paraId="5524C5DE" w14:textId="77777777" w:rsidTr="000E396B">
                              <w:trPr>
                                <w:trHeight w:val="315"/>
                              </w:trPr>
                              <w:tc>
                                <w:tcPr>
                                  <w:tcW w:w="2460" w:type="dxa"/>
                                  <w:tcBorders>
                                    <w:top w:val="nil"/>
                                    <w:left w:val="nil"/>
                                    <w:bottom w:val="nil"/>
                                    <w:right w:val="nil"/>
                                  </w:tcBorders>
                                  <w:shd w:val="clear" w:color="000000" w:fill="FFFFFF"/>
                                  <w:vAlign w:val="bottom"/>
                                  <w:hideMark/>
                                </w:tcPr>
                                <w:p w14:paraId="73A84AEF" w14:textId="77777777" w:rsidR="000E396B" w:rsidRPr="000E396B" w:rsidRDefault="000E396B" w:rsidP="000E396B">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2024-25</w:t>
                                  </w:r>
                                </w:p>
                              </w:tc>
                              <w:tc>
                                <w:tcPr>
                                  <w:tcW w:w="720" w:type="dxa"/>
                                  <w:tcBorders>
                                    <w:top w:val="nil"/>
                                    <w:left w:val="nil"/>
                                    <w:bottom w:val="single" w:sz="4" w:space="0" w:color="ADD6EA"/>
                                    <w:right w:val="nil"/>
                                  </w:tcBorders>
                                  <w:shd w:val="clear" w:color="000000" w:fill="FFFFFF"/>
                                  <w:vAlign w:val="center"/>
                                  <w:hideMark/>
                                </w:tcPr>
                                <w:p w14:paraId="1A4FA8C4"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2,832</w:t>
                                  </w:r>
                                </w:p>
                              </w:tc>
                              <w:tc>
                                <w:tcPr>
                                  <w:tcW w:w="720" w:type="dxa"/>
                                  <w:tcBorders>
                                    <w:top w:val="nil"/>
                                    <w:left w:val="nil"/>
                                    <w:bottom w:val="single" w:sz="4" w:space="0" w:color="ADD6EA"/>
                                    <w:right w:val="nil"/>
                                  </w:tcBorders>
                                  <w:shd w:val="clear" w:color="000000" w:fill="FFFFFF"/>
                                  <w:vAlign w:val="center"/>
                                  <w:hideMark/>
                                </w:tcPr>
                                <w:p w14:paraId="7D0A1714"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3,137</w:t>
                                  </w:r>
                                </w:p>
                              </w:tc>
                              <w:tc>
                                <w:tcPr>
                                  <w:tcW w:w="720" w:type="dxa"/>
                                  <w:tcBorders>
                                    <w:top w:val="nil"/>
                                    <w:left w:val="nil"/>
                                    <w:bottom w:val="single" w:sz="4" w:space="0" w:color="ADD6EA"/>
                                    <w:right w:val="nil"/>
                                  </w:tcBorders>
                                  <w:shd w:val="clear" w:color="000000" w:fill="FFFFFF"/>
                                  <w:vAlign w:val="center"/>
                                  <w:hideMark/>
                                </w:tcPr>
                                <w:p w14:paraId="07245D18"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3,098</w:t>
                                  </w:r>
                                </w:p>
                              </w:tc>
                              <w:tc>
                                <w:tcPr>
                                  <w:tcW w:w="720" w:type="dxa"/>
                                  <w:tcBorders>
                                    <w:top w:val="nil"/>
                                    <w:left w:val="nil"/>
                                    <w:bottom w:val="single" w:sz="4" w:space="0" w:color="ADD6EA"/>
                                    <w:right w:val="nil"/>
                                  </w:tcBorders>
                                  <w:shd w:val="clear" w:color="000000" w:fill="FFFFFF"/>
                                  <w:vAlign w:val="center"/>
                                  <w:hideMark/>
                                </w:tcPr>
                                <w:p w14:paraId="19141AE4"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2,434</w:t>
                                  </w:r>
                                </w:p>
                              </w:tc>
                              <w:tc>
                                <w:tcPr>
                                  <w:tcW w:w="720" w:type="dxa"/>
                                  <w:tcBorders>
                                    <w:top w:val="nil"/>
                                    <w:left w:val="nil"/>
                                    <w:bottom w:val="single" w:sz="4" w:space="0" w:color="ADD6EA"/>
                                    <w:right w:val="nil"/>
                                  </w:tcBorders>
                                  <w:shd w:val="clear" w:color="000000" w:fill="FFFFFF"/>
                                  <w:vAlign w:val="center"/>
                                  <w:hideMark/>
                                </w:tcPr>
                                <w:p w14:paraId="33586702"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4,599</w:t>
                                  </w:r>
                                </w:p>
                              </w:tc>
                              <w:tc>
                                <w:tcPr>
                                  <w:tcW w:w="720" w:type="dxa"/>
                                  <w:tcBorders>
                                    <w:top w:val="nil"/>
                                    <w:left w:val="nil"/>
                                    <w:bottom w:val="single" w:sz="4" w:space="0" w:color="ADD6EA"/>
                                    <w:right w:val="nil"/>
                                  </w:tcBorders>
                                  <w:shd w:val="clear" w:color="000000" w:fill="FFFFFF"/>
                                  <w:vAlign w:val="center"/>
                                  <w:hideMark/>
                                </w:tcPr>
                                <w:p w14:paraId="61748AD2"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6,030</w:t>
                                  </w:r>
                                </w:p>
                              </w:tc>
                              <w:tc>
                                <w:tcPr>
                                  <w:tcW w:w="720" w:type="dxa"/>
                                  <w:tcBorders>
                                    <w:top w:val="nil"/>
                                    <w:left w:val="nil"/>
                                    <w:bottom w:val="single" w:sz="4" w:space="0" w:color="ADD6EA"/>
                                    <w:right w:val="nil"/>
                                  </w:tcBorders>
                                  <w:shd w:val="clear" w:color="000000" w:fill="FFFFFF"/>
                                  <w:vAlign w:val="center"/>
                                  <w:hideMark/>
                                </w:tcPr>
                                <w:p w14:paraId="4EFE84FD"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3,933</w:t>
                                  </w:r>
                                </w:p>
                              </w:tc>
                              <w:tc>
                                <w:tcPr>
                                  <w:tcW w:w="720" w:type="dxa"/>
                                  <w:tcBorders>
                                    <w:top w:val="nil"/>
                                    <w:left w:val="nil"/>
                                    <w:bottom w:val="single" w:sz="4" w:space="0" w:color="ADD6EA"/>
                                    <w:right w:val="nil"/>
                                  </w:tcBorders>
                                  <w:shd w:val="clear" w:color="000000" w:fill="FFFFFF"/>
                                  <w:vAlign w:val="center"/>
                                  <w:hideMark/>
                                </w:tcPr>
                                <w:p w14:paraId="1540AA91"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16,639</w:t>
                                  </w:r>
                                </w:p>
                              </w:tc>
                              <w:tc>
                                <w:tcPr>
                                  <w:tcW w:w="720" w:type="dxa"/>
                                  <w:tcBorders>
                                    <w:top w:val="nil"/>
                                    <w:left w:val="nil"/>
                                    <w:bottom w:val="single" w:sz="4" w:space="0" w:color="ADD6EA"/>
                                    <w:right w:val="nil"/>
                                  </w:tcBorders>
                                  <w:shd w:val="clear" w:color="000000" w:fill="FFFFFF"/>
                                  <w:vAlign w:val="center"/>
                                  <w:hideMark/>
                                </w:tcPr>
                                <w:p w14:paraId="6CDC292E"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3,255</w:t>
                                  </w:r>
                                </w:p>
                              </w:tc>
                            </w:tr>
                            <w:tr w:rsidR="000E396B" w:rsidRPr="000E396B" w14:paraId="6D54720B" w14:textId="77777777" w:rsidTr="000E396B">
                              <w:trPr>
                                <w:trHeight w:val="315"/>
                              </w:trPr>
                              <w:tc>
                                <w:tcPr>
                                  <w:tcW w:w="2460" w:type="dxa"/>
                                  <w:tcBorders>
                                    <w:top w:val="single" w:sz="4" w:space="0" w:color="ADD6EA"/>
                                    <w:left w:val="nil"/>
                                    <w:bottom w:val="nil"/>
                                    <w:right w:val="nil"/>
                                  </w:tcBorders>
                                  <w:shd w:val="clear" w:color="000000" w:fill="FFFFFF"/>
                                  <w:vAlign w:val="bottom"/>
                                  <w:hideMark/>
                                </w:tcPr>
                                <w:p w14:paraId="7EC7AEBC" w14:textId="77777777" w:rsidR="000E396B" w:rsidRPr="000E396B" w:rsidRDefault="000E396B" w:rsidP="000E396B">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2025-26</w:t>
                                  </w:r>
                                </w:p>
                              </w:tc>
                              <w:tc>
                                <w:tcPr>
                                  <w:tcW w:w="720" w:type="dxa"/>
                                  <w:tcBorders>
                                    <w:top w:val="nil"/>
                                    <w:left w:val="nil"/>
                                    <w:bottom w:val="single" w:sz="4" w:space="0" w:color="ADD6EA"/>
                                    <w:right w:val="nil"/>
                                  </w:tcBorders>
                                  <w:shd w:val="clear" w:color="000000" w:fill="FFFFFF"/>
                                  <w:vAlign w:val="center"/>
                                  <w:hideMark/>
                                </w:tcPr>
                                <w:p w14:paraId="4D876160"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2,940</w:t>
                                  </w:r>
                                </w:p>
                              </w:tc>
                              <w:tc>
                                <w:tcPr>
                                  <w:tcW w:w="720" w:type="dxa"/>
                                  <w:tcBorders>
                                    <w:top w:val="nil"/>
                                    <w:left w:val="nil"/>
                                    <w:bottom w:val="single" w:sz="4" w:space="0" w:color="ADD6EA"/>
                                    <w:right w:val="nil"/>
                                  </w:tcBorders>
                                  <w:shd w:val="clear" w:color="000000" w:fill="FFFFFF"/>
                                  <w:vAlign w:val="center"/>
                                  <w:hideMark/>
                                </w:tcPr>
                                <w:p w14:paraId="5DAF7C1C"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3,647</w:t>
                                  </w:r>
                                </w:p>
                              </w:tc>
                              <w:tc>
                                <w:tcPr>
                                  <w:tcW w:w="720" w:type="dxa"/>
                                  <w:tcBorders>
                                    <w:top w:val="nil"/>
                                    <w:left w:val="nil"/>
                                    <w:bottom w:val="single" w:sz="4" w:space="0" w:color="ADD6EA"/>
                                    <w:right w:val="nil"/>
                                  </w:tcBorders>
                                  <w:shd w:val="clear" w:color="000000" w:fill="FFFFFF"/>
                                  <w:vAlign w:val="center"/>
                                  <w:hideMark/>
                                </w:tcPr>
                                <w:p w14:paraId="30392F04"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2,890</w:t>
                                  </w:r>
                                </w:p>
                              </w:tc>
                              <w:tc>
                                <w:tcPr>
                                  <w:tcW w:w="720" w:type="dxa"/>
                                  <w:tcBorders>
                                    <w:top w:val="nil"/>
                                    <w:left w:val="nil"/>
                                    <w:bottom w:val="single" w:sz="4" w:space="0" w:color="ADD6EA"/>
                                    <w:right w:val="nil"/>
                                  </w:tcBorders>
                                  <w:shd w:val="clear" w:color="000000" w:fill="FFFFFF"/>
                                  <w:vAlign w:val="center"/>
                                  <w:hideMark/>
                                </w:tcPr>
                                <w:p w14:paraId="1CCD7510"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2,563</w:t>
                                  </w:r>
                                </w:p>
                              </w:tc>
                              <w:tc>
                                <w:tcPr>
                                  <w:tcW w:w="720" w:type="dxa"/>
                                  <w:tcBorders>
                                    <w:top w:val="nil"/>
                                    <w:left w:val="nil"/>
                                    <w:bottom w:val="single" w:sz="4" w:space="0" w:color="ADD6EA"/>
                                    <w:right w:val="nil"/>
                                  </w:tcBorders>
                                  <w:shd w:val="clear" w:color="000000" w:fill="FFFFFF"/>
                                  <w:vAlign w:val="center"/>
                                  <w:hideMark/>
                                </w:tcPr>
                                <w:p w14:paraId="11109AAB"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4,746</w:t>
                                  </w:r>
                                </w:p>
                              </w:tc>
                              <w:tc>
                                <w:tcPr>
                                  <w:tcW w:w="720" w:type="dxa"/>
                                  <w:tcBorders>
                                    <w:top w:val="nil"/>
                                    <w:left w:val="nil"/>
                                    <w:bottom w:val="single" w:sz="4" w:space="0" w:color="ADD6EA"/>
                                    <w:right w:val="nil"/>
                                  </w:tcBorders>
                                  <w:shd w:val="clear" w:color="000000" w:fill="FFFFFF"/>
                                  <w:vAlign w:val="center"/>
                                  <w:hideMark/>
                                </w:tcPr>
                                <w:p w14:paraId="450A39E8"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6,290</w:t>
                                  </w:r>
                                </w:p>
                              </w:tc>
                              <w:tc>
                                <w:tcPr>
                                  <w:tcW w:w="720" w:type="dxa"/>
                                  <w:tcBorders>
                                    <w:top w:val="nil"/>
                                    <w:left w:val="nil"/>
                                    <w:bottom w:val="single" w:sz="4" w:space="0" w:color="ADD6EA"/>
                                    <w:right w:val="nil"/>
                                  </w:tcBorders>
                                  <w:shd w:val="clear" w:color="000000" w:fill="FFFFFF"/>
                                  <w:vAlign w:val="center"/>
                                  <w:hideMark/>
                                </w:tcPr>
                                <w:p w14:paraId="345C646E"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4,006</w:t>
                                  </w:r>
                                </w:p>
                              </w:tc>
                              <w:tc>
                                <w:tcPr>
                                  <w:tcW w:w="720" w:type="dxa"/>
                                  <w:tcBorders>
                                    <w:top w:val="nil"/>
                                    <w:left w:val="nil"/>
                                    <w:bottom w:val="single" w:sz="4" w:space="0" w:color="ADD6EA"/>
                                    <w:right w:val="nil"/>
                                  </w:tcBorders>
                                  <w:shd w:val="clear" w:color="000000" w:fill="FFFFFF"/>
                                  <w:vAlign w:val="center"/>
                                  <w:hideMark/>
                                </w:tcPr>
                                <w:p w14:paraId="5785A00F"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17,605</w:t>
                                  </w:r>
                                </w:p>
                              </w:tc>
                              <w:tc>
                                <w:tcPr>
                                  <w:tcW w:w="720" w:type="dxa"/>
                                  <w:tcBorders>
                                    <w:top w:val="nil"/>
                                    <w:left w:val="nil"/>
                                    <w:bottom w:val="single" w:sz="4" w:space="0" w:color="ADD6EA"/>
                                    <w:right w:val="nil"/>
                                  </w:tcBorders>
                                  <w:shd w:val="clear" w:color="000000" w:fill="FFFFFF"/>
                                  <w:vAlign w:val="center"/>
                                  <w:hideMark/>
                                </w:tcPr>
                                <w:p w14:paraId="3C5A3FF5"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3,418</w:t>
                                  </w:r>
                                </w:p>
                              </w:tc>
                            </w:tr>
                            <w:tr w:rsidR="000E396B" w:rsidRPr="000E396B" w14:paraId="5C5ABE0E" w14:textId="77777777" w:rsidTr="000E396B">
                              <w:trPr>
                                <w:trHeight w:val="315"/>
                              </w:trPr>
                              <w:tc>
                                <w:tcPr>
                                  <w:tcW w:w="2460" w:type="dxa"/>
                                  <w:tcBorders>
                                    <w:top w:val="single" w:sz="4" w:space="0" w:color="ADD6EA"/>
                                    <w:left w:val="nil"/>
                                    <w:bottom w:val="single" w:sz="4" w:space="0" w:color="ADD6EA"/>
                                    <w:right w:val="nil"/>
                                  </w:tcBorders>
                                  <w:shd w:val="clear" w:color="000000" w:fill="D6E7F0"/>
                                  <w:vAlign w:val="bottom"/>
                                  <w:hideMark/>
                                </w:tcPr>
                                <w:p w14:paraId="5BA7FA3E" w14:textId="77777777" w:rsidR="000E396B" w:rsidRPr="000E396B" w:rsidRDefault="000E396B" w:rsidP="000E396B">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Difference</w:t>
                                  </w:r>
                                </w:p>
                              </w:tc>
                              <w:tc>
                                <w:tcPr>
                                  <w:tcW w:w="720" w:type="dxa"/>
                                  <w:tcBorders>
                                    <w:top w:val="nil"/>
                                    <w:left w:val="nil"/>
                                    <w:bottom w:val="single" w:sz="4" w:space="0" w:color="ADD6EA"/>
                                    <w:right w:val="nil"/>
                                  </w:tcBorders>
                                  <w:shd w:val="clear" w:color="000000" w:fill="D6E7F0"/>
                                  <w:vAlign w:val="center"/>
                                  <w:hideMark/>
                                </w:tcPr>
                                <w:p w14:paraId="56380C3E"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109</w:t>
                                  </w:r>
                                </w:p>
                              </w:tc>
                              <w:tc>
                                <w:tcPr>
                                  <w:tcW w:w="720" w:type="dxa"/>
                                  <w:tcBorders>
                                    <w:top w:val="nil"/>
                                    <w:left w:val="nil"/>
                                    <w:bottom w:val="single" w:sz="4" w:space="0" w:color="ADD6EA"/>
                                    <w:right w:val="nil"/>
                                  </w:tcBorders>
                                  <w:shd w:val="clear" w:color="000000" w:fill="D6E7F0"/>
                                  <w:vAlign w:val="center"/>
                                  <w:hideMark/>
                                </w:tcPr>
                                <w:p w14:paraId="3F3A79B2"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510</w:t>
                                  </w:r>
                                </w:p>
                              </w:tc>
                              <w:tc>
                                <w:tcPr>
                                  <w:tcW w:w="720" w:type="dxa"/>
                                  <w:tcBorders>
                                    <w:top w:val="nil"/>
                                    <w:left w:val="nil"/>
                                    <w:bottom w:val="single" w:sz="4" w:space="0" w:color="ADD6EA"/>
                                    <w:right w:val="nil"/>
                                  </w:tcBorders>
                                  <w:shd w:val="clear" w:color="000000" w:fill="D6E7F0"/>
                                  <w:vAlign w:val="center"/>
                                  <w:hideMark/>
                                </w:tcPr>
                                <w:p w14:paraId="415B6CF8"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-208</w:t>
                                  </w:r>
                                </w:p>
                              </w:tc>
                              <w:tc>
                                <w:tcPr>
                                  <w:tcW w:w="720" w:type="dxa"/>
                                  <w:tcBorders>
                                    <w:top w:val="nil"/>
                                    <w:left w:val="nil"/>
                                    <w:bottom w:val="single" w:sz="4" w:space="0" w:color="ADD6EA"/>
                                    <w:right w:val="nil"/>
                                  </w:tcBorders>
                                  <w:shd w:val="clear" w:color="000000" w:fill="D6E7F0"/>
                                  <w:vAlign w:val="center"/>
                                  <w:hideMark/>
                                </w:tcPr>
                                <w:p w14:paraId="6B702E9F"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129</w:t>
                                  </w:r>
                                </w:p>
                              </w:tc>
                              <w:tc>
                                <w:tcPr>
                                  <w:tcW w:w="720" w:type="dxa"/>
                                  <w:tcBorders>
                                    <w:top w:val="nil"/>
                                    <w:left w:val="nil"/>
                                    <w:bottom w:val="single" w:sz="4" w:space="0" w:color="ADD6EA"/>
                                    <w:right w:val="nil"/>
                                  </w:tcBorders>
                                  <w:shd w:val="clear" w:color="000000" w:fill="D6E7F0"/>
                                  <w:vAlign w:val="center"/>
                                  <w:hideMark/>
                                </w:tcPr>
                                <w:p w14:paraId="49B9835F"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147</w:t>
                                  </w:r>
                                </w:p>
                              </w:tc>
                              <w:tc>
                                <w:tcPr>
                                  <w:tcW w:w="720" w:type="dxa"/>
                                  <w:tcBorders>
                                    <w:top w:val="nil"/>
                                    <w:left w:val="nil"/>
                                    <w:bottom w:val="single" w:sz="4" w:space="0" w:color="ADD6EA"/>
                                    <w:right w:val="nil"/>
                                  </w:tcBorders>
                                  <w:shd w:val="clear" w:color="000000" w:fill="D6E7F0"/>
                                  <w:vAlign w:val="center"/>
                                  <w:hideMark/>
                                </w:tcPr>
                                <w:p w14:paraId="6CF1A5DB"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261</w:t>
                                  </w:r>
                                </w:p>
                              </w:tc>
                              <w:tc>
                                <w:tcPr>
                                  <w:tcW w:w="720" w:type="dxa"/>
                                  <w:tcBorders>
                                    <w:top w:val="nil"/>
                                    <w:left w:val="nil"/>
                                    <w:bottom w:val="single" w:sz="4" w:space="0" w:color="ADD6EA"/>
                                    <w:right w:val="nil"/>
                                  </w:tcBorders>
                                  <w:shd w:val="clear" w:color="000000" w:fill="D6E7F0"/>
                                  <w:vAlign w:val="center"/>
                                  <w:hideMark/>
                                </w:tcPr>
                                <w:p w14:paraId="0D74B44E"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73</w:t>
                                  </w:r>
                                </w:p>
                              </w:tc>
                              <w:tc>
                                <w:tcPr>
                                  <w:tcW w:w="720" w:type="dxa"/>
                                  <w:tcBorders>
                                    <w:top w:val="nil"/>
                                    <w:left w:val="nil"/>
                                    <w:bottom w:val="single" w:sz="4" w:space="0" w:color="ADD6EA"/>
                                    <w:right w:val="nil"/>
                                  </w:tcBorders>
                                  <w:shd w:val="clear" w:color="000000" w:fill="D6E7F0"/>
                                  <w:vAlign w:val="center"/>
                                  <w:hideMark/>
                                </w:tcPr>
                                <w:p w14:paraId="5135BD9F"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966</w:t>
                                  </w:r>
                                </w:p>
                              </w:tc>
                              <w:tc>
                                <w:tcPr>
                                  <w:tcW w:w="720" w:type="dxa"/>
                                  <w:tcBorders>
                                    <w:top w:val="nil"/>
                                    <w:left w:val="nil"/>
                                    <w:bottom w:val="single" w:sz="4" w:space="0" w:color="ADD6EA"/>
                                    <w:right w:val="nil"/>
                                  </w:tcBorders>
                                  <w:shd w:val="clear" w:color="000000" w:fill="D6E7F0"/>
                                  <w:vAlign w:val="center"/>
                                  <w:hideMark/>
                                </w:tcPr>
                                <w:p w14:paraId="15B859D3"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162</w:t>
                                  </w:r>
                                </w:p>
                              </w:tc>
                            </w:tr>
                          </w:tbl>
                          <w:p w14:paraId="5C8CC5E3" w14:textId="77777777" w:rsidR="00533780" w:rsidRPr="002C0D38" w:rsidRDefault="00533780" w:rsidP="00C746A5">
                            <w:pPr>
                              <w:pStyle w:val="CGC2025TableNote"/>
                              <w:rPr>
                                <w:color w:val="FF0000"/>
                              </w:rPr>
                            </w:pPr>
                            <w:r w:rsidRPr="00293C06">
                              <w:t>Note: Estimates subject to changes in the GST pool and populations.</w:t>
                            </w:r>
                            <w:r>
                              <w:t xml:space="preserve"> </w:t>
                            </w:r>
                          </w:p>
                          <w:p w14:paraId="01BD1AFA" w14:textId="41436D06" w:rsidR="00B86BA0" w:rsidRDefault="00B86BA0" w:rsidP="00BF2B74">
                            <w:pPr>
                              <w:pStyle w:val="Heading2"/>
                              <w:spacing w:before="240" w:after="120"/>
                              <w:ind w:right="6"/>
                            </w:pPr>
                            <w:r>
                              <w:t>Overview</w:t>
                            </w:r>
                            <w:bookmarkEnd w:id="39"/>
                            <w:bookmarkEnd w:id="40"/>
                            <w:bookmarkEnd w:id="41"/>
                            <w:bookmarkEnd w:id="42"/>
                            <w:bookmarkEnd w:id="43"/>
                            <w:bookmarkEnd w:id="44"/>
                            <w:bookmarkEnd w:id="45"/>
                            <w:bookmarkEnd w:id="46"/>
                          </w:p>
                          <w:p w14:paraId="4EC08811" w14:textId="339A8381" w:rsidR="00B86BA0" w:rsidRDefault="00B86BA0" w:rsidP="00B86BA0">
                            <w:pPr>
                              <w:ind w:right="6"/>
                            </w:pPr>
                            <w:r>
                              <w:t xml:space="preserve">Recommended GST relativities in </w:t>
                            </w:r>
                            <w:r w:rsidRPr="001E4D5F">
                              <w:t>2025–26</w:t>
                            </w:r>
                            <w:r>
                              <w:t xml:space="preserve"> reflect changes in </w:t>
                            </w:r>
                            <w:r w:rsidRPr="004963EF">
                              <w:t>state circumstances</w:t>
                            </w:r>
                            <w:r>
                              <w:t xml:space="preserve">, </w:t>
                            </w:r>
                            <w:r w:rsidR="0040157D">
                              <w:t xml:space="preserve">which </w:t>
                            </w:r>
                            <w:r w:rsidR="00C97862">
                              <w:t xml:space="preserve">are </w:t>
                            </w:r>
                            <w:r>
                              <w:t xml:space="preserve">predominantly </w:t>
                            </w:r>
                            <w:r w:rsidR="0040157D">
                              <w:t xml:space="preserve">driven by </w:t>
                            </w:r>
                            <w:r>
                              <w:t>changes in</w:t>
                            </w:r>
                            <w:r w:rsidRPr="00362DFB">
                              <w:t xml:space="preserve"> mining royalties</w:t>
                            </w:r>
                            <w:r w:rsidR="00C73E04">
                              <w:t xml:space="preserve"> and</w:t>
                            </w:r>
                            <w:r w:rsidRPr="00362DFB">
                              <w:t xml:space="preserve"> population growth. Implementing</w:t>
                            </w:r>
                            <w:r w:rsidR="00F13869">
                              <w:t xml:space="preserve"> changes </w:t>
                            </w:r>
                            <w:r w:rsidR="00C9584D">
                              <w:t>in</w:t>
                            </w:r>
                            <w:r w:rsidRPr="00362DFB">
                              <w:t xml:space="preserve"> assessment methods</w:t>
                            </w:r>
                            <w:r w:rsidR="00050BDC">
                              <w:t xml:space="preserve"> from the 2025</w:t>
                            </w:r>
                            <w:r w:rsidR="006B385E">
                              <w:t> </w:t>
                            </w:r>
                            <w:r w:rsidR="00C97862">
                              <w:t>R</w:t>
                            </w:r>
                            <w:r w:rsidR="00050BDC">
                              <w:t>eview</w:t>
                            </w:r>
                            <w:r w:rsidRPr="00362DFB">
                              <w:t>, particularly the assessment of COVID-19 health and business support expenses</w:t>
                            </w:r>
                            <w:r w:rsidR="009F6EE7">
                              <w:t xml:space="preserve"> (see Box 2-1)</w:t>
                            </w:r>
                            <w:r w:rsidRPr="00362DFB">
                              <w:t>,</w:t>
                            </w:r>
                            <w:r w:rsidR="00927CA5">
                              <w:t xml:space="preserve"> </w:t>
                            </w:r>
                            <w:r w:rsidRPr="00362DFB">
                              <w:t xml:space="preserve">also impacted </w:t>
                            </w:r>
                            <w:r w:rsidR="00465A7B">
                              <w:t xml:space="preserve">the </w:t>
                            </w:r>
                            <w:r w:rsidRPr="00362DFB">
                              <w:t>GST distribution.</w:t>
                            </w:r>
                          </w:p>
                          <w:p w14:paraId="4B30C434" w14:textId="55CC723C" w:rsidR="00B86BA0" w:rsidRDefault="00B86BA0" w:rsidP="00B86BA0">
                            <w:pPr>
                              <w:ind w:right="6"/>
                            </w:pPr>
                            <w:r>
                              <w:t xml:space="preserve">Under the </w:t>
                            </w:r>
                            <w:r w:rsidR="00C9584D">
                              <w:t>20</w:t>
                            </w:r>
                            <w:r w:rsidR="009330EB">
                              <w:t>1</w:t>
                            </w:r>
                            <w:r w:rsidR="00C9584D">
                              <w:t xml:space="preserve">8 </w:t>
                            </w:r>
                            <w:r w:rsidR="000B0391">
                              <w:t>GST distribution legislation</w:t>
                            </w:r>
                            <w:r>
                              <w:t xml:space="preserve">, this is the </w:t>
                            </w:r>
                            <w:r w:rsidRPr="001E4D5F">
                              <w:t xml:space="preserve">fifth </w:t>
                            </w:r>
                            <w:r w:rsidR="00B3453E">
                              <w:t xml:space="preserve">and final </w:t>
                            </w:r>
                            <w:r w:rsidRPr="001E4D5F">
                              <w:t xml:space="preserve">year in which assessed and standard state relativities </w:t>
                            </w:r>
                            <w:r w:rsidR="00C649A8">
                              <w:t xml:space="preserve">will be </w:t>
                            </w:r>
                            <w:r w:rsidR="002F0463">
                              <w:t xml:space="preserve">blended </w:t>
                            </w:r>
                            <w:r w:rsidR="006232D5">
                              <w:t>under the transitional arrangements.</w:t>
                            </w:r>
                            <w:r w:rsidRPr="001E4D5F">
                              <w:t xml:space="preserve"> It is the second year</w:t>
                            </w:r>
                            <w:r>
                              <w:t xml:space="preserve"> in which the GST relativity floor is 0.75. </w:t>
                            </w:r>
                            <w:r w:rsidR="00E07295">
                              <w:t xml:space="preserve">The combination of </w:t>
                            </w:r>
                            <w:r>
                              <w:t>blending relativities from the previous and</w:t>
                            </w:r>
                            <w:r w:rsidR="002A6338">
                              <w:t xml:space="preserve"> </w:t>
                            </w:r>
                            <w:r w:rsidR="002A6338" w:rsidRPr="00CA2FD1">
                              <w:t>20</w:t>
                            </w:r>
                            <w:r w:rsidR="005F7991" w:rsidRPr="00CA2FD1">
                              <w:t>1</w:t>
                            </w:r>
                            <w:r w:rsidR="002A6338" w:rsidRPr="00CA2FD1">
                              <w:t xml:space="preserve">8 </w:t>
                            </w:r>
                            <w:r w:rsidR="00210BF0" w:rsidRPr="00CA2FD1">
                              <w:t xml:space="preserve">GST distribution </w:t>
                            </w:r>
                            <w:r w:rsidRPr="00CA2FD1">
                              <w:t>arrangements</w:t>
                            </w:r>
                            <w:r>
                              <w:t xml:space="preserve"> </w:t>
                            </w:r>
                            <w:r w:rsidR="00E07295">
                              <w:t>and implementing</w:t>
                            </w:r>
                            <w:r>
                              <w:t xml:space="preserve"> the GST </w:t>
                            </w:r>
                            <w:r w:rsidR="00E07295">
                              <w:t xml:space="preserve">relativity </w:t>
                            </w:r>
                            <w:r>
                              <w:t>floor continues to have a significant impact on GST distribution outcomes.</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A58AA2" id="_x0000_t202" coordsize="21600,21600" o:spt="202" path="m,l,21600r21600,l21600,xe">
                <v:stroke joinstyle="miter"/>
                <v:path gradientshapeok="t" o:connecttype="rect"/>
              </v:shapetype>
              <v:shape id="Text Box 217" o:spid="_x0000_s1028" type="#_x0000_t202" style="position:absolute;margin-left:0;margin-top:99.5pt;width:460.9pt;height:689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" fillcolor="#e5f8ff" strokecolor="white [3212]">
                <v:textbox>
                  <w:txbxContent>
                    <w:p w14:paraId="4E9479C2" w14:textId="79186249" w:rsidR="00B86BA0" w:rsidRDefault="00157145" w:rsidP="00B86BA0">
                      <w:pPr>
                        <w:ind w:right="6"/>
                      </w:pPr>
                      <w:r>
                        <w:t xml:space="preserve">In </w:t>
                      </w:r>
                      <w:r w:rsidR="00492CC8">
                        <w:t>accordance</w:t>
                      </w:r>
                      <w:r>
                        <w:t xml:space="preserve"> with the terms of reference </w:t>
                      </w:r>
                      <w:r w:rsidR="00382295">
                        <w:t xml:space="preserve">for the </w:t>
                      </w:r>
                      <w:r w:rsidR="00B86BA0">
                        <w:t xml:space="preserve">2025 Methodology Review, the Commission presents its recommended GST relativities for </w:t>
                      </w:r>
                      <w:r w:rsidR="00B86BA0" w:rsidRPr="00507F5E">
                        <w:t>2025–26</w:t>
                      </w:r>
                      <w:r w:rsidR="00B86BA0">
                        <w:t>.</w:t>
                      </w:r>
                      <w:r w:rsidR="00C176D9">
                        <w:t xml:space="preserve"> These recommendations incorporate </w:t>
                      </w:r>
                      <w:r w:rsidR="006C67A2">
                        <w:t>assessment method changes from the 2025 Review.</w:t>
                      </w:r>
                    </w:p>
                    <w:p w14:paraId="310FE2AA" w14:textId="77777777" w:rsidR="00B86BA0" w:rsidRDefault="00B86BA0" w:rsidP="00994767">
                      <w:pPr>
                        <w:pStyle w:val="HeadingBox-Level2"/>
                      </w:pPr>
                      <w:bookmarkStart w:id="47" w:name="_Toc127786109"/>
                      <w:bookmarkStart w:id="48" w:name="_Toc127786240"/>
                      <w:bookmarkStart w:id="49" w:name="_Toc127786541"/>
                      <w:bookmarkStart w:id="50" w:name="_Toc127786866"/>
                      <w:bookmarkStart w:id="51" w:name="_Toc127787083"/>
                      <w:bookmarkStart w:id="52" w:name="_Toc127788019"/>
                      <w:bookmarkStart w:id="53" w:name="_Toc127802148"/>
                      <w:bookmarkStart w:id="54" w:name="_Toc127804771"/>
                      <w:r>
                        <w:t>Recommended GST relativities</w:t>
                      </w:r>
                      <w:bookmarkEnd w:id="47"/>
                      <w:bookmarkEnd w:id="48"/>
                      <w:bookmarkEnd w:id="49"/>
                      <w:bookmarkEnd w:id="50"/>
                      <w:bookmarkEnd w:id="51"/>
                      <w:bookmarkEnd w:id="52"/>
                      <w:bookmarkEnd w:id="53"/>
                      <w:bookmarkEnd w:id="54"/>
                    </w:p>
                    <w:p w14:paraId="49776FC5" w14:textId="6B71F58F" w:rsidR="00B86BA0" w:rsidRDefault="00B86BA0" w:rsidP="00B86BA0">
                      <w:pPr>
                        <w:ind w:right="6"/>
                      </w:pPr>
                      <w:r>
                        <w:t xml:space="preserve">The table below sets out the distribution of the estimated GST pool in </w:t>
                      </w:r>
                      <w:r w:rsidRPr="00507F5E">
                        <w:t>2025–26, based on the Commission’s recommended GST relativities. The table compares the 2025–26 GST</w:t>
                      </w:r>
                      <w:r w:rsidR="00EF2549">
                        <w:t> </w:t>
                      </w:r>
                      <w:r w:rsidRPr="00507F5E">
                        <w:t>relativities with those from 2024–25,</w:t>
                      </w:r>
                      <w:r>
                        <w:t xml:space="preserve"> showing each state and territory’s (state’s) GST</w:t>
                      </w:r>
                      <w:r w:rsidR="00EF2549">
                        <w:t> </w:t>
                      </w:r>
                      <w:r w:rsidRPr="00293C06">
                        <w:t xml:space="preserve">relativity, share of </w:t>
                      </w:r>
                      <w:r w:rsidR="002005E7" w:rsidRPr="00293C06">
                        <w:t>the</w:t>
                      </w:r>
                      <w:r w:rsidRPr="00293C06">
                        <w:t xml:space="preserve"> GST </w:t>
                      </w:r>
                      <w:r w:rsidR="002005E7" w:rsidRPr="00293C06">
                        <w:t>pool</w:t>
                      </w:r>
                      <w:r w:rsidRPr="00293C06">
                        <w:t>, and estimated amount of GST.</w:t>
                      </w:r>
                      <w:r w:rsidR="00FC7D07" w:rsidRPr="00293C06">
                        <w:t xml:space="preserve"> </w:t>
                      </w:r>
                      <w:r w:rsidR="00FC7D07" w:rsidRPr="00E95564">
                        <w:t xml:space="preserve">The </w:t>
                      </w:r>
                      <w:r w:rsidR="002654BA" w:rsidRPr="00E95564">
                        <w:t>actual</w:t>
                      </w:r>
                      <w:r w:rsidR="00FC7D07" w:rsidRPr="00E95564">
                        <w:t xml:space="preserve"> amount of GST each state receives</w:t>
                      </w:r>
                      <w:r w:rsidR="0077107E" w:rsidRPr="00E95564">
                        <w:t xml:space="preserve"> in 2025–26</w:t>
                      </w:r>
                      <w:r w:rsidR="00FC7D07" w:rsidRPr="00E95564">
                        <w:t xml:space="preserve"> </w:t>
                      </w:r>
                      <w:r w:rsidR="000D66F5" w:rsidRPr="00E95564">
                        <w:t xml:space="preserve">will </w:t>
                      </w:r>
                      <w:r w:rsidR="00EF5F87" w:rsidRPr="00E95564">
                        <w:t xml:space="preserve">be based on </w:t>
                      </w:r>
                      <w:r w:rsidR="00524D25" w:rsidRPr="00E95564">
                        <w:t xml:space="preserve">state populations and </w:t>
                      </w:r>
                      <w:r w:rsidR="0040635E" w:rsidRPr="00E95564">
                        <w:t>the</w:t>
                      </w:r>
                      <w:r w:rsidR="00524D25" w:rsidRPr="00E95564">
                        <w:t xml:space="preserve"> </w:t>
                      </w:r>
                      <w:r w:rsidR="002654BA" w:rsidRPr="00E95564">
                        <w:t>GST</w:t>
                      </w:r>
                      <w:r w:rsidR="000A5D80">
                        <w:t> </w:t>
                      </w:r>
                      <w:r w:rsidR="00E4521D" w:rsidRPr="00E95564">
                        <w:t>pool</w:t>
                      </w:r>
                      <w:r w:rsidR="003E7AF0" w:rsidRPr="00E95564">
                        <w:t xml:space="preserve"> </w:t>
                      </w:r>
                      <w:r w:rsidR="00E51A0E">
                        <w:t>det</w:t>
                      </w:r>
                      <w:r w:rsidR="008B2299">
                        <w:t>ermined after</w:t>
                      </w:r>
                      <w:r w:rsidR="00ED4C66">
                        <w:t xml:space="preserve"> the 202</w:t>
                      </w:r>
                      <w:r w:rsidR="00FB6F9A">
                        <w:t>5</w:t>
                      </w:r>
                      <w:r w:rsidR="00ED4C66">
                        <w:t>-2</w:t>
                      </w:r>
                      <w:r w:rsidR="00FB6F9A">
                        <w:t>6</w:t>
                      </w:r>
                      <w:r w:rsidR="00ED4C66">
                        <w:t xml:space="preserve"> Final Budget </w:t>
                      </w:r>
                      <w:r w:rsidR="000F6903">
                        <w:t>Outcome</w:t>
                      </w:r>
                      <w:r w:rsidR="0037568D">
                        <w:t>.</w:t>
                      </w:r>
                    </w:p>
                    <w:p w14:paraId="0607B482" w14:textId="19BE9F4A" w:rsidR="00B86BA0" w:rsidRDefault="00B86BA0" w:rsidP="00B86BA0">
                      <w:pPr>
                        <w:ind w:right="6"/>
                      </w:pPr>
                      <w:r>
                        <w:t>This table, and most of the tables and analysis in this report, do not include no worse off payments provided by the Commonwealth under the</w:t>
                      </w:r>
                      <w:r w:rsidR="00EC2EAF">
                        <w:t xml:space="preserve"> 2018</w:t>
                      </w:r>
                      <w:r>
                        <w:t xml:space="preserve"> </w:t>
                      </w:r>
                      <w:r w:rsidR="00CB0C7C">
                        <w:t>GST distribution legislation</w:t>
                      </w:r>
                      <w:r>
                        <w:t xml:space="preserve">. Information on no worse off payments is provided at the end of this Executive Summary and in </w:t>
                      </w:r>
                      <w:r w:rsidRPr="004E2E89">
                        <w:t>Chapter 1</w:t>
                      </w:r>
                      <w:r>
                        <w:t>.</w:t>
                      </w:r>
                    </w:p>
                    <w:p w14:paraId="70A48DD4" w14:textId="77777777" w:rsidR="00B86BA0" w:rsidRPr="00F438B0" w:rsidRDefault="00B86BA0" w:rsidP="00C746A5">
                      <w:pPr>
                        <w:pStyle w:val="CGC2025Caption"/>
                        <w:spacing w:before="160"/>
                      </w:pPr>
                      <w:r w:rsidRPr="00F438B0">
                        <w:t>GST relativities, shares and estimated GST distribution, 2024–25 and 2025–26 (excludes no worse off payments)</w:t>
                      </w:r>
                    </w:p>
                    <w:tbl>
                      <w:tblPr>
                        <w:tblW w:w="8940" w:type="dxa"/>
                        <w:tblLook w:val="04A0" w:firstRow="1" w:lastRow="0" w:firstColumn="1" w:lastColumn="0" w:noHBand="0" w:noVBand="1"/>
                      </w:tblPr>
                      <w:tblGrid>
                        <w:gridCol w:w="1668"/>
                        <w:gridCol w:w="808"/>
                        <w:gridCol w:w="808"/>
                        <w:gridCol w:w="808"/>
                        <w:gridCol w:w="808"/>
                        <w:gridCol w:w="808"/>
                        <w:gridCol w:w="808"/>
                        <w:gridCol w:w="808"/>
                        <w:gridCol w:w="808"/>
                        <w:gridCol w:w="808"/>
                      </w:tblGrid>
                      <w:tr w:rsidR="000E396B" w:rsidRPr="000E396B" w14:paraId="43EB47D8" w14:textId="77777777" w:rsidTr="000E396B">
                        <w:trPr>
                          <w:trHeight w:val="379"/>
                        </w:trPr>
                        <w:tc>
                          <w:tcPr>
                            <w:tcW w:w="2460" w:type="dxa"/>
                            <w:tcBorders>
                              <w:top w:val="nil"/>
                              <w:left w:val="nil"/>
                              <w:bottom w:val="nil"/>
                              <w:right w:val="nil"/>
                            </w:tcBorders>
                            <w:shd w:val="clear" w:color="000000" w:fill="006991"/>
                            <w:vAlign w:val="center"/>
                            <w:hideMark/>
                          </w:tcPr>
                          <w:p w14:paraId="07F859C7" w14:textId="77777777" w:rsidR="000E396B" w:rsidRPr="000E396B" w:rsidRDefault="000E396B" w:rsidP="000E396B">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55" w:name="RANGE!A4:J15"/>
                            <w:bookmarkStart w:id="56" w:name="_Toc127786110"/>
                            <w:bookmarkStart w:id="57" w:name="_Toc127786241"/>
                            <w:bookmarkStart w:id="58" w:name="_Toc127786542"/>
                            <w:bookmarkStart w:id="59" w:name="_Toc127786867"/>
                            <w:bookmarkStart w:id="60" w:name="_Toc127787084"/>
                            <w:bookmarkStart w:id="61" w:name="_Toc127788020"/>
                            <w:bookmarkStart w:id="62" w:name="_Toc127802149"/>
                            <w:bookmarkStart w:id="63" w:name="_Toc127804772"/>
                            <w:r w:rsidRPr="000E396B">
                              <w:rPr>
                                <w:rFonts w:ascii="Open Sans Semibold" w:eastAsia="Times New Roman" w:hAnsi="Open Sans Semibold" w:cs="Open Sans Semibold"/>
                                <w:color w:val="FFFFFF"/>
                                <w:sz w:val="16"/>
                                <w:szCs w:val="16"/>
                                <w:lang w:eastAsia="en-AU"/>
                              </w:rPr>
                              <w:t> </w:t>
                            </w:r>
                            <w:bookmarkEnd w:id="55"/>
                          </w:p>
                        </w:tc>
                        <w:tc>
                          <w:tcPr>
                            <w:tcW w:w="720" w:type="dxa"/>
                            <w:tcBorders>
                              <w:top w:val="nil"/>
                              <w:left w:val="nil"/>
                              <w:bottom w:val="nil"/>
                              <w:right w:val="nil"/>
                            </w:tcBorders>
                            <w:shd w:val="clear" w:color="000000" w:fill="006991"/>
                            <w:vAlign w:val="center"/>
                            <w:hideMark/>
                          </w:tcPr>
                          <w:p w14:paraId="5D98DEBD"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NSW</w:t>
                            </w:r>
                          </w:p>
                        </w:tc>
                        <w:tc>
                          <w:tcPr>
                            <w:tcW w:w="720" w:type="dxa"/>
                            <w:tcBorders>
                              <w:top w:val="nil"/>
                              <w:left w:val="nil"/>
                              <w:bottom w:val="nil"/>
                              <w:right w:val="nil"/>
                            </w:tcBorders>
                            <w:shd w:val="clear" w:color="000000" w:fill="006991"/>
                            <w:vAlign w:val="center"/>
                            <w:hideMark/>
                          </w:tcPr>
                          <w:p w14:paraId="4CA5E262"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Vic</w:t>
                            </w:r>
                          </w:p>
                        </w:tc>
                        <w:tc>
                          <w:tcPr>
                            <w:tcW w:w="720" w:type="dxa"/>
                            <w:tcBorders>
                              <w:top w:val="nil"/>
                              <w:left w:val="nil"/>
                              <w:bottom w:val="nil"/>
                              <w:right w:val="nil"/>
                            </w:tcBorders>
                            <w:shd w:val="clear" w:color="000000" w:fill="006991"/>
                            <w:vAlign w:val="center"/>
                            <w:hideMark/>
                          </w:tcPr>
                          <w:p w14:paraId="12EAAEC2"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Qld</w:t>
                            </w:r>
                          </w:p>
                        </w:tc>
                        <w:tc>
                          <w:tcPr>
                            <w:tcW w:w="720" w:type="dxa"/>
                            <w:tcBorders>
                              <w:top w:val="nil"/>
                              <w:left w:val="nil"/>
                              <w:bottom w:val="nil"/>
                              <w:right w:val="nil"/>
                            </w:tcBorders>
                            <w:shd w:val="clear" w:color="000000" w:fill="006991"/>
                            <w:vAlign w:val="center"/>
                            <w:hideMark/>
                          </w:tcPr>
                          <w:p w14:paraId="503F0432"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WA</w:t>
                            </w:r>
                          </w:p>
                        </w:tc>
                        <w:tc>
                          <w:tcPr>
                            <w:tcW w:w="720" w:type="dxa"/>
                            <w:tcBorders>
                              <w:top w:val="nil"/>
                              <w:left w:val="nil"/>
                              <w:bottom w:val="nil"/>
                              <w:right w:val="nil"/>
                            </w:tcBorders>
                            <w:shd w:val="clear" w:color="000000" w:fill="006991"/>
                            <w:vAlign w:val="center"/>
                            <w:hideMark/>
                          </w:tcPr>
                          <w:p w14:paraId="1C90C317"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SA</w:t>
                            </w:r>
                          </w:p>
                        </w:tc>
                        <w:tc>
                          <w:tcPr>
                            <w:tcW w:w="720" w:type="dxa"/>
                            <w:tcBorders>
                              <w:top w:val="nil"/>
                              <w:left w:val="nil"/>
                              <w:bottom w:val="nil"/>
                              <w:right w:val="nil"/>
                            </w:tcBorders>
                            <w:shd w:val="clear" w:color="000000" w:fill="006991"/>
                            <w:vAlign w:val="center"/>
                            <w:hideMark/>
                          </w:tcPr>
                          <w:p w14:paraId="7899036C"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Tas</w:t>
                            </w:r>
                          </w:p>
                        </w:tc>
                        <w:tc>
                          <w:tcPr>
                            <w:tcW w:w="720" w:type="dxa"/>
                            <w:tcBorders>
                              <w:top w:val="nil"/>
                              <w:left w:val="nil"/>
                              <w:bottom w:val="nil"/>
                              <w:right w:val="nil"/>
                            </w:tcBorders>
                            <w:shd w:val="clear" w:color="000000" w:fill="006991"/>
                            <w:vAlign w:val="center"/>
                            <w:hideMark/>
                          </w:tcPr>
                          <w:p w14:paraId="21253DAC"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ACT</w:t>
                            </w:r>
                          </w:p>
                        </w:tc>
                        <w:tc>
                          <w:tcPr>
                            <w:tcW w:w="720" w:type="dxa"/>
                            <w:tcBorders>
                              <w:top w:val="nil"/>
                              <w:left w:val="nil"/>
                              <w:bottom w:val="nil"/>
                              <w:right w:val="nil"/>
                            </w:tcBorders>
                            <w:shd w:val="clear" w:color="000000" w:fill="006991"/>
                            <w:vAlign w:val="center"/>
                            <w:hideMark/>
                          </w:tcPr>
                          <w:p w14:paraId="2CBBB7A4"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NT</w:t>
                            </w:r>
                          </w:p>
                        </w:tc>
                        <w:tc>
                          <w:tcPr>
                            <w:tcW w:w="720" w:type="dxa"/>
                            <w:tcBorders>
                              <w:top w:val="nil"/>
                              <w:left w:val="nil"/>
                              <w:bottom w:val="nil"/>
                              <w:right w:val="nil"/>
                            </w:tcBorders>
                            <w:shd w:val="clear" w:color="000000" w:fill="006991"/>
                            <w:vAlign w:val="center"/>
                            <w:hideMark/>
                          </w:tcPr>
                          <w:p w14:paraId="3880E559"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E396B">
                              <w:rPr>
                                <w:rFonts w:ascii="Open Sans Semibold" w:eastAsia="Times New Roman" w:hAnsi="Open Sans Semibold" w:cs="Open Sans Semibold"/>
                                <w:color w:val="FFFFFF"/>
                                <w:sz w:val="16"/>
                                <w:szCs w:val="16"/>
                                <w:lang w:eastAsia="en-AU"/>
                              </w:rPr>
                              <w:t>Total</w:t>
                            </w:r>
                          </w:p>
                        </w:tc>
                      </w:tr>
                      <w:tr w:rsidR="000E396B" w:rsidRPr="000E396B" w14:paraId="0EB1857A" w14:textId="77777777" w:rsidTr="000E396B">
                        <w:trPr>
                          <w:trHeight w:val="259"/>
                        </w:trPr>
                        <w:tc>
                          <w:tcPr>
                            <w:tcW w:w="2460" w:type="dxa"/>
                            <w:tcBorders>
                              <w:top w:val="single" w:sz="4" w:space="0" w:color="ADD6EA"/>
                              <w:left w:val="nil"/>
                              <w:bottom w:val="single" w:sz="4" w:space="0" w:color="ADD6EA"/>
                              <w:right w:val="nil"/>
                            </w:tcBorders>
                            <w:shd w:val="clear" w:color="000000" w:fill="B6D5E4"/>
                            <w:vAlign w:val="bottom"/>
                            <w:hideMark/>
                          </w:tcPr>
                          <w:p w14:paraId="3430125F" w14:textId="77777777" w:rsidR="000E396B" w:rsidRPr="000E396B" w:rsidRDefault="000E396B" w:rsidP="000E396B">
                            <w:pPr>
                              <w:tabs>
                                <w:tab w:val="clear" w:pos="567"/>
                              </w:tabs>
                              <w:spacing w:before="0" w:line="240" w:lineRule="auto"/>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xml:space="preserve">GST relativities </w:t>
                            </w:r>
                          </w:p>
                        </w:tc>
                        <w:tc>
                          <w:tcPr>
                            <w:tcW w:w="720" w:type="dxa"/>
                            <w:tcBorders>
                              <w:top w:val="single" w:sz="4" w:space="0" w:color="ADD6EA"/>
                              <w:left w:val="nil"/>
                              <w:bottom w:val="single" w:sz="4" w:space="0" w:color="ADD6EA"/>
                              <w:right w:val="nil"/>
                            </w:tcBorders>
                            <w:shd w:val="clear" w:color="000000" w:fill="B6D5E4"/>
                            <w:vAlign w:val="bottom"/>
                            <w:hideMark/>
                          </w:tcPr>
                          <w:p w14:paraId="333D8561" w14:textId="77777777" w:rsidR="000E396B" w:rsidRPr="000E396B" w:rsidRDefault="000E396B" w:rsidP="000E396B">
                            <w:pPr>
                              <w:tabs>
                                <w:tab w:val="clear" w:pos="567"/>
                              </w:tabs>
                              <w:spacing w:before="0" w:line="240" w:lineRule="auto"/>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5A329CEC"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62BAFCE6"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3A84E45D"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17399157"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16896A02"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30B4996E"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1B6EEE79"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9BF65D0"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r>
                      <w:tr w:rsidR="000E396B" w:rsidRPr="000E396B" w14:paraId="30BFB910" w14:textId="77777777" w:rsidTr="000E396B">
                        <w:trPr>
                          <w:trHeight w:val="315"/>
                        </w:trPr>
                        <w:tc>
                          <w:tcPr>
                            <w:tcW w:w="2460" w:type="dxa"/>
                            <w:tcBorders>
                              <w:top w:val="nil"/>
                              <w:left w:val="nil"/>
                              <w:bottom w:val="nil"/>
                              <w:right w:val="nil"/>
                            </w:tcBorders>
                            <w:shd w:val="clear" w:color="000000" w:fill="FFFFFF"/>
                            <w:vAlign w:val="center"/>
                            <w:hideMark/>
                          </w:tcPr>
                          <w:p w14:paraId="4B5A538A" w14:textId="77777777" w:rsidR="000E396B" w:rsidRPr="000E396B" w:rsidRDefault="000E396B" w:rsidP="000E396B">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2024-25</w:t>
                            </w:r>
                          </w:p>
                        </w:tc>
                        <w:tc>
                          <w:tcPr>
                            <w:tcW w:w="720" w:type="dxa"/>
                            <w:tcBorders>
                              <w:top w:val="nil"/>
                              <w:left w:val="nil"/>
                              <w:bottom w:val="nil"/>
                              <w:right w:val="nil"/>
                            </w:tcBorders>
                            <w:shd w:val="clear" w:color="000000" w:fill="FFFFFF"/>
                            <w:vAlign w:val="center"/>
                            <w:hideMark/>
                          </w:tcPr>
                          <w:p w14:paraId="6343B424"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0.86736</w:t>
                            </w:r>
                          </w:p>
                        </w:tc>
                        <w:tc>
                          <w:tcPr>
                            <w:tcW w:w="720" w:type="dxa"/>
                            <w:tcBorders>
                              <w:top w:val="single" w:sz="4" w:space="0" w:color="ADD6EA"/>
                              <w:left w:val="nil"/>
                              <w:bottom w:val="single" w:sz="4" w:space="0" w:color="ADD6EA"/>
                              <w:right w:val="nil"/>
                            </w:tcBorders>
                            <w:shd w:val="clear" w:color="000000" w:fill="FFFFFF"/>
                            <w:vAlign w:val="center"/>
                            <w:hideMark/>
                          </w:tcPr>
                          <w:p w14:paraId="3762AF35"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0.96502</w:t>
                            </w:r>
                          </w:p>
                        </w:tc>
                        <w:tc>
                          <w:tcPr>
                            <w:tcW w:w="720" w:type="dxa"/>
                            <w:tcBorders>
                              <w:top w:val="single" w:sz="4" w:space="0" w:color="ADD6EA"/>
                              <w:left w:val="nil"/>
                              <w:bottom w:val="nil"/>
                              <w:right w:val="nil"/>
                            </w:tcBorders>
                            <w:shd w:val="clear" w:color="000000" w:fill="FFFFFF"/>
                            <w:vAlign w:val="center"/>
                            <w:hideMark/>
                          </w:tcPr>
                          <w:p w14:paraId="5FE84DD5"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0.95232</w:t>
                            </w:r>
                          </w:p>
                        </w:tc>
                        <w:tc>
                          <w:tcPr>
                            <w:tcW w:w="720" w:type="dxa"/>
                            <w:tcBorders>
                              <w:top w:val="single" w:sz="4" w:space="0" w:color="ADD6EA"/>
                              <w:left w:val="nil"/>
                              <w:bottom w:val="nil"/>
                              <w:right w:val="nil"/>
                            </w:tcBorders>
                            <w:shd w:val="clear" w:color="000000" w:fill="FFFFFF"/>
                            <w:vAlign w:val="center"/>
                            <w:hideMark/>
                          </w:tcPr>
                          <w:p w14:paraId="6DFECC74"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0.75000</w:t>
                            </w:r>
                          </w:p>
                        </w:tc>
                        <w:tc>
                          <w:tcPr>
                            <w:tcW w:w="720" w:type="dxa"/>
                            <w:tcBorders>
                              <w:top w:val="single" w:sz="4" w:space="0" w:color="ADD6EA"/>
                              <w:left w:val="nil"/>
                              <w:bottom w:val="nil"/>
                              <w:right w:val="nil"/>
                            </w:tcBorders>
                            <w:shd w:val="clear" w:color="000000" w:fill="FFFFFF"/>
                            <w:vAlign w:val="center"/>
                            <w:hideMark/>
                          </w:tcPr>
                          <w:p w14:paraId="62F66371"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1.40312</w:t>
                            </w:r>
                          </w:p>
                        </w:tc>
                        <w:tc>
                          <w:tcPr>
                            <w:tcW w:w="720" w:type="dxa"/>
                            <w:tcBorders>
                              <w:top w:val="single" w:sz="4" w:space="0" w:color="ADD6EA"/>
                              <w:left w:val="nil"/>
                              <w:bottom w:val="nil"/>
                              <w:right w:val="nil"/>
                            </w:tcBorders>
                            <w:shd w:val="clear" w:color="000000" w:fill="FFFFFF"/>
                            <w:vAlign w:val="center"/>
                            <w:hideMark/>
                          </w:tcPr>
                          <w:p w14:paraId="2151D612"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1.82832</w:t>
                            </w:r>
                          </w:p>
                        </w:tc>
                        <w:tc>
                          <w:tcPr>
                            <w:tcW w:w="720" w:type="dxa"/>
                            <w:tcBorders>
                              <w:top w:val="single" w:sz="4" w:space="0" w:color="ADD6EA"/>
                              <w:left w:val="nil"/>
                              <w:bottom w:val="nil"/>
                              <w:right w:val="nil"/>
                            </w:tcBorders>
                            <w:shd w:val="clear" w:color="000000" w:fill="FFFFFF"/>
                            <w:vAlign w:val="center"/>
                            <w:hideMark/>
                          </w:tcPr>
                          <w:p w14:paraId="5B8E3938"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1.20419</w:t>
                            </w:r>
                          </w:p>
                        </w:tc>
                        <w:tc>
                          <w:tcPr>
                            <w:tcW w:w="720" w:type="dxa"/>
                            <w:tcBorders>
                              <w:top w:val="single" w:sz="4" w:space="0" w:color="ADD6EA"/>
                              <w:left w:val="nil"/>
                              <w:bottom w:val="nil"/>
                              <w:right w:val="nil"/>
                            </w:tcBorders>
                            <w:shd w:val="clear" w:color="000000" w:fill="FFFFFF"/>
                            <w:vAlign w:val="center"/>
                            <w:hideMark/>
                          </w:tcPr>
                          <w:p w14:paraId="7A35FA86"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5.06681</w:t>
                            </w:r>
                          </w:p>
                        </w:tc>
                        <w:tc>
                          <w:tcPr>
                            <w:tcW w:w="720" w:type="dxa"/>
                            <w:tcBorders>
                              <w:top w:val="single" w:sz="4" w:space="0" w:color="ADD6EA"/>
                              <w:left w:val="nil"/>
                              <w:bottom w:val="nil"/>
                              <w:right w:val="nil"/>
                            </w:tcBorders>
                            <w:shd w:val="clear" w:color="000000" w:fill="FFFFFF"/>
                            <w:vAlign w:val="center"/>
                            <w:hideMark/>
                          </w:tcPr>
                          <w:p w14:paraId="03D8D713"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1.00000</w:t>
                            </w:r>
                          </w:p>
                        </w:tc>
                      </w:tr>
                      <w:tr w:rsidR="000E396B" w:rsidRPr="000E396B" w14:paraId="6DD81E3E" w14:textId="77777777" w:rsidTr="000E396B">
                        <w:trPr>
                          <w:trHeight w:val="315"/>
                        </w:trPr>
                        <w:tc>
                          <w:tcPr>
                            <w:tcW w:w="2460" w:type="dxa"/>
                            <w:tcBorders>
                              <w:top w:val="single" w:sz="4" w:space="0" w:color="ADD6EA"/>
                              <w:left w:val="nil"/>
                              <w:bottom w:val="nil"/>
                              <w:right w:val="nil"/>
                            </w:tcBorders>
                            <w:shd w:val="clear" w:color="000000" w:fill="FFFFFF"/>
                            <w:vAlign w:val="center"/>
                            <w:hideMark/>
                          </w:tcPr>
                          <w:p w14:paraId="462B6764" w14:textId="77777777" w:rsidR="000E396B" w:rsidRPr="000E396B" w:rsidRDefault="000E396B" w:rsidP="000E396B">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2025-26</w:t>
                            </w:r>
                          </w:p>
                        </w:tc>
                        <w:tc>
                          <w:tcPr>
                            <w:tcW w:w="720" w:type="dxa"/>
                            <w:tcBorders>
                              <w:top w:val="single" w:sz="4" w:space="0" w:color="ADD6EA"/>
                              <w:left w:val="nil"/>
                              <w:bottom w:val="nil"/>
                              <w:right w:val="nil"/>
                            </w:tcBorders>
                            <w:shd w:val="clear" w:color="000000" w:fill="FFFFFF"/>
                            <w:vAlign w:val="center"/>
                            <w:hideMark/>
                          </w:tcPr>
                          <w:p w14:paraId="0A2A333C"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0.86034</w:t>
                            </w:r>
                          </w:p>
                        </w:tc>
                        <w:tc>
                          <w:tcPr>
                            <w:tcW w:w="720" w:type="dxa"/>
                            <w:tcBorders>
                              <w:top w:val="nil"/>
                              <w:left w:val="nil"/>
                              <w:bottom w:val="nil"/>
                              <w:right w:val="nil"/>
                            </w:tcBorders>
                            <w:shd w:val="clear" w:color="000000" w:fill="FFFFFF"/>
                            <w:vAlign w:val="center"/>
                            <w:hideMark/>
                          </w:tcPr>
                          <w:p w14:paraId="0FFC385A"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1.06722</w:t>
                            </w:r>
                          </w:p>
                        </w:tc>
                        <w:tc>
                          <w:tcPr>
                            <w:tcW w:w="720" w:type="dxa"/>
                            <w:tcBorders>
                              <w:top w:val="single" w:sz="4" w:space="0" w:color="ADD6EA"/>
                              <w:left w:val="nil"/>
                              <w:bottom w:val="nil"/>
                              <w:right w:val="nil"/>
                            </w:tcBorders>
                            <w:shd w:val="clear" w:color="000000" w:fill="FFFFFF"/>
                            <w:vAlign w:val="center"/>
                            <w:hideMark/>
                          </w:tcPr>
                          <w:p w14:paraId="5A0A86F9"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0.84571</w:t>
                            </w:r>
                          </w:p>
                        </w:tc>
                        <w:tc>
                          <w:tcPr>
                            <w:tcW w:w="720" w:type="dxa"/>
                            <w:tcBorders>
                              <w:top w:val="single" w:sz="4" w:space="0" w:color="ADD6EA"/>
                              <w:left w:val="nil"/>
                              <w:bottom w:val="nil"/>
                              <w:right w:val="nil"/>
                            </w:tcBorders>
                            <w:shd w:val="clear" w:color="000000" w:fill="FFFFFF"/>
                            <w:vAlign w:val="center"/>
                            <w:hideMark/>
                          </w:tcPr>
                          <w:p w14:paraId="60E8D3B9"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0.75000</w:t>
                            </w:r>
                          </w:p>
                        </w:tc>
                        <w:tc>
                          <w:tcPr>
                            <w:tcW w:w="720" w:type="dxa"/>
                            <w:tcBorders>
                              <w:top w:val="single" w:sz="4" w:space="0" w:color="ADD6EA"/>
                              <w:left w:val="nil"/>
                              <w:bottom w:val="nil"/>
                              <w:right w:val="nil"/>
                            </w:tcBorders>
                            <w:shd w:val="clear" w:color="000000" w:fill="FFFFFF"/>
                            <w:vAlign w:val="center"/>
                            <w:hideMark/>
                          </w:tcPr>
                          <w:p w14:paraId="5F0F552B"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1.38876</w:t>
                            </w:r>
                          </w:p>
                        </w:tc>
                        <w:tc>
                          <w:tcPr>
                            <w:tcW w:w="720" w:type="dxa"/>
                            <w:tcBorders>
                              <w:top w:val="single" w:sz="4" w:space="0" w:color="ADD6EA"/>
                              <w:left w:val="nil"/>
                              <w:bottom w:val="nil"/>
                              <w:right w:val="nil"/>
                            </w:tcBorders>
                            <w:shd w:val="clear" w:color="000000" w:fill="FFFFFF"/>
                            <w:vAlign w:val="center"/>
                            <w:hideMark/>
                          </w:tcPr>
                          <w:p w14:paraId="6A434137"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1.84053</w:t>
                            </w:r>
                          </w:p>
                        </w:tc>
                        <w:tc>
                          <w:tcPr>
                            <w:tcW w:w="720" w:type="dxa"/>
                            <w:tcBorders>
                              <w:top w:val="single" w:sz="4" w:space="0" w:color="ADD6EA"/>
                              <w:left w:val="nil"/>
                              <w:bottom w:val="nil"/>
                              <w:right w:val="nil"/>
                            </w:tcBorders>
                            <w:shd w:val="clear" w:color="000000" w:fill="FFFFFF"/>
                            <w:vAlign w:val="center"/>
                            <w:hideMark/>
                          </w:tcPr>
                          <w:p w14:paraId="3129B8B8"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1.17223</w:t>
                            </w:r>
                          </w:p>
                        </w:tc>
                        <w:tc>
                          <w:tcPr>
                            <w:tcW w:w="720" w:type="dxa"/>
                            <w:tcBorders>
                              <w:top w:val="single" w:sz="4" w:space="0" w:color="ADD6EA"/>
                              <w:left w:val="nil"/>
                              <w:bottom w:val="nil"/>
                              <w:right w:val="nil"/>
                            </w:tcBorders>
                            <w:shd w:val="clear" w:color="000000" w:fill="FFFFFF"/>
                            <w:vAlign w:val="center"/>
                            <w:hideMark/>
                          </w:tcPr>
                          <w:p w14:paraId="28A0273D"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5.15112</w:t>
                            </w:r>
                          </w:p>
                        </w:tc>
                        <w:tc>
                          <w:tcPr>
                            <w:tcW w:w="720" w:type="dxa"/>
                            <w:tcBorders>
                              <w:top w:val="single" w:sz="4" w:space="0" w:color="ADD6EA"/>
                              <w:left w:val="nil"/>
                              <w:bottom w:val="nil"/>
                              <w:right w:val="nil"/>
                            </w:tcBorders>
                            <w:shd w:val="clear" w:color="000000" w:fill="FFFFFF"/>
                            <w:vAlign w:val="center"/>
                            <w:hideMark/>
                          </w:tcPr>
                          <w:p w14:paraId="230E1213"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1.00000</w:t>
                            </w:r>
                          </w:p>
                        </w:tc>
                      </w:tr>
                      <w:tr w:rsidR="000E396B" w:rsidRPr="000E396B" w14:paraId="7F1378D0" w14:textId="77777777" w:rsidTr="000E396B">
                        <w:trPr>
                          <w:trHeight w:val="255"/>
                        </w:trPr>
                        <w:tc>
                          <w:tcPr>
                            <w:tcW w:w="2460" w:type="dxa"/>
                            <w:tcBorders>
                              <w:top w:val="single" w:sz="4" w:space="0" w:color="ADD6EA"/>
                              <w:left w:val="nil"/>
                              <w:bottom w:val="single" w:sz="4" w:space="0" w:color="ADD6EA"/>
                              <w:right w:val="nil"/>
                            </w:tcBorders>
                            <w:shd w:val="clear" w:color="000000" w:fill="B6D5E4"/>
                            <w:vAlign w:val="bottom"/>
                            <w:hideMark/>
                          </w:tcPr>
                          <w:p w14:paraId="170D2B55" w14:textId="77777777" w:rsidR="000E396B" w:rsidRPr="000E396B" w:rsidRDefault="000E396B" w:rsidP="000E396B">
                            <w:pPr>
                              <w:tabs>
                                <w:tab w:val="clear" w:pos="567"/>
                              </w:tabs>
                              <w:spacing w:before="0" w:line="240" w:lineRule="auto"/>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GST shares (%)</w:t>
                            </w:r>
                          </w:p>
                        </w:tc>
                        <w:tc>
                          <w:tcPr>
                            <w:tcW w:w="720" w:type="dxa"/>
                            <w:tcBorders>
                              <w:top w:val="single" w:sz="4" w:space="0" w:color="ADD6EA"/>
                              <w:left w:val="nil"/>
                              <w:bottom w:val="single" w:sz="4" w:space="0" w:color="ADD6EA"/>
                              <w:right w:val="nil"/>
                            </w:tcBorders>
                            <w:shd w:val="clear" w:color="000000" w:fill="B6D5E4"/>
                            <w:vAlign w:val="bottom"/>
                            <w:hideMark/>
                          </w:tcPr>
                          <w:p w14:paraId="6F442AA0" w14:textId="77777777" w:rsidR="000E396B" w:rsidRPr="000E396B" w:rsidRDefault="000E396B" w:rsidP="000E396B">
                            <w:pPr>
                              <w:tabs>
                                <w:tab w:val="clear" w:pos="567"/>
                              </w:tabs>
                              <w:spacing w:before="0" w:line="240" w:lineRule="auto"/>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52438A8"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799E5AAC"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4B0969ED"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4331833D"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5D848257"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3F8932E0"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D718B1A"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57F2221C"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r>
                      <w:tr w:rsidR="000E396B" w:rsidRPr="000E396B" w14:paraId="670AF240" w14:textId="77777777" w:rsidTr="000E396B">
                        <w:trPr>
                          <w:trHeight w:val="315"/>
                        </w:trPr>
                        <w:tc>
                          <w:tcPr>
                            <w:tcW w:w="2460" w:type="dxa"/>
                            <w:tcBorders>
                              <w:top w:val="nil"/>
                              <w:left w:val="nil"/>
                              <w:bottom w:val="nil"/>
                              <w:right w:val="nil"/>
                            </w:tcBorders>
                            <w:shd w:val="clear" w:color="000000" w:fill="FFFFFF"/>
                            <w:vAlign w:val="bottom"/>
                            <w:hideMark/>
                          </w:tcPr>
                          <w:p w14:paraId="290ED24D" w14:textId="77777777" w:rsidR="000E396B" w:rsidRPr="000E396B" w:rsidRDefault="000E396B" w:rsidP="000E396B">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2024-25</w:t>
                            </w:r>
                          </w:p>
                        </w:tc>
                        <w:tc>
                          <w:tcPr>
                            <w:tcW w:w="720" w:type="dxa"/>
                            <w:tcBorders>
                              <w:top w:val="nil"/>
                              <w:left w:val="nil"/>
                              <w:bottom w:val="nil"/>
                              <w:right w:val="nil"/>
                            </w:tcBorders>
                            <w:shd w:val="clear" w:color="000000" w:fill="FFFFFF"/>
                            <w:vAlign w:val="center"/>
                            <w:hideMark/>
                          </w:tcPr>
                          <w:p w14:paraId="38A6AEDD"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27.1</w:t>
                            </w:r>
                          </w:p>
                        </w:tc>
                        <w:tc>
                          <w:tcPr>
                            <w:tcW w:w="720" w:type="dxa"/>
                            <w:tcBorders>
                              <w:top w:val="single" w:sz="4" w:space="0" w:color="ADD6EA"/>
                              <w:left w:val="nil"/>
                              <w:bottom w:val="nil"/>
                              <w:right w:val="nil"/>
                            </w:tcBorders>
                            <w:shd w:val="clear" w:color="000000" w:fill="FFFFFF"/>
                            <w:vAlign w:val="center"/>
                            <w:hideMark/>
                          </w:tcPr>
                          <w:p w14:paraId="6D8F146C"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24.8</w:t>
                            </w:r>
                          </w:p>
                        </w:tc>
                        <w:tc>
                          <w:tcPr>
                            <w:tcW w:w="720" w:type="dxa"/>
                            <w:tcBorders>
                              <w:top w:val="single" w:sz="4" w:space="0" w:color="ADD6EA"/>
                              <w:left w:val="nil"/>
                              <w:bottom w:val="nil"/>
                              <w:right w:val="nil"/>
                            </w:tcBorders>
                            <w:shd w:val="clear" w:color="000000" w:fill="FFFFFF"/>
                            <w:vAlign w:val="center"/>
                            <w:hideMark/>
                          </w:tcPr>
                          <w:p w14:paraId="250F5FA8"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19.6</w:t>
                            </w:r>
                          </w:p>
                        </w:tc>
                        <w:tc>
                          <w:tcPr>
                            <w:tcW w:w="720" w:type="dxa"/>
                            <w:tcBorders>
                              <w:top w:val="single" w:sz="4" w:space="0" w:color="ADD6EA"/>
                              <w:left w:val="nil"/>
                              <w:bottom w:val="nil"/>
                              <w:right w:val="nil"/>
                            </w:tcBorders>
                            <w:shd w:val="clear" w:color="000000" w:fill="FFFFFF"/>
                            <w:vAlign w:val="center"/>
                            <w:hideMark/>
                          </w:tcPr>
                          <w:p w14:paraId="59D58393"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8.2</w:t>
                            </w:r>
                          </w:p>
                        </w:tc>
                        <w:tc>
                          <w:tcPr>
                            <w:tcW w:w="720" w:type="dxa"/>
                            <w:tcBorders>
                              <w:top w:val="single" w:sz="4" w:space="0" w:color="ADD6EA"/>
                              <w:left w:val="nil"/>
                              <w:bottom w:val="nil"/>
                              <w:right w:val="nil"/>
                            </w:tcBorders>
                            <w:shd w:val="clear" w:color="000000" w:fill="FFFFFF"/>
                            <w:vAlign w:val="center"/>
                            <w:hideMark/>
                          </w:tcPr>
                          <w:p w14:paraId="6F258C8B"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9.7</w:t>
                            </w:r>
                          </w:p>
                        </w:tc>
                        <w:tc>
                          <w:tcPr>
                            <w:tcW w:w="720" w:type="dxa"/>
                            <w:tcBorders>
                              <w:top w:val="single" w:sz="4" w:space="0" w:color="ADD6EA"/>
                              <w:left w:val="nil"/>
                              <w:bottom w:val="nil"/>
                              <w:right w:val="nil"/>
                            </w:tcBorders>
                            <w:shd w:val="clear" w:color="000000" w:fill="FFFFFF"/>
                            <w:vAlign w:val="center"/>
                            <w:hideMark/>
                          </w:tcPr>
                          <w:p w14:paraId="0E8DB127"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3.8</w:t>
                            </w:r>
                          </w:p>
                        </w:tc>
                        <w:tc>
                          <w:tcPr>
                            <w:tcW w:w="720" w:type="dxa"/>
                            <w:tcBorders>
                              <w:top w:val="single" w:sz="4" w:space="0" w:color="ADD6EA"/>
                              <w:left w:val="nil"/>
                              <w:bottom w:val="nil"/>
                              <w:right w:val="nil"/>
                            </w:tcBorders>
                            <w:shd w:val="clear" w:color="000000" w:fill="FFFFFF"/>
                            <w:vAlign w:val="center"/>
                            <w:hideMark/>
                          </w:tcPr>
                          <w:p w14:paraId="6CD1D3FF"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2.1</w:t>
                            </w:r>
                          </w:p>
                        </w:tc>
                        <w:tc>
                          <w:tcPr>
                            <w:tcW w:w="720" w:type="dxa"/>
                            <w:tcBorders>
                              <w:top w:val="single" w:sz="4" w:space="0" w:color="ADD6EA"/>
                              <w:left w:val="nil"/>
                              <w:bottom w:val="nil"/>
                              <w:right w:val="nil"/>
                            </w:tcBorders>
                            <w:shd w:val="clear" w:color="000000" w:fill="FFFFFF"/>
                            <w:vAlign w:val="center"/>
                            <w:hideMark/>
                          </w:tcPr>
                          <w:p w14:paraId="48BECBA2"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4.7</w:t>
                            </w:r>
                          </w:p>
                        </w:tc>
                        <w:tc>
                          <w:tcPr>
                            <w:tcW w:w="720" w:type="dxa"/>
                            <w:tcBorders>
                              <w:top w:val="single" w:sz="4" w:space="0" w:color="ADD6EA"/>
                              <w:left w:val="nil"/>
                              <w:bottom w:val="nil"/>
                              <w:right w:val="nil"/>
                            </w:tcBorders>
                            <w:shd w:val="clear" w:color="000000" w:fill="FFFFFF"/>
                            <w:vAlign w:val="center"/>
                            <w:hideMark/>
                          </w:tcPr>
                          <w:p w14:paraId="5A96D234"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100</w:t>
                            </w:r>
                          </w:p>
                        </w:tc>
                      </w:tr>
                      <w:tr w:rsidR="000E396B" w:rsidRPr="000E396B" w14:paraId="118F334C" w14:textId="77777777" w:rsidTr="000E396B">
                        <w:trPr>
                          <w:trHeight w:val="315"/>
                        </w:trPr>
                        <w:tc>
                          <w:tcPr>
                            <w:tcW w:w="2460" w:type="dxa"/>
                            <w:tcBorders>
                              <w:top w:val="single" w:sz="4" w:space="0" w:color="ADD6EA"/>
                              <w:left w:val="nil"/>
                              <w:bottom w:val="nil"/>
                              <w:right w:val="nil"/>
                            </w:tcBorders>
                            <w:shd w:val="clear" w:color="000000" w:fill="FFFFFF"/>
                            <w:vAlign w:val="bottom"/>
                            <w:hideMark/>
                          </w:tcPr>
                          <w:p w14:paraId="29FC6787" w14:textId="77777777" w:rsidR="000E396B" w:rsidRPr="000E396B" w:rsidRDefault="000E396B" w:rsidP="000E396B">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2025-26</w:t>
                            </w:r>
                          </w:p>
                        </w:tc>
                        <w:tc>
                          <w:tcPr>
                            <w:tcW w:w="720" w:type="dxa"/>
                            <w:tcBorders>
                              <w:top w:val="single" w:sz="4" w:space="0" w:color="ADD6EA"/>
                              <w:left w:val="nil"/>
                              <w:bottom w:val="nil"/>
                              <w:right w:val="nil"/>
                            </w:tcBorders>
                            <w:shd w:val="clear" w:color="000000" w:fill="FFFFFF"/>
                            <w:vAlign w:val="center"/>
                            <w:hideMark/>
                          </w:tcPr>
                          <w:p w14:paraId="531C7D8F"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26.8</w:t>
                            </w:r>
                          </w:p>
                        </w:tc>
                        <w:tc>
                          <w:tcPr>
                            <w:tcW w:w="720" w:type="dxa"/>
                            <w:tcBorders>
                              <w:top w:val="single" w:sz="4" w:space="0" w:color="ADD6EA"/>
                              <w:left w:val="nil"/>
                              <w:bottom w:val="nil"/>
                              <w:right w:val="nil"/>
                            </w:tcBorders>
                            <w:shd w:val="clear" w:color="000000" w:fill="FFFFFF"/>
                            <w:vAlign w:val="center"/>
                            <w:hideMark/>
                          </w:tcPr>
                          <w:p w14:paraId="0709B6C9"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27.5</w:t>
                            </w:r>
                          </w:p>
                        </w:tc>
                        <w:tc>
                          <w:tcPr>
                            <w:tcW w:w="720" w:type="dxa"/>
                            <w:tcBorders>
                              <w:top w:val="single" w:sz="4" w:space="0" w:color="ADD6EA"/>
                              <w:left w:val="nil"/>
                              <w:bottom w:val="nil"/>
                              <w:right w:val="nil"/>
                            </w:tcBorders>
                            <w:shd w:val="clear" w:color="000000" w:fill="FFFFFF"/>
                            <w:vAlign w:val="center"/>
                            <w:hideMark/>
                          </w:tcPr>
                          <w:p w14:paraId="1AB5FCB6"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17.4</w:t>
                            </w:r>
                          </w:p>
                        </w:tc>
                        <w:tc>
                          <w:tcPr>
                            <w:tcW w:w="720" w:type="dxa"/>
                            <w:tcBorders>
                              <w:top w:val="single" w:sz="4" w:space="0" w:color="ADD6EA"/>
                              <w:left w:val="nil"/>
                              <w:bottom w:val="nil"/>
                              <w:right w:val="nil"/>
                            </w:tcBorders>
                            <w:shd w:val="clear" w:color="000000" w:fill="FFFFFF"/>
                            <w:vAlign w:val="center"/>
                            <w:hideMark/>
                          </w:tcPr>
                          <w:p w14:paraId="52AC94BA"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8.2</w:t>
                            </w:r>
                          </w:p>
                        </w:tc>
                        <w:tc>
                          <w:tcPr>
                            <w:tcW w:w="720" w:type="dxa"/>
                            <w:tcBorders>
                              <w:top w:val="single" w:sz="4" w:space="0" w:color="ADD6EA"/>
                              <w:left w:val="nil"/>
                              <w:bottom w:val="nil"/>
                              <w:right w:val="nil"/>
                            </w:tcBorders>
                            <w:shd w:val="clear" w:color="000000" w:fill="FFFFFF"/>
                            <w:vAlign w:val="center"/>
                            <w:hideMark/>
                          </w:tcPr>
                          <w:p w14:paraId="41D28FC4"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9.5</w:t>
                            </w:r>
                          </w:p>
                        </w:tc>
                        <w:tc>
                          <w:tcPr>
                            <w:tcW w:w="720" w:type="dxa"/>
                            <w:tcBorders>
                              <w:top w:val="single" w:sz="4" w:space="0" w:color="ADD6EA"/>
                              <w:left w:val="nil"/>
                              <w:bottom w:val="nil"/>
                              <w:right w:val="nil"/>
                            </w:tcBorders>
                            <w:shd w:val="clear" w:color="000000" w:fill="FFFFFF"/>
                            <w:vAlign w:val="center"/>
                            <w:hideMark/>
                          </w:tcPr>
                          <w:p w14:paraId="45E23722"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3.8</w:t>
                            </w:r>
                          </w:p>
                        </w:tc>
                        <w:tc>
                          <w:tcPr>
                            <w:tcW w:w="720" w:type="dxa"/>
                            <w:tcBorders>
                              <w:top w:val="single" w:sz="4" w:space="0" w:color="ADD6EA"/>
                              <w:left w:val="nil"/>
                              <w:bottom w:val="nil"/>
                              <w:right w:val="nil"/>
                            </w:tcBorders>
                            <w:shd w:val="clear" w:color="000000" w:fill="FFFFFF"/>
                            <w:vAlign w:val="center"/>
                            <w:hideMark/>
                          </w:tcPr>
                          <w:p w14:paraId="1269E088"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2.0</w:t>
                            </w:r>
                          </w:p>
                        </w:tc>
                        <w:tc>
                          <w:tcPr>
                            <w:tcW w:w="720" w:type="dxa"/>
                            <w:tcBorders>
                              <w:top w:val="single" w:sz="4" w:space="0" w:color="ADD6EA"/>
                              <w:left w:val="nil"/>
                              <w:bottom w:val="nil"/>
                              <w:right w:val="nil"/>
                            </w:tcBorders>
                            <w:shd w:val="clear" w:color="000000" w:fill="FFFFFF"/>
                            <w:vAlign w:val="center"/>
                            <w:hideMark/>
                          </w:tcPr>
                          <w:p w14:paraId="02D77855"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4.8</w:t>
                            </w:r>
                          </w:p>
                        </w:tc>
                        <w:tc>
                          <w:tcPr>
                            <w:tcW w:w="720" w:type="dxa"/>
                            <w:tcBorders>
                              <w:top w:val="single" w:sz="4" w:space="0" w:color="ADD6EA"/>
                              <w:left w:val="nil"/>
                              <w:bottom w:val="nil"/>
                              <w:right w:val="nil"/>
                            </w:tcBorders>
                            <w:shd w:val="clear" w:color="000000" w:fill="FFFFFF"/>
                            <w:vAlign w:val="center"/>
                            <w:hideMark/>
                          </w:tcPr>
                          <w:p w14:paraId="1F300DD4"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100</w:t>
                            </w:r>
                          </w:p>
                        </w:tc>
                      </w:tr>
                      <w:tr w:rsidR="000E396B" w:rsidRPr="000E396B" w14:paraId="1E8FBF9E" w14:textId="77777777" w:rsidTr="000E396B">
                        <w:trPr>
                          <w:trHeight w:val="255"/>
                        </w:trPr>
                        <w:tc>
                          <w:tcPr>
                            <w:tcW w:w="3180" w:type="dxa"/>
                            <w:gridSpan w:val="2"/>
                            <w:tcBorders>
                              <w:top w:val="single" w:sz="4" w:space="0" w:color="ADD6EA"/>
                              <w:left w:val="nil"/>
                              <w:bottom w:val="single" w:sz="4" w:space="0" w:color="ADD6EA"/>
                              <w:right w:val="nil"/>
                            </w:tcBorders>
                            <w:shd w:val="clear" w:color="000000" w:fill="B6D5E4"/>
                            <w:vAlign w:val="bottom"/>
                            <w:hideMark/>
                          </w:tcPr>
                          <w:p w14:paraId="3DAF9458" w14:textId="77777777" w:rsidR="000E396B" w:rsidRPr="000E396B" w:rsidRDefault="000E396B" w:rsidP="000E396B">
                            <w:pPr>
                              <w:tabs>
                                <w:tab w:val="clear" w:pos="567"/>
                              </w:tabs>
                              <w:spacing w:before="0" w:line="240" w:lineRule="auto"/>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GST distribution ($m)</w:t>
                            </w:r>
                          </w:p>
                        </w:tc>
                        <w:tc>
                          <w:tcPr>
                            <w:tcW w:w="720" w:type="dxa"/>
                            <w:tcBorders>
                              <w:top w:val="single" w:sz="4" w:space="0" w:color="ADD6EA"/>
                              <w:left w:val="nil"/>
                              <w:bottom w:val="nil"/>
                              <w:right w:val="nil"/>
                            </w:tcBorders>
                            <w:shd w:val="clear" w:color="000000" w:fill="B6D5E4"/>
                            <w:vAlign w:val="bottom"/>
                            <w:hideMark/>
                          </w:tcPr>
                          <w:p w14:paraId="13DAD47B"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4D16245C"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657DC7AB"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561DAB1"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360F7D89"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B4FC451"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E2B1F36"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7590E8B"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r>
                      <w:tr w:rsidR="000E396B" w:rsidRPr="000E396B" w14:paraId="51E41FB7" w14:textId="77777777" w:rsidTr="000E396B">
                        <w:trPr>
                          <w:trHeight w:val="315"/>
                        </w:trPr>
                        <w:tc>
                          <w:tcPr>
                            <w:tcW w:w="2460" w:type="dxa"/>
                            <w:tcBorders>
                              <w:top w:val="nil"/>
                              <w:left w:val="nil"/>
                              <w:bottom w:val="nil"/>
                              <w:right w:val="nil"/>
                            </w:tcBorders>
                            <w:shd w:val="clear" w:color="000000" w:fill="FFFFFF"/>
                            <w:vAlign w:val="bottom"/>
                            <w:hideMark/>
                          </w:tcPr>
                          <w:p w14:paraId="0BB6D111" w14:textId="77777777" w:rsidR="000E396B" w:rsidRPr="000E396B" w:rsidRDefault="000E396B" w:rsidP="000E396B">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2024-25</w:t>
                            </w:r>
                          </w:p>
                        </w:tc>
                        <w:tc>
                          <w:tcPr>
                            <w:tcW w:w="720" w:type="dxa"/>
                            <w:tcBorders>
                              <w:top w:val="nil"/>
                              <w:left w:val="nil"/>
                              <w:bottom w:val="nil"/>
                              <w:right w:val="nil"/>
                            </w:tcBorders>
                            <w:shd w:val="clear" w:color="000000" w:fill="FFFFFF"/>
                            <w:vAlign w:val="center"/>
                            <w:hideMark/>
                          </w:tcPr>
                          <w:p w14:paraId="7F7F2348"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24,540</w:t>
                            </w:r>
                          </w:p>
                        </w:tc>
                        <w:tc>
                          <w:tcPr>
                            <w:tcW w:w="720" w:type="dxa"/>
                            <w:tcBorders>
                              <w:top w:val="single" w:sz="4" w:space="0" w:color="ADD6EA"/>
                              <w:left w:val="nil"/>
                              <w:bottom w:val="nil"/>
                              <w:right w:val="nil"/>
                            </w:tcBorders>
                            <w:shd w:val="clear" w:color="000000" w:fill="FFFFFF"/>
                            <w:vAlign w:val="center"/>
                            <w:hideMark/>
                          </w:tcPr>
                          <w:p w14:paraId="4B798481"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22,491</w:t>
                            </w:r>
                          </w:p>
                        </w:tc>
                        <w:tc>
                          <w:tcPr>
                            <w:tcW w:w="720" w:type="dxa"/>
                            <w:tcBorders>
                              <w:top w:val="single" w:sz="4" w:space="0" w:color="ADD6EA"/>
                              <w:left w:val="nil"/>
                              <w:bottom w:val="nil"/>
                              <w:right w:val="nil"/>
                            </w:tcBorders>
                            <w:shd w:val="clear" w:color="000000" w:fill="FFFFFF"/>
                            <w:vAlign w:val="center"/>
                            <w:hideMark/>
                          </w:tcPr>
                          <w:p w14:paraId="0FDD32BD"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17,751</w:t>
                            </w:r>
                          </w:p>
                        </w:tc>
                        <w:tc>
                          <w:tcPr>
                            <w:tcW w:w="720" w:type="dxa"/>
                            <w:tcBorders>
                              <w:top w:val="single" w:sz="4" w:space="0" w:color="ADD6EA"/>
                              <w:left w:val="nil"/>
                              <w:bottom w:val="nil"/>
                              <w:right w:val="nil"/>
                            </w:tcBorders>
                            <w:shd w:val="clear" w:color="000000" w:fill="FFFFFF"/>
                            <w:vAlign w:val="center"/>
                            <w:hideMark/>
                          </w:tcPr>
                          <w:p w14:paraId="33F04963"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7,435</w:t>
                            </w:r>
                          </w:p>
                        </w:tc>
                        <w:tc>
                          <w:tcPr>
                            <w:tcW w:w="720" w:type="dxa"/>
                            <w:tcBorders>
                              <w:top w:val="single" w:sz="4" w:space="0" w:color="ADD6EA"/>
                              <w:left w:val="nil"/>
                              <w:bottom w:val="nil"/>
                              <w:right w:val="nil"/>
                            </w:tcBorders>
                            <w:shd w:val="clear" w:color="000000" w:fill="FFFFFF"/>
                            <w:vAlign w:val="center"/>
                            <w:hideMark/>
                          </w:tcPr>
                          <w:p w14:paraId="243C34CE"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8,753</w:t>
                            </w:r>
                          </w:p>
                        </w:tc>
                        <w:tc>
                          <w:tcPr>
                            <w:tcW w:w="720" w:type="dxa"/>
                            <w:tcBorders>
                              <w:top w:val="single" w:sz="4" w:space="0" w:color="ADD6EA"/>
                              <w:left w:val="nil"/>
                              <w:bottom w:val="nil"/>
                              <w:right w:val="nil"/>
                            </w:tcBorders>
                            <w:shd w:val="clear" w:color="000000" w:fill="FFFFFF"/>
                            <w:vAlign w:val="center"/>
                            <w:hideMark/>
                          </w:tcPr>
                          <w:p w14:paraId="34C29482"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3,484</w:t>
                            </w:r>
                          </w:p>
                        </w:tc>
                        <w:tc>
                          <w:tcPr>
                            <w:tcW w:w="720" w:type="dxa"/>
                            <w:tcBorders>
                              <w:top w:val="single" w:sz="4" w:space="0" w:color="ADD6EA"/>
                              <w:left w:val="nil"/>
                              <w:bottom w:val="nil"/>
                              <w:right w:val="nil"/>
                            </w:tcBorders>
                            <w:shd w:val="clear" w:color="000000" w:fill="FFFFFF"/>
                            <w:vAlign w:val="center"/>
                            <w:hideMark/>
                          </w:tcPr>
                          <w:p w14:paraId="27C8189E"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1,899</w:t>
                            </w:r>
                          </w:p>
                        </w:tc>
                        <w:tc>
                          <w:tcPr>
                            <w:tcW w:w="720" w:type="dxa"/>
                            <w:tcBorders>
                              <w:top w:val="single" w:sz="4" w:space="0" w:color="ADD6EA"/>
                              <w:left w:val="nil"/>
                              <w:bottom w:val="nil"/>
                              <w:right w:val="nil"/>
                            </w:tcBorders>
                            <w:shd w:val="clear" w:color="000000" w:fill="FFFFFF"/>
                            <w:vAlign w:val="center"/>
                            <w:hideMark/>
                          </w:tcPr>
                          <w:p w14:paraId="426533A0"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4,279</w:t>
                            </w:r>
                          </w:p>
                        </w:tc>
                        <w:tc>
                          <w:tcPr>
                            <w:tcW w:w="720" w:type="dxa"/>
                            <w:tcBorders>
                              <w:top w:val="single" w:sz="4" w:space="0" w:color="ADD6EA"/>
                              <w:left w:val="nil"/>
                              <w:bottom w:val="nil"/>
                              <w:right w:val="nil"/>
                            </w:tcBorders>
                            <w:shd w:val="clear" w:color="000000" w:fill="FFFFFF"/>
                            <w:vAlign w:val="center"/>
                            <w:hideMark/>
                          </w:tcPr>
                          <w:p w14:paraId="3F7A4CE1"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90,631</w:t>
                            </w:r>
                          </w:p>
                        </w:tc>
                      </w:tr>
                      <w:tr w:rsidR="000E396B" w:rsidRPr="000E396B" w14:paraId="0EC8220D" w14:textId="77777777" w:rsidTr="000E396B">
                        <w:trPr>
                          <w:trHeight w:val="315"/>
                        </w:trPr>
                        <w:tc>
                          <w:tcPr>
                            <w:tcW w:w="2460" w:type="dxa"/>
                            <w:tcBorders>
                              <w:top w:val="single" w:sz="4" w:space="0" w:color="ADD6EA"/>
                              <w:left w:val="nil"/>
                              <w:bottom w:val="nil"/>
                              <w:right w:val="nil"/>
                            </w:tcBorders>
                            <w:shd w:val="clear" w:color="000000" w:fill="FFFFFF"/>
                            <w:vAlign w:val="bottom"/>
                            <w:hideMark/>
                          </w:tcPr>
                          <w:p w14:paraId="37A1905D" w14:textId="77777777" w:rsidR="000E396B" w:rsidRPr="000E396B" w:rsidRDefault="000E396B" w:rsidP="000E396B">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2025-26</w:t>
                            </w:r>
                          </w:p>
                        </w:tc>
                        <w:tc>
                          <w:tcPr>
                            <w:tcW w:w="720" w:type="dxa"/>
                            <w:tcBorders>
                              <w:top w:val="single" w:sz="4" w:space="0" w:color="ADD6EA"/>
                              <w:left w:val="nil"/>
                              <w:bottom w:val="nil"/>
                              <w:right w:val="nil"/>
                            </w:tcBorders>
                            <w:shd w:val="clear" w:color="000000" w:fill="FFFFFF"/>
                            <w:vAlign w:val="center"/>
                            <w:hideMark/>
                          </w:tcPr>
                          <w:p w14:paraId="4C2C144E"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25,482</w:t>
                            </w:r>
                          </w:p>
                        </w:tc>
                        <w:tc>
                          <w:tcPr>
                            <w:tcW w:w="720" w:type="dxa"/>
                            <w:tcBorders>
                              <w:top w:val="single" w:sz="4" w:space="0" w:color="ADD6EA"/>
                              <w:left w:val="nil"/>
                              <w:bottom w:val="nil"/>
                              <w:right w:val="nil"/>
                            </w:tcBorders>
                            <w:shd w:val="clear" w:color="000000" w:fill="FFFFFF"/>
                            <w:vAlign w:val="center"/>
                            <w:hideMark/>
                          </w:tcPr>
                          <w:p w14:paraId="5213C9FA"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26,147</w:t>
                            </w:r>
                          </w:p>
                        </w:tc>
                        <w:tc>
                          <w:tcPr>
                            <w:tcW w:w="720" w:type="dxa"/>
                            <w:tcBorders>
                              <w:top w:val="single" w:sz="4" w:space="0" w:color="ADD6EA"/>
                              <w:left w:val="nil"/>
                              <w:bottom w:val="nil"/>
                              <w:right w:val="nil"/>
                            </w:tcBorders>
                            <w:shd w:val="clear" w:color="000000" w:fill="FFFFFF"/>
                            <w:vAlign w:val="center"/>
                            <w:hideMark/>
                          </w:tcPr>
                          <w:p w14:paraId="5C386D43"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16,562</w:t>
                            </w:r>
                          </w:p>
                        </w:tc>
                        <w:tc>
                          <w:tcPr>
                            <w:tcW w:w="720" w:type="dxa"/>
                            <w:tcBorders>
                              <w:top w:val="single" w:sz="4" w:space="0" w:color="ADD6EA"/>
                              <w:left w:val="nil"/>
                              <w:bottom w:val="nil"/>
                              <w:right w:val="nil"/>
                            </w:tcBorders>
                            <w:shd w:val="clear" w:color="000000" w:fill="FFFFFF"/>
                            <w:vAlign w:val="center"/>
                            <w:hideMark/>
                          </w:tcPr>
                          <w:p w14:paraId="7BC47D53"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7,830</w:t>
                            </w:r>
                          </w:p>
                        </w:tc>
                        <w:tc>
                          <w:tcPr>
                            <w:tcW w:w="720" w:type="dxa"/>
                            <w:tcBorders>
                              <w:top w:val="single" w:sz="4" w:space="0" w:color="ADD6EA"/>
                              <w:left w:val="nil"/>
                              <w:bottom w:val="nil"/>
                              <w:right w:val="nil"/>
                            </w:tcBorders>
                            <w:shd w:val="clear" w:color="000000" w:fill="FFFFFF"/>
                            <w:vAlign w:val="center"/>
                            <w:hideMark/>
                          </w:tcPr>
                          <w:p w14:paraId="3C08DF20"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9,032</w:t>
                            </w:r>
                          </w:p>
                        </w:tc>
                        <w:tc>
                          <w:tcPr>
                            <w:tcW w:w="720" w:type="dxa"/>
                            <w:tcBorders>
                              <w:top w:val="single" w:sz="4" w:space="0" w:color="ADD6EA"/>
                              <w:left w:val="nil"/>
                              <w:bottom w:val="nil"/>
                              <w:right w:val="nil"/>
                            </w:tcBorders>
                            <w:shd w:val="clear" w:color="000000" w:fill="FFFFFF"/>
                            <w:vAlign w:val="center"/>
                            <w:hideMark/>
                          </w:tcPr>
                          <w:p w14:paraId="3B649FC6"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3,635</w:t>
                            </w:r>
                          </w:p>
                        </w:tc>
                        <w:tc>
                          <w:tcPr>
                            <w:tcW w:w="720" w:type="dxa"/>
                            <w:tcBorders>
                              <w:top w:val="single" w:sz="4" w:space="0" w:color="ADD6EA"/>
                              <w:left w:val="nil"/>
                              <w:bottom w:val="nil"/>
                              <w:right w:val="nil"/>
                            </w:tcBorders>
                            <w:shd w:val="clear" w:color="000000" w:fill="FFFFFF"/>
                            <w:vAlign w:val="center"/>
                            <w:hideMark/>
                          </w:tcPr>
                          <w:p w14:paraId="1E523DE8"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1,934</w:t>
                            </w:r>
                          </w:p>
                        </w:tc>
                        <w:tc>
                          <w:tcPr>
                            <w:tcW w:w="720" w:type="dxa"/>
                            <w:tcBorders>
                              <w:top w:val="single" w:sz="4" w:space="0" w:color="ADD6EA"/>
                              <w:left w:val="nil"/>
                              <w:bottom w:val="nil"/>
                              <w:right w:val="nil"/>
                            </w:tcBorders>
                            <w:shd w:val="clear" w:color="000000" w:fill="FFFFFF"/>
                            <w:vAlign w:val="center"/>
                            <w:hideMark/>
                          </w:tcPr>
                          <w:p w14:paraId="541DB1FD"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4,527</w:t>
                            </w:r>
                          </w:p>
                        </w:tc>
                        <w:tc>
                          <w:tcPr>
                            <w:tcW w:w="720" w:type="dxa"/>
                            <w:tcBorders>
                              <w:top w:val="single" w:sz="4" w:space="0" w:color="ADD6EA"/>
                              <w:left w:val="nil"/>
                              <w:bottom w:val="nil"/>
                              <w:right w:val="nil"/>
                            </w:tcBorders>
                            <w:shd w:val="clear" w:color="000000" w:fill="FFFFFF"/>
                            <w:vAlign w:val="center"/>
                            <w:hideMark/>
                          </w:tcPr>
                          <w:p w14:paraId="12422668"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95,150</w:t>
                            </w:r>
                          </w:p>
                        </w:tc>
                      </w:tr>
                      <w:tr w:rsidR="000E396B" w:rsidRPr="000E396B" w14:paraId="2F31B395" w14:textId="77777777" w:rsidTr="000E396B">
                        <w:trPr>
                          <w:trHeight w:val="315"/>
                        </w:trPr>
                        <w:tc>
                          <w:tcPr>
                            <w:tcW w:w="2460" w:type="dxa"/>
                            <w:tcBorders>
                              <w:top w:val="single" w:sz="4" w:space="0" w:color="ADD6EA"/>
                              <w:left w:val="nil"/>
                              <w:bottom w:val="single" w:sz="4" w:space="0" w:color="ADD6EA"/>
                              <w:right w:val="nil"/>
                            </w:tcBorders>
                            <w:shd w:val="clear" w:color="000000" w:fill="D6E7F0"/>
                            <w:vAlign w:val="bottom"/>
                            <w:hideMark/>
                          </w:tcPr>
                          <w:p w14:paraId="2ECEFE07" w14:textId="77777777" w:rsidR="000E396B" w:rsidRPr="000E396B" w:rsidRDefault="000E396B" w:rsidP="000E396B">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Difference</w:t>
                            </w:r>
                          </w:p>
                        </w:tc>
                        <w:tc>
                          <w:tcPr>
                            <w:tcW w:w="720" w:type="dxa"/>
                            <w:tcBorders>
                              <w:top w:val="single" w:sz="4" w:space="0" w:color="ADD6EA"/>
                              <w:left w:val="nil"/>
                              <w:bottom w:val="single" w:sz="4" w:space="0" w:color="ADD6EA"/>
                              <w:right w:val="nil"/>
                            </w:tcBorders>
                            <w:shd w:val="clear" w:color="000000" w:fill="D6E7F0"/>
                            <w:vAlign w:val="center"/>
                            <w:hideMark/>
                          </w:tcPr>
                          <w:p w14:paraId="55F419F3"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942</w:t>
                            </w:r>
                          </w:p>
                        </w:tc>
                        <w:tc>
                          <w:tcPr>
                            <w:tcW w:w="720" w:type="dxa"/>
                            <w:tcBorders>
                              <w:top w:val="single" w:sz="4" w:space="0" w:color="ADD6EA"/>
                              <w:left w:val="nil"/>
                              <w:bottom w:val="single" w:sz="4" w:space="0" w:color="ADD6EA"/>
                              <w:right w:val="nil"/>
                            </w:tcBorders>
                            <w:shd w:val="clear" w:color="000000" w:fill="D6E7F0"/>
                            <w:vAlign w:val="center"/>
                            <w:hideMark/>
                          </w:tcPr>
                          <w:p w14:paraId="10945D17"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3,657</w:t>
                            </w:r>
                          </w:p>
                        </w:tc>
                        <w:tc>
                          <w:tcPr>
                            <w:tcW w:w="720" w:type="dxa"/>
                            <w:tcBorders>
                              <w:top w:val="single" w:sz="4" w:space="0" w:color="ADD6EA"/>
                              <w:left w:val="nil"/>
                              <w:bottom w:val="single" w:sz="4" w:space="0" w:color="ADD6EA"/>
                              <w:right w:val="nil"/>
                            </w:tcBorders>
                            <w:shd w:val="clear" w:color="000000" w:fill="D6E7F0"/>
                            <w:vAlign w:val="center"/>
                            <w:hideMark/>
                          </w:tcPr>
                          <w:p w14:paraId="26C3FEB8"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-1,189</w:t>
                            </w:r>
                          </w:p>
                        </w:tc>
                        <w:tc>
                          <w:tcPr>
                            <w:tcW w:w="720" w:type="dxa"/>
                            <w:tcBorders>
                              <w:top w:val="single" w:sz="4" w:space="0" w:color="ADD6EA"/>
                              <w:left w:val="nil"/>
                              <w:bottom w:val="single" w:sz="4" w:space="0" w:color="ADD6EA"/>
                              <w:right w:val="nil"/>
                            </w:tcBorders>
                            <w:shd w:val="clear" w:color="000000" w:fill="D6E7F0"/>
                            <w:vAlign w:val="center"/>
                            <w:hideMark/>
                          </w:tcPr>
                          <w:p w14:paraId="480F97A2"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395</w:t>
                            </w:r>
                          </w:p>
                        </w:tc>
                        <w:tc>
                          <w:tcPr>
                            <w:tcW w:w="720" w:type="dxa"/>
                            <w:tcBorders>
                              <w:top w:val="single" w:sz="4" w:space="0" w:color="ADD6EA"/>
                              <w:left w:val="nil"/>
                              <w:bottom w:val="single" w:sz="4" w:space="0" w:color="ADD6EA"/>
                              <w:right w:val="nil"/>
                            </w:tcBorders>
                            <w:shd w:val="clear" w:color="000000" w:fill="D6E7F0"/>
                            <w:vAlign w:val="center"/>
                            <w:hideMark/>
                          </w:tcPr>
                          <w:p w14:paraId="193903EF"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279</w:t>
                            </w:r>
                          </w:p>
                        </w:tc>
                        <w:tc>
                          <w:tcPr>
                            <w:tcW w:w="720" w:type="dxa"/>
                            <w:tcBorders>
                              <w:top w:val="single" w:sz="4" w:space="0" w:color="ADD6EA"/>
                              <w:left w:val="nil"/>
                              <w:bottom w:val="nil"/>
                              <w:right w:val="nil"/>
                            </w:tcBorders>
                            <w:shd w:val="clear" w:color="000000" w:fill="D6E7F0"/>
                            <w:vAlign w:val="center"/>
                            <w:hideMark/>
                          </w:tcPr>
                          <w:p w14:paraId="3B58B8BF"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151</w:t>
                            </w:r>
                          </w:p>
                        </w:tc>
                        <w:tc>
                          <w:tcPr>
                            <w:tcW w:w="720" w:type="dxa"/>
                            <w:tcBorders>
                              <w:top w:val="single" w:sz="4" w:space="0" w:color="ADD6EA"/>
                              <w:left w:val="nil"/>
                              <w:bottom w:val="single" w:sz="4" w:space="0" w:color="ADD6EA"/>
                              <w:right w:val="nil"/>
                            </w:tcBorders>
                            <w:shd w:val="clear" w:color="000000" w:fill="D6E7F0"/>
                            <w:vAlign w:val="center"/>
                            <w:hideMark/>
                          </w:tcPr>
                          <w:p w14:paraId="55B457D2"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35</w:t>
                            </w:r>
                          </w:p>
                        </w:tc>
                        <w:tc>
                          <w:tcPr>
                            <w:tcW w:w="720" w:type="dxa"/>
                            <w:tcBorders>
                              <w:top w:val="single" w:sz="4" w:space="0" w:color="ADD6EA"/>
                              <w:left w:val="nil"/>
                              <w:bottom w:val="single" w:sz="4" w:space="0" w:color="ADD6EA"/>
                              <w:right w:val="nil"/>
                            </w:tcBorders>
                            <w:shd w:val="clear" w:color="000000" w:fill="D6E7F0"/>
                            <w:vAlign w:val="center"/>
                            <w:hideMark/>
                          </w:tcPr>
                          <w:p w14:paraId="0299E45E"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248</w:t>
                            </w:r>
                          </w:p>
                        </w:tc>
                        <w:tc>
                          <w:tcPr>
                            <w:tcW w:w="720" w:type="dxa"/>
                            <w:tcBorders>
                              <w:top w:val="single" w:sz="4" w:space="0" w:color="ADD6EA"/>
                              <w:left w:val="nil"/>
                              <w:bottom w:val="single" w:sz="4" w:space="0" w:color="ADD6EA"/>
                              <w:right w:val="nil"/>
                            </w:tcBorders>
                            <w:shd w:val="clear" w:color="000000" w:fill="D6E7F0"/>
                            <w:vAlign w:val="center"/>
                            <w:hideMark/>
                          </w:tcPr>
                          <w:p w14:paraId="64DA8BCA"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4,519</w:t>
                            </w:r>
                          </w:p>
                        </w:tc>
                      </w:tr>
                      <w:tr w:rsidR="000E396B" w:rsidRPr="000E396B" w14:paraId="26C877CA" w14:textId="77777777" w:rsidTr="000E396B">
                        <w:trPr>
                          <w:trHeight w:val="255"/>
                        </w:trPr>
                        <w:tc>
                          <w:tcPr>
                            <w:tcW w:w="3180" w:type="dxa"/>
                            <w:gridSpan w:val="2"/>
                            <w:tcBorders>
                              <w:top w:val="single" w:sz="4" w:space="0" w:color="ADD6EA"/>
                              <w:left w:val="nil"/>
                              <w:bottom w:val="single" w:sz="4" w:space="0" w:color="ADD6EA"/>
                              <w:right w:val="nil"/>
                            </w:tcBorders>
                            <w:shd w:val="clear" w:color="000000" w:fill="B6D5E4"/>
                            <w:vAlign w:val="bottom"/>
                            <w:hideMark/>
                          </w:tcPr>
                          <w:p w14:paraId="20C31487" w14:textId="77777777" w:rsidR="000E396B" w:rsidRPr="000E396B" w:rsidRDefault="000E396B" w:rsidP="000E396B">
                            <w:pPr>
                              <w:tabs>
                                <w:tab w:val="clear" w:pos="567"/>
                              </w:tabs>
                              <w:spacing w:before="0" w:line="240" w:lineRule="auto"/>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GST distribution ($pc)</w:t>
                            </w:r>
                          </w:p>
                        </w:tc>
                        <w:tc>
                          <w:tcPr>
                            <w:tcW w:w="720" w:type="dxa"/>
                            <w:tcBorders>
                              <w:top w:val="nil"/>
                              <w:left w:val="nil"/>
                              <w:bottom w:val="single" w:sz="4" w:space="0" w:color="ADD6EA"/>
                              <w:right w:val="nil"/>
                            </w:tcBorders>
                            <w:shd w:val="clear" w:color="000000" w:fill="B6D5E4"/>
                            <w:vAlign w:val="bottom"/>
                            <w:hideMark/>
                          </w:tcPr>
                          <w:p w14:paraId="76F737C3" w14:textId="77777777" w:rsidR="000E396B" w:rsidRPr="000E396B" w:rsidRDefault="000E396B" w:rsidP="000E396B">
                            <w:pPr>
                              <w:tabs>
                                <w:tab w:val="clear" w:pos="567"/>
                              </w:tabs>
                              <w:spacing w:before="0" w:line="240" w:lineRule="auto"/>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052320F0"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2FB35CA6"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0EF60E65"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single" w:sz="4" w:space="0" w:color="ADD6EA"/>
                              <w:right w:val="nil"/>
                            </w:tcBorders>
                            <w:shd w:val="clear" w:color="000000" w:fill="B6D5E4"/>
                            <w:vAlign w:val="bottom"/>
                            <w:hideMark/>
                          </w:tcPr>
                          <w:p w14:paraId="1092F41D"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70ABB195"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05C8920D"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7A97A601"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 </w:t>
                            </w:r>
                          </w:p>
                        </w:tc>
                      </w:tr>
                      <w:tr w:rsidR="000E396B" w:rsidRPr="000E396B" w14:paraId="5524C5DE" w14:textId="77777777" w:rsidTr="000E396B">
                        <w:trPr>
                          <w:trHeight w:val="315"/>
                        </w:trPr>
                        <w:tc>
                          <w:tcPr>
                            <w:tcW w:w="2460" w:type="dxa"/>
                            <w:tcBorders>
                              <w:top w:val="nil"/>
                              <w:left w:val="nil"/>
                              <w:bottom w:val="nil"/>
                              <w:right w:val="nil"/>
                            </w:tcBorders>
                            <w:shd w:val="clear" w:color="000000" w:fill="FFFFFF"/>
                            <w:vAlign w:val="bottom"/>
                            <w:hideMark/>
                          </w:tcPr>
                          <w:p w14:paraId="73A84AEF" w14:textId="77777777" w:rsidR="000E396B" w:rsidRPr="000E396B" w:rsidRDefault="000E396B" w:rsidP="000E396B">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2024-25</w:t>
                            </w:r>
                          </w:p>
                        </w:tc>
                        <w:tc>
                          <w:tcPr>
                            <w:tcW w:w="720" w:type="dxa"/>
                            <w:tcBorders>
                              <w:top w:val="nil"/>
                              <w:left w:val="nil"/>
                              <w:bottom w:val="single" w:sz="4" w:space="0" w:color="ADD6EA"/>
                              <w:right w:val="nil"/>
                            </w:tcBorders>
                            <w:shd w:val="clear" w:color="000000" w:fill="FFFFFF"/>
                            <w:vAlign w:val="center"/>
                            <w:hideMark/>
                          </w:tcPr>
                          <w:p w14:paraId="1A4FA8C4"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2,832</w:t>
                            </w:r>
                          </w:p>
                        </w:tc>
                        <w:tc>
                          <w:tcPr>
                            <w:tcW w:w="720" w:type="dxa"/>
                            <w:tcBorders>
                              <w:top w:val="nil"/>
                              <w:left w:val="nil"/>
                              <w:bottom w:val="single" w:sz="4" w:space="0" w:color="ADD6EA"/>
                              <w:right w:val="nil"/>
                            </w:tcBorders>
                            <w:shd w:val="clear" w:color="000000" w:fill="FFFFFF"/>
                            <w:vAlign w:val="center"/>
                            <w:hideMark/>
                          </w:tcPr>
                          <w:p w14:paraId="7D0A1714"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3,137</w:t>
                            </w:r>
                          </w:p>
                        </w:tc>
                        <w:tc>
                          <w:tcPr>
                            <w:tcW w:w="720" w:type="dxa"/>
                            <w:tcBorders>
                              <w:top w:val="nil"/>
                              <w:left w:val="nil"/>
                              <w:bottom w:val="single" w:sz="4" w:space="0" w:color="ADD6EA"/>
                              <w:right w:val="nil"/>
                            </w:tcBorders>
                            <w:shd w:val="clear" w:color="000000" w:fill="FFFFFF"/>
                            <w:vAlign w:val="center"/>
                            <w:hideMark/>
                          </w:tcPr>
                          <w:p w14:paraId="07245D18"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3,098</w:t>
                            </w:r>
                          </w:p>
                        </w:tc>
                        <w:tc>
                          <w:tcPr>
                            <w:tcW w:w="720" w:type="dxa"/>
                            <w:tcBorders>
                              <w:top w:val="nil"/>
                              <w:left w:val="nil"/>
                              <w:bottom w:val="single" w:sz="4" w:space="0" w:color="ADD6EA"/>
                              <w:right w:val="nil"/>
                            </w:tcBorders>
                            <w:shd w:val="clear" w:color="000000" w:fill="FFFFFF"/>
                            <w:vAlign w:val="center"/>
                            <w:hideMark/>
                          </w:tcPr>
                          <w:p w14:paraId="19141AE4"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2,434</w:t>
                            </w:r>
                          </w:p>
                        </w:tc>
                        <w:tc>
                          <w:tcPr>
                            <w:tcW w:w="720" w:type="dxa"/>
                            <w:tcBorders>
                              <w:top w:val="nil"/>
                              <w:left w:val="nil"/>
                              <w:bottom w:val="single" w:sz="4" w:space="0" w:color="ADD6EA"/>
                              <w:right w:val="nil"/>
                            </w:tcBorders>
                            <w:shd w:val="clear" w:color="000000" w:fill="FFFFFF"/>
                            <w:vAlign w:val="center"/>
                            <w:hideMark/>
                          </w:tcPr>
                          <w:p w14:paraId="33586702"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4,599</w:t>
                            </w:r>
                          </w:p>
                        </w:tc>
                        <w:tc>
                          <w:tcPr>
                            <w:tcW w:w="720" w:type="dxa"/>
                            <w:tcBorders>
                              <w:top w:val="nil"/>
                              <w:left w:val="nil"/>
                              <w:bottom w:val="single" w:sz="4" w:space="0" w:color="ADD6EA"/>
                              <w:right w:val="nil"/>
                            </w:tcBorders>
                            <w:shd w:val="clear" w:color="000000" w:fill="FFFFFF"/>
                            <w:vAlign w:val="center"/>
                            <w:hideMark/>
                          </w:tcPr>
                          <w:p w14:paraId="61748AD2"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6,030</w:t>
                            </w:r>
                          </w:p>
                        </w:tc>
                        <w:tc>
                          <w:tcPr>
                            <w:tcW w:w="720" w:type="dxa"/>
                            <w:tcBorders>
                              <w:top w:val="nil"/>
                              <w:left w:val="nil"/>
                              <w:bottom w:val="single" w:sz="4" w:space="0" w:color="ADD6EA"/>
                              <w:right w:val="nil"/>
                            </w:tcBorders>
                            <w:shd w:val="clear" w:color="000000" w:fill="FFFFFF"/>
                            <w:vAlign w:val="center"/>
                            <w:hideMark/>
                          </w:tcPr>
                          <w:p w14:paraId="4EFE84FD"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3,933</w:t>
                            </w:r>
                          </w:p>
                        </w:tc>
                        <w:tc>
                          <w:tcPr>
                            <w:tcW w:w="720" w:type="dxa"/>
                            <w:tcBorders>
                              <w:top w:val="nil"/>
                              <w:left w:val="nil"/>
                              <w:bottom w:val="single" w:sz="4" w:space="0" w:color="ADD6EA"/>
                              <w:right w:val="nil"/>
                            </w:tcBorders>
                            <w:shd w:val="clear" w:color="000000" w:fill="FFFFFF"/>
                            <w:vAlign w:val="center"/>
                            <w:hideMark/>
                          </w:tcPr>
                          <w:p w14:paraId="1540AA91"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16,639</w:t>
                            </w:r>
                          </w:p>
                        </w:tc>
                        <w:tc>
                          <w:tcPr>
                            <w:tcW w:w="720" w:type="dxa"/>
                            <w:tcBorders>
                              <w:top w:val="nil"/>
                              <w:left w:val="nil"/>
                              <w:bottom w:val="single" w:sz="4" w:space="0" w:color="ADD6EA"/>
                              <w:right w:val="nil"/>
                            </w:tcBorders>
                            <w:shd w:val="clear" w:color="000000" w:fill="FFFFFF"/>
                            <w:vAlign w:val="center"/>
                            <w:hideMark/>
                          </w:tcPr>
                          <w:p w14:paraId="6CDC292E" w14:textId="77777777" w:rsidR="000E396B" w:rsidRPr="000E396B" w:rsidRDefault="000E396B" w:rsidP="000E39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E396B">
                              <w:rPr>
                                <w:rFonts w:ascii="Open Sans Light" w:eastAsia="Times New Roman" w:hAnsi="Open Sans Light" w:cs="Open Sans Light"/>
                                <w:color w:val="000000"/>
                                <w:sz w:val="16"/>
                                <w:szCs w:val="16"/>
                                <w:lang w:eastAsia="en-AU"/>
                              </w:rPr>
                              <w:t>3,255</w:t>
                            </w:r>
                          </w:p>
                        </w:tc>
                      </w:tr>
                      <w:tr w:rsidR="000E396B" w:rsidRPr="000E396B" w14:paraId="6D54720B" w14:textId="77777777" w:rsidTr="000E396B">
                        <w:trPr>
                          <w:trHeight w:val="315"/>
                        </w:trPr>
                        <w:tc>
                          <w:tcPr>
                            <w:tcW w:w="2460" w:type="dxa"/>
                            <w:tcBorders>
                              <w:top w:val="single" w:sz="4" w:space="0" w:color="ADD6EA"/>
                              <w:left w:val="nil"/>
                              <w:bottom w:val="nil"/>
                              <w:right w:val="nil"/>
                            </w:tcBorders>
                            <w:shd w:val="clear" w:color="000000" w:fill="FFFFFF"/>
                            <w:vAlign w:val="bottom"/>
                            <w:hideMark/>
                          </w:tcPr>
                          <w:p w14:paraId="7EC7AEBC" w14:textId="77777777" w:rsidR="000E396B" w:rsidRPr="000E396B" w:rsidRDefault="000E396B" w:rsidP="000E396B">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2025-26</w:t>
                            </w:r>
                          </w:p>
                        </w:tc>
                        <w:tc>
                          <w:tcPr>
                            <w:tcW w:w="720" w:type="dxa"/>
                            <w:tcBorders>
                              <w:top w:val="nil"/>
                              <w:left w:val="nil"/>
                              <w:bottom w:val="single" w:sz="4" w:space="0" w:color="ADD6EA"/>
                              <w:right w:val="nil"/>
                            </w:tcBorders>
                            <w:shd w:val="clear" w:color="000000" w:fill="FFFFFF"/>
                            <w:vAlign w:val="center"/>
                            <w:hideMark/>
                          </w:tcPr>
                          <w:p w14:paraId="4D876160"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2,940</w:t>
                            </w:r>
                          </w:p>
                        </w:tc>
                        <w:tc>
                          <w:tcPr>
                            <w:tcW w:w="720" w:type="dxa"/>
                            <w:tcBorders>
                              <w:top w:val="nil"/>
                              <w:left w:val="nil"/>
                              <w:bottom w:val="single" w:sz="4" w:space="0" w:color="ADD6EA"/>
                              <w:right w:val="nil"/>
                            </w:tcBorders>
                            <w:shd w:val="clear" w:color="000000" w:fill="FFFFFF"/>
                            <w:vAlign w:val="center"/>
                            <w:hideMark/>
                          </w:tcPr>
                          <w:p w14:paraId="5DAF7C1C"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3,647</w:t>
                            </w:r>
                          </w:p>
                        </w:tc>
                        <w:tc>
                          <w:tcPr>
                            <w:tcW w:w="720" w:type="dxa"/>
                            <w:tcBorders>
                              <w:top w:val="nil"/>
                              <w:left w:val="nil"/>
                              <w:bottom w:val="single" w:sz="4" w:space="0" w:color="ADD6EA"/>
                              <w:right w:val="nil"/>
                            </w:tcBorders>
                            <w:shd w:val="clear" w:color="000000" w:fill="FFFFFF"/>
                            <w:vAlign w:val="center"/>
                            <w:hideMark/>
                          </w:tcPr>
                          <w:p w14:paraId="30392F04"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2,890</w:t>
                            </w:r>
                          </w:p>
                        </w:tc>
                        <w:tc>
                          <w:tcPr>
                            <w:tcW w:w="720" w:type="dxa"/>
                            <w:tcBorders>
                              <w:top w:val="nil"/>
                              <w:left w:val="nil"/>
                              <w:bottom w:val="single" w:sz="4" w:space="0" w:color="ADD6EA"/>
                              <w:right w:val="nil"/>
                            </w:tcBorders>
                            <w:shd w:val="clear" w:color="000000" w:fill="FFFFFF"/>
                            <w:vAlign w:val="center"/>
                            <w:hideMark/>
                          </w:tcPr>
                          <w:p w14:paraId="1CCD7510"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2,563</w:t>
                            </w:r>
                          </w:p>
                        </w:tc>
                        <w:tc>
                          <w:tcPr>
                            <w:tcW w:w="720" w:type="dxa"/>
                            <w:tcBorders>
                              <w:top w:val="nil"/>
                              <w:left w:val="nil"/>
                              <w:bottom w:val="single" w:sz="4" w:space="0" w:color="ADD6EA"/>
                              <w:right w:val="nil"/>
                            </w:tcBorders>
                            <w:shd w:val="clear" w:color="000000" w:fill="FFFFFF"/>
                            <w:vAlign w:val="center"/>
                            <w:hideMark/>
                          </w:tcPr>
                          <w:p w14:paraId="11109AAB"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4,746</w:t>
                            </w:r>
                          </w:p>
                        </w:tc>
                        <w:tc>
                          <w:tcPr>
                            <w:tcW w:w="720" w:type="dxa"/>
                            <w:tcBorders>
                              <w:top w:val="nil"/>
                              <w:left w:val="nil"/>
                              <w:bottom w:val="single" w:sz="4" w:space="0" w:color="ADD6EA"/>
                              <w:right w:val="nil"/>
                            </w:tcBorders>
                            <w:shd w:val="clear" w:color="000000" w:fill="FFFFFF"/>
                            <w:vAlign w:val="center"/>
                            <w:hideMark/>
                          </w:tcPr>
                          <w:p w14:paraId="450A39E8"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6,290</w:t>
                            </w:r>
                          </w:p>
                        </w:tc>
                        <w:tc>
                          <w:tcPr>
                            <w:tcW w:w="720" w:type="dxa"/>
                            <w:tcBorders>
                              <w:top w:val="nil"/>
                              <w:left w:val="nil"/>
                              <w:bottom w:val="single" w:sz="4" w:space="0" w:color="ADD6EA"/>
                              <w:right w:val="nil"/>
                            </w:tcBorders>
                            <w:shd w:val="clear" w:color="000000" w:fill="FFFFFF"/>
                            <w:vAlign w:val="center"/>
                            <w:hideMark/>
                          </w:tcPr>
                          <w:p w14:paraId="345C646E"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4,006</w:t>
                            </w:r>
                          </w:p>
                        </w:tc>
                        <w:tc>
                          <w:tcPr>
                            <w:tcW w:w="720" w:type="dxa"/>
                            <w:tcBorders>
                              <w:top w:val="nil"/>
                              <w:left w:val="nil"/>
                              <w:bottom w:val="single" w:sz="4" w:space="0" w:color="ADD6EA"/>
                              <w:right w:val="nil"/>
                            </w:tcBorders>
                            <w:shd w:val="clear" w:color="000000" w:fill="FFFFFF"/>
                            <w:vAlign w:val="center"/>
                            <w:hideMark/>
                          </w:tcPr>
                          <w:p w14:paraId="5785A00F"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17,605</w:t>
                            </w:r>
                          </w:p>
                        </w:tc>
                        <w:tc>
                          <w:tcPr>
                            <w:tcW w:w="720" w:type="dxa"/>
                            <w:tcBorders>
                              <w:top w:val="nil"/>
                              <w:left w:val="nil"/>
                              <w:bottom w:val="single" w:sz="4" w:space="0" w:color="ADD6EA"/>
                              <w:right w:val="nil"/>
                            </w:tcBorders>
                            <w:shd w:val="clear" w:color="000000" w:fill="FFFFFF"/>
                            <w:vAlign w:val="center"/>
                            <w:hideMark/>
                          </w:tcPr>
                          <w:p w14:paraId="3C5A3FF5"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3,418</w:t>
                            </w:r>
                          </w:p>
                        </w:tc>
                      </w:tr>
                      <w:tr w:rsidR="000E396B" w:rsidRPr="000E396B" w14:paraId="5C5ABE0E" w14:textId="77777777" w:rsidTr="000E396B">
                        <w:trPr>
                          <w:trHeight w:val="315"/>
                        </w:trPr>
                        <w:tc>
                          <w:tcPr>
                            <w:tcW w:w="2460" w:type="dxa"/>
                            <w:tcBorders>
                              <w:top w:val="single" w:sz="4" w:space="0" w:color="ADD6EA"/>
                              <w:left w:val="nil"/>
                              <w:bottom w:val="single" w:sz="4" w:space="0" w:color="ADD6EA"/>
                              <w:right w:val="nil"/>
                            </w:tcBorders>
                            <w:shd w:val="clear" w:color="000000" w:fill="D6E7F0"/>
                            <w:vAlign w:val="bottom"/>
                            <w:hideMark/>
                          </w:tcPr>
                          <w:p w14:paraId="5BA7FA3E" w14:textId="77777777" w:rsidR="000E396B" w:rsidRPr="000E396B" w:rsidRDefault="000E396B" w:rsidP="000E396B">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Difference</w:t>
                            </w:r>
                          </w:p>
                        </w:tc>
                        <w:tc>
                          <w:tcPr>
                            <w:tcW w:w="720" w:type="dxa"/>
                            <w:tcBorders>
                              <w:top w:val="nil"/>
                              <w:left w:val="nil"/>
                              <w:bottom w:val="single" w:sz="4" w:space="0" w:color="ADD6EA"/>
                              <w:right w:val="nil"/>
                            </w:tcBorders>
                            <w:shd w:val="clear" w:color="000000" w:fill="D6E7F0"/>
                            <w:vAlign w:val="center"/>
                            <w:hideMark/>
                          </w:tcPr>
                          <w:p w14:paraId="56380C3E"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109</w:t>
                            </w:r>
                          </w:p>
                        </w:tc>
                        <w:tc>
                          <w:tcPr>
                            <w:tcW w:w="720" w:type="dxa"/>
                            <w:tcBorders>
                              <w:top w:val="nil"/>
                              <w:left w:val="nil"/>
                              <w:bottom w:val="single" w:sz="4" w:space="0" w:color="ADD6EA"/>
                              <w:right w:val="nil"/>
                            </w:tcBorders>
                            <w:shd w:val="clear" w:color="000000" w:fill="D6E7F0"/>
                            <w:vAlign w:val="center"/>
                            <w:hideMark/>
                          </w:tcPr>
                          <w:p w14:paraId="3F3A79B2"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510</w:t>
                            </w:r>
                          </w:p>
                        </w:tc>
                        <w:tc>
                          <w:tcPr>
                            <w:tcW w:w="720" w:type="dxa"/>
                            <w:tcBorders>
                              <w:top w:val="nil"/>
                              <w:left w:val="nil"/>
                              <w:bottom w:val="single" w:sz="4" w:space="0" w:color="ADD6EA"/>
                              <w:right w:val="nil"/>
                            </w:tcBorders>
                            <w:shd w:val="clear" w:color="000000" w:fill="D6E7F0"/>
                            <w:vAlign w:val="center"/>
                            <w:hideMark/>
                          </w:tcPr>
                          <w:p w14:paraId="415B6CF8"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-208</w:t>
                            </w:r>
                          </w:p>
                        </w:tc>
                        <w:tc>
                          <w:tcPr>
                            <w:tcW w:w="720" w:type="dxa"/>
                            <w:tcBorders>
                              <w:top w:val="nil"/>
                              <w:left w:val="nil"/>
                              <w:bottom w:val="single" w:sz="4" w:space="0" w:color="ADD6EA"/>
                              <w:right w:val="nil"/>
                            </w:tcBorders>
                            <w:shd w:val="clear" w:color="000000" w:fill="D6E7F0"/>
                            <w:vAlign w:val="center"/>
                            <w:hideMark/>
                          </w:tcPr>
                          <w:p w14:paraId="6B702E9F"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129</w:t>
                            </w:r>
                          </w:p>
                        </w:tc>
                        <w:tc>
                          <w:tcPr>
                            <w:tcW w:w="720" w:type="dxa"/>
                            <w:tcBorders>
                              <w:top w:val="nil"/>
                              <w:left w:val="nil"/>
                              <w:bottom w:val="single" w:sz="4" w:space="0" w:color="ADD6EA"/>
                              <w:right w:val="nil"/>
                            </w:tcBorders>
                            <w:shd w:val="clear" w:color="000000" w:fill="D6E7F0"/>
                            <w:vAlign w:val="center"/>
                            <w:hideMark/>
                          </w:tcPr>
                          <w:p w14:paraId="49B9835F"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147</w:t>
                            </w:r>
                          </w:p>
                        </w:tc>
                        <w:tc>
                          <w:tcPr>
                            <w:tcW w:w="720" w:type="dxa"/>
                            <w:tcBorders>
                              <w:top w:val="nil"/>
                              <w:left w:val="nil"/>
                              <w:bottom w:val="single" w:sz="4" w:space="0" w:color="ADD6EA"/>
                              <w:right w:val="nil"/>
                            </w:tcBorders>
                            <w:shd w:val="clear" w:color="000000" w:fill="D6E7F0"/>
                            <w:vAlign w:val="center"/>
                            <w:hideMark/>
                          </w:tcPr>
                          <w:p w14:paraId="6CF1A5DB"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261</w:t>
                            </w:r>
                          </w:p>
                        </w:tc>
                        <w:tc>
                          <w:tcPr>
                            <w:tcW w:w="720" w:type="dxa"/>
                            <w:tcBorders>
                              <w:top w:val="nil"/>
                              <w:left w:val="nil"/>
                              <w:bottom w:val="single" w:sz="4" w:space="0" w:color="ADD6EA"/>
                              <w:right w:val="nil"/>
                            </w:tcBorders>
                            <w:shd w:val="clear" w:color="000000" w:fill="D6E7F0"/>
                            <w:vAlign w:val="center"/>
                            <w:hideMark/>
                          </w:tcPr>
                          <w:p w14:paraId="0D74B44E"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73</w:t>
                            </w:r>
                          </w:p>
                        </w:tc>
                        <w:tc>
                          <w:tcPr>
                            <w:tcW w:w="720" w:type="dxa"/>
                            <w:tcBorders>
                              <w:top w:val="nil"/>
                              <w:left w:val="nil"/>
                              <w:bottom w:val="single" w:sz="4" w:space="0" w:color="ADD6EA"/>
                              <w:right w:val="nil"/>
                            </w:tcBorders>
                            <w:shd w:val="clear" w:color="000000" w:fill="D6E7F0"/>
                            <w:vAlign w:val="center"/>
                            <w:hideMark/>
                          </w:tcPr>
                          <w:p w14:paraId="5135BD9F"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966</w:t>
                            </w:r>
                          </w:p>
                        </w:tc>
                        <w:tc>
                          <w:tcPr>
                            <w:tcW w:w="720" w:type="dxa"/>
                            <w:tcBorders>
                              <w:top w:val="nil"/>
                              <w:left w:val="nil"/>
                              <w:bottom w:val="single" w:sz="4" w:space="0" w:color="ADD6EA"/>
                              <w:right w:val="nil"/>
                            </w:tcBorders>
                            <w:shd w:val="clear" w:color="000000" w:fill="D6E7F0"/>
                            <w:vAlign w:val="center"/>
                            <w:hideMark/>
                          </w:tcPr>
                          <w:p w14:paraId="15B859D3" w14:textId="77777777" w:rsidR="000E396B" w:rsidRPr="000E396B" w:rsidRDefault="000E396B" w:rsidP="000E39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E396B">
                              <w:rPr>
                                <w:rFonts w:ascii="Open Sans Semibold" w:eastAsia="Times New Roman" w:hAnsi="Open Sans Semibold" w:cs="Open Sans Semibold"/>
                                <w:color w:val="000000"/>
                                <w:sz w:val="16"/>
                                <w:szCs w:val="16"/>
                                <w:lang w:eastAsia="en-AU"/>
                              </w:rPr>
                              <w:t>162</w:t>
                            </w:r>
                          </w:p>
                        </w:tc>
                      </w:tr>
                    </w:tbl>
                    <w:p w14:paraId="5C8CC5E3" w14:textId="77777777" w:rsidR="00533780" w:rsidRPr="002C0D38" w:rsidRDefault="00533780" w:rsidP="00C746A5">
                      <w:pPr>
                        <w:pStyle w:val="CGC2025TableNote"/>
                        <w:rPr>
                          <w:color w:val="FF0000"/>
                        </w:rPr>
                      </w:pPr>
                      <w:r w:rsidRPr="00293C06">
                        <w:t>Note: Estimates subject to changes in the GST pool and populations.</w:t>
                      </w:r>
                      <w:r>
                        <w:t xml:space="preserve"> </w:t>
                      </w:r>
                    </w:p>
                    <w:p w14:paraId="01BD1AFA" w14:textId="41436D06" w:rsidR="00B86BA0" w:rsidRDefault="00B86BA0" w:rsidP="00BF2B74">
                      <w:pPr>
                        <w:pStyle w:val="Heading2"/>
                        <w:spacing w:before="240" w:after="120"/>
                        <w:ind w:right="6"/>
                      </w:pPr>
                      <w:r>
                        <w:t>Overview</w:t>
                      </w:r>
                      <w:bookmarkEnd w:id="56"/>
                      <w:bookmarkEnd w:id="57"/>
                      <w:bookmarkEnd w:id="58"/>
                      <w:bookmarkEnd w:id="59"/>
                      <w:bookmarkEnd w:id="60"/>
                      <w:bookmarkEnd w:id="61"/>
                      <w:bookmarkEnd w:id="62"/>
                      <w:bookmarkEnd w:id="63"/>
                    </w:p>
                    <w:p w14:paraId="4EC08811" w14:textId="339A8381" w:rsidR="00B86BA0" w:rsidRDefault="00B86BA0" w:rsidP="00B86BA0">
                      <w:pPr>
                        <w:ind w:right="6"/>
                      </w:pPr>
                      <w:r>
                        <w:t xml:space="preserve">Recommended GST relativities in </w:t>
                      </w:r>
                      <w:r w:rsidRPr="001E4D5F">
                        <w:t>2025–26</w:t>
                      </w:r>
                      <w:r>
                        <w:t xml:space="preserve"> reflect changes in </w:t>
                      </w:r>
                      <w:r w:rsidRPr="004963EF">
                        <w:t>state circumstances</w:t>
                      </w:r>
                      <w:r>
                        <w:t xml:space="preserve">, </w:t>
                      </w:r>
                      <w:r w:rsidR="0040157D">
                        <w:t xml:space="preserve">which </w:t>
                      </w:r>
                      <w:r w:rsidR="00C97862">
                        <w:t xml:space="preserve">are </w:t>
                      </w:r>
                      <w:r>
                        <w:t xml:space="preserve">predominantly </w:t>
                      </w:r>
                      <w:r w:rsidR="0040157D">
                        <w:t xml:space="preserve">driven by </w:t>
                      </w:r>
                      <w:r>
                        <w:t>changes in</w:t>
                      </w:r>
                      <w:r w:rsidRPr="00362DFB">
                        <w:t xml:space="preserve"> mining royalties</w:t>
                      </w:r>
                      <w:r w:rsidR="00C73E04">
                        <w:t xml:space="preserve"> and</w:t>
                      </w:r>
                      <w:r w:rsidRPr="00362DFB">
                        <w:t xml:space="preserve"> population growth. Implementing</w:t>
                      </w:r>
                      <w:r w:rsidR="00F13869">
                        <w:t xml:space="preserve"> changes </w:t>
                      </w:r>
                      <w:r w:rsidR="00C9584D">
                        <w:t>in</w:t>
                      </w:r>
                      <w:r w:rsidRPr="00362DFB">
                        <w:t xml:space="preserve"> assessment methods</w:t>
                      </w:r>
                      <w:r w:rsidR="00050BDC">
                        <w:t xml:space="preserve"> from the 2025</w:t>
                      </w:r>
                      <w:r w:rsidR="006B385E">
                        <w:t> </w:t>
                      </w:r>
                      <w:r w:rsidR="00C97862">
                        <w:t>R</w:t>
                      </w:r>
                      <w:r w:rsidR="00050BDC">
                        <w:t>eview</w:t>
                      </w:r>
                      <w:r w:rsidRPr="00362DFB">
                        <w:t>, particularly the assessment of COVID-19 health and business support expenses</w:t>
                      </w:r>
                      <w:r w:rsidR="009F6EE7">
                        <w:t xml:space="preserve"> (see Box 2-1)</w:t>
                      </w:r>
                      <w:r w:rsidRPr="00362DFB">
                        <w:t>,</w:t>
                      </w:r>
                      <w:r w:rsidR="00927CA5">
                        <w:t xml:space="preserve"> </w:t>
                      </w:r>
                      <w:r w:rsidRPr="00362DFB">
                        <w:t xml:space="preserve">also impacted </w:t>
                      </w:r>
                      <w:r w:rsidR="00465A7B">
                        <w:t xml:space="preserve">the </w:t>
                      </w:r>
                      <w:r w:rsidRPr="00362DFB">
                        <w:t>GST distribution.</w:t>
                      </w:r>
                    </w:p>
                    <w:p w14:paraId="4B30C434" w14:textId="55CC723C" w:rsidR="00B86BA0" w:rsidRDefault="00B86BA0" w:rsidP="00B86BA0">
                      <w:pPr>
                        <w:ind w:right="6"/>
                      </w:pPr>
                      <w:r>
                        <w:t xml:space="preserve">Under the </w:t>
                      </w:r>
                      <w:r w:rsidR="00C9584D">
                        <w:t>20</w:t>
                      </w:r>
                      <w:r w:rsidR="009330EB">
                        <w:t>1</w:t>
                      </w:r>
                      <w:r w:rsidR="00C9584D">
                        <w:t xml:space="preserve">8 </w:t>
                      </w:r>
                      <w:r w:rsidR="000B0391">
                        <w:t>GST distribution legislation</w:t>
                      </w:r>
                      <w:r>
                        <w:t xml:space="preserve">, this is the </w:t>
                      </w:r>
                      <w:r w:rsidRPr="001E4D5F">
                        <w:t xml:space="preserve">fifth </w:t>
                      </w:r>
                      <w:r w:rsidR="00B3453E">
                        <w:t xml:space="preserve">and final </w:t>
                      </w:r>
                      <w:r w:rsidRPr="001E4D5F">
                        <w:t xml:space="preserve">year in which assessed and standard state relativities </w:t>
                      </w:r>
                      <w:r w:rsidR="00C649A8">
                        <w:t xml:space="preserve">will be </w:t>
                      </w:r>
                      <w:r w:rsidR="002F0463">
                        <w:t xml:space="preserve">blended </w:t>
                      </w:r>
                      <w:r w:rsidR="006232D5">
                        <w:t>under the transitional arrangements.</w:t>
                      </w:r>
                      <w:r w:rsidRPr="001E4D5F">
                        <w:t xml:space="preserve"> It is the second year</w:t>
                      </w:r>
                      <w:r>
                        <w:t xml:space="preserve"> in which the GST relativity floor is 0.75. </w:t>
                      </w:r>
                      <w:r w:rsidR="00E07295">
                        <w:t xml:space="preserve">The combination of </w:t>
                      </w:r>
                      <w:r>
                        <w:t>blending relativities from the previous and</w:t>
                      </w:r>
                      <w:r w:rsidR="002A6338">
                        <w:t xml:space="preserve"> </w:t>
                      </w:r>
                      <w:r w:rsidR="002A6338" w:rsidRPr="00CA2FD1">
                        <w:t>20</w:t>
                      </w:r>
                      <w:r w:rsidR="005F7991" w:rsidRPr="00CA2FD1">
                        <w:t>1</w:t>
                      </w:r>
                      <w:r w:rsidR="002A6338" w:rsidRPr="00CA2FD1">
                        <w:t xml:space="preserve">8 </w:t>
                      </w:r>
                      <w:r w:rsidR="00210BF0" w:rsidRPr="00CA2FD1">
                        <w:t xml:space="preserve">GST distribution </w:t>
                      </w:r>
                      <w:r w:rsidRPr="00CA2FD1">
                        <w:t>arrangements</w:t>
                      </w:r>
                      <w:r>
                        <w:t xml:space="preserve"> </w:t>
                      </w:r>
                      <w:r w:rsidR="00E07295">
                        <w:t>and implementing</w:t>
                      </w:r>
                      <w:r>
                        <w:t xml:space="preserve"> the GST </w:t>
                      </w:r>
                      <w:r w:rsidR="00E07295">
                        <w:t xml:space="preserve">relativity </w:t>
                      </w:r>
                      <w:r>
                        <w:t>floor continues to have a significant impact on GST distribution outcomes.</w:t>
                      </w:r>
                    </w:p>
                  </w:txbxContent>
                </v:textbox>
                <w10:wrap type="square" anchorx="margin" anchory="margin"/>
              </v:shape>
            </w:pict>
          </mc:Fallback>
        </mc:AlternateContent>
      </w:r>
      <w:r w:rsidR="20946057" w:rsidRPr="00AB1E40">
        <w:t>Executive summary</w:t>
      </w:r>
      <w:bookmarkEnd w:id="28"/>
      <w:bookmarkEnd w:id="29"/>
    </w:p>
    <w:p w14:paraId="0687ACE2" w14:textId="298DCDD4" w:rsidR="00714D9C" w:rsidRPr="00611FE1" w:rsidRDefault="00327DC4" w:rsidP="00611FE1">
      <w:pPr>
        <w:rPr>
          <w:highlight w:val="lightGray"/>
        </w:rPr>
      </w:pPr>
      <w:r>
        <w:rPr>
          <w:rFonts w:ascii="Times New Roman" w:hAnsi="Times New Roman" w:cs="Times New Roman"/>
          <w:noProof/>
          <w:sz w:val="24"/>
          <w:szCs w:val="24"/>
          <w:lang w:eastAsia="en-AU"/>
        </w:rPr>
        <w:lastRenderedPageBreak/>
        <mc:AlternateContent>
          <mc:Choice Requires="wps">
            <w:drawing>
              <wp:anchor distT="45720" distB="45720" distL="114300" distR="114300" simplePos="0" relativeHeight="251658242" behindDoc="0" locked="0" layoutInCell="1" allowOverlap="1" wp14:anchorId="519A29E7" wp14:editId="27007203">
                <wp:simplePos x="0" y="0"/>
                <wp:positionH relativeFrom="margin">
                  <wp:align>left</wp:align>
                </wp:positionH>
                <wp:positionV relativeFrom="paragraph">
                  <wp:posOffset>0</wp:posOffset>
                </wp:positionV>
                <wp:extent cx="5853430" cy="8843645"/>
                <wp:effectExtent l="0" t="0" r="13970" b="14605"/>
                <wp:wrapSquare wrapText="bothSides"/>
                <wp:docPr id="1232713158" name="Text Box 1232713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430" cy="8844077"/>
                        </a:xfrm>
                        <a:prstGeom prst="rect">
                          <a:avLst/>
                        </a:prstGeom>
                        <a:solidFill>
                          <a:srgbClr val="E5F8FF"/>
                        </a:solidFill>
                        <a:ln w="9525">
                          <a:solidFill>
                            <a:schemeClr val="bg1"/>
                          </a:solidFill>
                          <a:miter lim="800000"/>
                          <a:headEnd/>
                          <a:tailEnd/>
                        </a:ln>
                      </wps:spPr>
                      <wps:txbx>
                        <w:txbxContent>
                          <w:p w14:paraId="62330862" w14:textId="19EC2887" w:rsidR="00E40B2A" w:rsidRPr="00E366D7" w:rsidRDefault="00E40B2A" w:rsidP="00E40B2A">
                            <w:pPr>
                              <w:ind w:right="6"/>
                              <w:rPr>
                                <w:i/>
                              </w:rPr>
                            </w:pPr>
                            <w:r w:rsidRPr="00362DFB">
                              <w:t>Victoria’s GST distribution is estimated to increase significantly from last year</w:t>
                            </w:r>
                            <w:r w:rsidR="00566B3B">
                              <w:t>.</w:t>
                            </w:r>
                            <w:r w:rsidRPr="00362DFB">
                              <w:t xml:space="preserve"> This is largely driven by its lower capacity to raise mining revenue relative </w:t>
                            </w:r>
                            <w:r w:rsidR="000E5899" w:rsidRPr="00362DFB">
                              <w:t xml:space="preserve">to </w:t>
                            </w:r>
                            <w:r w:rsidR="000E5899">
                              <w:t>the</w:t>
                            </w:r>
                            <w:r w:rsidR="00454C62">
                              <w:t xml:space="preserve"> </w:t>
                            </w:r>
                            <w:r w:rsidR="004B0726" w:rsidRPr="0098004D">
                              <w:t xml:space="preserve">main </w:t>
                            </w:r>
                            <w:r w:rsidR="00454C62">
                              <w:t>mining</w:t>
                            </w:r>
                            <w:r w:rsidRPr="00362DFB">
                              <w:t xml:space="preserve"> states</w:t>
                            </w:r>
                            <w:r w:rsidR="0093709C" w:rsidRPr="0093709C">
                              <w:t xml:space="preserve"> </w:t>
                            </w:r>
                            <w:r w:rsidR="0093709C">
                              <w:t>and</w:t>
                            </w:r>
                            <w:r w:rsidR="0093709C" w:rsidRPr="00362DFB">
                              <w:t xml:space="preserve"> </w:t>
                            </w:r>
                            <w:r w:rsidR="00E67A17">
                              <w:t xml:space="preserve">its </w:t>
                            </w:r>
                            <w:r w:rsidR="00D92D5D">
                              <w:t>higher</w:t>
                            </w:r>
                            <w:r w:rsidR="0093709C" w:rsidRPr="00362DFB">
                              <w:t xml:space="preserve"> </w:t>
                            </w:r>
                            <w:r w:rsidR="0093709C">
                              <w:t xml:space="preserve">relative state </w:t>
                            </w:r>
                            <w:r w:rsidR="0093709C" w:rsidRPr="00362DFB">
                              <w:t>population growth</w:t>
                            </w:r>
                            <w:r w:rsidR="007379A7">
                              <w:t>.</w:t>
                            </w:r>
                            <w:r w:rsidRPr="00362DFB">
                              <w:t xml:space="preserve"> Victoria’s assessed GST needs also increased </w:t>
                            </w:r>
                            <w:r w:rsidR="00844970">
                              <w:t xml:space="preserve">substantially </w:t>
                            </w:r>
                            <w:r w:rsidR="004C7C53" w:rsidRPr="00362DFB">
                              <w:t>because of</w:t>
                            </w:r>
                            <w:r w:rsidRPr="00362DFB">
                              <w:t xml:space="preserve"> </w:t>
                            </w:r>
                            <w:r w:rsidR="0038751A">
                              <w:t xml:space="preserve">the </w:t>
                            </w:r>
                            <w:r w:rsidR="00E23780">
                              <w:t>change in the</w:t>
                            </w:r>
                            <w:r w:rsidR="003A4C18">
                              <w:t xml:space="preserve"> method for assessing </w:t>
                            </w:r>
                            <w:r w:rsidR="000E5899">
                              <w:t>COVID-19 health and business support expenses</w:t>
                            </w:r>
                            <w:r w:rsidRPr="00362DFB">
                              <w:t>.</w:t>
                            </w:r>
                          </w:p>
                          <w:p w14:paraId="22465A36" w14:textId="259A7CA9" w:rsidR="00327DC4" w:rsidRPr="00E366D7" w:rsidRDefault="00327DC4" w:rsidP="00327DC4">
                            <w:pPr>
                              <w:ind w:right="6"/>
                              <w:rPr>
                                <w:i/>
                              </w:rPr>
                            </w:pPr>
                            <w:r w:rsidRPr="00362DFB">
                              <w:t xml:space="preserve">Queensland’s GST distribution </w:t>
                            </w:r>
                            <w:r w:rsidR="005253DF" w:rsidRPr="00362DFB">
                              <w:t>is</w:t>
                            </w:r>
                            <w:r w:rsidRPr="00362DFB">
                              <w:t xml:space="preserve"> estimated to fall</w:t>
                            </w:r>
                            <w:r w:rsidR="00100173">
                              <w:t>. This is</w:t>
                            </w:r>
                            <w:r w:rsidRPr="00362DFB">
                              <w:t xml:space="preserve"> largely </w:t>
                            </w:r>
                            <w:r w:rsidR="00100173">
                              <w:t>because</w:t>
                            </w:r>
                            <w:r w:rsidRPr="00362DFB">
                              <w:t xml:space="preserve"> </w:t>
                            </w:r>
                            <w:r w:rsidR="00107127">
                              <w:t>higher coal prices</w:t>
                            </w:r>
                            <w:r w:rsidR="00800629">
                              <w:t xml:space="preserve"> </w:t>
                            </w:r>
                            <w:r w:rsidR="00C03089" w:rsidRPr="00A257F0">
                              <w:t xml:space="preserve">and </w:t>
                            </w:r>
                            <w:r w:rsidR="001359B7" w:rsidRPr="00A257F0">
                              <w:t>a</w:t>
                            </w:r>
                            <w:r w:rsidR="00853558" w:rsidRPr="00A257F0">
                              <w:t xml:space="preserve"> higher</w:t>
                            </w:r>
                            <w:r w:rsidR="001359B7" w:rsidRPr="00A257F0">
                              <w:t xml:space="preserve"> average coal royalty rate</w:t>
                            </w:r>
                            <w:r w:rsidR="001359B7">
                              <w:t xml:space="preserve"> </w:t>
                            </w:r>
                            <w:r w:rsidR="00180B83">
                              <w:t>significantly increased</w:t>
                            </w:r>
                            <w:r w:rsidRPr="00362DFB">
                              <w:t xml:space="preserve"> </w:t>
                            </w:r>
                            <w:r w:rsidR="00107127">
                              <w:t xml:space="preserve">its </w:t>
                            </w:r>
                            <w:r w:rsidRPr="00362DFB">
                              <w:t xml:space="preserve">capacity to raise </w:t>
                            </w:r>
                            <w:r w:rsidR="00C4725B">
                              <w:t xml:space="preserve">revenue from </w:t>
                            </w:r>
                            <w:r w:rsidRPr="00362DFB">
                              <w:t>coal royalties</w:t>
                            </w:r>
                            <w:r w:rsidR="00CE26DA">
                              <w:t>,</w:t>
                            </w:r>
                            <w:r w:rsidR="006A1C8E">
                              <w:t xml:space="preserve"> </w:t>
                            </w:r>
                            <w:r w:rsidR="00E24A34">
                              <w:t xml:space="preserve">substantially </w:t>
                            </w:r>
                            <w:r w:rsidR="00157792">
                              <w:t>reduc</w:t>
                            </w:r>
                            <w:r w:rsidR="00CE26DA">
                              <w:t>ing</w:t>
                            </w:r>
                            <w:r w:rsidR="00C4725B">
                              <w:t xml:space="preserve"> it</w:t>
                            </w:r>
                            <w:r w:rsidR="00E24A34">
                              <w:t>s</w:t>
                            </w:r>
                            <w:r w:rsidR="00C4725B">
                              <w:t xml:space="preserve"> </w:t>
                            </w:r>
                            <w:r w:rsidR="000B2374">
                              <w:t>assessed</w:t>
                            </w:r>
                            <w:r w:rsidR="00C4725B">
                              <w:t xml:space="preserve"> GST</w:t>
                            </w:r>
                            <w:r w:rsidR="00E24A34">
                              <w:t xml:space="preserve"> n</w:t>
                            </w:r>
                            <w:r w:rsidR="00A378A2">
                              <w:t>e</w:t>
                            </w:r>
                            <w:r w:rsidR="00E24A34">
                              <w:t>eds</w:t>
                            </w:r>
                            <w:r w:rsidR="001552CB">
                              <w:t>. T</w:t>
                            </w:r>
                            <w:r w:rsidR="00300E4B">
                              <w:t>he</w:t>
                            </w:r>
                            <w:r w:rsidR="008A7966">
                              <w:t xml:space="preserve"> </w:t>
                            </w:r>
                            <w:r w:rsidR="00985963">
                              <w:t>change in the</w:t>
                            </w:r>
                            <w:r w:rsidR="008A7966">
                              <w:t xml:space="preserve"> method for </w:t>
                            </w:r>
                            <w:r w:rsidR="006B5989">
                              <w:t>assessing</w:t>
                            </w:r>
                            <w:r w:rsidR="008A7966">
                              <w:t xml:space="preserve"> </w:t>
                            </w:r>
                            <w:r w:rsidR="00300E4B">
                              <w:t xml:space="preserve">COVID-19 </w:t>
                            </w:r>
                            <w:r w:rsidR="00F56C09">
                              <w:t xml:space="preserve">health and business support </w:t>
                            </w:r>
                            <w:r w:rsidR="00347DE5">
                              <w:t>expenses</w:t>
                            </w:r>
                            <w:r w:rsidR="001552CB">
                              <w:t xml:space="preserve"> also reduced Queensland’s GS</w:t>
                            </w:r>
                            <w:r w:rsidR="002E0656">
                              <w:t>T</w:t>
                            </w:r>
                            <w:r w:rsidR="001552CB">
                              <w:t xml:space="preserve"> </w:t>
                            </w:r>
                            <w:r w:rsidR="009C3213">
                              <w:t xml:space="preserve">distribution </w:t>
                            </w:r>
                            <w:r w:rsidR="001552CB">
                              <w:t xml:space="preserve">relative to states </w:t>
                            </w:r>
                            <w:r w:rsidR="002E0656">
                              <w:t>that had higher COVID</w:t>
                            </w:r>
                            <w:r w:rsidR="009713F0">
                              <w:noBreakHyphen/>
                            </w:r>
                            <w:r w:rsidR="002E0656">
                              <w:t xml:space="preserve">19 expenses. </w:t>
                            </w:r>
                            <w:r w:rsidR="00A053A0">
                              <w:t>Queensland</w:t>
                            </w:r>
                            <w:r w:rsidR="001729E5">
                              <w:t xml:space="preserve"> </w:t>
                            </w:r>
                            <w:r w:rsidR="0063070E">
                              <w:t xml:space="preserve">benefited </w:t>
                            </w:r>
                            <w:r w:rsidR="00A3492C">
                              <w:t>from</w:t>
                            </w:r>
                            <w:r w:rsidR="00027109">
                              <w:t xml:space="preserve"> the</w:t>
                            </w:r>
                            <w:r w:rsidR="00A3492C">
                              <w:t xml:space="preserve"> </w:t>
                            </w:r>
                            <w:r w:rsidR="000962BD">
                              <w:t>20</w:t>
                            </w:r>
                            <w:r w:rsidR="00ED3FC2">
                              <w:t>1</w:t>
                            </w:r>
                            <w:r w:rsidR="000962BD">
                              <w:t xml:space="preserve">8 </w:t>
                            </w:r>
                            <w:r w:rsidR="0041377F">
                              <w:t xml:space="preserve">GST </w:t>
                            </w:r>
                            <w:r w:rsidR="00844FE1">
                              <w:t>distribution legislation</w:t>
                            </w:r>
                            <w:r w:rsidR="000962BD">
                              <w:t xml:space="preserve"> </w:t>
                            </w:r>
                            <w:r w:rsidR="000F7C3E">
                              <w:t>as its assessed relativit</w:t>
                            </w:r>
                            <w:r w:rsidR="002C5BA6">
                              <w:t xml:space="preserve">y </w:t>
                            </w:r>
                            <w:r w:rsidR="00ED55DF">
                              <w:t xml:space="preserve">was </w:t>
                            </w:r>
                            <w:r w:rsidR="001479EE">
                              <w:t xml:space="preserve">below </w:t>
                            </w:r>
                            <w:r w:rsidR="00ED55DF">
                              <w:t>the standard state, New</w:t>
                            </w:r>
                            <w:r w:rsidR="007C0731">
                              <w:t> </w:t>
                            </w:r>
                            <w:r w:rsidR="00ED55DF">
                              <w:t>South</w:t>
                            </w:r>
                            <w:r w:rsidR="007C0731">
                              <w:t> </w:t>
                            </w:r>
                            <w:r w:rsidR="00ED55DF">
                              <w:t xml:space="preserve">Wales, in </w:t>
                            </w:r>
                            <w:r w:rsidR="00CF4A54">
                              <w:t>each</w:t>
                            </w:r>
                            <w:r w:rsidR="00ED55DF">
                              <w:t xml:space="preserve"> assessment year. This benefit was more </w:t>
                            </w:r>
                            <w:r w:rsidR="00CC4A75">
                              <w:t>than offset</w:t>
                            </w:r>
                            <w:r w:rsidR="00ED55DF">
                              <w:t xml:space="preserve"> by </w:t>
                            </w:r>
                            <w:r w:rsidR="007D0872">
                              <w:t xml:space="preserve">the reduction in </w:t>
                            </w:r>
                            <w:r w:rsidR="00ED55DF">
                              <w:t>Queenslan</w:t>
                            </w:r>
                            <w:r w:rsidR="00CF4A54">
                              <w:t>d</w:t>
                            </w:r>
                            <w:r w:rsidR="00ED55DF">
                              <w:t xml:space="preserve">’s </w:t>
                            </w:r>
                            <w:r w:rsidR="007D0872">
                              <w:t xml:space="preserve">relativity </w:t>
                            </w:r>
                            <w:r w:rsidR="00C2721F">
                              <w:t xml:space="preserve">(along with other states) </w:t>
                            </w:r>
                            <w:r w:rsidR="00C2721F" w:rsidRPr="00E40AFF">
                              <w:t xml:space="preserve">as a </w:t>
                            </w:r>
                            <w:r w:rsidR="00C2721F" w:rsidRPr="00A257F0">
                              <w:t>consequence of</w:t>
                            </w:r>
                            <w:r w:rsidR="00ED55DF" w:rsidRPr="00A257F0">
                              <w:t xml:space="preserve"> lifting </w:t>
                            </w:r>
                            <w:r w:rsidR="00CF4A54" w:rsidRPr="00A257F0">
                              <w:t>Western</w:t>
                            </w:r>
                            <w:r w:rsidR="007C0731" w:rsidRPr="00A257F0">
                              <w:t> </w:t>
                            </w:r>
                            <w:r w:rsidR="00ED55DF" w:rsidRPr="00A257F0">
                              <w:t>Australia’s relativity</w:t>
                            </w:r>
                            <w:r w:rsidR="00145866" w:rsidRPr="00A257F0">
                              <w:t xml:space="preserve"> </w:t>
                            </w:r>
                            <w:r w:rsidR="00E40AFF" w:rsidRPr="00A257F0">
                              <w:t>under the standard state approach</w:t>
                            </w:r>
                            <w:r w:rsidR="00090CD0" w:rsidRPr="00A257F0">
                              <w:t xml:space="preserve"> and</w:t>
                            </w:r>
                            <w:r w:rsidR="00145866" w:rsidRPr="00A257F0">
                              <w:t xml:space="preserve"> </w:t>
                            </w:r>
                            <w:r w:rsidR="00D61D99" w:rsidRPr="00A257F0">
                              <w:t>applying</w:t>
                            </w:r>
                            <w:r w:rsidR="00ED55DF" w:rsidRPr="00A257F0">
                              <w:t xml:space="preserve"> the GST floor.</w:t>
                            </w:r>
                          </w:p>
                          <w:p w14:paraId="11186150" w14:textId="3BA3EC12" w:rsidR="00507BAB" w:rsidRDefault="00327DC4" w:rsidP="00327DC4">
                            <w:bookmarkStart w:id="64" w:name="_Toc127786543"/>
                            <w:bookmarkStart w:id="65" w:name="_Toc127786868"/>
                            <w:bookmarkStart w:id="66" w:name="_Toc127787085"/>
                            <w:bookmarkStart w:id="67" w:name="_Toc127788021"/>
                            <w:bookmarkStart w:id="68" w:name="_Toc127802150"/>
                            <w:bookmarkStart w:id="69" w:name="_Toc127804773"/>
                            <w:r w:rsidRPr="00624F5E">
                              <w:t xml:space="preserve">Western Australia continues to have </w:t>
                            </w:r>
                            <w:r w:rsidR="00920395" w:rsidRPr="00624F5E">
                              <w:t xml:space="preserve">low assessed </w:t>
                            </w:r>
                            <w:r w:rsidR="00334484" w:rsidRPr="00624F5E">
                              <w:t>GST needs</w:t>
                            </w:r>
                            <w:r w:rsidRPr="00624F5E">
                              <w:t xml:space="preserve">, driven by its </w:t>
                            </w:r>
                            <w:r w:rsidR="0047273E">
                              <w:t xml:space="preserve">very strong </w:t>
                            </w:r>
                            <w:r w:rsidRPr="00624F5E">
                              <w:t xml:space="preserve">capacity to raise iron ore royalties. </w:t>
                            </w:r>
                            <w:r w:rsidR="00064B6A">
                              <w:t>H</w:t>
                            </w:r>
                            <w:r w:rsidR="009143E4">
                              <w:t>owever</w:t>
                            </w:r>
                            <w:r w:rsidR="005343A3">
                              <w:t xml:space="preserve">, Western Australia’s </w:t>
                            </w:r>
                            <w:r w:rsidR="004C7E53">
                              <w:t xml:space="preserve">assessed </w:t>
                            </w:r>
                            <w:r w:rsidR="005343A3">
                              <w:t>GST needs increased</w:t>
                            </w:r>
                            <w:r w:rsidR="00EC424E">
                              <w:t xml:space="preserve"> </w:t>
                            </w:r>
                            <w:r w:rsidR="009448CC">
                              <w:t xml:space="preserve">as iron ore prices </w:t>
                            </w:r>
                            <w:r w:rsidR="00093FAB">
                              <w:t>fell over the assessment period</w:t>
                            </w:r>
                            <w:r w:rsidR="00CC4A75">
                              <w:t>,</w:t>
                            </w:r>
                            <w:r w:rsidR="00152AB5">
                              <w:t xml:space="preserve"> while </w:t>
                            </w:r>
                            <w:r w:rsidR="004C7E53">
                              <w:t>coal royalties</w:t>
                            </w:r>
                            <w:r w:rsidR="00FC072A" w:rsidRPr="00624F5E">
                              <w:t xml:space="preserve"> in </w:t>
                            </w:r>
                            <w:r w:rsidR="000B17D3">
                              <w:t>other states</w:t>
                            </w:r>
                            <w:r w:rsidR="004C7E53">
                              <w:t xml:space="preserve"> increased. </w:t>
                            </w:r>
                            <w:r w:rsidR="007061CD">
                              <w:t>Western Australia’s GST relativity</w:t>
                            </w:r>
                            <w:r w:rsidR="00132E3A">
                              <w:t xml:space="preserve"> </w:t>
                            </w:r>
                            <w:r w:rsidR="006743CB">
                              <w:t>wa</w:t>
                            </w:r>
                            <w:r w:rsidR="00132E3A">
                              <w:t>s</w:t>
                            </w:r>
                            <w:r w:rsidR="00FC072A" w:rsidRPr="00624F5E">
                              <w:t xml:space="preserve"> </w:t>
                            </w:r>
                            <w:r w:rsidR="007061CD">
                              <w:t>lifted to</w:t>
                            </w:r>
                            <w:r w:rsidR="00FC072A" w:rsidRPr="00624F5E">
                              <w:t xml:space="preserve"> </w:t>
                            </w:r>
                            <w:r w:rsidR="0045364D" w:rsidRPr="00624F5E">
                              <w:t>the</w:t>
                            </w:r>
                            <w:r w:rsidR="00FC072A" w:rsidRPr="00624F5E">
                              <w:t xml:space="preserve"> GST </w:t>
                            </w:r>
                            <w:r w:rsidR="007061CD">
                              <w:t>relativity floor of</w:t>
                            </w:r>
                            <w:r w:rsidR="006B385E">
                              <w:t> </w:t>
                            </w:r>
                            <w:r w:rsidR="007061CD">
                              <w:t>0.75.</w:t>
                            </w:r>
                            <w:r w:rsidR="00130174" w:rsidRPr="00624F5E">
                              <w:t xml:space="preserve"> </w:t>
                            </w:r>
                            <w:r w:rsidR="008E6CBD" w:rsidRPr="00624F5E">
                              <w:t>The</w:t>
                            </w:r>
                            <w:r w:rsidR="008034E1" w:rsidRPr="00624F5E">
                              <w:t xml:space="preserve"> increase in</w:t>
                            </w:r>
                            <w:r w:rsidR="008E6CBD" w:rsidRPr="00624F5E">
                              <w:t xml:space="preserve"> Western Australia’s</w:t>
                            </w:r>
                            <w:r w:rsidR="008034E1" w:rsidRPr="00624F5E">
                              <w:t xml:space="preserve"> </w:t>
                            </w:r>
                            <w:r w:rsidR="007C246E" w:rsidRPr="00624F5E">
                              <w:t xml:space="preserve">assessed </w:t>
                            </w:r>
                            <w:r w:rsidR="00775E6D" w:rsidRPr="00624F5E">
                              <w:t xml:space="preserve">GST needs </w:t>
                            </w:r>
                            <w:r w:rsidR="008973C8" w:rsidRPr="00624F5E">
                              <w:t>reduce</w:t>
                            </w:r>
                            <w:r w:rsidR="006743CB">
                              <w:t>d</w:t>
                            </w:r>
                            <w:r w:rsidR="008973C8" w:rsidRPr="00624F5E">
                              <w:t xml:space="preserve"> the effect </w:t>
                            </w:r>
                            <w:r w:rsidR="00BC231A" w:rsidRPr="00624F5E">
                              <w:t xml:space="preserve">of </w:t>
                            </w:r>
                            <w:r w:rsidR="00A0447C" w:rsidRPr="00624F5E">
                              <w:t xml:space="preserve">blended relativities </w:t>
                            </w:r>
                            <w:r w:rsidR="00A0447C">
                              <w:t xml:space="preserve">and </w:t>
                            </w:r>
                            <w:r w:rsidR="00AD54E9" w:rsidRPr="00624F5E">
                              <w:t xml:space="preserve">the GST </w:t>
                            </w:r>
                            <w:r w:rsidR="006C3B5F" w:rsidRPr="00624F5E">
                              <w:t xml:space="preserve">floor </w:t>
                            </w:r>
                            <w:r w:rsidR="00E95FB5" w:rsidRPr="00624F5E">
                              <w:t>on</w:t>
                            </w:r>
                            <w:r w:rsidR="00C97F4D" w:rsidRPr="00624F5E">
                              <w:t xml:space="preserve"> </w:t>
                            </w:r>
                            <w:r w:rsidR="0056258F">
                              <w:t xml:space="preserve">its </w:t>
                            </w:r>
                            <w:r w:rsidR="00E95FB5" w:rsidRPr="00624F5E">
                              <w:t>GST distribution</w:t>
                            </w:r>
                            <w:r w:rsidR="00322C8F" w:rsidRPr="00624F5E">
                              <w:t>.</w:t>
                            </w:r>
                          </w:p>
                          <w:p w14:paraId="7E36F4B4" w14:textId="3EE500B6" w:rsidR="00FB2214" w:rsidRDefault="00507BAB" w:rsidP="00327DC4">
                            <w:r w:rsidRPr="00466321">
                              <w:t xml:space="preserve">The Northern </w:t>
                            </w:r>
                            <w:r w:rsidR="00507D80" w:rsidRPr="00466321">
                              <w:t xml:space="preserve">Territory </w:t>
                            </w:r>
                            <w:r w:rsidR="001866BF" w:rsidRPr="00466321">
                              <w:t xml:space="preserve">is estimated to </w:t>
                            </w:r>
                            <w:r w:rsidR="0073435D" w:rsidRPr="00466321">
                              <w:t xml:space="preserve">receive a significant </w:t>
                            </w:r>
                            <w:r w:rsidR="003A5ADA" w:rsidRPr="00466321">
                              <w:t>increase</w:t>
                            </w:r>
                            <w:r w:rsidR="00914136" w:rsidRPr="00466321">
                              <w:t xml:space="preserve"> </w:t>
                            </w:r>
                            <w:r w:rsidR="0073435D" w:rsidRPr="00466321">
                              <w:t xml:space="preserve">in its </w:t>
                            </w:r>
                            <w:r w:rsidR="00507D80" w:rsidRPr="00466321">
                              <w:t xml:space="preserve">GST distribution </w:t>
                            </w:r>
                            <w:r w:rsidR="003A5ADA" w:rsidRPr="00466321">
                              <w:t>in per capita terms</w:t>
                            </w:r>
                            <w:r w:rsidR="00914136" w:rsidRPr="00466321">
                              <w:t>,</w:t>
                            </w:r>
                            <w:r w:rsidR="000B37E6" w:rsidRPr="00466321">
                              <w:t xml:space="preserve"> largely due to </w:t>
                            </w:r>
                            <w:r w:rsidR="00FC4495" w:rsidRPr="00466321">
                              <w:t>the gr</w:t>
                            </w:r>
                            <w:r w:rsidR="00806118" w:rsidRPr="00466321">
                              <w:t>owth in the</w:t>
                            </w:r>
                            <w:r w:rsidR="004D0E9E" w:rsidRPr="00466321">
                              <w:t xml:space="preserve"> </w:t>
                            </w:r>
                            <w:r w:rsidR="007A0F7D" w:rsidRPr="00466321">
                              <w:t>GST pool</w:t>
                            </w:r>
                            <w:r w:rsidR="00B231C2" w:rsidRPr="00466321">
                              <w:t xml:space="preserve"> </w:t>
                            </w:r>
                            <w:r w:rsidR="00B231C2" w:rsidRPr="00A257F0">
                              <w:t>and an increase in</w:t>
                            </w:r>
                            <w:r w:rsidR="00780B57" w:rsidRPr="00A257F0">
                              <w:t xml:space="preserve"> per capita</w:t>
                            </w:r>
                            <w:r w:rsidR="00B231C2" w:rsidRPr="00A257F0">
                              <w:t xml:space="preserve"> </w:t>
                            </w:r>
                            <w:r w:rsidR="00FB2214" w:rsidRPr="00A257F0">
                              <w:t xml:space="preserve">community </w:t>
                            </w:r>
                            <w:r w:rsidR="00DF3F92" w:rsidRPr="00A257F0">
                              <w:t>health</w:t>
                            </w:r>
                            <w:r w:rsidR="00B231C2" w:rsidRPr="00A257F0">
                              <w:t xml:space="preserve"> expenses</w:t>
                            </w:r>
                            <w:r w:rsidR="00FB2214" w:rsidRPr="00A257F0">
                              <w:t xml:space="preserve"> in regional areas</w:t>
                            </w:r>
                            <w:r w:rsidR="00DF3F92" w:rsidRPr="00A257F0">
                              <w:t>.</w:t>
                            </w:r>
                            <w:r w:rsidR="00DF3F92">
                              <w:t xml:space="preserve"> </w:t>
                            </w:r>
                          </w:p>
                          <w:p w14:paraId="0AF28AEA" w14:textId="775993C3" w:rsidR="00327DC4" w:rsidRPr="00362DFB" w:rsidRDefault="00F35B79" w:rsidP="00327DC4">
                            <w:r w:rsidRPr="00362DFB">
                              <w:t xml:space="preserve">All states are expected to benefit from the estimated growth in the GST pool. </w:t>
                            </w:r>
                          </w:p>
                          <w:p w14:paraId="15C7F493" w14:textId="537AEFED" w:rsidR="00327DC4" w:rsidRDefault="00327DC4" w:rsidP="00327DC4">
                            <w:r w:rsidRPr="00362DFB">
                              <w:t>All states, other than</w:t>
                            </w:r>
                            <w:r w:rsidR="00D60C1F" w:rsidRPr="00362DFB">
                              <w:t xml:space="preserve"> </w:t>
                            </w:r>
                            <w:r w:rsidRPr="00362DFB">
                              <w:t xml:space="preserve">Queensland, are estimated to receive more in total GST and no worse off payments </w:t>
                            </w:r>
                            <w:r w:rsidR="00804CBB">
                              <w:t>in 2025</w:t>
                            </w:r>
                            <w:r w:rsidR="00963BDC">
                              <w:t>–</w:t>
                            </w:r>
                            <w:r w:rsidR="00804CBB">
                              <w:t xml:space="preserve">26 </w:t>
                            </w:r>
                            <w:r w:rsidRPr="00362DFB">
                              <w:t>than they received in 202</w:t>
                            </w:r>
                            <w:r w:rsidR="002C6EB8" w:rsidRPr="00362DFB">
                              <w:t>4</w:t>
                            </w:r>
                            <w:r w:rsidRPr="00362DFB">
                              <w:t>–2</w:t>
                            </w:r>
                            <w:r w:rsidR="002C6EB8" w:rsidRPr="00362DFB">
                              <w:t>5</w:t>
                            </w:r>
                            <w:r w:rsidRPr="00362DFB">
                              <w:t>.</w:t>
                            </w:r>
                          </w:p>
                          <w:bookmarkEnd w:id="64"/>
                          <w:bookmarkEnd w:id="65"/>
                          <w:bookmarkEnd w:id="66"/>
                          <w:bookmarkEnd w:id="67"/>
                          <w:bookmarkEnd w:id="68"/>
                          <w:bookmarkEnd w:id="69"/>
                          <w:p w14:paraId="50226E32" w14:textId="77777777" w:rsidR="00327DC4" w:rsidRDefault="00327DC4" w:rsidP="00327DC4"/>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9A29E7" id="Text Box 1232713158" o:spid="_x0000_s1029" type="#_x0000_t202" style="position:absolute;margin-left:0;margin-top:0;width:460.9pt;height:696.35pt;z-index:25165824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" fillcolor="#e5f8ff" strokecolor="white [3212]">
                <v:textbox>
                  <w:txbxContent>
                    <w:p w14:paraId="62330862" w14:textId="19EC2887" w:rsidR="00E40B2A" w:rsidRPr="00E366D7" w:rsidRDefault="00E40B2A" w:rsidP="00E40B2A">
                      <w:pPr>
                        <w:ind w:right="6"/>
                        <w:rPr>
                          <w:i/>
                        </w:rPr>
                      </w:pPr>
                      <w:r w:rsidRPr="00362DFB">
                        <w:t>Victoria’s GST distribution is estimated to increase significantly from last year</w:t>
                      </w:r>
                      <w:r w:rsidR="00566B3B">
                        <w:t>.</w:t>
                      </w:r>
                      <w:r w:rsidRPr="00362DFB">
                        <w:t xml:space="preserve"> This is largely driven by its lower capacity to raise mining revenue relative </w:t>
                      </w:r>
                      <w:r w:rsidR="000E5899" w:rsidRPr="00362DFB">
                        <w:t xml:space="preserve">to </w:t>
                      </w:r>
                      <w:r w:rsidR="000E5899">
                        <w:t>the</w:t>
                      </w:r>
                      <w:r w:rsidR="00454C62">
                        <w:t xml:space="preserve"> </w:t>
                      </w:r>
                      <w:r w:rsidR="004B0726" w:rsidRPr="0098004D">
                        <w:t xml:space="preserve">main </w:t>
                      </w:r>
                      <w:r w:rsidR="00454C62">
                        <w:t>mining</w:t>
                      </w:r>
                      <w:r w:rsidRPr="00362DFB">
                        <w:t xml:space="preserve"> states</w:t>
                      </w:r>
                      <w:r w:rsidR="0093709C" w:rsidRPr="0093709C">
                        <w:t xml:space="preserve"> </w:t>
                      </w:r>
                      <w:r w:rsidR="0093709C">
                        <w:t>and</w:t>
                      </w:r>
                      <w:r w:rsidR="0093709C" w:rsidRPr="00362DFB">
                        <w:t xml:space="preserve"> </w:t>
                      </w:r>
                      <w:r w:rsidR="00E67A17">
                        <w:t xml:space="preserve">its </w:t>
                      </w:r>
                      <w:r w:rsidR="00D92D5D">
                        <w:t>higher</w:t>
                      </w:r>
                      <w:r w:rsidR="0093709C" w:rsidRPr="00362DFB">
                        <w:t xml:space="preserve"> </w:t>
                      </w:r>
                      <w:r w:rsidR="0093709C">
                        <w:t xml:space="preserve">relative state </w:t>
                      </w:r>
                      <w:r w:rsidR="0093709C" w:rsidRPr="00362DFB">
                        <w:t>population growth</w:t>
                      </w:r>
                      <w:r w:rsidR="007379A7">
                        <w:t>.</w:t>
                      </w:r>
                      <w:r w:rsidRPr="00362DFB">
                        <w:t xml:space="preserve"> Victoria’s assessed GST needs also increased </w:t>
                      </w:r>
                      <w:r w:rsidR="00844970">
                        <w:t xml:space="preserve">substantially </w:t>
                      </w:r>
                      <w:r w:rsidR="004C7C53" w:rsidRPr="00362DFB">
                        <w:t>because of</w:t>
                      </w:r>
                      <w:r w:rsidRPr="00362DFB">
                        <w:t xml:space="preserve"> </w:t>
                      </w:r>
                      <w:r w:rsidR="0038751A">
                        <w:t xml:space="preserve">the </w:t>
                      </w:r>
                      <w:r w:rsidR="00E23780">
                        <w:t>change in the</w:t>
                      </w:r>
                      <w:r w:rsidR="003A4C18">
                        <w:t xml:space="preserve"> method for assessing </w:t>
                      </w:r>
                      <w:r w:rsidR="000E5899">
                        <w:t>COVID-19 health and business support expenses</w:t>
                      </w:r>
                      <w:r w:rsidRPr="00362DFB">
                        <w:t>.</w:t>
                      </w:r>
                    </w:p>
                    <w:p w14:paraId="22465A36" w14:textId="259A7CA9" w:rsidR="00327DC4" w:rsidRPr="00E366D7" w:rsidRDefault="00327DC4" w:rsidP="00327DC4">
                      <w:pPr>
                        <w:ind w:right="6"/>
                        <w:rPr>
                          <w:i/>
                        </w:rPr>
                      </w:pPr>
                      <w:r w:rsidRPr="00362DFB">
                        <w:t xml:space="preserve">Queensland’s GST distribution </w:t>
                      </w:r>
                      <w:r w:rsidR="005253DF" w:rsidRPr="00362DFB">
                        <w:t>is</w:t>
                      </w:r>
                      <w:r w:rsidRPr="00362DFB">
                        <w:t xml:space="preserve"> estimated to fall</w:t>
                      </w:r>
                      <w:r w:rsidR="00100173">
                        <w:t>. This is</w:t>
                      </w:r>
                      <w:r w:rsidRPr="00362DFB">
                        <w:t xml:space="preserve"> largely </w:t>
                      </w:r>
                      <w:r w:rsidR="00100173">
                        <w:t>because</w:t>
                      </w:r>
                      <w:r w:rsidRPr="00362DFB">
                        <w:t xml:space="preserve"> </w:t>
                      </w:r>
                      <w:r w:rsidR="00107127">
                        <w:t>higher coal prices</w:t>
                      </w:r>
                      <w:r w:rsidR="00800629">
                        <w:t xml:space="preserve"> </w:t>
                      </w:r>
                      <w:r w:rsidR="00C03089" w:rsidRPr="00A257F0">
                        <w:t xml:space="preserve">and </w:t>
                      </w:r>
                      <w:r w:rsidR="001359B7" w:rsidRPr="00A257F0">
                        <w:t>a</w:t>
                      </w:r>
                      <w:r w:rsidR="00853558" w:rsidRPr="00A257F0">
                        <w:t xml:space="preserve"> higher</w:t>
                      </w:r>
                      <w:r w:rsidR="001359B7" w:rsidRPr="00A257F0">
                        <w:t xml:space="preserve"> average coal royalty rate</w:t>
                      </w:r>
                      <w:r w:rsidR="001359B7">
                        <w:t xml:space="preserve"> </w:t>
                      </w:r>
                      <w:r w:rsidR="00180B83">
                        <w:t>significantly increased</w:t>
                      </w:r>
                      <w:r w:rsidRPr="00362DFB">
                        <w:t xml:space="preserve"> </w:t>
                      </w:r>
                      <w:r w:rsidR="00107127">
                        <w:t xml:space="preserve">its </w:t>
                      </w:r>
                      <w:r w:rsidRPr="00362DFB">
                        <w:t xml:space="preserve">capacity to raise </w:t>
                      </w:r>
                      <w:r w:rsidR="00C4725B">
                        <w:t xml:space="preserve">revenue from </w:t>
                      </w:r>
                      <w:r w:rsidRPr="00362DFB">
                        <w:t>coal royalties</w:t>
                      </w:r>
                      <w:r w:rsidR="00CE26DA">
                        <w:t>,</w:t>
                      </w:r>
                      <w:r w:rsidR="006A1C8E">
                        <w:t xml:space="preserve"> </w:t>
                      </w:r>
                      <w:r w:rsidR="00E24A34">
                        <w:t xml:space="preserve">substantially </w:t>
                      </w:r>
                      <w:r w:rsidR="00157792">
                        <w:t>reduc</w:t>
                      </w:r>
                      <w:r w:rsidR="00CE26DA">
                        <w:t>ing</w:t>
                      </w:r>
                      <w:r w:rsidR="00C4725B">
                        <w:t xml:space="preserve"> it</w:t>
                      </w:r>
                      <w:r w:rsidR="00E24A34">
                        <w:t>s</w:t>
                      </w:r>
                      <w:r w:rsidR="00C4725B">
                        <w:t xml:space="preserve"> </w:t>
                      </w:r>
                      <w:r w:rsidR="000B2374">
                        <w:t>assessed</w:t>
                      </w:r>
                      <w:r w:rsidR="00C4725B">
                        <w:t xml:space="preserve"> GST</w:t>
                      </w:r>
                      <w:r w:rsidR="00E24A34">
                        <w:t xml:space="preserve"> n</w:t>
                      </w:r>
                      <w:r w:rsidR="00A378A2">
                        <w:t>e</w:t>
                      </w:r>
                      <w:r w:rsidR="00E24A34">
                        <w:t>eds</w:t>
                      </w:r>
                      <w:r w:rsidR="001552CB">
                        <w:t>. T</w:t>
                      </w:r>
                      <w:r w:rsidR="00300E4B">
                        <w:t>he</w:t>
                      </w:r>
                      <w:r w:rsidR="008A7966">
                        <w:t xml:space="preserve"> </w:t>
                      </w:r>
                      <w:r w:rsidR="00985963">
                        <w:t>change in the</w:t>
                      </w:r>
                      <w:r w:rsidR="008A7966">
                        <w:t xml:space="preserve"> method for </w:t>
                      </w:r>
                      <w:r w:rsidR="006B5989">
                        <w:t>assessing</w:t>
                      </w:r>
                      <w:r w:rsidR="008A7966">
                        <w:t xml:space="preserve"> </w:t>
                      </w:r>
                      <w:r w:rsidR="00300E4B">
                        <w:t xml:space="preserve">COVID-19 </w:t>
                      </w:r>
                      <w:r w:rsidR="00F56C09">
                        <w:t xml:space="preserve">health and business support </w:t>
                      </w:r>
                      <w:r w:rsidR="00347DE5">
                        <w:t>expenses</w:t>
                      </w:r>
                      <w:r w:rsidR="001552CB">
                        <w:t xml:space="preserve"> also reduced Queensland’s GS</w:t>
                      </w:r>
                      <w:r w:rsidR="002E0656">
                        <w:t>T</w:t>
                      </w:r>
                      <w:r w:rsidR="001552CB">
                        <w:t xml:space="preserve"> </w:t>
                      </w:r>
                      <w:r w:rsidR="009C3213">
                        <w:t xml:space="preserve">distribution </w:t>
                      </w:r>
                      <w:r w:rsidR="001552CB">
                        <w:t xml:space="preserve">relative to states </w:t>
                      </w:r>
                      <w:r w:rsidR="002E0656">
                        <w:t>that had higher COVID</w:t>
                      </w:r>
                      <w:r w:rsidR="009713F0">
                        <w:noBreakHyphen/>
                      </w:r>
                      <w:r w:rsidR="002E0656">
                        <w:t xml:space="preserve">19 expenses. </w:t>
                      </w:r>
                      <w:r w:rsidR="00A053A0">
                        <w:t>Queensland</w:t>
                      </w:r>
                      <w:r w:rsidR="001729E5">
                        <w:t xml:space="preserve"> </w:t>
                      </w:r>
                      <w:r w:rsidR="0063070E">
                        <w:t xml:space="preserve">benefited </w:t>
                      </w:r>
                      <w:r w:rsidR="00A3492C">
                        <w:t>from</w:t>
                      </w:r>
                      <w:r w:rsidR="00027109">
                        <w:t xml:space="preserve"> the</w:t>
                      </w:r>
                      <w:r w:rsidR="00A3492C">
                        <w:t xml:space="preserve"> </w:t>
                      </w:r>
                      <w:r w:rsidR="000962BD">
                        <w:t>20</w:t>
                      </w:r>
                      <w:r w:rsidR="00ED3FC2">
                        <w:t>1</w:t>
                      </w:r>
                      <w:r w:rsidR="000962BD">
                        <w:t xml:space="preserve">8 </w:t>
                      </w:r>
                      <w:r w:rsidR="0041377F">
                        <w:t xml:space="preserve">GST </w:t>
                      </w:r>
                      <w:r w:rsidR="00844FE1">
                        <w:t>distribution legislation</w:t>
                      </w:r>
                      <w:r w:rsidR="000962BD">
                        <w:t xml:space="preserve"> </w:t>
                      </w:r>
                      <w:r w:rsidR="000F7C3E">
                        <w:t>as its assessed relativit</w:t>
                      </w:r>
                      <w:r w:rsidR="002C5BA6">
                        <w:t xml:space="preserve">y </w:t>
                      </w:r>
                      <w:r w:rsidR="00ED55DF">
                        <w:t xml:space="preserve">was </w:t>
                      </w:r>
                      <w:r w:rsidR="001479EE">
                        <w:t xml:space="preserve">below </w:t>
                      </w:r>
                      <w:r w:rsidR="00ED55DF">
                        <w:t>the standard state, New</w:t>
                      </w:r>
                      <w:r w:rsidR="007C0731">
                        <w:t> </w:t>
                      </w:r>
                      <w:r w:rsidR="00ED55DF">
                        <w:t>South</w:t>
                      </w:r>
                      <w:r w:rsidR="007C0731">
                        <w:t> </w:t>
                      </w:r>
                      <w:r w:rsidR="00ED55DF">
                        <w:t xml:space="preserve">Wales, in </w:t>
                      </w:r>
                      <w:r w:rsidR="00CF4A54">
                        <w:t>each</w:t>
                      </w:r>
                      <w:r w:rsidR="00ED55DF">
                        <w:t xml:space="preserve"> assessment year. This benefit was more </w:t>
                      </w:r>
                      <w:r w:rsidR="00CC4A75">
                        <w:t>than offset</w:t>
                      </w:r>
                      <w:r w:rsidR="00ED55DF">
                        <w:t xml:space="preserve"> by </w:t>
                      </w:r>
                      <w:r w:rsidR="007D0872">
                        <w:t xml:space="preserve">the reduction in </w:t>
                      </w:r>
                      <w:r w:rsidR="00ED55DF">
                        <w:t>Queenslan</w:t>
                      </w:r>
                      <w:r w:rsidR="00CF4A54">
                        <w:t>d</w:t>
                      </w:r>
                      <w:r w:rsidR="00ED55DF">
                        <w:t xml:space="preserve">’s </w:t>
                      </w:r>
                      <w:r w:rsidR="007D0872">
                        <w:t xml:space="preserve">relativity </w:t>
                      </w:r>
                      <w:r w:rsidR="00C2721F">
                        <w:t xml:space="preserve">(along with other states) </w:t>
                      </w:r>
                      <w:r w:rsidR="00C2721F" w:rsidRPr="00E40AFF">
                        <w:t xml:space="preserve">as a </w:t>
                      </w:r>
                      <w:r w:rsidR="00C2721F" w:rsidRPr="00A257F0">
                        <w:t>consequence of</w:t>
                      </w:r>
                      <w:r w:rsidR="00ED55DF" w:rsidRPr="00A257F0">
                        <w:t xml:space="preserve"> lifting </w:t>
                      </w:r>
                      <w:r w:rsidR="00CF4A54" w:rsidRPr="00A257F0">
                        <w:t>Western</w:t>
                      </w:r>
                      <w:r w:rsidR="007C0731" w:rsidRPr="00A257F0">
                        <w:t> </w:t>
                      </w:r>
                      <w:r w:rsidR="00ED55DF" w:rsidRPr="00A257F0">
                        <w:t>Australia’s relativity</w:t>
                      </w:r>
                      <w:r w:rsidR="00145866" w:rsidRPr="00A257F0">
                        <w:t xml:space="preserve"> </w:t>
                      </w:r>
                      <w:r w:rsidR="00E40AFF" w:rsidRPr="00A257F0">
                        <w:t>under the standard state approach</w:t>
                      </w:r>
                      <w:r w:rsidR="00090CD0" w:rsidRPr="00A257F0">
                        <w:t xml:space="preserve"> and</w:t>
                      </w:r>
                      <w:r w:rsidR="00145866" w:rsidRPr="00A257F0">
                        <w:t xml:space="preserve"> </w:t>
                      </w:r>
                      <w:r w:rsidR="00D61D99" w:rsidRPr="00A257F0">
                        <w:t>applying</w:t>
                      </w:r>
                      <w:r w:rsidR="00ED55DF" w:rsidRPr="00A257F0">
                        <w:t xml:space="preserve"> the GST floor.</w:t>
                      </w:r>
                    </w:p>
                    <w:p w14:paraId="11186150" w14:textId="3BA3EC12" w:rsidR="00507BAB" w:rsidRDefault="00327DC4" w:rsidP="00327DC4">
                      <w:bookmarkStart w:id="71" w:name="_Toc127786543"/>
                      <w:bookmarkStart w:id="72" w:name="_Toc127786868"/>
                      <w:bookmarkStart w:id="73" w:name="_Toc127787085"/>
                      <w:bookmarkStart w:id="74" w:name="_Toc127788021"/>
                      <w:bookmarkStart w:id="75" w:name="_Toc127802150"/>
                      <w:bookmarkStart w:id="76" w:name="_Toc127804773"/>
                      <w:r w:rsidRPr="00624F5E">
                        <w:t xml:space="preserve">Western Australia continues to have </w:t>
                      </w:r>
                      <w:r w:rsidR="00920395" w:rsidRPr="00624F5E">
                        <w:t xml:space="preserve">low assessed </w:t>
                      </w:r>
                      <w:r w:rsidR="00334484" w:rsidRPr="00624F5E">
                        <w:t>GST needs</w:t>
                      </w:r>
                      <w:r w:rsidRPr="00624F5E">
                        <w:t xml:space="preserve">, driven by its </w:t>
                      </w:r>
                      <w:r w:rsidR="0047273E">
                        <w:t xml:space="preserve">very strong </w:t>
                      </w:r>
                      <w:r w:rsidRPr="00624F5E">
                        <w:t xml:space="preserve">capacity to raise iron ore royalties. </w:t>
                      </w:r>
                      <w:r w:rsidR="00064B6A">
                        <w:t>H</w:t>
                      </w:r>
                      <w:r w:rsidR="009143E4">
                        <w:t>owever</w:t>
                      </w:r>
                      <w:r w:rsidR="005343A3">
                        <w:t xml:space="preserve">, Western Australia’s </w:t>
                      </w:r>
                      <w:r w:rsidR="004C7E53">
                        <w:t xml:space="preserve">assessed </w:t>
                      </w:r>
                      <w:r w:rsidR="005343A3">
                        <w:t>GST needs increased</w:t>
                      </w:r>
                      <w:r w:rsidR="00EC424E">
                        <w:t xml:space="preserve"> </w:t>
                      </w:r>
                      <w:r w:rsidR="009448CC">
                        <w:t xml:space="preserve">as iron ore prices </w:t>
                      </w:r>
                      <w:r w:rsidR="00093FAB">
                        <w:t>fell over the assessment period</w:t>
                      </w:r>
                      <w:r w:rsidR="00CC4A75">
                        <w:t>,</w:t>
                      </w:r>
                      <w:r w:rsidR="00152AB5">
                        <w:t xml:space="preserve"> while </w:t>
                      </w:r>
                      <w:r w:rsidR="004C7E53">
                        <w:t>coal royalties</w:t>
                      </w:r>
                      <w:r w:rsidR="00FC072A" w:rsidRPr="00624F5E">
                        <w:t xml:space="preserve"> in </w:t>
                      </w:r>
                      <w:r w:rsidR="000B17D3">
                        <w:t>other states</w:t>
                      </w:r>
                      <w:r w:rsidR="004C7E53">
                        <w:t xml:space="preserve"> increased. </w:t>
                      </w:r>
                      <w:r w:rsidR="007061CD">
                        <w:t>Western Australia’s GST relativity</w:t>
                      </w:r>
                      <w:r w:rsidR="00132E3A">
                        <w:t xml:space="preserve"> </w:t>
                      </w:r>
                      <w:r w:rsidR="006743CB">
                        <w:t>wa</w:t>
                      </w:r>
                      <w:r w:rsidR="00132E3A">
                        <w:t>s</w:t>
                      </w:r>
                      <w:r w:rsidR="00FC072A" w:rsidRPr="00624F5E">
                        <w:t xml:space="preserve"> </w:t>
                      </w:r>
                      <w:r w:rsidR="007061CD">
                        <w:t>lifted to</w:t>
                      </w:r>
                      <w:r w:rsidR="00FC072A" w:rsidRPr="00624F5E">
                        <w:t xml:space="preserve"> </w:t>
                      </w:r>
                      <w:r w:rsidR="0045364D" w:rsidRPr="00624F5E">
                        <w:t>the</w:t>
                      </w:r>
                      <w:r w:rsidR="00FC072A" w:rsidRPr="00624F5E">
                        <w:t xml:space="preserve"> GST </w:t>
                      </w:r>
                      <w:r w:rsidR="007061CD">
                        <w:t>relativity floor of</w:t>
                      </w:r>
                      <w:r w:rsidR="006B385E">
                        <w:t> </w:t>
                      </w:r>
                      <w:r w:rsidR="007061CD">
                        <w:t>0.75.</w:t>
                      </w:r>
                      <w:r w:rsidR="00130174" w:rsidRPr="00624F5E">
                        <w:t xml:space="preserve"> </w:t>
                      </w:r>
                      <w:r w:rsidR="008E6CBD" w:rsidRPr="00624F5E">
                        <w:t>The</w:t>
                      </w:r>
                      <w:r w:rsidR="008034E1" w:rsidRPr="00624F5E">
                        <w:t xml:space="preserve"> increase in</w:t>
                      </w:r>
                      <w:r w:rsidR="008E6CBD" w:rsidRPr="00624F5E">
                        <w:t xml:space="preserve"> Western Australia’s</w:t>
                      </w:r>
                      <w:r w:rsidR="008034E1" w:rsidRPr="00624F5E">
                        <w:t xml:space="preserve"> </w:t>
                      </w:r>
                      <w:r w:rsidR="007C246E" w:rsidRPr="00624F5E">
                        <w:t xml:space="preserve">assessed </w:t>
                      </w:r>
                      <w:r w:rsidR="00775E6D" w:rsidRPr="00624F5E">
                        <w:t xml:space="preserve">GST needs </w:t>
                      </w:r>
                      <w:r w:rsidR="008973C8" w:rsidRPr="00624F5E">
                        <w:t>reduce</w:t>
                      </w:r>
                      <w:r w:rsidR="006743CB">
                        <w:t>d</w:t>
                      </w:r>
                      <w:r w:rsidR="008973C8" w:rsidRPr="00624F5E">
                        <w:t xml:space="preserve"> the effect </w:t>
                      </w:r>
                      <w:r w:rsidR="00BC231A" w:rsidRPr="00624F5E">
                        <w:t xml:space="preserve">of </w:t>
                      </w:r>
                      <w:r w:rsidR="00A0447C" w:rsidRPr="00624F5E">
                        <w:t xml:space="preserve">blended relativities </w:t>
                      </w:r>
                      <w:r w:rsidR="00A0447C">
                        <w:t xml:space="preserve">and </w:t>
                      </w:r>
                      <w:r w:rsidR="00AD54E9" w:rsidRPr="00624F5E">
                        <w:t xml:space="preserve">the GST </w:t>
                      </w:r>
                      <w:r w:rsidR="006C3B5F" w:rsidRPr="00624F5E">
                        <w:t xml:space="preserve">floor </w:t>
                      </w:r>
                      <w:r w:rsidR="00E95FB5" w:rsidRPr="00624F5E">
                        <w:t>on</w:t>
                      </w:r>
                      <w:r w:rsidR="00C97F4D" w:rsidRPr="00624F5E">
                        <w:t xml:space="preserve"> </w:t>
                      </w:r>
                      <w:r w:rsidR="0056258F">
                        <w:t xml:space="preserve">its </w:t>
                      </w:r>
                      <w:r w:rsidR="00E95FB5" w:rsidRPr="00624F5E">
                        <w:t>GST distribution</w:t>
                      </w:r>
                      <w:r w:rsidR="00322C8F" w:rsidRPr="00624F5E">
                        <w:t>.</w:t>
                      </w:r>
                    </w:p>
                    <w:p w14:paraId="7E36F4B4" w14:textId="3EE500B6" w:rsidR="00FB2214" w:rsidRDefault="00507BAB" w:rsidP="00327DC4">
                      <w:r w:rsidRPr="00466321">
                        <w:t xml:space="preserve">The Northern </w:t>
                      </w:r>
                      <w:r w:rsidR="00507D80" w:rsidRPr="00466321">
                        <w:t xml:space="preserve">Territory </w:t>
                      </w:r>
                      <w:r w:rsidR="001866BF" w:rsidRPr="00466321">
                        <w:t xml:space="preserve">is estimated to </w:t>
                      </w:r>
                      <w:r w:rsidR="0073435D" w:rsidRPr="00466321">
                        <w:t xml:space="preserve">receive a significant </w:t>
                      </w:r>
                      <w:r w:rsidR="003A5ADA" w:rsidRPr="00466321">
                        <w:t>increase</w:t>
                      </w:r>
                      <w:r w:rsidR="00914136" w:rsidRPr="00466321">
                        <w:t xml:space="preserve"> </w:t>
                      </w:r>
                      <w:r w:rsidR="0073435D" w:rsidRPr="00466321">
                        <w:t xml:space="preserve">in its </w:t>
                      </w:r>
                      <w:r w:rsidR="00507D80" w:rsidRPr="00466321">
                        <w:t xml:space="preserve">GST distribution </w:t>
                      </w:r>
                      <w:r w:rsidR="003A5ADA" w:rsidRPr="00466321">
                        <w:t>in per capita terms</w:t>
                      </w:r>
                      <w:r w:rsidR="00914136" w:rsidRPr="00466321">
                        <w:t>,</w:t>
                      </w:r>
                      <w:r w:rsidR="000B37E6" w:rsidRPr="00466321">
                        <w:t xml:space="preserve"> largely due to </w:t>
                      </w:r>
                      <w:r w:rsidR="00FC4495" w:rsidRPr="00466321">
                        <w:t>the gr</w:t>
                      </w:r>
                      <w:r w:rsidR="00806118" w:rsidRPr="00466321">
                        <w:t>owth in the</w:t>
                      </w:r>
                      <w:r w:rsidR="004D0E9E" w:rsidRPr="00466321">
                        <w:t xml:space="preserve"> </w:t>
                      </w:r>
                      <w:r w:rsidR="007A0F7D" w:rsidRPr="00466321">
                        <w:t>GST pool</w:t>
                      </w:r>
                      <w:r w:rsidR="00B231C2" w:rsidRPr="00466321">
                        <w:t xml:space="preserve"> </w:t>
                      </w:r>
                      <w:r w:rsidR="00B231C2" w:rsidRPr="00A257F0">
                        <w:t>and an increase in</w:t>
                      </w:r>
                      <w:r w:rsidR="00780B57" w:rsidRPr="00A257F0">
                        <w:t xml:space="preserve"> per capita</w:t>
                      </w:r>
                      <w:r w:rsidR="00B231C2" w:rsidRPr="00A257F0">
                        <w:t xml:space="preserve"> </w:t>
                      </w:r>
                      <w:r w:rsidR="00FB2214" w:rsidRPr="00A257F0">
                        <w:t xml:space="preserve">community </w:t>
                      </w:r>
                      <w:r w:rsidR="00DF3F92" w:rsidRPr="00A257F0">
                        <w:t>health</w:t>
                      </w:r>
                      <w:r w:rsidR="00B231C2" w:rsidRPr="00A257F0">
                        <w:t xml:space="preserve"> expenses</w:t>
                      </w:r>
                      <w:r w:rsidR="00FB2214" w:rsidRPr="00A257F0">
                        <w:t xml:space="preserve"> in regional areas</w:t>
                      </w:r>
                      <w:r w:rsidR="00DF3F92" w:rsidRPr="00A257F0">
                        <w:t>.</w:t>
                      </w:r>
                      <w:r w:rsidR="00DF3F92">
                        <w:t xml:space="preserve"> </w:t>
                      </w:r>
                    </w:p>
                    <w:p w14:paraId="0AF28AEA" w14:textId="775993C3" w:rsidR="00327DC4" w:rsidRPr="00362DFB" w:rsidRDefault="00F35B79" w:rsidP="00327DC4">
                      <w:r w:rsidRPr="00362DFB">
                        <w:t xml:space="preserve">All states are expected to benefit from the estimated growth in the GST pool. </w:t>
                      </w:r>
                    </w:p>
                    <w:p w14:paraId="15C7F493" w14:textId="537AEFED" w:rsidR="00327DC4" w:rsidRDefault="00327DC4" w:rsidP="00327DC4">
                      <w:r w:rsidRPr="00362DFB">
                        <w:t>All states, other than</w:t>
                      </w:r>
                      <w:r w:rsidR="00D60C1F" w:rsidRPr="00362DFB">
                        <w:t xml:space="preserve"> </w:t>
                      </w:r>
                      <w:r w:rsidRPr="00362DFB">
                        <w:t xml:space="preserve">Queensland, are estimated to receive more in total GST and no worse off payments </w:t>
                      </w:r>
                      <w:r w:rsidR="00804CBB">
                        <w:t>in 2025</w:t>
                      </w:r>
                      <w:r w:rsidR="00963BDC">
                        <w:t>–</w:t>
                      </w:r>
                      <w:r w:rsidR="00804CBB">
                        <w:t xml:space="preserve">26 </w:t>
                      </w:r>
                      <w:r w:rsidRPr="00362DFB">
                        <w:t>than they received in 202</w:t>
                      </w:r>
                      <w:r w:rsidR="002C6EB8" w:rsidRPr="00362DFB">
                        <w:t>4</w:t>
                      </w:r>
                      <w:r w:rsidRPr="00362DFB">
                        <w:t>–2</w:t>
                      </w:r>
                      <w:r w:rsidR="002C6EB8" w:rsidRPr="00362DFB">
                        <w:t>5</w:t>
                      </w:r>
                      <w:r w:rsidRPr="00362DFB">
                        <w:t>.</w:t>
                      </w:r>
                    </w:p>
                    <w:bookmarkEnd w:id="71"/>
                    <w:bookmarkEnd w:id="72"/>
                    <w:bookmarkEnd w:id="73"/>
                    <w:bookmarkEnd w:id="74"/>
                    <w:bookmarkEnd w:id="75"/>
                    <w:bookmarkEnd w:id="76"/>
                    <w:p w14:paraId="50226E32" w14:textId="77777777" w:rsidR="00327DC4" w:rsidRDefault="00327DC4" w:rsidP="00327DC4"/>
                  </w:txbxContent>
                </v:textbox>
                <w10:wrap type="square" anchorx="margin"/>
              </v:shape>
            </w:pict>
          </mc:Fallback>
        </mc:AlternateContent>
      </w:r>
    </w:p>
    <w:p w14:paraId="215EE167" w14:textId="3306BD28" w:rsidR="00774F5A" w:rsidRDefault="00513419" w:rsidP="00774F5A">
      <w:r w:rsidRPr="007F65BA">
        <w:rPr>
          <w:noProof/>
        </w:rPr>
        <w:lastRenderedPageBreak/>
        <mc:AlternateContent>
          <mc:Choice Requires="wps">
            <w:drawing>
              <wp:anchor distT="45720" distB="45720" distL="114300" distR="114300" simplePos="0" relativeHeight="251658243" behindDoc="0" locked="0" layoutInCell="1" allowOverlap="1" wp14:anchorId="212EFCF6" wp14:editId="2A55B1BC">
                <wp:simplePos x="0" y="0"/>
                <wp:positionH relativeFrom="margin">
                  <wp:align>left</wp:align>
                </wp:positionH>
                <wp:positionV relativeFrom="paragraph">
                  <wp:posOffset>0</wp:posOffset>
                </wp:positionV>
                <wp:extent cx="5853430" cy="8845550"/>
                <wp:effectExtent l="0" t="0" r="13970" b="12700"/>
                <wp:wrapSquare wrapText="bothSides"/>
                <wp:docPr id="1109072898" name="Text Box 1109072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430" cy="8845720"/>
                        </a:xfrm>
                        <a:prstGeom prst="rect">
                          <a:avLst/>
                        </a:prstGeom>
                        <a:solidFill>
                          <a:srgbClr val="E5F8FF"/>
                        </a:solidFill>
                        <a:ln w="9525">
                          <a:solidFill>
                            <a:schemeClr val="bg1"/>
                          </a:solidFill>
                          <a:miter lim="800000"/>
                          <a:headEnd/>
                          <a:tailEnd/>
                        </a:ln>
                      </wps:spPr>
                      <wps:txbx>
                        <w:txbxContent>
                          <w:p w14:paraId="76D2A4C9" w14:textId="77777777" w:rsidR="00113C59" w:rsidRDefault="00113C59" w:rsidP="00994767">
                            <w:pPr>
                              <w:pStyle w:val="HeadingBox-Level2"/>
                            </w:pPr>
                            <w:bookmarkStart w:id="70" w:name="_Toc190780919"/>
                            <w:bookmarkStart w:id="71" w:name="_Hlk158801005"/>
                            <w:r>
                              <w:t>Drivers of change in GST distribution</w:t>
                            </w:r>
                            <w:bookmarkEnd w:id="70"/>
                          </w:p>
                          <w:p w14:paraId="01E0E22B" w14:textId="77777777" w:rsidR="00C7229E" w:rsidRPr="00F438B0" w:rsidRDefault="00113C59" w:rsidP="00C746A5">
                            <w:pPr>
                              <w:pStyle w:val="CGC2025Caption"/>
                            </w:pPr>
                            <w:r w:rsidRPr="00F438B0">
                              <w:t>Major drivers of change in GST distribution, 2024–25 to 2025–26 (excludes no worse off payments)</w:t>
                            </w:r>
                          </w:p>
                          <w:tbl>
                            <w:tblPr>
                              <w:tblW w:w="8940" w:type="dxa"/>
                              <w:tblLook w:val="04A0" w:firstRow="1" w:lastRow="0" w:firstColumn="1" w:lastColumn="0" w:noHBand="0" w:noVBand="1"/>
                            </w:tblPr>
                            <w:tblGrid>
                              <w:gridCol w:w="2460"/>
                              <w:gridCol w:w="720"/>
                              <w:gridCol w:w="720"/>
                              <w:gridCol w:w="720"/>
                              <w:gridCol w:w="720"/>
                              <w:gridCol w:w="720"/>
                              <w:gridCol w:w="720"/>
                              <w:gridCol w:w="720"/>
                              <w:gridCol w:w="720"/>
                              <w:gridCol w:w="720"/>
                            </w:tblGrid>
                            <w:tr w:rsidR="00C7229E" w:rsidRPr="00C7229E" w14:paraId="5AB8F460" w14:textId="77777777" w:rsidTr="00C7229E">
                              <w:trPr>
                                <w:trHeight w:val="555"/>
                              </w:trPr>
                              <w:tc>
                                <w:tcPr>
                                  <w:tcW w:w="2460" w:type="dxa"/>
                                  <w:tcBorders>
                                    <w:top w:val="nil"/>
                                    <w:left w:val="nil"/>
                                    <w:bottom w:val="nil"/>
                                    <w:right w:val="nil"/>
                                  </w:tcBorders>
                                  <w:shd w:val="clear" w:color="000000" w:fill="006991"/>
                                  <w:vAlign w:val="bottom"/>
                                  <w:hideMark/>
                                </w:tcPr>
                                <w:p w14:paraId="2B514192" w14:textId="77777777" w:rsidR="00C7229E" w:rsidRPr="00C7229E" w:rsidRDefault="00C7229E" w:rsidP="00C7229E">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72" w:name="RANGE!A4:D5"/>
                                  <w:r w:rsidRPr="00C7229E">
                                    <w:rPr>
                                      <w:rFonts w:ascii="Open Sans Semibold" w:eastAsia="Times New Roman" w:hAnsi="Open Sans Semibold" w:cs="Open Sans Semibold"/>
                                      <w:color w:val="FFFFFF"/>
                                      <w:sz w:val="16"/>
                                      <w:szCs w:val="16"/>
                                      <w:lang w:eastAsia="en-AU"/>
                                    </w:rPr>
                                    <w:t> </w:t>
                                  </w:r>
                                  <w:bookmarkEnd w:id="72"/>
                                </w:p>
                              </w:tc>
                              <w:tc>
                                <w:tcPr>
                                  <w:tcW w:w="720" w:type="dxa"/>
                                  <w:tcBorders>
                                    <w:top w:val="nil"/>
                                    <w:left w:val="nil"/>
                                    <w:bottom w:val="nil"/>
                                    <w:right w:val="nil"/>
                                  </w:tcBorders>
                                  <w:shd w:val="clear" w:color="000000" w:fill="006991"/>
                                  <w:vAlign w:val="center"/>
                                  <w:hideMark/>
                                </w:tcPr>
                                <w:p w14:paraId="674D4F7D"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NSW</w:t>
                                  </w:r>
                                </w:p>
                              </w:tc>
                              <w:tc>
                                <w:tcPr>
                                  <w:tcW w:w="720" w:type="dxa"/>
                                  <w:tcBorders>
                                    <w:top w:val="nil"/>
                                    <w:left w:val="nil"/>
                                    <w:bottom w:val="nil"/>
                                    <w:right w:val="nil"/>
                                  </w:tcBorders>
                                  <w:shd w:val="clear" w:color="000000" w:fill="006991"/>
                                  <w:vAlign w:val="center"/>
                                  <w:hideMark/>
                                </w:tcPr>
                                <w:p w14:paraId="1BEF49E6"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Vic</w:t>
                                  </w:r>
                                </w:p>
                              </w:tc>
                              <w:tc>
                                <w:tcPr>
                                  <w:tcW w:w="720" w:type="dxa"/>
                                  <w:tcBorders>
                                    <w:top w:val="nil"/>
                                    <w:left w:val="nil"/>
                                    <w:bottom w:val="nil"/>
                                    <w:right w:val="nil"/>
                                  </w:tcBorders>
                                  <w:shd w:val="clear" w:color="000000" w:fill="006991"/>
                                  <w:vAlign w:val="center"/>
                                  <w:hideMark/>
                                </w:tcPr>
                                <w:p w14:paraId="45F2CE14"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Qld</w:t>
                                  </w:r>
                                </w:p>
                              </w:tc>
                              <w:tc>
                                <w:tcPr>
                                  <w:tcW w:w="720" w:type="dxa"/>
                                  <w:tcBorders>
                                    <w:top w:val="nil"/>
                                    <w:left w:val="nil"/>
                                    <w:bottom w:val="nil"/>
                                    <w:right w:val="nil"/>
                                  </w:tcBorders>
                                  <w:shd w:val="clear" w:color="000000" w:fill="006991"/>
                                  <w:vAlign w:val="center"/>
                                  <w:hideMark/>
                                </w:tcPr>
                                <w:p w14:paraId="0ED8A0B9"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WA</w:t>
                                  </w:r>
                                </w:p>
                              </w:tc>
                              <w:tc>
                                <w:tcPr>
                                  <w:tcW w:w="720" w:type="dxa"/>
                                  <w:tcBorders>
                                    <w:top w:val="nil"/>
                                    <w:left w:val="nil"/>
                                    <w:bottom w:val="nil"/>
                                    <w:right w:val="nil"/>
                                  </w:tcBorders>
                                  <w:shd w:val="clear" w:color="000000" w:fill="006991"/>
                                  <w:vAlign w:val="center"/>
                                  <w:hideMark/>
                                </w:tcPr>
                                <w:p w14:paraId="279A8950"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SA</w:t>
                                  </w:r>
                                </w:p>
                              </w:tc>
                              <w:tc>
                                <w:tcPr>
                                  <w:tcW w:w="720" w:type="dxa"/>
                                  <w:tcBorders>
                                    <w:top w:val="nil"/>
                                    <w:left w:val="nil"/>
                                    <w:bottom w:val="nil"/>
                                    <w:right w:val="nil"/>
                                  </w:tcBorders>
                                  <w:shd w:val="clear" w:color="000000" w:fill="006991"/>
                                  <w:vAlign w:val="center"/>
                                  <w:hideMark/>
                                </w:tcPr>
                                <w:p w14:paraId="6E928D10"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Tas</w:t>
                                  </w:r>
                                </w:p>
                              </w:tc>
                              <w:tc>
                                <w:tcPr>
                                  <w:tcW w:w="720" w:type="dxa"/>
                                  <w:tcBorders>
                                    <w:top w:val="nil"/>
                                    <w:left w:val="nil"/>
                                    <w:bottom w:val="nil"/>
                                    <w:right w:val="nil"/>
                                  </w:tcBorders>
                                  <w:shd w:val="clear" w:color="000000" w:fill="006991"/>
                                  <w:vAlign w:val="center"/>
                                  <w:hideMark/>
                                </w:tcPr>
                                <w:p w14:paraId="073A9833"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ACT</w:t>
                                  </w:r>
                                </w:p>
                              </w:tc>
                              <w:tc>
                                <w:tcPr>
                                  <w:tcW w:w="720" w:type="dxa"/>
                                  <w:tcBorders>
                                    <w:top w:val="nil"/>
                                    <w:left w:val="nil"/>
                                    <w:bottom w:val="nil"/>
                                    <w:right w:val="nil"/>
                                  </w:tcBorders>
                                  <w:shd w:val="clear" w:color="000000" w:fill="006991"/>
                                  <w:vAlign w:val="center"/>
                                  <w:hideMark/>
                                </w:tcPr>
                                <w:p w14:paraId="6DED99E4"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NT</w:t>
                                  </w:r>
                                </w:p>
                              </w:tc>
                              <w:tc>
                                <w:tcPr>
                                  <w:tcW w:w="720" w:type="dxa"/>
                                  <w:tcBorders>
                                    <w:top w:val="nil"/>
                                    <w:left w:val="nil"/>
                                    <w:bottom w:val="nil"/>
                                    <w:right w:val="nil"/>
                                  </w:tcBorders>
                                  <w:shd w:val="clear" w:color="000000" w:fill="006991"/>
                                  <w:vAlign w:val="center"/>
                                  <w:hideMark/>
                                </w:tcPr>
                                <w:p w14:paraId="4F35B6F7"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Total effect</w:t>
                                  </w:r>
                                </w:p>
                              </w:tc>
                            </w:tr>
                            <w:tr w:rsidR="00C7229E" w:rsidRPr="00C7229E" w14:paraId="0B9766FF" w14:textId="77777777" w:rsidTr="00C7229E">
                              <w:trPr>
                                <w:trHeight w:val="255"/>
                              </w:trPr>
                              <w:tc>
                                <w:tcPr>
                                  <w:tcW w:w="2460" w:type="dxa"/>
                                  <w:tcBorders>
                                    <w:top w:val="single" w:sz="4" w:space="0" w:color="ADD6EA"/>
                                    <w:left w:val="nil"/>
                                    <w:bottom w:val="nil"/>
                                    <w:right w:val="nil"/>
                                  </w:tcBorders>
                                  <w:shd w:val="clear" w:color="000000" w:fill="B6D5E4"/>
                                  <w:vAlign w:val="bottom"/>
                                  <w:hideMark/>
                                </w:tcPr>
                                <w:p w14:paraId="0483EE21" w14:textId="77777777" w:rsidR="00C7229E" w:rsidRPr="00C7229E" w:rsidRDefault="00C7229E" w:rsidP="00C7229E">
                                  <w:pPr>
                                    <w:tabs>
                                      <w:tab w:val="clear" w:pos="567"/>
                                    </w:tabs>
                                    <w:spacing w:before="0" w:line="240" w:lineRule="auto"/>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noWrap/>
                                  <w:vAlign w:val="center"/>
                                  <w:hideMark/>
                                </w:tcPr>
                                <w:p w14:paraId="54532701"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150C21FD"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0D80AB79"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1C3EFC27"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375C2AAD"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65DE05C3"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118FFEA8"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5C292D53"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32BCAF22"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r>
                            <w:tr w:rsidR="00C7229E" w:rsidRPr="00C7229E" w14:paraId="2C9D267B" w14:textId="77777777" w:rsidTr="00C7229E">
                              <w:trPr>
                                <w:trHeight w:val="315"/>
                              </w:trPr>
                              <w:tc>
                                <w:tcPr>
                                  <w:tcW w:w="2460" w:type="dxa"/>
                                  <w:tcBorders>
                                    <w:top w:val="single" w:sz="4" w:space="0" w:color="ADD6EA"/>
                                    <w:left w:val="nil"/>
                                    <w:bottom w:val="nil"/>
                                    <w:right w:val="nil"/>
                                  </w:tcBorders>
                                  <w:shd w:val="clear" w:color="000000" w:fill="FFFFFF"/>
                                  <w:vAlign w:val="center"/>
                                  <w:hideMark/>
                                </w:tcPr>
                                <w:p w14:paraId="4A570E97" w14:textId="77777777" w:rsidR="00C7229E" w:rsidRPr="00C7229E" w:rsidRDefault="00C7229E" w:rsidP="00C7229E">
                                  <w:pPr>
                                    <w:tabs>
                                      <w:tab w:val="clear" w:pos="567"/>
                                    </w:tabs>
                                    <w:spacing w:before="0" w:line="240" w:lineRule="auto"/>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Changes in fiscal capacities</w:t>
                                  </w:r>
                                </w:p>
                              </w:tc>
                              <w:tc>
                                <w:tcPr>
                                  <w:tcW w:w="720" w:type="dxa"/>
                                  <w:tcBorders>
                                    <w:top w:val="single" w:sz="4" w:space="0" w:color="ADD6EA"/>
                                    <w:left w:val="nil"/>
                                    <w:bottom w:val="nil"/>
                                    <w:right w:val="nil"/>
                                  </w:tcBorders>
                                  <w:shd w:val="clear" w:color="000000" w:fill="FFFFFF"/>
                                  <w:vAlign w:val="center"/>
                                  <w:hideMark/>
                                </w:tcPr>
                                <w:p w14:paraId="08D79B6A"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5271DBD7"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xml:space="preserve"> </w:t>
                                  </w:r>
                                </w:p>
                              </w:tc>
                              <w:tc>
                                <w:tcPr>
                                  <w:tcW w:w="720" w:type="dxa"/>
                                  <w:tcBorders>
                                    <w:top w:val="single" w:sz="4" w:space="0" w:color="ADD6EA"/>
                                    <w:left w:val="nil"/>
                                    <w:bottom w:val="nil"/>
                                    <w:right w:val="nil"/>
                                  </w:tcBorders>
                                  <w:shd w:val="clear" w:color="000000" w:fill="FFFFFF"/>
                                  <w:vAlign w:val="center"/>
                                  <w:hideMark/>
                                </w:tcPr>
                                <w:p w14:paraId="750BB8FE"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xml:space="preserve"> </w:t>
                                  </w:r>
                                </w:p>
                              </w:tc>
                              <w:tc>
                                <w:tcPr>
                                  <w:tcW w:w="720" w:type="dxa"/>
                                  <w:tcBorders>
                                    <w:top w:val="single" w:sz="4" w:space="0" w:color="ADD6EA"/>
                                    <w:left w:val="nil"/>
                                    <w:bottom w:val="nil"/>
                                    <w:right w:val="nil"/>
                                  </w:tcBorders>
                                  <w:shd w:val="clear" w:color="000000" w:fill="FFFFFF"/>
                                  <w:vAlign w:val="center"/>
                                  <w:hideMark/>
                                </w:tcPr>
                                <w:p w14:paraId="5DC4EC12"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xml:space="preserve"> </w:t>
                                  </w:r>
                                </w:p>
                              </w:tc>
                              <w:tc>
                                <w:tcPr>
                                  <w:tcW w:w="720" w:type="dxa"/>
                                  <w:tcBorders>
                                    <w:top w:val="single" w:sz="4" w:space="0" w:color="ADD6EA"/>
                                    <w:left w:val="nil"/>
                                    <w:bottom w:val="nil"/>
                                    <w:right w:val="nil"/>
                                  </w:tcBorders>
                                  <w:shd w:val="clear" w:color="000000" w:fill="FFFFFF"/>
                                  <w:vAlign w:val="center"/>
                                  <w:hideMark/>
                                </w:tcPr>
                                <w:p w14:paraId="66A15BDB"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xml:space="preserve"> </w:t>
                                  </w:r>
                                </w:p>
                              </w:tc>
                              <w:tc>
                                <w:tcPr>
                                  <w:tcW w:w="720" w:type="dxa"/>
                                  <w:tcBorders>
                                    <w:top w:val="single" w:sz="4" w:space="0" w:color="ADD6EA"/>
                                    <w:left w:val="nil"/>
                                    <w:bottom w:val="nil"/>
                                    <w:right w:val="nil"/>
                                  </w:tcBorders>
                                  <w:shd w:val="clear" w:color="000000" w:fill="FFFFFF"/>
                                  <w:vAlign w:val="center"/>
                                  <w:hideMark/>
                                </w:tcPr>
                                <w:p w14:paraId="574DE149"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xml:space="preserve"> </w:t>
                                  </w:r>
                                </w:p>
                              </w:tc>
                              <w:tc>
                                <w:tcPr>
                                  <w:tcW w:w="720" w:type="dxa"/>
                                  <w:tcBorders>
                                    <w:top w:val="single" w:sz="4" w:space="0" w:color="ADD6EA"/>
                                    <w:left w:val="nil"/>
                                    <w:bottom w:val="nil"/>
                                    <w:right w:val="nil"/>
                                  </w:tcBorders>
                                  <w:shd w:val="clear" w:color="000000" w:fill="FFFFFF"/>
                                  <w:vAlign w:val="center"/>
                                  <w:hideMark/>
                                </w:tcPr>
                                <w:p w14:paraId="61C8899B"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xml:space="preserve"> </w:t>
                                  </w:r>
                                </w:p>
                              </w:tc>
                              <w:tc>
                                <w:tcPr>
                                  <w:tcW w:w="720" w:type="dxa"/>
                                  <w:tcBorders>
                                    <w:top w:val="single" w:sz="4" w:space="0" w:color="ADD6EA"/>
                                    <w:left w:val="nil"/>
                                    <w:bottom w:val="nil"/>
                                    <w:right w:val="nil"/>
                                  </w:tcBorders>
                                  <w:shd w:val="clear" w:color="000000" w:fill="FFFFFF"/>
                                  <w:vAlign w:val="center"/>
                                  <w:hideMark/>
                                </w:tcPr>
                                <w:p w14:paraId="6553E236"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xml:space="preserve"> </w:t>
                                  </w:r>
                                </w:p>
                              </w:tc>
                              <w:tc>
                                <w:tcPr>
                                  <w:tcW w:w="720" w:type="dxa"/>
                                  <w:tcBorders>
                                    <w:top w:val="single" w:sz="4" w:space="0" w:color="ADD6EA"/>
                                    <w:left w:val="nil"/>
                                    <w:bottom w:val="nil"/>
                                    <w:right w:val="nil"/>
                                  </w:tcBorders>
                                  <w:shd w:val="clear" w:color="000000" w:fill="FFFFFF"/>
                                  <w:vAlign w:val="center"/>
                                  <w:hideMark/>
                                </w:tcPr>
                                <w:p w14:paraId="5E1A28D4"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xml:space="preserve"> </w:t>
                                  </w:r>
                                </w:p>
                              </w:tc>
                            </w:tr>
                            <w:tr w:rsidR="00C7229E" w:rsidRPr="00C7229E" w14:paraId="220CFEA3" w14:textId="77777777" w:rsidTr="00C7229E">
                              <w:trPr>
                                <w:trHeight w:val="555"/>
                              </w:trPr>
                              <w:tc>
                                <w:tcPr>
                                  <w:tcW w:w="2460" w:type="dxa"/>
                                  <w:tcBorders>
                                    <w:top w:val="single" w:sz="4" w:space="0" w:color="ADD6EA"/>
                                    <w:left w:val="nil"/>
                                    <w:bottom w:val="nil"/>
                                    <w:right w:val="nil"/>
                                  </w:tcBorders>
                                  <w:shd w:val="clear" w:color="000000" w:fill="FFFFFF"/>
                                  <w:vAlign w:val="center"/>
                                  <w:hideMark/>
                                </w:tcPr>
                                <w:p w14:paraId="23DA11E1"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Changes in circumstances - Mining production</w:t>
                                  </w:r>
                                </w:p>
                              </w:tc>
                              <w:tc>
                                <w:tcPr>
                                  <w:tcW w:w="720" w:type="dxa"/>
                                  <w:tcBorders>
                                    <w:top w:val="single" w:sz="4" w:space="0" w:color="ADD6EA"/>
                                    <w:left w:val="nil"/>
                                    <w:bottom w:val="nil"/>
                                    <w:right w:val="nil"/>
                                  </w:tcBorders>
                                  <w:shd w:val="clear" w:color="000000" w:fill="FFFFFF"/>
                                  <w:vAlign w:val="center"/>
                                  <w:hideMark/>
                                </w:tcPr>
                                <w:p w14:paraId="7FECAC5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-156</w:t>
                                  </w:r>
                                </w:p>
                              </w:tc>
                              <w:tc>
                                <w:tcPr>
                                  <w:tcW w:w="720" w:type="dxa"/>
                                  <w:tcBorders>
                                    <w:top w:val="single" w:sz="4" w:space="0" w:color="ADD6EA"/>
                                    <w:left w:val="nil"/>
                                    <w:bottom w:val="nil"/>
                                    <w:right w:val="nil"/>
                                  </w:tcBorders>
                                  <w:shd w:val="clear" w:color="000000" w:fill="FFFFFF"/>
                                  <w:vAlign w:val="center"/>
                                  <w:hideMark/>
                                </w:tcPr>
                                <w:p w14:paraId="359D84DD"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831</w:t>
                                  </w:r>
                                </w:p>
                              </w:tc>
                              <w:tc>
                                <w:tcPr>
                                  <w:tcW w:w="720" w:type="dxa"/>
                                  <w:tcBorders>
                                    <w:top w:val="single" w:sz="4" w:space="0" w:color="ADD6EA"/>
                                    <w:left w:val="nil"/>
                                    <w:bottom w:val="nil"/>
                                    <w:right w:val="nil"/>
                                  </w:tcBorders>
                                  <w:shd w:val="clear" w:color="000000" w:fill="FFFFFF"/>
                                  <w:vAlign w:val="center"/>
                                  <w:hideMark/>
                                </w:tcPr>
                                <w:p w14:paraId="76FEEFB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-2,283</w:t>
                                  </w:r>
                                </w:p>
                              </w:tc>
                              <w:tc>
                                <w:tcPr>
                                  <w:tcW w:w="720" w:type="dxa"/>
                                  <w:tcBorders>
                                    <w:top w:val="single" w:sz="4" w:space="0" w:color="ADD6EA"/>
                                    <w:left w:val="nil"/>
                                    <w:bottom w:val="nil"/>
                                    <w:right w:val="nil"/>
                                  </w:tcBorders>
                                  <w:shd w:val="clear" w:color="000000" w:fill="FFFFFF"/>
                                  <w:vAlign w:val="center"/>
                                  <w:hideMark/>
                                </w:tcPr>
                                <w:p w14:paraId="2D3F531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1,268</w:t>
                                  </w:r>
                                </w:p>
                              </w:tc>
                              <w:tc>
                                <w:tcPr>
                                  <w:tcW w:w="720" w:type="dxa"/>
                                  <w:tcBorders>
                                    <w:top w:val="single" w:sz="4" w:space="0" w:color="ADD6EA"/>
                                    <w:left w:val="nil"/>
                                    <w:bottom w:val="nil"/>
                                    <w:right w:val="nil"/>
                                  </w:tcBorders>
                                  <w:shd w:val="clear" w:color="000000" w:fill="FFFFFF"/>
                                  <w:vAlign w:val="center"/>
                                  <w:hideMark/>
                                </w:tcPr>
                                <w:p w14:paraId="71636CE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197</w:t>
                                  </w:r>
                                </w:p>
                              </w:tc>
                              <w:tc>
                                <w:tcPr>
                                  <w:tcW w:w="720" w:type="dxa"/>
                                  <w:tcBorders>
                                    <w:top w:val="single" w:sz="4" w:space="0" w:color="ADD6EA"/>
                                    <w:left w:val="nil"/>
                                    <w:bottom w:val="nil"/>
                                    <w:right w:val="nil"/>
                                  </w:tcBorders>
                                  <w:shd w:val="clear" w:color="000000" w:fill="FFFFFF"/>
                                  <w:vAlign w:val="center"/>
                                  <w:hideMark/>
                                </w:tcPr>
                                <w:p w14:paraId="0E55A1B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53</w:t>
                                  </w:r>
                                </w:p>
                              </w:tc>
                              <w:tc>
                                <w:tcPr>
                                  <w:tcW w:w="720" w:type="dxa"/>
                                  <w:tcBorders>
                                    <w:top w:val="single" w:sz="4" w:space="0" w:color="ADD6EA"/>
                                    <w:left w:val="nil"/>
                                    <w:bottom w:val="nil"/>
                                    <w:right w:val="nil"/>
                                  </w:tcBorders>
                                  <w:shd w:val="clear" w:color="000000" w:fill="FFFFFF"/>
                                  <w:vAlign w:val="center"/>
                                  <w:hideMark/>
                                </w:tcPr>
                                <w:p w14:paraId="06292A7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55</w:t>
                                  </w:r>
                                </w:p>
                              </w:tc>
                              <w:tc>
                                <w:tcPr>
                                  <w:tcW w:w="720" w:type="dxa"/>
                                  <w:tcBorders>
                                    <w:top w:val="single" w:sz="4" w:space="0" w:color="ADD6EA"/>
                                    <w:left w:val="nil"/>
                                    <w:bottom w:val="nil"/>
                                    <w:right w:val="nil"/>
                                  </w:tcBorders>
                                  <w:shd w:val="clear" w:color="000000" w:fill="FFFFFF"/>
                                  <w:vAlign w:val="center"/>
                                  <w:hideMark/>
                                </w:tcPr>
                                <w:p w14:paraId="744EFA4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36</w:t>
                                  </w:r>
                                </w:p>
                              </w:tc>
                              <w:tc>
                                <w:tcPr>
                                  <w:tcW w:w="720" w:type="dxa"/>
                                  <w:tcBorders>
                                    <w:top w:val="single" w:sz="4" w:space="0" w:color="ADD6EA"/>
                                    <w:left w:val="nil"/>
                                    <w:bottom w:val="nil"/>
                                    <w:right w:val="nil"/>
                                  </w:tcBorders>
                                  <w:shd w:val="clear" w:color="000000" w:fill="FFFFFF"/>
                                  <w:vAlign w:val="center"/>
                                  <w:hideMark/>
                                </w:tcPr>
                                <w:p w14:paraId="14E4A14F"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2,439</w:t>
                                  </w:r>
                                </w:p>
                              </w:tc>
                            </w:tr>
                            <w:tr w:rsidR="00C7229E" w:rsidRPr="00C7229E" w14:paraId="2311ADB0" w14:textId="77777777" w:rsidTr="00C7229E">
                              <w:trPr>
                                <w:trHeight w:val="555"/>
                              </w:trPr>
                              <w:tc>
                                <w:tcPr>
                                  <w:tcW w:w="2460" w:type="dxa"/>
                                  <w:tcBorders>
                                    <w:top w:val="single" w:sz="4" w:space="0" w:color="ADD6EA"/>
                                    <w:left w:val="nil"/>
                                    <w:bottom w:val="nil"/>
                                    <w:right w:val="nil"/>
                                  </w:tcBorders>
                                  <w:shd w:val="clear" w:color="000000" w:fill="FFFFFF"/>
                                  <w:vAlign w:val="center"/>
                                  <w:hideMark/>
                                </w:tcPr>
                                <w:p w14:paraId="679169C3"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Changes in circumstances - Population growth</w:t>
                                  </w:r>
                                </w:p>
                              </w:tc>
                              <w:tc>
                                <w:tcPr>
                                  <w:tcW w:w="720" w:type="dxa"/>
                                  <w:tcBorders>
                                    <w:top w:val="single" w:sz="4" w:space="0" w:color="ADD6EA"/>
                                    <w:left w:val="nil"/>
                                    <w:bottom w:val="nil"/>
                                    <w:right w:val="nil"/>
                                  </w:tcBorders>
                                  <w:shd w:val="clear" w:color="000000" w:fill="FFFFFF"/>
                                  <w:vAlign w:val="center"/>
                                  <w:hideMark/>
                                </w:tcPr>
                                <w:p w14:paraId="509340A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-188</w:t>
                                  </w:r>
                                </w:p>
                              </w:tc>
                              <w:tc>
                                <w:tcPr>
                                  <w:tcW w:w="720" w:type="dxa"/>
                                  <w:tcBorders>
                                    <w:top w:val="single" w:sz="4" w:space="0" w:color="ADD6EA"/>
                                    <w:left w:val="nil"/>
                                    <w:bottom w:val="nil"/>
                                    <w:right w:val="nil"/>
                                  </w:tcBorders>
                                  <w:shd w:val="clear" w:color="000000" w:fill="FFFFFF"/>
                                  <w:vAlign w:val="center"/>
                                  <w:hideMark/>
                                </w:tcPr>
                                <w:p w14:paraId="3C24D05D"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896</w:t>
                                  </w:r>
                                </w:p>
                              </w:tc>
                              <w:tc>
                                <w:tcPr>
                                  <w:tcW w:w="720" w:type="dxa"/>
                                  <w:tcBorders>
                                    <w:top w:val="single" w:sz="4" w:space="0" w:color="ADD6EA"/>
                                    <w:left w:val="nil"/>
                                    <w:bottom w:val="nil"/>
                                    <w:right w:val="nil"/>
                                  </w:tcBorders>
                                  <w:shd w:val="clear" w:color="000000" w:fill="FFFFFF"/>
                                  <w:vAlign w:val="center"/>
                                  <w:hideMark/>
                                </w:tcPr>
                                <w:p w14:paraId="6B5A5D5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-328</w:t>
                                  </w:r>
                                </w:p>
                              </w:tc>
                              <w:tc>
                                <w:tcPr>
                                  <w:tcW w:w="720" w:type="dxa"/>
                                  <w:tcBorders>
                                    <w:top w:val="single" w:sz="4" w:space="0" w:color="ADD6EA"/>
                                    <w:left w:val="nil"/>
                                    <w:bottom w:val="nil"/>
                                    <w:right w:val="nil"/>
                                  </w:tcBorders>
                                  <w:shd w:val="clear" w:color="000000" w:fill="FFFFFF"/>
                                  <w:vAlign w:val="center"/>
                                  <w:hideMark/>
                                </w:tcPr>
                                <w:p w14:paraId="04BCDA5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-95</w:t>
                                  </w:r>
                                </w:p>
                              </w:tc>
                              <w:tc>
                                <w:tcPr>
                                  <w:tcW w:w="720" w:type="dxa"/>
                                  <w:tcBorders>
                                    <w:top w:val="single" w:sz="4" w:space="0" w:color="ADD6EA"/>
                                    <w:left w:val="nil"/>
                                    <w:bottom w:val="nil"/>
                                    <w:right w:val="nil"/>
                                  </w:tcBorders>
                                  <w:shd w:val="clear" w:color="000000" w:fill="FFFFFF"/>
                                  <w:vAlign w:val="center"/>
                                  <w:hideMark/>
                                </w:tcPr>
                                <w:p w14:paraId="5C10BA0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-166</w:t>
                                  </w:r>
                                </w:p>
                              </w:tc>
                              <w:tc>
                                <w:tcPr>
                                  <w:tcW w:w="720" w:type="dxa"/>
                                  <w:tcBorders>
                                    <w:top w:val="single" w:sz="4" w:space="0" w:color="ADD6EA"/>
                                    <w:left w:val="nil"/>
                                    <w:bottom w:val="nil"/>
                                    <w:right w:val="nil"/>
                                  </w:tcBorders>
                                  <w:shd w:val="clear" w:color="000000" w:fill="FFFFFF"/>
                                  <w:vAlign w:val="center"/>
                                  <w:hideMark/>
                                </w:tcPr>
                                <w:p w14:paraId="08BDA5D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-66</w:t>
                                  </w:r>
                                </w:p>
                              </w:tc>
                              <w:tc>
                                <w:tcPr>
                                  <w:tcW w:w="720" w:type="dxa"/>
                                  <w:tcBorders>
                                    <w:top w:val="single" w:sz="4" w:space="0" w:color="ADD6EA"/>
                                    <w:left w:val="nil"/>
                                    <w:bottom w:val="nil"/>
                                    <w:right w:val="nil"/>
                                  </w:tcBorders>
                                  <w:shd w:val="clear" w:color="000000" w:fill="FFFFFF"/>
                                  <w:vAlign w:val="center"/>
                                  <w:hideMark/>
                                </w:tcPr>
                                <w:p w14:paraId="6E90EAC5"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-58</w:t>
                                  </w:r>
                                </w:p>
                              </w:tc>
                              <w:tc>
                                <w:tcPr>
                                  <w:tcW w:w="720" w:type="dxa"/>
                                  <w:tcBorders>
                                    <w:top w:val="single" w:sz="4" w:space="0" w:color="ADD6EA"/>
                                    <w:left w:val="nil"/>
                                    <w:bottom w:val="nil"/>
                                    <w:right w:val="nil"/>
                                  </w:tcBorders>
                                  <w:shd w:val="clear" w:color="000000" w:fill="FFFFFF"/>
                                  <w:vAlign w:val="center"/>
                                  <w:hideMark/>
                                </w:tcPr>
                                <w:p w14:paraId="488B7F7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w:t>
                                  </w:r>
                                </w:p>
                              </w:tc>
                              <w:tc>
                                <w:tcPr>
                                  <w:tcW w:w="720" w:type="dxa"/>
                                  <w:tcBorders>
                                    <w:top w:val="single" w:sz="4" w:space="0" w:color="ADD6EA"/>
                                    <w:left w:val="nil"/>
                                    <w:bottom w:val="nil"/>
                                    <w:right w:val="nil"/>
                                  </w:tcBorders>
                                  <w:shd w:val="clear" w:color="000000" w:fill="FFFFFF"/>
                                  <w:vAlign w:val="center"/>
                                  <w:hideMark/>
                                </w:tcPr>
                                <w:p w14:paraId="2AA5509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901</w:t>
                                  </w:r>
                                </w:p>
                              </w:tc>
                            </w:tr>
                            <w:tr w:rsidR="00C7229E" w:rsidRPr="00C7229E" w14:paraId="42EE230E" w14:textId="77777777" w:rsidTr="00C7229E">
                              <w:trPr>
                                <w:trHeight w:val="555"/>
                              </w:trPr>
                              <w:tc>
                                <w:tcPr>
                                  <w:tcW w:w="2460" w:type="dxa"/>
                                  <w:tcBorders>
                                    <w:top w:val="single" w:sz="4" w:space="0" w:color="ADD6EA"/>
                                    <w:left w:val="nil"/>
                                    <w:bottom w:val="nil"/>
                                    <w:right w:val="nil"/>
                                  </w:tcBorders>
                                  <w:shd w:val="clear" w:color="000000" w:fill="FFFFFF"/>
                                  <w:vAlign w:val="center"/>
                                  <w:hideMark/>
                                </w:tcPr>
                                <w:p w14:paraId="784103F0"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New methods - Services to industry</w:t>
                                  </w:r>
                                </w:p>
                              </w:tc>
                              <w:tc>
                                <w:tcPr>
                                  <w:tcW w:w="720" w:type="dxa"/>
                                  <w:tcBorders>
                                    <w:top w:val="single" w:sz="4" w:space="0" w:color="ADD6EA"/>
                                    <w:left w:val="nil"/>
                                    <w:bottom w:val="nil"/>
                                    <w:right w:val="nil"/>
                                  </w:tcBorders>
                                  <w:shd w:val="clear" w:color="000000" w:fill="FFFFFF"/>
                                  <w:vAlign w:val="center"/>
                                  <w:hideMark/>
                                </w:tcPr>
                                <w:p w14:paraId="71410792"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296</w:t>
                                  </w:r>
                                </w:p>
                              </w:tc>
                              <w:tc>
                                <w:tcPr>
                                  <w:tcW w:w="720" w:type="dxa"/>
                                  <w:tcBorders>
                                    <w:top w:val="single" w:sz="4" w:space="0" w:color="ADD6EA"/>
                                    <w:left w:val="nil"/>
                                    <w:bottom w:val="nil"/>
                                    <w:right w:val="nil"/>
                                  </w:tcBorders>
                                  <w:shd w:val="clear" w:color="000000" w:fill="FFFFFF"/>
                                  <w:vAlign w:val="center"/>
                                  <w:hideMark/>
                                </w:tcPr>
                                <w:p w14:paraId="66CC4FC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471</w:t>
                                  </w:r>
                                </w:p>
                              </w:tc>
                              <w:tc>
                                <w:tcPr>
                                  <w:tcW w:w="720" w:type="dxa"/>
                                  <w:tcBorders>
                                    <w:top w:val="single" w:sz="4" w:space="0" w:color="ADD6EA"/>
                                    <w:left w:val="nil"/>
                                    <w:bottom w:val="nil"/>
                                    <w:right w:val="nil"/>
                                  </w:tcBorders>
                                  <w:shd w:val="clear" w:color="000000" w:fill="FFFFFF"/>
                                  <w:vAlign w:val="center"/>
                                  <w:hideMark/>
                                </w:tcPr>
                                <w:p w14:paraId="471D096A"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-411</w:t>
                                  </w:r>
                                </w:p>
                              </w:tc>
                              <w:tc>
                                <w:tcPr>
                                  <w:tcW w:w="720" w:type="dxa"/>
                                  <w:tcBorders>
                                    <w:top w:val="single" w:sz="4" w:space="0" w:color="ADD6EA"/>
                                    <w:left w:val="nil"/>
                                    <w:bottom w:val="nil"/>
                                    <w:right w:val="nil"/>
                                  </w:tcBorders>
                                  <w:shd w:val="clear" w:color="000000" w:fill="FFFFFF"/>
                                  <w:vAlign w:val="center"/>
                                  <w:hideMark/>
                                </w:tcPr>
                                <w:p w14:paraId="3FFF00F9"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-94</w:t>
                                  </w:r>
                                </w:p>
                              </w:tc>
                              <w:tc>
                                <w:tcPr>
                                  <w:tcW w:w="720" w:type="dxa"/>
                                  <w:tcBorders>
                                    <w:top w:val="single" w:sz="4" w:space="0" w:color="ADD6EA"/>
                                    <w:left w:val="nil"/>
                                    <w:bottom w:val="nil"/>
                                    <w:right w:val="nil"/>
                                  </w:tcBorders>
                                  <w:shd w:val="clear" w:color="000000" w:fill="FFFFFF"/>
                                  <w:vAlign w:val="center"/>
                                  <w:hideMark/>
                                </w:tcPr>
                                <w:p w14:paraId="34D525A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-209</w:t>
                                  </w:r>
                                </w:p>
                              </w:tc>
                              <w:tc>
                                <w:tcPr>
                                  <w:tcW w:w="720" w:type="dxa"/>
                                  <w:tcBorders>
                                    <w:top w:val="single" w:sz="4" w:space="0" w:color="ADD6EA"/>
                                    <w:left w:val="nil"/>
                                    <w:bottom w:val="nil"/>
                                    <w:right w:val="nil"/>
                                  </w:tcBorders>
                                  <w:shd w:val="clear" w:color="000000" w:fill="FFFFFF"/>
                                  <w:vAlign w:val="center"/>
                                  <w:hideMark/>
                                </w:tcPr>
                                <w:p w14:paraId="70123F4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-55</w:t>
                                  </w:r>
                                </w:p>
                              </w:tc>
                              <w:tc>
                                <w:tcPr>
                                  <w:tcW w:w="720" w:type="dxa"/>
                                  <w:tcBorders>
                                    <w:top w:val="single" w:sz="4" w:space="0" w:color="ADD6EA"/>
                                    <w:left w:val="nil"/>
                                    <w:bottom w:val="nil"/>
                                    <w:right w:val="nil"/>
                                  </w:tcBorders>
                                  <w:shd w:val="clear" w:color="000000" w:fill="FFFFFF"/>
                                  <w:vAlign w:val="center"/>
                                  <w:hideMark/>
                                </w:tcPr>
                                <w:p w14:paraId="0713395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9</w:t>
                                  </w:r>
                                </w:p>
                              </w:tc>
                              <w:tc>
                                <w:tcPr>
                                  <w:tcW w:w="720" w:type="dxa"/>
                                  <w:tcBorders>
                                    <w:top w:val="single" w:sz="4" w:space="0" w:color="ADD6EA"/>
                                    <w:left w:val="nil"/>
                                    <w:bottom w:val="nil"/>
                                    <w:right w:val="nil"/>
                                  </w:tcBorders>
                                  <w:shd w:val="clear" w:color="000000" w:fill="FFFFFF"/>
                                  <w:vAlign w:val="center"/>
                                  <w:hideMark/>
                                </w:tcPr>
                                <w:p w14:paraId="078B029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-7</w:t>
                                  </w:r>
                                </w:p>
                              </w:tc>
                              <w:tc>
                                <w:tcPr>
                                  <w:tcW w:w="720" w:type="dxa"/>
                                  <w:tcBorders>
                                    <w:top w:val="single" w:sz="4" w:space="0" w:color="ADD6EA"/>
                                    <w:left w:val="nil"/>
                                    <w:bottom w:val="nil"/>
                                    <w:right w:val="nil"/>
                                  </w:tcBorders>
                                  <w:shd w:val="clear" w:color="000000" w:fill="FFFFFF"/>
                                  <w:vAlign w:val="center"/>
                                  <w:hideMark/>
                                </w:tcPr>
                                <w:p w14:paraId="7AEF21B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776</w:t>
                                  </w:r>
                                </w:p>
                              </w:tc>
                            </w:tr>
                            <w:tr w:rsidR="00C7229E" w:rsidRPr="00C7229E" w14:paraId="4627F193" w14:textId="77777777" w:rsidTr="00C7229E">
                              <w:trPr>
                                <w:trHeight w:val="315"/>
                              </w:trPr>
                              <w:tc>
                                <w:tcPr>
                                  <w:tcW w:w="2460" w:type="dxa"/>
                                  <w:tcBorders>
                                    <w:top w:val="single" w:sz="4" w:space="0" w:color="ADD6EA"/>
                                    <w:left w:val="nil"/>
                                    <w:bottom w:val="nil"/>
                                    <w:right w:val="nil"/>
                                  </w:tcBorders>
                                  <w:shd w:val="clear" w:color="000000" w:fill="FFFFFF"/>
                                  <w:vAlign w:val="center"/>
                                  <w:hideMark/>
                                </w:tcPr>
                                <w:p w14:paraId="44C3B05E"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New methods - Health</w:t>
                                  </w:r>
                                </w:p>
                              </w:tc>
                              <w:tc>
                                <w:tcPr>
                                  <w:tcW w:w="720" w:type="dxa"/>
                                  <w:tcBorders>
                                    <w:top w:val="single" w:sz="4" w:space="0" w:color="ADD6EA"/>
                                    <w:left w:val="nil"/>
                                    <w:bottom w:val="nil"/>
                                    <w:right w:val="nil"/>
                                  </w:tcBorders>
                                  <w:shd w:val="clear" w:color="000000" w:fill="FFFFFF"/>
                                  <w:vAlign w:val="center"/>
                                  <w:hideMark/>
                                </w:tcPr>
                                <w:p w14:paraId="2251EFA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280</w:t>
                                  </w:r>
                                </w:p>
                              </w:tc>
                              <w:tc>
                                <w:tcPr>
                                  <w:tcW w:w="720" w:type="dxa"/>
                                  <w:tcBorders>
                                    <w:top w:val="single" w:sz="4" w:space="0" w:color="ADD6EA"/>
                                    <w:left w:val="nil"/>
                                    <w:bottom w:val="nil"/>
                                    <w:right w:val="nil"/>
                                  </w:tcBorders>
                                  <w:shd w:val="clear" w:color="000000" w:fill="FFFFFF"/>
                                  <w:vAlign w:val="center"/>
                                  <w:hideMark/>
                                </w:tcPr>
                                <w:p w14:paraId="3C63838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469</w:t>
                                  </w:r>
                                </w:p>
                              </w:tc>
                              <w:tc>
                                <w:tcPr>
                                  <w:tcW w:w="720" w:type="dxa"/>
                                  <w:tcBorders>
                                    <w:top w:val="single" w:sz="4" w:space="0" w:color="ADD6EA"/>
                                    <w:left w:val="nil"/>
                                    <w:bottom w:val="nil"/>
                                    <w:right w:val="nil"/>
                                  </w:tcBorders>
                                  <w:shd w:val="clear" w:color="000000" w:fill="FFFFFF"/>
                                  <w:vAlign w:val="center"/>
                                  <w:hideMark/>
                                </w:tcPr>
                                <w:p w14:paraId="50BAA6A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-398</w:t>
                                  </w:r>
                                </w:p>
                              </w:tc>
                              <w:tc>
                                <w:tcPr>
                                  <w:tcW w:w="720" w:type="dxa"/>
                                  <w:tcBorders>
                                    <w:top w:val="single" w:sz="4" w:space="0" w:color="ADD6EA"/>
                                    <w:left w:val="nil"/>
                                    <w:bottom w:val="nil"/>
                                    <w:right w:val="nil"/>
                                  </w:tcBorders>
                                  <w:shd w:val="clear" w:color="000000" w:fill="FFFFFF"/>
                                  <w:vAlign w:val="center"/>
                                  <w:hideMark/>
                                </w:tcPr>
                                <w:p w14:paraId="2398BDE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-159</w:t>
                                  </w:r>
                                </w:p>
                              </w:tc>
                              <w:tc>
                                <w:tcPr>
                                  <w:tcW w:w="720" w:type="dxa"/>
                                  <w:tcBorders>
                                    <w:top w:val="single" w:sz="4" w:space="0" w:color="ADD6EA"/>
                                    <w:left w:val="nil"/>
                                    <w:bottom w:val="nil"/>
                                    <w:right w:val="nil"/>
                                  </w:tcBorders>
                                  <w:shd w:val="clear" w:color="000000" w:fill="FFFFFF"/>
                                  <w:vAlign w:val="center"/>
                                  <w:hideMark/>
                                </w:tcPr>
                                <w:p w14:paraId="35BACB5F"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-104</w:t>
                                  </w:r>
                                </w:p>
                              </w:tc>
                              <w:tc>
                                <w:tcPr>
                                  <w:tcW w:w="720" w:type="dxa"/>
                                  <w:tcBorders>
                                    <w:top w:val="single" w:sz="4" w:space="0" w:color="ADD6EA"/>
                                    <w:left w:val="nil"/>
                                    <w:bottom w:val="nil"/>
                                    <w:right w:val="nil"/>
                                  </w:tcBorders>
                                  <w:shd w:val="clear" w:color="000000" w:fill="FFFFFF"/>
                                  <w:vAlign w:val="center"/>
                                  <w:hideMark/>
                                </w:tcPr>
                                <w:p w14:paraId="5A18BDA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-68</w:t>
                                  </w:r>
                                </w:p>
                              </w:tc>
                              <w:tc>
                                <w:tcPr>
                                  <w:tcW w:w="720" w:type="dxa"/>
                                  <w:tcBorders>
                                    <w:top w:val="single" w:sz="4" w:space="0" w:color="ADD6EA"/>
                                    <w:left w:val="nil"/>
                                    <w:bottom w:val="nil"/>
                                    <w:right w:val="nil"/>
                                  </w:tcBorders>
                                  <w:shd w:val="clear" w:color="000000" w:fill="FFFFFF"/>
                                  <w:vAlign w:val="center"/>
                                  <w:hideMark/>
                                </w:tcPr>
                                <w:p w14:paraId="0231583D"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19</w:t>
                                  </w:r>
                                </w:p>
                              </w:tc>
                              <w:tc>
                                <w:tcPr>
                                  <w:tcW w:w="720" w:type="dxa"/>
                                  <w:tcBorders>
                                    <w:top w:val="single" w:sz="4" w:space="0" w:color="ADD6EA"/>
                                    <w:left w:val="nil"/>
                                    <w:bottom w:val="nil"/>
                                    <w:right w:val="nil"/>
                                  </w:tcBorders>
                                  <w:shd w:val="clear" w:color="000000" w:fill="FFFFFF"/>
                                  <w:vAlign w:val="center"/>
                                  <w:hideMark/>
                                </w:tcPr>
                                <w:p w14:paraId="3A12CD1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-39</w:t>
                                  </w:r>
                                </w:p>
                              </w:tc>
                              <w:tc>
                                <w:tcPr>
                                  <w:tcW w:w="720" w:type="dxa"/>
                                  <w:tcBorders>
                                    <w:top w:val="single" w:sz="4" w:space="0" w:color="ADD6EA"/>
                                    <w:left w:val="nil"/>
                                    <w:bottom w:val="nil"/>
                                    <w:right w:val="nil"/>
                                  </w:tcBorders>
                                  <w:shd w:val="clear" w:color="000000" w:fill="FFFFFF"/>
                                  <w:vAlign w:val="center"/>
                                  <w:hideMark/>
                                </w:tcPr>
                                <w:p w14:paraId="7E52B64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768</w:t>
                                  </w:r>
                                </w:p>
                              </w:tc>
                            </w:tr>
                            <w:tr w:rsidR="00C7229E" w:rsidRPr="00C7229E" w14:paraId="3FCEE08E" w14:textId="77777777" w:rsidTr="00C7229E">
                              <w:trPr>
                                <w:trHeight w:val="315"/>
                              </w:trPr>
                              <w:tc>
                                <w:tcPr>
                                  <w:tcW w:w="2460" w:type="dxa"/>
                                  <w:tcBorders>
                                    <w:top w:val="single" w:sz="4" w:space="0" w:color="ADD6EA"/>
                                    <w:left w:val="nil"/>
                                    <w:bottom w:val="nil"/>
                                    <w:right w:val="nil"/>
                                  </w:tcBorders>
                                  <w:shd w:val="clear" w:color="000000" w:fill="FFFFFF"/>
                                  <w:vAlign w:val="center"/>
                                  <w:hideMark/>
                                </w:tcPr>
                                <w:p w14:paraId="056B7357"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New methods - Wage costs</w:t>
                                  </w:r>
                                </w:p>
                              </w:tc>
                              <w:tc>
                                <w:tcPr>
                                  <w:tcW w:w="720" w:type="dxa"/>
                                  <w:tcBorders>
                                    <w:top w:val="single" w:sz="4" w:space="0" w:color="ADD6EA"/>
                                    <w:left w:val="nil"/>
                                    <w:bottom w:val="nil"/>
                                    <w:right w:val="nil"/>
                                  </w:tcBorders>
                                  <w:shd w:val="clear" w:color="000000" w:fill="FFFFFF"/>
                                  <w:vAlign w:val="center"/>
                                  <w:hideMark/>
                                </w:tcPr>
                                <w:p w14:paraId="0634896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-194</w:t>
                                  </w:r>
                                </w:p>
                              </w:tc>
                              <w:tc>
                                <w:tcPr>
                                  <w:tcW w:w="720" w:type="dxa"/>
                                  <w:tcBorders>
                                    <w:top w:val="single" w:sz="4" w:space="0" w:color="ADD6EA"/>
                                    <w:left w:val="nil"/>
                                    <w:bottom w:val="nil"/>
                                    <w:right w:val="nil"/>
                                  </w:tcBorders>
                                  <w:shd w:val="clear" w:color="000000" w:fill="FFFFFF"/>
                                  <w:vAlign w:val="center"/>
                                  <w:hideMark/>
                                </w:tcPr>
                                <w:p w14:paraId="2888021F"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295</w:t>
                                  </w:r>
                                </w:p>
                              </w:tc>
                              <w:tc>
                                <w:tcPr>
                                  <w:tcW w:w="720" w:type="dxa"/>
                                  <w:tcBorders>
                                    <w:top w:val="single" w:sz="4" w:space="0" w:color="ADD6EA"/>
                                    <w:left w:val="nil"/>
                                    <w:bottom w:val="nil"/>
                                    <w:right w:val="nil"/>
                                  </w:tcBorders>
                                  <w:shd w:val="clear" w:color="000000" w:fill="FFFFFF"/>
                                  <w:vAlign w:val="center"/>
                                  <w:hideMark/>
                                </w:tcPr>
                                <w:p w14:paraId="04C6209A"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-58</w:t>
                                  </w:r>
                                </w:p>
                              </w:tc>
                              <w:tc>
                                <w:tcPr>
                                  <w:tcW w:w="720" w:type="dxa"/>
                                  <w:tcBorders>
                                    <w:top w:val="single" w:sz="4" w:space="0" w:color="ADD6EA"/>
                                    <w:left w:val="nil"/>
                                    <w:bottom w:val="nil"/>
                                    <w:right w:val="nil"/>
                                  </w:tcBorders>
                                  <w:shd w:val="clear" w:color="000000" w:fill="FFFFFF"/>
                                  <w:vAlign w:val="center"/>
                                  <w:hideMark/>
                                </w:tcPr>
                                <w:p w14:paraId="3FDD766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-370</w:t>
                                  </w:r>
                                </w:p>
                              </w:tc>
                              <w:tc>
                                <w:tcPr>
                                  <w:tcW w:w="720" w:type="dxa"/>
                                  <w:tcBorders>
                                    <w:top w:val="single" w:sz="4" w:space="0" w:color="ADD6EA"/>
                                    <w:left w:val="nil"/>
                                    <w:bottom w:val="nil"/>
                                    <w:right w:val="nil"/>
                                  </w:tcBorders>
                                  <w:shd w:val="clear" w:color="000000" w:fill="FFFFFF"/>
                                  <w:vAlign w:val="center"/>
                                  <w:hideMark/>
                                </w:tcPr>
                                <w:p w14:paraId="2E14520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187</w:t>
                                  </w:r>
                                </w:p>
                              </w:tc>
                              <w:tc>
                                <w:tcPr>
                                  <w:tcW w:w="720" w:type="dxa"/>
                                  <w:tcBorders>
                                    <w:top w:val="single" w:sz="4" w:space="0" w:color="ADD6EA"/>
                                    <w:left w:val="nil"/>
                                    <w:bottom w:val="nil"/>
                                    <w:right w:val="nil"/>
                                  </w:tcBorders>
                                  <w:shd w:val="clear" w:color="000000" w:fill="FFFFFF"/>
                                  <w:vAlign w:val="center"/>
                                  <w:hideMark/>
                                </w:tcPr>
                                <w:p w14:paraId="5C9C36CD"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136</w:t>
                                  </w:r>
                                </w:p>
                              </w:tc>
                              <w:tc>
                                <w:tcPr>
                                  <w:tcW w:w="720" w:type="dxa"/>
                                  <w:tcBorders>
                                    <w:top w:val="single" w:sz="4" w:space="0" w:color="ADD6EA"/>
                                    <w:left w:val="nil"/>
                                    <w:bottom w:val="nil"/>
                                    <w:right w:val="nil"/>
                                  </w:tcBorders>
                                  <w:shd w:val="clear" w:color="000000" w:fill="FFFFFF"/>
                                  <w:vAlign w:val="center"/>
                                  <w:hideMark/>
                                </w:tcPr>
                                <w:p w14:paraId="6FEF4943"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51</w:t>
                                  </w:r>
                                </w:p>
                              </w:tc>
                              <w:tc>
                                <w:tcPr>
                                  <w:tcW w:w="720" w:type="dxa"/>
                                  <w:tcBorders>
                                    <w:top w:val="single" w:sz="4" w:space="0" w:color="ADD6EA"/>
                                    <w:left w:val="nil"/>
                                    <w:bottom w:val="nil"/>
                                    <w:right w:val="nil"/>
                                  </w:tcBorders>
                                  <w:shd w:val="clear" w:color="000000" w:fill="FFFFFF"/>
                                  <w:vAlign w:val="center"/>
                                  <w:hideMark/>
                                </w:tcPr>
                                <w:p w14:paraId="49DA73A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-47</w:t>
                                  </w:r>
                                </w:p>
                              </w:tc>
                              <w:tc>
                                <w:tcPr>
                                  <w:tcW w:w="720" w:type="dxa"/>
                                  <w:tcBorders>
                                    <w:top w:val="single" w:sz="4" w:space="0" w:color="ADD6EA"/>
                                    <w:left w:val="nil"/>
                                    <w:bottom w:val="nil"/>
                                    <w:right w:val="nil"/>
                                  </w:tcBorders>
                                  <w:shd w:val="clear" w:color="000000" w:fill="FFFFFF"/>
                                  <w:vAlign w:val="center"/>
                                  <w:hideMark/>
                                </w:tcPr>
                                <w:p w14:paraId="5C94495A"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669</w:t>
                                  </w:r>
                                </w:p>
                              </w:tc>
                            </w:tr>
                            <w:tr w:rsidR="00C7229E" w:rsidRPr="00C7229E" w14:paraId="74597E6E" w14:textId="77777777" w:rsidTr="00C7229E">
                              <w:trPr>
                                <w:trHeight w:val="555"/>
                              </w:trPr>
                              <w:tc>
                                <w:tcPr>
                                  <w:tcW w:w="2460" w:type="dxa"/>
                                  <w:tcBorders>
                                    <w:top w:val="single" w:sz="4" w:space="0" w:color="ADD6EA"/>
                                    <w:left w:val="nil"/>
                                    <w:bottom w:val="nil"/>
                                    <w:right w:val="nil"/>
                                  </w:tcBorders>
                                  <w:shd w:val="clear" w:color="000000" w:fill="FFFFFF"/>
                                  <w:vAlign w:val="center"/>
                                  <w:hideMark/>
                                </w:tcPr>
                                <w:p w14:paraId="7E897FC6"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Data revisions - Natural disaster relief</w:t>
                                  </w:r>
                                </w:p>
                              </w:tc>
                              <w:tc>
                                <w:tcPr>
                                  <w:tcW w:w="720" w:type="dxa"/>
                                  <w:tcBorders>
                                    <w:top w:val="single" w:sz="4" w:space="0" w:color="ADD6EA"/>
                                    <w:left w:val="nil"/>
                                    <w:bottom w:val="nil"/>
                                    <w:right w:val="nil"/>
                                  </w:tcBorders>
                                  <w:shd w:val="clear" w:color="000000" w:fill="FFFFFF"/>
                                  <w:vAlign w:val="center"/>
                                  <w:hideMark/>
                                </w:tcPr>
                                <w:p w14:paraId="7BF7C71D"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611</w:t>
                                  </w:r>
                                </w:p>
                              </w:tc>
                              <w:tc>
                                <w:tcPr>
                                  <w:tcW w:w="720" w:type="dxa"/>
                                  <w:tcBorders>
                                    <w:top w:val="single" w:sz="4" w:space="0" w:color="ADD6EA"/>
                                    <w:left w:val="nil"/>
                                    <w:bottom w:val="nil"/>
                                    <w:right w:val="nil"/>
                                  </w:tcBorders>
                                  <w:shd w:val="clear" w:color="000000" w:fill="FFFFFF"/>
                                  <w:vAlign w:val="center"/>
                                  <w:hideMark/>
                                </w:tcPr>
                                <w:p w14:paraId="6B9E8AD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-292</w:t>
                                  </w:r>
                                </w:p>
                              </w:tc>
                              <w:tc>
                                <w:tcPr>
                                  <w:tcW w:w="720" w:type="dxa"/>
                                  <w:tcBorders>
                                    <w:top w:val="single" w:sz="4" w:space="0" w:color="ADD6EA"/>
                                    <w:left w:val="nil"/>
                                    <w:bottom w:val="nil"/>
                                    <w:right w:val="nil"/>
                                  </w:tcBorders>
                                  <w:shd w:val="clear" w:color="000000" w:fill="FFFFFF"/>
                                  <w:vAlign w:val="center"/>
                                  <w:hideMark/>
                                </w:tcPr>
                                <w:p w14:paraId="3C42065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-175</w:t>
                                  </w:r>
                                </w:p>
                              </w:tc>
                              <w:tc>
                                <w:tcPr>
                                  <w:tcW w:w="720" w:type="dxa"/>
                                  <w:tcBorders>
                                    <w:top w:val="single" w:sz="4" w:space="0" w:color="ADD6EA"/>
                                    <w:left w:val="nil"/>
                                    <w:bottom w:val="nil"/>
                                    <w:right w:val="nil"/>
                                  </w:tcBorders>
                                  <w:shd w:val="clear" w:color="000000" w:fill="FFFFFF"/>
                                  <w:vAlign w:val="center"/>
                                  <w:hideMark/>
                                </w:tcPr>
                                <w:p w14:paraId="4BFA3183"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24</w:t>
                                  </w:r>
                                </w:p>
                              </w:tc>
                              <w:tc>
                                <w:tcPr>
                                  <w:tcW w:w="720" w:type="dxa"/>
                                  <w:tcBorders>
                                    <w:top w:val="single" w:sz="4" w:space="0" w:color="ADD6EA"/>
                                    <w:left w:val="nil"/>
                                    <w:bottom w:val="nil"/>
                                    <w:right w:val="nil"/>
                                  </w:tcBorders>
                                  <w:shd w:val="clear" w:color="000000" w:fill="FFFFFF"/>
                                  <w:vAlign w:val="center"/>
                                  <w:hideMark/>
                                </w:tcPr>
                                <w:p w14:paraId="584A5CB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-114</w:t>
                                  </w:r>
                                </w:p>
                              </w:tc>
                              <w:tc>
                                <w:tcPr>
                                  <w:tcW w:w="720" w:type="dxa"/>
                                  <w:tcBorders>
                                    <w:top w:val="single" w:sz="4" w:space="0" w:color="ADD6EA"/>
                                    <w:left w:val="nil"/>
                                    <w:bottom w:val="nil"/>
                                    <w:right w:val="nil"/>
                                  </w:tcBorders>
                                  <w:shd w:val="clear" w:color="000000" w:fill="FFFFFF"/>
                                  <w:vAlign w:val="center"/>
                                  <w:hideMark/>
                                </w:tcPr>
                                <w:p w14:paraId="37D4729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-26</w:t>
                                  </w:r>
                                </w:p>
                              </w:tc>
                              <w:tc>
                                <w:tcPr>
                                  <w:tcW w:w="720" w:type="dxa"/>
                                  <w:tcBorders>
                                    <w:top w:val="single" w:sz="4" w:space="0" w:color="ADD6EA"/>
                                    <w:left w:val="nil"/>
                                    <w:bottom w:val="nil"/>
                                    <w:right w:val="nil"/>
                                  </w:tcBorders>
                                  <w:shd w:val="clear" w:color="000000" w:fill="FFFFFF"/>
                                  <w:vAlign w:val="center"/>
                                  <w:hideMark/>
                                </w:tcPr>
                                <w:p w14:paraId="6C3CB99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-21</w:t>
                                  </w:r>
                                </w:p>
                              </w:tc>
                              <w:tc>
                                <w:tcPr>
                                  <w:tcW w:w="720" w:type="dxa"/>
                                  <w:tcBorders>
                                    <w:top w:val="single" w:sz="4" w:space="0" w:color="ADD6EA"/>
                                    <w:left w:val="nil"/>
                                    <w:bottom w:val="nil"/>
                                    <w:right w:val="nil"/>
                                  </w:tcBorders>
                                  <w:shd w:val="clear" w:color="000000" w:fill="FFFFFF"/>
                                  <w:vAlign w:val="center"/>
                                  <w:hideMark/>
                                </w:tcPr>
                                <w:p w14:paraId="70A97CB2"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-8</w:t>
                                  </w:r>
                                </w:p>
                              </w:tc>
                              <w:tc>
                                <w:tcPr>
                                  <w:tcW w:w="720" w:type="dxa"/>
                                  <w:tcBorders>
                                    <w:top w:val="single" w:sz="4" w:space="0" w:color="ADD6EA"/>
                                    <w:left w:val="nil"/>
                                    <w:bottom w:val="nil"/>
                                    <w:right w:val="nil"/>
                                  </w:tcBorders>
                                  <w:shd w:val="clear" w:color="000000" w:fill="FFFFFF"/>
                                  <w:vAlign w:val="center"/>
                                  <w:hideMark/>
                                </w:tcPr>
                                <w:p w14:paraId="3121AF9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636</w:t>
                                  </w:r>
                                </w:p>
                              </w:tc>
                            </w:tr>
                            <w:tr w:rsidR="00C7229E" w:rsidRPr="00C7229E" w14:paraId="2AE011D1" w14:textId="77777777" w:rsidTr="00C7229E">
                              <w:trPr>
                                <w:trHeight w:val="315"/>
                              </w:trPr>
                              <w:tc>
                                <w:tcPr>
                                  <w:tcW w:w="2460" w:type="dxa"/>
                                  <w:tcBorders>
                                    <w:top w:val="single" w:sz="4" w:space="0" w:color="ADD6EA"/>
                                    <w:left w:val="nil"/>
                                    <w:bottom w:val="nil"/>
                                    <w:right w:val="nil"/>
                                  </w:tcBorders>
                                  <w:shd w:val="clear" w:color="000000" w:fill="FFFFFF"/>
                                  <w:vAlign w:val="center"/>
                                  <w:hideMark/>
                                </w:tcPr>
                                <w:p w14:paraId="28542E9C"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Other method changes</w:t>
                                  </w:r>
                                </w:p>
                              </w:tc>
                              <w:tc>
                                <w:tcPr>
                                  <w:tcW w:w="720" w:type="dxa"/>
                                  <w:tcBorders>
                                    <w:top w:val="single" w:sz="4" w:space="0" w:color="ADD6EA"/>
                                    <w:left w:val="nil"/>
                                    <w:bottom w:val="nil"/>
                                    <w:right w:val="nil"/>
                                  </w:tcBorders>
                                  <w:shd w:val="clear" w:color="000000" w:fill="FFFFFF"/>
                                  <w:vAlign w:val="center"/>
                                  <w:hideMark/>
                                </w:tcPr>
                                <w:p w14:paraId="408CD8D5"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-145</w:t>
                                  </w:r>
                                </w:p>
                              </w:tc>
                              <w:tc>
                                <w:tcPr>
                                  <w:tcW w:w="720" w:type="dxa"/>
                                  <w:tcBorders>
                                    <w:top w:val="single" w:sz="4" w:space="0" w:color="ADD6EA"/>
                                    <w:left w:val="nil"/>
                                    <w:bottom w:val="nil"/>
                                    <w:right w:val="nil"/>
                                  </w:tcBorders>
                                  <w:shd w:val="clear" w:color="000000" w:fill="FFFFFF"/>
                                  <w:vAlign w:val="center"/>
                                  <w:hideMark/>
                                </w:tcPr>
                                <w:p w14:paraId="76674C20"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-176</w:t>
                                  </w:r>
                                </w:p>
                              </w:tc>
                              <w:tc>
                                <w:tcPr>
                                  <w:tcW w:w="720" w:type="dxa"/>
                                  <w:tcBorders>
                                    <w:top w:val="single" w:sz="4" w:space="0" w:color="ADD6EA"/>
                                    <w:left w:val="nil"/>
                                    <w:bottom w:val="nil"/>
                                    <w:right w:val="nil"/>
                                  </w:tcBorders>
                                  <w:shd w:val="clear" w:color="000000" w:fill="FFFFFF"/>
                                  <w:vAlign w:val="center"/>
                                  <w:hideMark/>
                                </w:tcPr>
                                <w:p w14:paraId="73E0654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-255</w:t>
                                  </w:r>
                                </w:p>
                              </w:tc>
                              <w:tc>
                                <w:tcPr>
                                  <w:tcW w:w="720" w:type="dxa"/>
                                  <w:tcBorders>
                                    <w:top w:val="single" w:sz="4" w:space="0" w:color="ADD6EA"/>
                                    <w:left w:val="nil"/>
                                    <w:bottom w:val="nil"/>
                                    <w:right w:val="nil"/>
                                  </w:tcBorders>
                                  <w:shd w:val="clear" w:color="000000" w:fill="FFFFFF"/>
                                  <w:vAlign w:val="center"/>
                                  <w:hideMark/>
                                </w:tcPr>
                                <w:p w14:paraId="029A462A"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295</w:t>
                                  </w:r>
                                </w:p>
                              </w:tc>
                              <w:tc>
                                <w:tcPr>
                                  <w:tcW w:w="720" w:type="dxa"/>
                                  <w:tcBorders>
                                    <w:top w:val="single" w:sz="4" w:space="0" w:color="ADD6EA"/>
                                    <w:left w:val="nil"/>
                                    <w:bottom w:val="nil"/>
                                    <w:right w:val="nil"/>
                                  </w:tcBorders>
                                  <w:shd w:val="clear" w:color="000000" w:fill="FFFFFF"/>
                                  <w:vAlign w:val="center"/>
                                  <w:hideMark/>
                                </w:tcPr>
                                <w:p w14:paraId="738265FD"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124</w:t>
                                  </w:r>
                                </w:p>
                              </w:tc>
                              <w:tc>
                                <w:tcPr>
                                  <w:tcW w:w="720" w:type="dxa"/>
                                  <w:tcBorders>
                                    <w:top w:val="single" w:sz="4" w:space="0" w:color="ADD6EA"/>
                                    <w:left w:val="nil"/>
                                    <w:bottom w:val="nil"/>
                                    <w:right w:val="nil"/>
                                  </w:tcBorders>
                                  <w:shd w:val="clear" w:color="000000" w:fill="FFFFFF"/>
                                  <w:vAlign w:val="center"/>
                                  <w:hideMark/>
                                </w:tcPr>
                                <w:p w14:paraId="6C8F859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57</w:t>
                                  </w:r>
                                </w:p>
                              </w:tc>
                              <w:tc>
                                <w:tcPr>
                                  <w:tcW w:w="720" w:type="dxa"/>
                                  <w:tcBorders>
                                    <w:top w:val="single" w:sz="4" w:space="0" w:color="ADD6EA"/>
                                    <w:left w:val="nil"/>
                                    <w:bottom w:val="nil"/>
                                    <w:right w:val="nil"/>
                                  </w:tcBorders>
                                  <w:shd w:val="clear" w:color="000000" w:fill="FFFFFF"/>
                                  <w:vAlign w:val="center"/>
                                  <w:hideMark/>
                                </w:tcPr>
                                <w:p w14:paraId="5905956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14</w:t>
                                  </w:r>
                                </w:p>
                              </w:tc>
                              <w:tc>
                                <w:tcPr>
                                  <w:tcW w:w="720" w:type="dxa"/>
                                  <w:tcBorders>
                                    <w:top w:val="single" w:sz="4" w:space="0" w:color="ADD6EA"/>
                                    <w:left w:val="nil"/>
                                    <w:bottom w:val="nil"/>
                                    <w:right w:val="nil"/>
                                  </w:tcBorders>
                                  <w:shd w:val="clear" w:color="000000" w:fill="FFFFFF"/>
                                  <w:vAlign w:val="center"/>
                                  <w:hideMark/>
                                </w:tcPr>
                                <w:p w14:paraId="4641614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87</w:t>
                                  </w:r>
                                </w:p>
                              </w:tc>
                              <w:tc>
                                <w:tcPr>
                                  <w:tcW w:w="720" w:type="dxa"/>
                                  <w:tcBorders>
                                    <w:top w:val="single" w:sz="4" w:space="0" w:color="ADD6EA"/>
                                    <w:left w:val="nil"/>
                                    <w:bottom w:val="nil"/>
                                    <w:right w:val="nil"/>
                                  </w:tcBorders>
                                  <w:shd w:val="clear" w:color="000000" w:fill="FFFFFF"/>
                                  <w:vAlign w:val="center"/>
                                  <w:hideMark/>
                                </w:tcPr>
                                <w:p w14:paraId="553D472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576</w:t>
                                  </w:r>
                                </w:p>
                              </w:tc>
                            </w:tr>
                            <w:tr w:rsidR="00C7229E" w:rsidRPr="00C7229E" w14:paraId="050D88B7" w14:textId="77777777" w:rsidTr="00C7229E">
                              <w:trPr>
                                <w:trHeight w:val="315"/>
                              </w:trPr>
                              <w:tc>
                                <w:tcPr>
                                  <w:tcW w:w="2460" w:type="dxa"/>
                                  <w:tcBorders>
                                    <w:top w:val="single" w:sz="4" w:space="0" w:color="ADD6EA"/>
                                    <w:left w:val="nil"/>
                                    <w:bottom w:val="nil"/>
                                    <w:right w:val="nil"/>
                                  </w:tcBorders>
                                  <w:shd w:val="clear" w:color="000000" w:fill="FFFFFF"/>
                                  <w:vAlign w:val="center"/>
                                  <w:hideMark/>
                                </w:tcPr>
                                <w:p w14:paraId="7118468E"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Other revisions</w:t>
                                  </w:r>
                                </w:p>
                              </w:tc>
                              <w:tc>
                                <w:tcPr>
                                  <w:tcW w:w="720" w:type="dxa"/>
                                  <w:tcBorders>
                                    <w:top w:val="single" w:sz="4" w:space="0" w:color="ADD6EA"/>
                                    <w:left w:val="nil"/>
                                    <w:bottom w:val="nil"/>
                                    <w:right w:val="nil"/>
                                  </w:tcBorders>
                                  <w:shd w:val="clear" w:color="000000" w:fill="FFFFFF"/>
                                  <w:vAlign w:val="center"/>
                                  <w:hideMark/>
                                </w:tcPr>
                                <w:p w14:paraId="4B57A84D"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117</w:t>
                                  </w:r>
                                </w:p>
                              </w:tc>
                              <w:tc>
                                <w:tcPr>
                                  <w:tcW w:w="720" w:type="dxa"/>
                                  <w:tcBorders>
                                    <w:top w:val="single" w:sz="4" w:space="0" w:color="ADD6EA"/>
                                    <w:left w:val="nil"/>
                                    <w:bottom w:val="nil"/>
                                    <w:right w:val="nil"/>
                                  </w:tcBorders>
                                  <w:shd w:val="clear" w:color="000000" w:fill="FFFFFF"/>
                                  <w:vAlign w:val="center"/>
                                  <w:hideMark/>
                                </w:tcPr>
                                <w:p w14:paraId="7CE06F6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-50</w:t>
                                  </w:r>
                                </w:p>
                              </w:tc>
                              <w:tc>
                                <w:tcPr>
                                  <w:tcW w:w="720" w:type="dxa"/>
                                  <w:tcBorders>
                                    <w:top w:val="single" w:sz="4" w:space="0" w:color="ADD6EA"/>
                                    <w:left w:val="nil"/>
                                    <w:bottom w:val="nil"/>
                                    <w:right w:val="nil"/>
                                  </w:tcBorders>
                                  <w:shd w:val="clear" w:color="000000" w:fill="FFFFFF"/>
                                  <w:vAlign w:val="center"/>
                                  <w:hideMark/>
                                </w:tcPr>
                                <w:p w14:paraId="491ED60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78</w:t>
                                  </w:r>
                                </w:p>
                              </w:tc>
                              <w:tc>
                                <w:tcPr>
                                  <w:tcW w:w="720" w:type="dxa"/>
                                  <w:tcBorders>
                                    <w:top w:val="single" w:sz="4" w:space="0" w:color="ADD6EA"/>
                                    <w:left w:val="nil"/>
                                    <w:bottom w:val="nil"/>
                                    <w:right w:val="nil"/>
                                  </w:tcBorders>
                                  <w:shd w:val="clear" w:color="000000" w:fill="FFFFFF"/>
                                  <w:vAlign w:val="center"/>
                                  <w:hideMark/>
                                </w:tcPr>
                                <w:p w14:paraId="3F059E1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-105</w:t>
                                  </w:r>
                                </w:p>
                              </w:tc>
                              <w:tc>
                                <w:tcPr>
                                  <w:tcW w:w="720" w:type="dxa"/>
                                  <w:tcBorders>
                                    <w:top w:val="single" w:sz="4" w:space="0" w:color="ADD6EA"/>
                                    <w:left w:val="nil"/>
                                    <w:bottom w:val="nil"/>
                                    <w:right w:val="nil"/>
                                  </w:tcBorders>
                                  <w:shd w:val="clear" w:color="000000" w:fill="FFFFFF"/>
                                  <w:vAlign w:val="center"/>
                                  <w:hideMark/>
                                </w:tcPr>
                                <w:p w14:paraId="558EA023"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w:t>
                                  </w:r>
                                </w:p>
                              </w:tc>
                              <w:tc>
                                <w:tcPr>
                                  <w:tcW w:w="720" w:type="dxa"/>
                                  <w:tcBorders>
                                    <w:top w:val="single" w:sz="4" w:space="0" w:color="ADD6EA"/>
                                    <w:left w:val="nil"/>
                                    <w:bottom w:val="nil"/>
                                    <w:right w:val="nil"/>
                                  </w:tcBorders>
                                  <w:shd w:val="clear" w:color="000000" w:fill="FFFFFF"/>
                                  <w:vAlign w:val="center"/>
                                  <w:hideMark/>
                                </w:tcPr>
                                <w:p w14:paraId="5BA23901"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-9</w:t>
                                  </w:r>
                                </w:p>
                              </w:tc>
                              <w:tc>
                                <w:tcPr>
                                  <w:tcW w:w="720" w:type="dxa"/>
                                  <w:tcBorders>
                                    <w:top w:val="single" w:sz="4" w:space="0" w:color="ADD6EA"/>
                                    <w:left w:val="nil"/>
                                    <w:bottom w:val="nil"/>
                                    <w:right w:val="nil"/>
                                  </w:tcBorders>
                                  <w:shd w:val="clear" w:color="000000" w:fill="FFFFFF"/>
                                  <w:vAlign w:val="center"/>
                                  <w:hideMark/>
                                </w:tcPr>
                                <w:p w14:paraId="7971B07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-21</w:t>
                                  </w:r>
                                </w:p>
                              </w:tc>
                              <w:tc>
                                <w:tcPr>
                                  <w:tcW w:w="720" w:type="dxa"/>
                                  <w:tcBorders>
                                    <w:top w:val="single" w:sz="4" w:space="0" w:color="ADD6EA"/>
                                    <w:left w:val="nil"/>
                                    <w:bottom w:val="nil"/>
                                    <w:right w:val="nil"/>
                                  </w:tcBorders>
                                  <w:shd w:val="clear" w:color="000000" w:fill="FFFFFF"/>
                                  <w:vAlign w:val="center"/>
                                  <w:hideMark/>
                                </w:tcPr>
                                <w:p w14:paraId="198C45B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-7</w:t>
                                  </w:r>
                                </w:p>
                              </w:tc>
                              <w:tc>
                                <w:tcPr>
                                  <w:tcW w:w="720" w:type="dxa"/>
                                  <w:tcBorders>
                                    <w:top w:val="single" w:sz="4" w:space="0" w:color="ADD6EA"/>
                                    <w:left w:val="nil"/>
                                    <w:bottom w:val="nil"/>
                                    <w:right w:val="nil"/>
                                  </w:tcBorders>
                                  <w:shd w:val="clear" w:color="000000" w:fill="FFFFFF"/>
                                  <w:vAlign w:val="center"/>
                                  <w:hideMark/>
                                </w:tcPr>
                                <w:p w14:paraId="355B27A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194</w:t>
                                  </w:r>
                                </w:p>
                              </w:tc>
                            </w:tr>
                            <w:tr w:rsidR="00C7229E" w:rsidRPr="00C7229E" w14:paraId="58238C4B" w14:textId="77777777" w:rsidTr="00C7229E">
                              <w:trPr>
                                <w:trHeight w:val="555"/>
                              </w:trPr>
                              <w:tc>
                                <w:tcPr>
                                  <w:tcW w:w="2460" w:type="dxa"/>
                                  <w:tcBorders>
                                    <w:top w:val="single" w:sz="4" w:space="0" w:color="ADD6EA"/>
                                    <w:left w:val="nil"/>
                                    <w:bottom w:val="nil"/>
                                    <w:right w:val="nil"/>
                                  </w:tcBorders>
                                  <w:shd w:val="clear" w:color="000000" w:fill="FFFFFF"/>
                                  <w:vAlign w:val="center"/>
                                  <w:hideMark/>
                                </w:tcPr>
                                <w:p w14:paraId="734293CB"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Other changes in circumstances</w:t>
                                  </w:r>
                                </w:p>
                              </w:tc>
                              <w:tc>
                                <w:tcPr>
                                  <w:tcW w:w="720" w:type="dxa"/>
                                  <w:tcBorders>
                                    <w:top w:val="single" w:sz="4" w:space="0" w:color="ADD6EA"/>
                                    <w:left w:val="nil"/>
                                    <w:bottom w:val="nil"/>
                                    <w:right w:val="nil"/>
                                  </w:tcBorders>
                                  <w:shd w:val="clear" w:color="000000" w:fill="FFFFFF"/>
                                  <w:vAlign w:val="center"/>
                                  <w:hideMark/>
                                </w:tcPr>
                                <w:p w14:paraId="5C2CBF3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-621</w:t>
                                  </w:r>
                                </w:p>
                              </w:tc>
                              <w:tc>
                                <w:tcPr>
                                  <w:tcW w:w="720" w:type="dxa"/>
                                  <w:tcBorders>
                                    <w:top w:val="single" w:sz="4" w:space="0" w:color="ADD6EA"/>
                                    <w:left w:val="nil"/>
                                    <w:bottom w:val="nil"/>
                                    <w:right w:val="nil"/>
                                  </w:tcBorders>
                                  <w:shd w:val="clear" w:color="000000" w:fill="FFFFFF"/>
                                  <w:vAlign w:val="center"/>
                                  <w:hideMark/>
                                </w:tcPr>
                                <w:p w14:paraId="3BB187F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234</w:t>
                                  </w:r>
                                </w:p>
                              </w:tc>
                              <w:tc>
                                <w:tcPr>
                                  <w:tcW w:w="720" w:type="dxa"/>
                                  <w:tcBorders>
                                    <w:top w:val="single" w:sz="4" w:space="0" w:color="ADD6EA"/>
                                    <w:left w:val="nil"/>
                                    <w:bottom w:val="nil"/>
                                    <w:right w:val="nil"/>
                                  </w:tcBorders>
                                  <w:shd w:val="clear" w:color="000000" w:fill="FFFFFF"/>
                                  <w:vAlign w:val="center"/>
                                  <w:hideMark/>
                                </w:tcPr>
                                <w:p w14:paraId="24B9CB6D"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437</w:t>
                                  </w:r>
                                </w:p>
                              </w:tc>
                              <w:tc>
                                <w:tcPr>
                                  <w:tcW w:w="720" w:type="dxa"/>
                                  <w:tcBorders>
                                    <w:top w:val="single" w:sz="4" w:space="0" w:color="ADD6EA"/>
                                    <w:left w:val="nil"/>
                                    <w:bottom w:val="nil"/>
                                    <w:right w:val="nil"/>
                                  </w:tcBorders>
                                  <w:shd w:val="clear" w:color="000000" w:fill="FFFFFF"/>
                                  <w:vAlign w:val="center"/>
                                  <w:hideMark/>
                                </w:tcPr>
                                <w:p w14:paraId="06BDCD0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-56</w:t>
                                  </w:r>
                                </w:p>
                              </w:tc>
                              <w:tc>
                                <w:tcPr>
                                  <w:tcW w:w="720" w:type="dxa"/>
                                  <w:tcBorders>
                                    <w:top w:val="single" w:sz="4" w:space="0" w:color="ADD6EA"/>
                                    <w:left w:val="nil"/>
                                    <w:bottom w:val="nil"/>
                                    <w:right w:val="nil"/>
                                  </w:tcBorders>
                                  <w:shd w:val="clear" w:color="000000" w:fill="FFFFFF"/>
                                  <w:vAlign w:val="center"/>
                                  <w:hideMark/>
                                </w:tcPr>
                                <w:p w14:paraId="3A6F0A0A"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32</w:t>
                                  </w:r>
                                </w:p>
                              </w:tc>
                              <w:tc>
                                <w:tcPr>
                                  <w:tcW w:w="720" w:type="dxa"/>
                                  <w:tcBorders>
                                    <w:top w:val="single" w:sz="4" w:space="0" w:color="ADD6EA"/>
                                    <w:left w:val="nil"/>
                                    <w:bottom w:val="nil"/>
                                    <w:right w:val="nil"/>
                                  </w:tcBorders>
                                  <w:shd w:val="clear" w:color="000000" w:fill="FFFFFF"/>
                                  <w:vAlign w:val="center"/>
                                  <w:hideMark/>
                                </w:tcPr>
                                <w:p w14:paraId="50E0F793"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12</w:t>
                                  </w:r>
                                </w:p>
                              </w:tc>
                              <w:tc>
                                <w:tcPr>
                                  <w:tcW w:w="720" w:type="dxa"/>
                                  <w:tcBorders>
                                    <w:top w:val="single" w:sz="4" w:space="0" w:color="ADD6EA"/>
                                    <w:left w:val="nil"/>
                                    <w:bottom w:val="nil"/>
                                    <w:right w:val="nil"/>
                                  </w:tcBorders>
                                  <w:shd w:val="clear" w:color="000000" w:fill="FFFFFF"/>
                                  <w:vAlign w:val="center"/>
                                  <w:hideMark/>
                                </w:tcPr>
                                <w:p w14:paraId="6186A95A"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-90</w:t>
                                  </w:r>
                                </w:p>
                              </w:tc>
                              <w:tc>
                                <w:tcPr>
                                  <w:tcW w:w="720" w:type="dxa"/>
                                  <w:tcBorders>
                                    <w:top w:val="single" w:sz="4" w:space="0" w:color="ADD6EA"/>
                                    <w:left w:val="nil"/>
                                    <w:bottom w:val="nil"/>
                                    <w:right w:val="nil"/>
                                  </w:tcBorders>
                                  <w:shd w:val="clear" w:color="000000" w:fill="FFFFFF"/>
                                  <w:vAlign w:val="center"/>
                                  <w:hideMark/>
                                </w:tcPr>
                                <w:p w14:paraId="061BD191"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51</w:t>
                                  </w:r>
                                </w:p>
                              </w:tc>
                              <w:tc>
                                <w:tcPr>
                                  <w:tcW w:w="720" w:type="dxa"/>
                                  <w:tcBorders>
                                    <w:top w:val="single" w:sz="4" w:space="0" w:color="ADD6EA"/>
                                    <w:left w:val="nil"/>
                                    <w:bottom w:val="nil"/>
                                    <w:right w:val="nil"/>
                                  </w:tcBorders>
                                  <w:shd w:val="clear" w:color="000000" w:fill="FFFFFF"/>
                                  <w:vAlign w:val="center"/>
                                  <w:hideMark/>
                                </w:tcPr>
                                <w:p w14:paraId="7443626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767</w:t>
                                  </w:r>
                                </w:p>
                              </w:tc>
                            </w:tr>
                            <w:tr w:rsidR="00C7229E" w:rsidRPr="00C7229E" w14:paraId="47E71394" w14:textId="77777777" w:rsidTr="00C7229E">
                              <w:trPr>
                                <w:trHeight w:val="555"/>
                              </w:trPr>
                              <w:tc>
                                <w:tcPr>
                                  <w:tcW w:w="2460" w:type="dxa"/>
                                  <w:tcBorders>
                                    <w:top w:val="single" w:sz="4" w:space="0" w:color="ADD6EA"/>
                                    <w:left w:val="nil"/>
                                    <w:bottom w:val="single" w:sz="4" w:space="0" w:color="ADD6EA"/>
                                    <w:right w:val="nil"/>
                                  </w:tcBorders>
                                  <w:shd w:val="clear" w:color="000000" w:fill="D6E7F0"/>
                                  <w:vAlign w:val="center"/>
                                  <w:hideMark/>
                                </w:tcPr>
                                <w:p w14:paraId="66CA08F6" w14:textId="77777777" w:rsidR="00C7229E" w:rsidRPr="00C7229E" w:rsidRDefault="00C7229E" w:rsidP="00C7229E">
                                  <w:pPr>
                                    <w:tabs>
                                      <w:tab w:val="clear" w:pos="567"/>
                                    </w:tabs>
                                    <w:spacing w:before="0" w:line="240" w:lineRule="auto"/>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Total change in fiscal capacities</w:t>
                                  </w:r>
                                </w:p>
                              </w:tc>
                              <w:tc>
                                <w:tcPr>
                                  <w:tcW w:w="720" w:type="dxa"/>
                                  <w:tcBorders>
                                    <w:top w:val="single" w:sz="4" w:space="0" w:color="ADD6EA"/>
                                    <w:left w:val="nil"/>
                                    <w:bottom w:val="single" w:sz="4" w:space="0" w:color="ADD6EA"/>
                                    <w:right w:val="nil"/>
                                  </w:tcBorders>
                                  <w:shd w:val="clear" w:color="000000" w:fill="D6E7F0"/>
                                  <w:noWrap/>
                                  <w:vAlign w:val="center"/>
                                  <w:hideMark/>
                                </w:tcPr>
                                <w:p w14:paraId="6FC6BEE6"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0</w:t>
                                  </w:r>
                                </w:p>
                              </w:tc>
                              <w:tc>
                                <w:tcPr>
                                  <w:tcW w:w="720" w:type="dxa"/>
                                  <w:tcBorders>
                                    <w:top w:val="single" w:sz="4" w:space="0" w:color="ADD6EA"/>
                                    <w:left w:val="nil"/>
                                    <w:bottom w:val="single" w:sz="4" w:space="0" w:color="ADD6EA"/>
                                    <w:right w:val="nil"/>
                                  </w:tcBorders>
                                  <w:shd w:val="clear" w:color="000000" w:fill="D6E7F0"/>
                                  <w:noWrap/>
                                  <w:vAlign w:val="center"/>
                                  <w:hideMark/>
                                </w:tcPr>
                                <w:p w14:paraId="36966F39"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2,675</w:t>
                                  </w:r>
                                </w:p>
                              </w:tc>
                              <w:tc>
                                <w:tcPr>
                                  <w:tcW w:w="720" w:type="dxa"/>
                                  <w:tcBorders>
                                    <w:top w:val="single" w:sz="4" w:space="0" w:color="ADD6EA"/>
                                    <w:left w:val="nil"/>
                                    <w:bottom w:val="single" w:sz="4" w:space="0" w:color="ADD6EA"/>
                                    <w:right w:val="nil"/>
                                  </w:tcBorders>
                                  <w:shd w:val="clear" w:color="000000" w:fill="D6E7F0"/>
                                  <w:noWrap/>
                                  <w:vAlign w:val="center"/>
                                  <w:hideMark/>
                                </w:tcPr>
                                <w:p w14:paraId="4435A650"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-3,391</w:t>
                                  </w:r>
                                </w:p>
                              </w:tc>
                              <w:tc>
                                <w:tcPr>
                                  <w:tcW w:w="720" w:type="dxa"/>
                                  <w:tcBorders>
                                    <w:top w:val="single" w:sz="4" w:space="0" w:color="ADD6EA"/>
                                    <w:left w:val="nil"/>
                                    <w:bottom w:val="single" w:sz="4" w:space="0" w:color="ADD6EA"/>
                                    <w:right w:val="nil"/>
                                  </w:tcBorders>
                                  <w:shd w:val="clear" w:color="000000" w:fill="D6E7F0"/>
                                  <w:noWrap/>
                                  <w:vAlign w:val="center"/>
                                  <w:hideMark/>
                                </w:tcPr>
                                <w:p w14:paraId="593A2546"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706</w:t>
                                  </w:r>
                                </w:p>
                              </w:tc>
                              <w:tc>
                                <w:tcPr>
                                  <w:tcW w:w="720" w:type="dxa"/>
                                  <w:tcBorders>
                                    <w:top w:val="single" w:sz="4" w:space="0" w:color="ADD6EA"/>
                                    <w:left w:val="nil"/>
                                    <w:bottom w:val="single" w:sz="4" w:space="0" w:color="ADD6EA"/>
                                    <w:right w:val="nil"/>
                                  </w:tcBorders>
                                  <w:shd w:val="clear" w:color="000000" w:fill="D6E7F0"/>
                                  <w:noWrap/>
                                  <w:vAlign w:val="center"/>
                                  <w:hideMark/>
                                </w:tcPr>
                                <w:p w14:paraId="26B4E2F2"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-55</w:t>
                                  </w:r>
                                </w:p>
                              </w:tc>
                              <w:tc>
                                <w:tcPr>
                                  <w:tcW w:w="720" w:type="dxa"/>
                                  <w:tcBorders>
                                    <w:top w:val="single" w:sz="4" w:space="0" w:color="ADD6EA"/>
                                    <w:left w:val="nil"/>
                                    <w:bottom w:val="single" w:sz="4" w:space="0" w:color="ADD6EA"/>
                                    <w:right w:val="nil"/>
                                  </w:tcBorders>
                                  <w:shd w:val="clear" w:color="000000" w:fill="D6E7F0"/>
                                  <w:noWrap/>
                                  <w:vAlign w:val="center"/>
                                  <w:hideMark/>
                                </w:tcPr>
                                <w:p w14:paraId="047322B4"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34</w:t>
                                  </w:r>
                                </w:p>
                              </w:tc>
                              <w:tc>
                                <w:tcPr>
                                  <w:tcW w:w="720" w:type="dxa"/>
                                  <w:tcBorders>
                                    <w:top w:val="single" w:sz="4" w:space="0" w:color="ADD6EA"/>
                                    <w:left w:val="nil"/>
                                    <w:bottom w:val="single" w:sz="4" w:space="0" w:color="ADD6EA"/>
                                    <w:right w:val="nil"/>
                                  </w:tcBorders>
                                  <w:shd w:val="clear" w:color="000000" w:fill="D6E7F0"/>
                                  <w:noWrap/>
                                  <w:vAlign w:val="center"/>
                                  <w:hideMark/>
                                </w:tcPr>
                                <w:p w14:paraId="5006FD20"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-42</w:t>
                                  </w:r>
                                </w:p>
                              </w:tc>
                              <w:tc>
                                <w:tcPr>
                                  <w:tcW w:w="720" w:type="dxa"/>
                                  <w:tcBorders>
                                    <w:top w:val="single" w:sz="4" w:space="0" w:color="ADD6EA"/>
                                    <w:left w:val="nil"/>
                                    <w:bottom w:val="single" w:sz="4" w:space="0" w:color="ADD6EA"/>
                                    <w:right w:val="nil"/>
                                  </w:tcBorders>
                                  <w:shd w:val="clear" w:color="000000" w:fill="D6E7F0"/>
                                  <w:noWrap/>
                                  <w:vAlign w:val="center"/>
                                  <w:hideMark/>
                                </w:tcPr>
                                <w:p w14:paraId="37299522"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73</w:t>
                                  </w:r>
                                </w:p>
                              </w:tc>
                              <w:tc>
                                <w:tcPr>
                                  <w:tcW w:w="720" w:type="dxa"/>
                                  <w:tcBorders>
                                    <w:top w:val="single" w:sz="4" w:space="0" w:color="ADD6EA"/>
                                    <w:left w:val="nil"/>
                                    <w:bottom w:val="single" w:sz="4" w:space="0" w:color="ADD6EA"/>
                                    <w:right w:val="nil"/>
                                  </w:tcBorders>
                                  <w:shd w:val="clear" w:color="000000" w:fill="D6E7F0"/>
                                  <w:noWrap/>
                                  <w:vAlign w:val="center"/>
                                  <w:hideMark/>
                                </w:tcPr>
                                <w:p w14:paraId="514B1164"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3,488</w:t>
                                  </w:r>
                                </w:p>
                              </w:tc>
                            </w:tr>
                            <w:tr w:rsidR="00C7229E" w:rsidRPr="00C7229E" w14:paraId="28BF5CF5" w14:textId="77777777" w:rsidTr="00C7229E">
                              <w:trPr>
                                <w:trHeight w:val="555"/>
                              </w:trPr>
                              <w:tc>
                                <w:tcPr>
                                  <w:tcW w:w="2460" w:type="dxa"/>
                                  <w:tcBorders>
                                    <w:top w:val="nil"/>
                                    <w:left w:val="nil"/>
                                    <w:bottom w:val="nil"/>
                                    <w:right w:val="nil"/>
                                  </w:tcBorders>
                                  <w:shd w:val="clear" w:color="000000" w:fill="FFFFFF"/>
                                  <w:vAlign w:val="center"/>
                                  <w:hideMark/>
                                </w:tcPr>
                                <w:p w14:paraId="06E6DDF9"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Effect of GST floor and blended relativities</w:t>
                                  </w:r>
                                </w:p>
                              </w:tc>
                              <w:tc>
                                <w:tcPr>
                                  <w:tcW w:w="720" w:type="dxa"/>
                                  <w:tcBorders>
                                    <w:top w:val="nil"/>
                                    <w:left w:val="nil"/>
                                    <w:bottom w:val="nil"/>
                                    <w:right w:val="nil"/>
                                  </w:tcBorders>
                                  <w:shd w:val="clear" w:color="000000" w:fill="FFFFFF"/>
                                  <w:vAlign w:val="center"/>
                                  <w:hideMark/>
                                </w:tcPr>
                                <w:p w14:paraId="61DE5EB0"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-252</w:t>
                                  </w:r>
                                </w:p>
                              </w:tc>
                              <w:tc>
                                <w:tcPr>
                                  <w:tcW w:w="720" w:type="dxa"/>
                                  <w:tcBorders>
                                    <w:top w:val="nil"/>
                                    <w:left w:val="nil"/>
                                    <w:bottom w:val="nil"/>
                                    <w:right w:val="nil"/>
                                  </w:tcBorders>
                                  <w:shd w:val="clear" w:color="000000" w:fill="FFFFFF"/>
                                  <w:vAlign w:val="center"/>
                                  <w:hideMark/>
                                </w:tcPr>
                                <w:p w14:paraId="2AE37FD9"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-211</w:t>
                                  </w:r>
                                </w:p>
                              </w:tc>
                              <w:tc>
                                <w:tcPr>
                                  <w:tcW w:w="720" w:type="dxa"/>
                                  <w:tcBorders>
                                    <w:top w:val="nil"/>
                                    <w:left w:val="nil"/>
                                    <w:bottom w:val="nil"/>
                                    <w:right w:val="nil"/>
                                  </w:tcBorders>
                                  <w:shd w:val="clear" w:color="000000" w:fill="FFFFFF"/>
                                  <w:vAlign w:val="center"/>
                                  <w:hideMark/>
                                </w:tcPr>
                                <w:p w14:paraId="74AC6F9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1,271</w:t>
                                  </w:r>
                                </w:p>
                              </w:tc>
                              <w:tc>
                                <w:tcPr>
                                  <w:tcW w:w="720" w:type="dxa"/>
                                  <w:tcBorders>
                                    <w:top w:val="nil"/>
                                    <w:left w:val="nil"/>
                                    <w:bottom w:val="nil"/>
                                    <w:right w:val="nil"/>
                                  </w:tcBorders>
                                  <w:shd w:val="clear" w:color="000000" w:fill="FFFFFF"/>
                                  <w:vAlign w:val="center"/>
                                  <w:hideMark/>
                                </w:tcPr>
                                <w:p w14:paraId="1642B45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-720</w:t>
                                  </w:r>
                                </w:p>
                              </w:tc>
                              <w:tc>
                                <w:tcPr>
                                  <w:tcW w:w="720" w:type="dxa"/>
                                  <w:tcBorders>
                                    <w:top w:val="nil"/>
                                    <w:left w:val="nil"/>
                                    <w:bottom w:val="nil"/>
                                    <w:right w:val="nil"/>
                                  </w:tcBorders>
                                  <w:shd w:val="clear" w:color="000000" w:fill="FFFFFF"/>
                                  <w:vAlign w:val="center"/>
                                  <w:hideMark/>
                                </w:tcPr>
                                <w:p w14:paraId="180CA959"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-54</w:t>
                                  </w:r>
                                </w:p>
                              </w:tc>
                              <w:tc>
                                <w:tcPr>
                                  <w:tcW w:w="720" w:type="dxa"/>
                                  <w:tcBorders>
                                    <w:top w:val="nil"/>
                                    <w:left w:val="nil"/>
                                    <w:bottom w:val="nil"/>
                                    <w:right w:val="nil"/>
                                  </w:tcBorders>
                                  <w:shd w:val="clear" w:color="000000" w:fill="FFFFFF"/>
                                  <w:vAlign w:val="center"/>
                                  <w:hideMark/>
                                </w:tcPr>
                                <w:p w14:paraId="38C982F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-16</w:t>
                                  </w:r>
                                </w:p>
                              </w:tc>
                              <w:tc>
                                <w:tcPr>
                                  <w:tcW w:w="720" w:type="dxa"/>
                                  <w:tcBorders>
                                    <w:top w:val="nil"/>
                                    <w:left w:val="nil"/>
                                    <w:bottom w:val="nil"/>
                                    <w:right w:val="nil"/>
                                  </w:tcBorders>
                                  <w:shd w:val="clear" w:color="000000" w:fill="FFFFFF"/>
                                  <w:vAlign w:val="center"/>
                                  <w:hideMark/>
                                </w:tcPr>
                                <w:p w14:paraId="25B20A1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-14</w:t>
                                  </w:r>
                                </w:p>
                              </w:tc>
                              <w:tc>
                                <w:tcPr>
                                  <w:tcW w:w="720" w:type="dxa"/>
                                  <w:tcBorders>
                                    <w:top w:val="nil"/>
                                    <w:left w:val="nil"/>
                                    <w:bottom w:val="nil"/>
                                    <w:right w:val="nil"/>
                                  </w:tcBorders>
                                  <w:shd w:val="clear" w:color="000000" w:fill="FFFFFF"/>
                                  <w:vAlign w:val="center"/>
                                  <w:hideMark/>
                                </w:tcPr>
                                <w:p w14:paraId="3A39A4F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-6</w:t>
                                  </w:r>
                                </w:p>
                              </w:tc>
                              <w:tc>
                                <w:tcPr>
                                  <w:tcW w:w="720" w:type="dxa"/>
                                  <w:tcBorders>
                                    <w:top w:val="nil"/>
                                    <w:left w:val="nil"/>
                                    <w:bottom w:val="nil"/>
                                    <w:right w:val="nil"/>
                                  </w:tcBorders>
                                  <w:shd w:val="clear" w:color="000000" w:fill="FFFFFF"/>
                                  <w:vAlign w:val="center"/>
                                  <w:hideMark/>
                                </w:tcPr>
                                <w:p w14:paraId="507B6430"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1,271</w:t>
                                  </w:r>
                                </w:p>
                              </w:tc>
                            </w:tr>
                            <w:tr w:rsidR="00C7229E" w:rsidRPr="00C7229E" w14:paraId="6BCAD4C6" w14:textId="77777777" w:rsidTr="00C7229E">
                              <w:trPr>
                                <w:trHeight w:val="315"/>
                              </w:trPr>
                              <w:tc>
                                <w:tcPr>
                                  <w:tcW w:w="2460" w:type="dxa"/>
                                  <w:tcBorders>
                                    <w:top w:val="single" w:sz="4" w:space="0" w:color="ADD6EA"/>
                                    <w:left w:val="nil"/>
                                    <w:bottom w:val="nil"/>
                                    <w:right w:val="nil"/>
                                  </w:tcBorders>
                                  <w:shd w:val="clear" w:color="000000" w:fill="FFFFFF"/>
                                  <w:vAlign w:val="center"/>
                                  <w:hideMark/>
                                </w:tcPr>
                                <w:p w14:paraId="505DDC79"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Change in population</w:t>
                                  </w:r>
                                </w:p>
                              </w:tc>
                              <w:tc>
                                <w:tcPr>
                                  <w:tcW w:w="720" w:type="dxa"/>
                                  <w:tcBorders>
                                    <w:top w:val="single" w:sz="4" w:space="0" w:color="ADD6EA"/>
                                    <w:left w:val="nil"/>
                                    <w:bottom w:val="nil"/>
                                    <w:right w:val="nil"/>
                                  </w:tcBorders>
                                  <w:shd w:val="clear" w:color="000000" w:fill="FFFFFF"/>
                                  <w:noWrap/>
                                  <w:vAlign w:val="center"/>
                                  <w:hideMark/>
                                </w:tcPr>
                                <w:p w14:paraId="3BDFF403"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-29</w:t>
                                  </w:r>
                                </w:p>
                              </w:tc>
                              <w:tc>
                                <w:tcPr>
                                  <w:tcW w:w="720" w:type="dxa"/>
                                  <w:tcBorders>
                                    <w:top w:val="single" w:sz="4" w:space="0" w:color="ADD6EA"/>
                                    <w:left w:val="nil"/>
                                    <w:bottom w:val="nil"/>
                                    <w:right w:val="nil"/>
                                  </w:tcBorders>
                                  <w:shd w:val="clear" w:color="000000" w:fill="FFFFFF"/>
                                  <w:noWrap/>
                                  <w:vAlign w:val="center"/>
                                  <w:hideMark/>
                                </w:tcPr>
                                <w:p w14:paraId="19A0D9B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68</w:t>
                                  </w:r>
                                </w:p>
                              </w:tc>
                              <w:tc>
                                <w:tcPr>
                                  <w:tcW w:w="720" w:type="dxa"/>
                                  <w:tcBorders>
                                    <w:top w:val="single" w:sz="4" w:space="0" w:color="ADD6EA"/>
                                    <w:left w:val="nil"/>
                                    <w:bottom w:val="nil"/>
                                    <w:right w:val="nil"/>
                                  </w:tcBorders>
                                  <w:shd w:val="clear" w:color="000000" w:fill="FFFFFF"/>
                                  <w:noWrap/>
                                  <w:vAlign w:val="center"/>
                                  <w:hideMark/>
                                </w:tcPr>
                                <w:p w14:paraId="4ACC9439"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43</w:t>
                                  </w:r>
                                </w:p>
                              </w:tc>
                              <w:tc>
                                <w:tcPr>
                                  <w:tcW w:w="720" w:type="dxa"/>
                                  <w:tcBorders>
                                    <w:top w:val="single" w:sz="4" w:space="0" w:color="ADD6EA"/>
                                    <w:left w:val="nil"/>
                                    <w:bottom w:val="nil"/>
                                    <w:right w:val="nil"/>
                                  </w:tcBorders>
                                  <w:shd w:val="clear" w:color="000000" w:fill="FFFFFF"/>
                                  <w:noWrap/>
                                  <w:vAlign w:val="center"/>
                                  <w:hideMark/>
                                </w:tcPr>
                                <w:p w14:paraId="255F33A3"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36</w:t>
                                  </w:r>
                                </w:p>
                              </w:tc>
                              <w:tc>
                                <w:tcPr>
                                  <w:tcW w:w="720" w:type="dxa"/>
                                  <w:tcBorders>
                                    <w:top w:val="single" w:sz="4" w:space="0" w:color="ADD6EA"/>
                                    <w:left w:val="nil"/>
                                    <w:bottom w:val="nil"/>
                                    <w:right w:val="nil"/>
                                  </w:tcBorders>
                                  <w:shd w:val="clear" w:color="000000" w:fill="FFFFFF"/>
                                  <w:noWrap/>
                                  <w:vAlign w:val="center"/>
                                  <w:hideMark/>
                                </w:tcPr>
                                <w:p w14:paraId="504CC16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-46</w:t>
                                  </w:r>
                                </w:p>
                              </w:tc>
                              <w:tc>
                                <w:tcPr>
                                  <w:tcW w:w="720" w:type="dxa"/>
                                  <w:tcBorders>
                                    <w:top w:val="single" w:sz="4" w:space="0" w:color="ADD6EA"/>
                                    <w:left w:val="nil"/>
                                    <w:bottom w:val="nil"/>
                                    <w:right w:val="nil"/>
                                  </w:tcBorders>
                                  <w:shd w:val="clear" w:color="000000" w:fill="FFFFFF"/>
                                  <w:noWrap/>
                                  <w:vAlign w:val="center"/>
                                  <w:hideMark/>
                                </w:tcPr>
                                <w:p w14:paraId="2BA3F69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-39</w:t>
                                  </w:r>
                                </w:p>
                              </w:tc>
                              <w:tc>
                                <w:tcPr>
                                  <w:tcW w:w="720" w:type="dxa"/>
                                  <w:tcBorders>
                                    <w:top w:val="single" w:sz="4" w:space="0" w:color="ADD6EA"/>
                                    <w:left w:val="nil"/>
                                    <w:bottom w:val="nil"/>
                                    <w:right w:val="nil"/>
                                  </w:tcBorders>
                                  <w:shd w:val="clear" w:color="000000" w:fill="FFFFFF"/>
                                  <w:noWrap/>
                                  <w:vAlign w:val="center"/>
                                  <w:hideMark/>
                                </w:tcPr>
                                <w:p w14:paraId="4C38C45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w:t>
                                  </w:r>
                                </w:p>
                              </w:tc>
                              <w:tc>
                                <w:tcPr>
                                  <w:tcW w:w="720" w:type="dxa"/>
                                  <w:tcBorders>
                                    <w:top w:val="single" w:sz="4" w:space="0" w:color="ADD6EA"/>
                                    <w:left w:val="nil"/>
                                    <w:bottom w:val="nil"/>
                                    <w:right w:val="nil"/>
                                  </w:tcBorders>
                                  <w:shd w:val="clear" w:color="000000" w:fill="FFFFFF"/>
                                  <w:noWrap/>
                                  <w:vAlign w:val="center"/>
                                  <w:hideMark/>
                                </w:tcPr>
                                <w:p w14:paraId="38D13F9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-30</w:t>
                                  </w:r>
                                </w:p>
                              </w:tc>
                              <w:tc>
                                <w:tcPr>
                                  <w:tcW w:w="720" w:type="dxa"/>
                                  <w:tcBorders>
                                    <w:top w:val="single" w:sz="4" w:space="0" w:color="ADD6EA"/>
                                    <w:left w:val="nil"/>
                                    <w:bottom w:val="nil"/>
                                    <w:right w:val="nil"/>
                                  </w:tcBorders>
                                  <w:shd w:val="clear" w:color="000000" w:fill="FFFFFF"/>
                                  <w:noWrap/>
                                  <w:vAlign w:val="center"/>
                                  <w:hideMark/>
                                </w:tcPr>
                                <w:p w14:paraId="4E81FCC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147</w:t>
                                  </w:r>
                                </w:p>
                              </w:tc>
                            </w:tr>
                            <w:tr w:rsidR="00C7229E" w:rsidRPr="00C7229E" w14:paraId="009463BA" w14:textId="77777777" w:rsidTr="00C7229E">
                              <w:trPr>
                                <w:trHeight w:val="315"/>
                              </w:trPr>
                              <w:tc>
                                <w:tcPr>
                                  <w:tcW w:w="2460" w:type="dxa"/>
                                  <w:tcBorders>
                                    <w:top w:val="single" w:sz="4" w:space="0" w:color="ADD6EA"/>
                                    <w:left w:val="nil"/>
                                    <w:bottom w:val="nil"/>
                                    <w:right w:val="nil"/>
                                  </w:tcBorders>
                                  <w:shd w:val="clear" w:color="000000" w:fill="FFFFFF"/>
                                  <w:vAlign w:val="center"/>
                                  <w:hideMark/>
                                </w:tcPr>
                                <w:p w14:paraId="5F51AD82"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Change in pool (a)</w:t>
                                  </w:r>
                                </w:p>
                              </w:tc>
                              <w:tc>
                                <w:tcPr>
                                  <w:tcW w:w="720" w:type="dxa"/>
                                  <w:tcBorders>
                                    <w:top w:val="single" w:sz="4" w:space="0" w:color="ADD6EA"/>
                                    <w:left w:val="nil"/>
                                    <w:bottom w:val="nil"/>
                                    <w:right w:val="nil"/>
                                  </w:tcBorders>
                                  <w:shd w:val="clear" w:color="000000" w:fill="FFFFFF"/>
                                  <w:noWrap/>
                                  <w:vAlign w:val="center"/>
                                  <w:hideMark/>
                                </w:tcPr>
                                <w:p w14:paraId="5B7A3E8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1,222</w:t>
                                  </w:r>
                                </w:p>
                              </w:tc>
                              <w:tc>
                                <w:tcPr>
                                  <w:tcW w:w="720" w:type="dxa"/>
                                  <w:tcBorders>
                                    <w:top w:val="single" w:sz="4" w:space="0" w:color="ADD6EA"/>
                                    <w:left w:val="nil"/>
                                    <w:bottom w:val="nil"/>
                                    <w:right w:val="nil"/>
                                  </w:tcBorders>
                                  <w:shd w:val="clear" w:color="000000" w:fill="FFFFFF"/>
                                  <w:noWrap/>
                                  <w:vAlign w:val="center"/>
                                  <w:hideMark/>
                                </w:tcPr>
                                <w:p w14:paraId="7BBE7765"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1,125</w:t>
                                  </w:r>
                                </w:p>
                              </w:tc>
                              <w:tc>
                                <w:tcPr>
                                  <w:tcW w:w="720" w:type="dxa"/>
                                  <w:tcBorders>
                                    <w:top w:val="single" w:sz="4" w:space="0" w:color="ADD6EA"/>
                                    <w:left w:val="nil"/>
                                    <w:bottom w:val="nil"/>
                                    <w:right w:val="nil"/>
                                  </w:tcBorders>
                                  <w:shd w:val="clear" w:color="000000" w:fill="FFFFFF"/>
                                  <w:noWrap/>
                                  <w:vAlign w:val="center"/>
                                  <w:hideMark/>
                                </w:tcPr>
                                <w:p w14:paraId="54F7452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887</w:t>
                                  </w:r>
                                </w:p>
                              </w:tc>
                              <w:tc>
                                <w:tcPr>
                                  <w:tcW w:w="720" w:type="dxa"/>
                                  <w:tcBorders>
                                    <w:top w:val="single" w:sz="4" w:space="0" w:color="ADD6EA"/>
                                    <w:left w:val="nil"/>
                                    <w:bottom w:val="nil"/>
                                    <w:right w:val="nil"/>
                                  </w:tcBorders>
                                  <w:shd w:val="clear" w:color="000000" w:fill="FFFFFF"/>
                                  <w:noWrap/>
                                  <w:vAlign w:val="center"/>
                                  <w:hideMark/>
                                </w:tcPr>
                                <w:p w14:paraId="2D25569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372</w:t>
                                  </w:r>
                                </w:p>
                              </w:tc>
                              <w:tc>
                                <w:tcPr>
                                  <w:tcW w:w="720" w:type="dxa"/>
                                  <w:tcBorders>
                                    <w:top w:val="single" w:sz="4" w:space="0" w:color="ADD6EA"/>
                                    <w:left w:val="nil"/>
                                    <w:bottom w:val="nil"/>
                                    <w:right w:val="nil"/>
                                  </w:tcBorders>
                                  <w:shd w:val="clear" w:color="000000" w:fill="FFFFFF"/>
                                  <w:noWrap/>
                                  <w:vAlign w:val="center"/>
                                  <w:hideMark/>
                                </w:tcPr>
                                <w:p w14:paraId="0C78B6A1"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434</w:t>
                                  </w:r>
                                </w:p>
                              </w:tc>
                              <w:tc>
                                <w:tcPr>
                                  <w:tcW w:w="720" w:type="dxa"/>
                                  <w:tcBorders>
                                    <w:top w:val="single" w:sz="4" w:space="0" w:color="ADD6EA"/>
                                    <w:left w:val="nil"/>
                                    <w:bottom w:val="nil"/>
                                    <w:right w:val="nil"/>
                                  </w:tcBorders>
                                  <w:shd w:val="clear" w:color="000000" w:fill="FFFFFF"/>
                                  <w:noWrap/>
                                  <w:vAlign w:val="center"/>
                                  <w:hideMark/>
                                </w:tcPr>
                                <w:p w14:paraId="0E03000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172</w:t>
                                  </w:r>
                                </w:p>
                              </w:tc>
                              <w:tc>
                                <w:tcPr>
                                  <w:tcW w:w="720" w:type="dxa"/>
                                  <w:tcBorders>
                                    <w:top w:val="single" w:sz="4" w:space="0" w:color="ADD6EA"/>
                                    <w:left w:val="nil"/>
                                    <w:bottom w:val="nil"/>
                                    <w:right w:val="nil"/>
                                  </w:tcBorders>
                                  <w:shd w:val="clear" w:color="000000" w:fill="FFFFFF"/>
                                  <w:noWrap/>
                                  <w:vAlign w:val="center"/>
                                  <w:hideMark/>
                                </w:tcPr>
                                <w:p w14:paraId="2425CA1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95</w:t>
                                  </w:r>
                                </w:p>
                              </w:tc>
                              <w:tc>
                                <w:tcPr>
                                  <w:tcW w:w="720" w:type="dxa"/>
                                  <w:tcBorders>
                                    <w:top w:val="single" w:sz="4" w:space="0" w:color="ADD6EA"/>
                                    <w:left w:val="nil"/>
                                    <w:bottom w:val="nil"/>
                                    <w:right w:val="nil"/>
                                  </w:tcBorders>
                                  <w:shd w:val="clear" w:color="000000" w:fill="FFFFFF"/>
                                  <w:noWrap/>
                                  <w:vAlign w:val="center"/>
                                  <w:hideMark/>
                                </w:tcPr>
                                <w:p w14:paraId="58C6A640"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212</w:t>
                                  </w:r>
                                </w:p>
                              </w:tc>
                              <w:tc>
                                <w:tcPr>
                                  <w:tcW w:w="720" w:type="dxa"/>
                                  <w:tcBorders>
                                    <w:top w:val="single" w:sz="4" w:space="0" w:color="ADD6EA"/>
                                    <w:left w:val="nil"/>
                                    <w:bottom w:val="nil"/>
                                    <w:right w:val="nil"/>
                                  </w:tcBorders>
                                  <w:shd w:val="clear" w:color="000000" w:fill="FFFFFF"/>
                                  <w:noWrap/>
                                  <w:vAlign w:val="center"/>
                                  <w:hideMark/>
                                </w:tcPr>
                                <w:p w14:paraId="57E4D38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4,519</w:t>
                                  </w:r>
                                </w:p>
                              </w:tc>
                            </w:tr>
                            <w:tr w:rsidR="00C7229E" w:rsidRPr="00C7229E" w14:paraId="21697EC4" w14:textId="77777777" w:rsidTr="00C7229E">
                              <w:trPr>
                                <w:trHeight w:val="315"/>
                              </w:trPr>
                              <w:tc>
                                <w:tcPr>
                                  <w:tcW w:w="2460" w:type="dxa"/>
                                  <w:tcBorders>
                                    <w:top w:val="single" w:sz="4" w:space="0" w:color="ADD6EA"/>
                                    <w:left w:val="nil"/>
                                    <w:bottom w:val="single" w:sz="4" w:space="0" w:color="ADD6EA"/>
                                    <w:right w:val="nil"/>
                                  </w:tcBorders>
                                  <w:shd w:val="clear" w:color="000000" w:fill="D6E7F0"/>
                                  <w:vAlign w:val="center"/>
                                  <w:hideMark/>
                                </w:tcPr>
                                <w:p w14:paraId="57C27D15" w14:textId="77777777" w:rsidR="00C7229E" w:rsidRPr="00C7229E" w:rsidRDefault="00C7229E" w:rsidP="00C7229E">
                                  <w:pPr>
                                    <w:tabs>
                                      <w:tab w:val="clear" w:pos="567"/>
                                    </w:tabs>
                                    <w:spacing w:before="0" w:line="240" w:lineRule="auto"/>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Total change in GST</w:t>
                                  </w:r>
                                </w:p>
                              </w:tc>
                              <w:tc>
                                <w:tcPr>
                                  <w:tcW w:w="720" w:type="dxa"/>
                                  <w:tcBorders>
                                    <w:top w:val="single" w:sz="4" w:space="0" w:color="ADD6EA"/>
                                    <w:left w:val="nil"/>
                                    <w:bottom w:val="single" w:sz="4" w:space="0" w:color="ADD6EA"/>
                                    <w:right w:val="nil"/>
                                  </w:tcBorders>
                                  <w:shd w:val="clear" w:color="000000" w:fill="D6E7F0"/>
                                  <w:noWrap/>
                                  <w:vAlign w:val="center"/>
                                  <w:hideMark/>
                                </w:tcPr>
                                <w:p w14:paraId="5B457668"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942</w:t>
                                  </w:r>
                                </w:p>
                              </w:tc>
                              <w:tc>
                                <w:tcPr>
                                  <w:tcW w:w="720" w:type="dxa"/>
                                  <w:tcBorders>
                                    <w:top w:val="single" w:sz="4" w:space="0" w:color="ADD6EA"/>
                                    <w:left w:val="nil"/>
                                    <w:bottom w:val="single" w:sz="4" w:space="0" w:color="ADD6EA"/>
                                    <w:right w:val="nil"/>
                                  </w:tcBorders>
                                  <w:shd w:val="clear" w:color="000000" w:fill="D6E7F0"/>
                                  <w:noWrap/>
                                  <w:vAlign w:val="center"/>
                                  <w:hideMark/>
                                </w:tcPr>
                                <w:p w14:paraId="12DC48AE"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3,657</w:t>
                                  </w:r>
                                </w:p>
                              </w:tc>
                              <w:tc>
                                <w:tcPr>
                                  <w:tcW w:w="720" w:type="dxa"/>
                                  <w:tcBorders>
                                    <w:top w:val="single" w:sz="4" w:space="0" w:color="ADD6EA"/>
                                    <w:left w:val="nil"/>
                                    <w:bottom w:val="single" w:sz="4" w:space="0" w:color="ADD6EA"/>
                                    <w:right w:val="nil"/>
                                  </w:tcBorders>
                                  <w:shd w:val="clear" w:color="000000" w:fill="D6E7F0"/>
                                  <w:noWrap/>
                                  <w:vAlign w:val="center"/>
                                  <w:hideMark/>
                                </w:tcPr>
                                <w:p w14:paraId="27DCE6F9"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-1,189</w:t>
                                  </w:r>
                                </w:p>
                              </w:tc>
                              <w:tc>
                                <w:tcPr>
                                  <w:tcW w:w="720" w:type="dxa"/>
                                  <w:tcBorders>
                                    <w:top w:val="single" w:sz="4" w:space="0" w:color="ADD6EA"/>
                                    <w:left w:val="nil"/>
                                    <w:bottom w:val="single" w:sz="4" w:space="0" w:color="ADD6EA"/>
                                    <w:right w:val="nil"/>
                                  </w:tcBorders>
                                  <w:shd w:val="clear" w:color="000000" w:fill="D6E7F0"/>
                                  <w:noWrap/>
                                  <w:vAlign w:val="center"/>
                                  <w:hideMark/>
                                </w:tcPr>
                                <w:p w14:paraId="609594EE"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395</w:t>
                                  </w:r>
                                </w:p>
                              </w:tc>
                              <w:tc>
                                <w:tcPr>
                                  <w:tcW w:w="720" w:type="dxa"/>
                                  <w:tcBorders>
                                    <w:top w:val="single" w:sz="4" w:space="0" w:color="ADD6EA"/>
                                    <w:left w:val="nil"/>
                                    <w:bottom w:val="single" w:sz="4" w:space="0" w:color="ADD6EA"/>
                                    <w:right w:val="nil"/>
                                  </w:tcBorders>
                                  <w:shd w:val="clear" w:color="000000" w:fill="D6E7F0"/>
                                  <w:noWrap/>
                                  <w:vAlign w:val="center"/>
                                  <w:hideMark/>
                                </w:tcPr>
                                <w:p w14:paraId="657F4A52"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279</w:t>
                                  </w:r>
                                </w:p>
                              </w:tc>
                              <w:tc>
                                <w:tcPr>
                                  <w:tcW w:w="720" w:type="dxa"/>
                                  <w:tcBorders>
                                    <w:top w:val="single" w:sz="4" w:space="0" w:color="ADD6EA"/>
                                    <w:left w:val="nil"/>
                                    <w:bottom w:val="single" w:sz="4" w:space="0" w:color="ADD6EA"/>
                                    <w:right w:val="nil"/>
                                  </w:tcBorders>
                                  <w:shd w:val="clear" w:color="000000" w:fill="D6E7F0"/>
                                  <w:noWrap/>
                                  <w:vAlign w:val="center"/>
                                  <w:hideMark/>
                                </w:tcPr>
                                <w:p w14:paraId="5F532027"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151</w:t>
                                  </w:r>
                                </w:p>
                              </w:tc>
                              <w:tc>
                                <w:tcPr>
                                  <w:tcW w:w="720" w:type="dxa"/>
                                  <w:tcBorders>
                                    <w:top w:val="single" w:sz="4" w:space="0" w:color="ADD6EA"/>
                                    <w:left w:val="nil"/>
                                    <w:bottom w:val="single" w:sz="4" w:space="0" w:color="ADD6EA"/>
                                    <w:right w:val="nil"/>
                                  </w:tcBorders>
                                  <w:shd w:val="clear" w:color="000000" w:fill="D6E7F0"/>
                                  <w:noWrap/>
                                  <w:vAlign w:val="center"/>
                                  <w:hideMark/>
                                </w:tcPr>
                                <w:p w14:paraId="13055562"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35</w:t>
                                  </w:r>
                                </w:p>
                              </w:tc>
                              <w:tc>
                                <w:tcPr>
                                  <w:tcW w:w="720" w:type="dxa"/>
                                  <w:tcBorders>
                                    <w:top w:val="single" w:sz="4" w:space="0" w:color="ADD6EA"/>
                                    <w:left w:val="nil"/>
                                    <w:bottom w:val="single" w:sz="4" w:space="0" w:color="ADD6EA"/>
                                    <w:right w:val="nil"/>
                                  </w:tcBorders>
                                  <w:shd w:val="clear" w:color="000000" w:fill="D6E7F0"/>
                                  <w:noWrap/>
                                  <w:vAlign w:val="center"/>
                                  <w:hideMark/>
                                </w:tcPr>
                                <w:p w14:paraId="4EA94294"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248</w:t>
                                  </w:r>
                                </w:p>
                              </w:tc>
                              <w:tc>
                                <w:tcPr>
                                  <w:tcW w:w="720" w:type="dxa"/>
                                  <w:tcBorders>
                                    <w:top w:val="single" w:sz="4" w:space="0" w:color="ADD6EA"/>
                                    <w:left w:val="nil"/>
                                    <w:bottom w:val="single" w:sz="4" w:space="0" w:color="ADD6EA"/>
                                    <w:right w:val="nil"/>
                                  </w:tcBorders>
                                  <w:shd w:val="clear" w:color="000000" w:fill="D6E7F0"/>
                                  <w:noWrap/>
                                  <w:vAlign w:val="center"/>
                                  <w:hideMark/>
                                </w:tcPr>
                                <w:p w14:paraId="4E6C0786"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4,519</w:t>
                                  </w:r>
                                </w:p>
                              </w:tc>
                            </w:tr>
                          </w:tbl>
                          <w:p w14:paraId="53CF7961" w14:textId="029D705F" w:rsidR="00003F8E" w:rsidRDefault="002B297D" w:rsidP="00A00D6A">
                            <w:pPr>
                              <w:pStyle w:val="CGC2025TableNote"/>
                              <w:numPr>
                                <w:ilvl w:val="0"/>
                                <w:numId w:val="30"/>
                              </w:numPr>
                            </w:pPr>
                            <w:bookmarkStart w:id="73" w:name="RANGE!A4:J20"/>
                            <w:bookmarkEnd w:id="73"/>
                            <w:r>
                              <w:t>Total increase in GST and pool top-up payment.</w:t>
                            </w:r>
                            <w:r w:rsidR="00F32C7A">
                              <w:t xml:space="preserve"> </w:t>
                            </w:r>
                          </w:p>
                          <w:p w14:paraId="4BB3AEBB" w14:textId="60F93768" w:rsidR="000C4809" w:rsidRPr="00DC23FC" w:rsidRDefault="000C4809" w:rsidP="000C4809">
                            <w:r w:rsidRPr="00DC23FC">
                              <w:t xml:space="preserve">Changes in states’ GST </w:t>
                            </w:r>
                            <w:r>
                              <w:t xml:space="preserve">relativities </w:t>
                            </w:r>
                            <w:r w:rsidRPr="008808D5">
                              <w:t xml:space="preserve">occurred for </w:t>
                            </w:r>
                            <w:r w:rsidR="005D7053">
                              <w:t>the following reasons</w:t>
                            </w:r>
                            <w:r w:rsidRPr="00DC23FC">
                              <w:t>.</w:t>
                            </w:r>
                          </w:p>
                          <w:p w14:paraId="7CE210DC" w14:textId="2569467A" w:rsidR="009A13CA" w:rsidRDefault="009A13CA" w:rsidP="000C4809">
                            <w:pPr>
                              <w:pStyle w:val="CGC2025Bullet1"/>
                            </w:pPr>
                            <w:r>
                              <w:t xml:space="preserve">Changes in </w:t>
                            </w:r>
                            <w:r w:rsidR="00326C63">
                              <w:t xml:space="preserve">state </w:t>
                            </w:r>
                            <w:r w:rsidR="0090205F">
                              <w:t>p</w:t>
                            </w:r>
                            <w:r w:rsidR="00EE71B2">
                              <w:t>opulation</w:t>
                            </w:r>
                            <w:r w:rsidR="00326C63">
                              <w:t>s</w:t>
                            </w:r>
                            <w:r w:rsidR="0090205F">
                              <w:t>.</w:t>
                            </w:r>
                          </w:p>
                          <w:p w14:paraId="543B1C04" w14:textId="647ADE24" w:rsidR="00EE71B2" w:rsidRDefault="00EE71B2" w:rsidP="000C4809">
                            <w:pPr>
                              <w:pStyle w:val="CGC2025Bullet1"/>
                            </w:pPr>
                            <w:r>
                              <w:t>GST pool growth</w:t>
                            </w:r>
                            <w:r w:rsidR="0090205F">
                              <w:t>.</w:t>
                            </w:r>
                          </w:p>
                          <w:p w14:paraId="4743238F" w14:textId="69D23826" w:rsidR="000C4809" w:rsidRPr="005E6B63" w:rsidRDefault="000C4809" w:rsidP="000C4809">
                            <w:pPr>
                              <w:pStyle w:val="CGC2025Bullet1"/>
                            </w:pPr>
                            <w:r>
                              <w:t>Method changes – a</w:t>
                            </w:r>
                            <w:r w:rsidRPr="005E6B63">
                              <w:t xml:space="preserve">s part of the 2025 Review, the Commission reviewed and revised some of </w:t>
                            </w:r>
                            <w:r w:rsidR="008C6358">
                              <w:t>the</w:t>
                            </w:r>
                            <w:r w:rsidRPr="005E6B63">
                              <w:t xml:space="preserve"> methods</w:t>
                            </w:r>
                            <w:r w:rsidR="008C6358">
                              <w:t xml:space="preserve"> it uses to assess relative </w:t>
                            </w:r>
                            <w:r w:rsidR="00F47C42">
                              <w:t xml:space="preserve">state </w:t>
                            </w:r>
                            <w:r w:rsidR="008C6358">
                              <w:t xml:space="preserve">fiscal </w:t>
                            </w:r>
                            <w:r w:rsidR="00430365">
                              <w:t>capacities</w:t>
                            </w:r>
                            <w:r w:rsidRPr="005E6B63">
                              <w:t>.</w:t>
                            </w:r>
                          </w:p>
                          <w:p w14:paraId="75B806CD" w14:textId="72637823" w:rsidR="000C4809" w:rsidRDefault="000C4809" w:rsidP="000C4809">
                            <w:pPr>
                              <w:pStyle w:val="CGC2025Bullet1"/>
                            </w:pPr>
                            <w:r>
                              <w:t xml:space="preserve">Revisions – </w:t>
                            </w:r>
                            <w:r w:rsidR="00897F0C" w:rsidRPr="00897F0C">
                              <w:t>since the 2024 Update</w:t>
                            </w:r>
                            <w:r w:rsidR="00B96B31">
                              <w:t>,</w:t>
                            </w:r>
                            <w:r w:rsidR="00897F0C" w:rsidRPr="00897F0C">
                              <w:t xml:space="preserve"> data providers released updated data for 2020–21 to 2022–23 which have been incorporated</w:t>
                            </w:r>
                            <w:r>
                              <w:t>.</w:t>
                            </w:r>
                          </w:p>
                          <w:p w14:paraId="2FE9EF38" w14:textId="675D3E05" w:rsidR="00F879F8" w:rsidRPr="0037478C" w:rsidRDefault="00F04D59" w:rsidP="00F04D59">
                            <w:pPr>
                              <w:pStyle w:val="CGC2025Bullet1"/>
                            </w:pPr>
                            <w:r w:rsidRPr="00F04D59">
                              <w:t xml:space="preserve">Changes in circumstances – states’ economic and socio-demographic circumstances change over time. </w:t>
                            </w:r>
                            <w:r w:rsidR="000A5C30">
                              <w:t>For t</w:t>
                            </w:r>
                            <w:r w:rsidRPr="00F04D59">
                              <w:t>he 2025</w:t>
                            </w:r>
                            <w:r w:rsidR="00793C59">
                              <w:t>–</w:t>
                            </w:r>
                            <w:r w:rsidRPr="00F04D59">
                              <w:t>26 GST relativities</w:t>
                            </w:r>
                            <w:r w:rsidR="000A5C30">
                              <w:t>,</w:t>
                            </w:r>
                            <w:r w:rsidRPr="00F04D59">
                              <w:t xml:space="preserve"> states’ GST</w:t>
                            </w:r>
                            <w:r w:rsidR="00424D38">
                              <w:t> </w:t>
                            </w:r>
                            <w:r w:rsidRPr="00F04D59">
                              <w:t xml:space="preserve">needs </w:t>
                            </w:r>
                            <w:r w:rsidR="000A5C30">
                              <w:t xml:space="preserve">were assessed </w:t>
                            </w:r>
                            <w:r w:rsidRPr="00F04D59">
                              <w:t>using an average of data for the 3 years 2021–22 to 2023–</w:t>
                            </w:r>
                            <w:r w:rsidR="004963EF">
                              <w:rPr>
                                <w:rFonts w:ascii="Times New Roman" w:hAnsi="Times New Roman" w:cs="Times New Roman" w:hint="eastAsia"/>
                                <w:rtl/>
                              </w:rPr>
                              <w:t>‍</w:t>
                            </w:r>
                            <w:r w:rsidRPr="00F04D59">
                              <w:t>24. The 2024 Update used an average of data for the 3 years 2020–21 to 2022–</w:t>
                            </w:r>
                            <w:r w:rsidR="004963EF">
                              <w:rPr>
                                <w:rFonts w:ascii="Times New Roman" w:hAnsi="Times New Roman" w:cs="Times New Roman" w:hint="eastAsia"/>
                                <w:rtl/>
                              </w:rPr>
                              <w:t>‍</w:t>
                            </w:r>
                            <w:r w:rsidRPr="00F04D59">
                              <w:t>23. Differences in state circumstances between the year brought into the 3-year average (2023–24) and the year removed (2020–21) changed states’ relative needs.</w:t>
                            </w:r>
                            <w:bookmarkEnd w:id="71"/>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EFCF6" id="Text Box 1109072898" o:spid="_x0000_s1030" type="#_x0000_t202" style="position:absolute;margin-left:0;margin-top:0;width:460.9pt;height:696.5pt;z-index:25165824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" fillcolor="#e5f8ff" strokecolor="white [3212]">
                <v:textbox>
                  <w:txbxContent>
                    <w:p w14:paraId="76D2A4C9" w14:textId="77777777" w:rsidR="00113C59" w:rsidRDefault="00113C59" w:rsidP="00994767">
                      <w:pPr>
                        <w:pStyle w:val="HeadingBox-Level2"/>
                      </w:pPr>
                      <w:bookmarkStart w:id="74" w:name="_Toc190780919"/>
                      <w:bookmarkStart w:id="75" w:name="_Hlk158801005"/>
                      <w:r>
                        <w:t>Drivers of change in GST distribution</w:t>
                      </w:r>
                      <w:bookmarkEnd w:id="74"/>
                    </w:p>
                    <w:p w14:paraId="01E0E22B" w14:textId="77777777" w:rsidR="00C7229E" w:rsidRPr="00F438B0" w:rsidRDefault="00113C59" w:rsidP="00C746A5">
                      <w:pPr>
                        <w:pStyle w:val="CGC2025Caption"/>
                      </w:pPr>
                      <w:r w:rsidRPr="00F438B0">
                        <w:t>Major drivers of change in GST distribution, 2024–25 to 2025–26 (excludes no worse off payments)</w:t>
                      </w:r>
                    </w:p>
                    <w:tbl>
                      <w:tblPr>
                        <w:tblW w:w="8940" w:type="dxa"/>
                        <w:tblLook w:val="04A0" w:firstRow="1" w:lastRow="0" w:firstColumn="1" w:lastColumn="0" w:noHBand="0" w:noVBand="1"/>
                      </w:tblPr>
                      <w:tblGrid>
                        <w:gridCol w:w="2460"/>
                        <w:gridCol w:w="720"/>
                        <w:gridCol w:w="720"/>
                        <w:gridCol w:w="720"/>
                        <w:gridCol w:w="720"/>
                        <w:gridCol w:w="720"/>
                        <w:gridCol w:w="720"/>
                        <w:gridCol w:w="720"/>
                        <w:gridCol w:w="720"/>
                        <w:gridCol w:w="720"/>
                      </w:tblGrid>
                      <w:tr w:rsidR="00C7229E" w:rsidRPr="00C7229E" w14:paraId="5AB8F460" w14:textId="77777777" w:rsidTr="00C7229E">
                        <w:trPr>
                          <w:trHeight w:val="555"/>
                        </w:trPr>
                        <w:tc>
                          <w:tcPr>
                            <w:tcW w:w="2460" w:type="dxa"/>
                            <w:tcBorders>
                              <w:top w:val="nil"/>
                              <w:left w:val="nil"/>
                              <w:bottom w:val="nil"/>
                              <w:right w:val="nil"/>
                            </w:tcBorders>
                            <w:shd w:val="clear" w:color="000000" w:fill="006991"/>
                            <w:vAlign w:val="bottom"/>
                            <w:hideMark/>
                          </w:tcPr>
                          <w:p w14:paraId="2B514192" w14:textId="77777777" w:rsidR="00C7229E" w:rsidRPr="00C7229E" w:rsidRDefault="00C7229E" w:rsidP="00C7229E">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76" w:name="RANGE!A4:D5"/>
                            <w:r w:rsidRPr="00C7229E">
                              <w:rPr>
                                <w:rFonts w:ascii="Open Sans Semibold" w:eastAsia="Times New Roman" w:hAnsi="Open Sans Semibold" w:cs="Open Sans Semibold"/>
                                <w:color w:val="FFFFFF"/>
                                <w:sz w:val="16"/>
                                <w:szCs w:val="16"/>
                                <w:lang w:eastAsia="en-AU"/>
                              </w:rPr>
                              <w:t> </w:t>
                            </w:r>
                            <w:bookmarkEnd w:id="76"/>
                          </w:p>
                        </w:tc>
                        <w:tc>
                          <w:tcPr>
                            <w:tcW w:w="720" w:type="dxa"/>
                            <w:tcBorders>
                              <w:top w:val="nil"/>
                              <w:left w:val="nil"/>
                              <w:bottom w:val="nil"/>
                              <w:right w:val="nil"/>
                            </w:tcBorders>
                            <w:shd w:val="clear" w:color="000000" w:fill="006991"/>
                            <w:vAlign w:val="center"/>
                            <w:hideMark/>
                          </w:tcPr>
                          <w:p w14:paraId="674D4F7D"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NSW</w:t>
                            </w:r>
                          </w:p>
                        </w:tc>
                        <w:tc>
                          <w:tcPr>
                            <w:tcW w:w="720" w:type="dxa"/>
                            <w:tcBorders>
                              <w:top w:val="nil"/>
                              <w:left w:val="nil"/>
                              <w:bottom w:val="nil"/>
                              <w:right w:val="nil"/>
                            </w:tcBorders>
                            <w:shd w:val="clear" w:color="000000" w:fill="006991"/>
                            <w:vAlign w:val="center"/>
                            <w:hideMark/>
                          </w:tcPr>
                          <w:p w14:paraId="1BEF49E6"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Vic</w:t>
                            </w:r>
                          </w:p>
                        </w:tc>
                        <w:tc>
                          <w:tcPr>
                            <w:tcW w:w="720" w:type="dxa"/>
                            <w:tcBorders>
                              <w:top w:val="nil"/>
                              <w:left w:val="nil"/>
                              <w:bottom w:val="nil"/>
                              <w:right w:val="nil"/>
                            </w:tcBorders>
                            <w:shd w:val="clear" w:color="000000" w:fill="006991"/>
                            <w:vAlign w:val="center"/>
                            <w:hideMark/>
                          </w:tcPr>
                          <w:p w14:paraId="45F2CE14"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Qld</w:t>
                            </w:r>
                          </w:p>
                        </w:tc>
                        <w:tc>
                          <w:tcPr>
                            <w:tcW w:w="720" w:type="dxa"/>
                            <w:tcBorders>
                              <w:top w:val="nil"/>
                              <w:left w:val="nil"/>
                              <w:bottom w:val="nil"/>
                              <w:right w:val="nil"/>
                            </w:tcBorders>
                            <w:shd w:val="clear" w:color="000000" w:fill="006991"/>
                            <w:vAlign w:val="center"/>
                            <w:hideMark/>
                          </w:tcPr>
                          <w:p w14:paraId="0ED8A0B9"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WA</w:t>
                            </w:r>
                          </w:p>
                        </w:tc>
                        <w:tc>
                          <w:tcPr>
                            <w:tcW w:w="720" w:type="dxa"/>
                            <w:tcBorders>
                              <w:top w:val="nil"/>
                              <w:left w:val="nil"/>
                              <w:bottom w:val="nil"/>
                              <w:right w:val="nil"/>
                            </w:tcBorders>
                            <w:shd w:val="clear" w:color="000000" w:fill="006991"/>
                            <w:vAlign w:val="center"/>
                            <w:hideMark/>
                          </w:tcPr>
                          <w:p w14:paraId="279A8950"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SA</w:t>
                            </w:r>
                          </w:p>
                        </w:tc>
                        <w:tc>
                          <w:tcPr>
                            <w:tcW w:w="720" w:type="dxa"/>
                            <w:tcBorders>
                              <w:top w:val="nil"/>
                              <w:left w:val="nil"/>
                              <w:bottom w:val="nil"/>
                              <w:right w:val="nil"/>
                            </w:tcBorders>
                            <w:shd w:val="clear" w:color="000000" w:fill="006991"/>
                            <w:vAlign w:val="center"/>
                            <w:hideMark/>
                          </w:tcPr>
                          <w:p w14:paraId="6E928D10"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Tas</w:t>
                            </w:r>
                          </w:p>
                        </w:tc>
                        <w:tc>
                          <w:tcPr>
                            <w:tcW w:w="720" w:type="dxa"/>
                            <w:tcBorders>
                              <w:top w:val="nil"/>
                              <w:left w:val="nil"/>
                              <w:bottom w:val="nil"/>
                              <w:right w:val="nil"/>
                            </w:tcBorders>
                            <w:shd w:val="clear" w:color="000000" w:fill="006991"/>
                            <w:vAlign w:val="center"/>
                            <w:hideMark/>
                          </w:tcPr>
                          <w:p w14:paraId="073A9833"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ACT</w:t>
                            </w:r>
                          </w:p>
                        </w:tc>
                        <w:tc>
                          <w:tcPr>
                            <w:tcW w:w="720" w:type="dxa"/>
                            <w:tcBorders>
                              <w:top w:val="nil"/>
                              <w:left w:val="nil"/>
                              <w:bottom w:val="nil"/>
                              <w:right w:val="nil"/>
                            </w:tcBorders>
                            <w:shd w:val="clear" w:color="000000" w:fill="006991"/>
                            <w:vAlign w:val="center"/>
                            <w:hideMark/>
                          </w:tcPr>
                          <w:p w14:paraId="6DED99E4"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NT</w:t>
                            </w:r>
                          </w:p>
                        </w:tc>
                        <w:tc>
                          <w:tcPr>
                            <w:tcW w:w="720" w:type="dxa"/>
                            <w:tcBorders>
                              <w:top w:val="nil"/>
                              <w:left w:val="nil"/>
                              <w:bottom w:val="nil"/>
                              <w:right w:val="nil"/>
                            </w:tcBorders>
                            <w:shd w:val="clear" w:color="000000" w:fill="006991"/>
                            <w:vAlign w:val="center"/>
                            <w:hideMark/>
                          </w:tcPr>
                          <w:p w14:paraId="4F35B6F7"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229E">
                              <w:rPr>
                                <w:rFonts w:ascii="Open Sans Semibold" w:eastAsia="Times New Roman" w:hAnsi="Open Sans Semibold" w:cs="Open Sans Semibold"/>
                                <w:color w:val="FFFFFF"/>
                                <w:sz w:val="16"/>
                                <w:szCs w:val="16"/>
                                <w:lang w:eastAsia="en-AU"/>
                              </w:rPr>
                              <w:t>Total effect</w:t>
                            </w:r>
                          </w:p>
                        </w:tc>
                      </w:tr>
                      <w:tr w:rsidR="00C7229E" w:rsidRPr="00C7229E" w14:paraId="0B9766FF" w14:textId="77777777" w:rsidTr="00C7229E">
                        <w:trPr>
                          <w:trHeight w:val="255"/>
                        </w:trPr>
                        <w:tc>
                          <w:tcPr>
                            <w:tcW w:w="2460" w:type="dxa"/>
                            <w:tcBorders>
                              <w:top w:val="single" w:sz="4" w:space="0" w:color="ADD6EA"/>
                              <w:left w:val="nil"/>
                              <w:bottom w:val="nil"/>
                              <w:right w:val="nil"/>
                            </w:tcBorders>
                            <w:shd w:val="clear" w:color="000000" w:fill="B6D5E4"/>
                            <w:vAlign w:val="bottom"/>
                            <w:hideMark/>
                          </w:tcPr>
                          <w:p w14:paraId="0483EE21" w14:textId="77777777" w:rsidR="00C7229E" w:rsidRPr="00C7229E" w:rsidRDefault="00C7229E" w:rsidP="00C7229E">
                            <w:pPr>
                              <w:tabs>
                                <w:tab w:val="clear" w:pos="567"/>
                              </w:tabs>
                              <w:spacing w:before="0" w:line="240" w:lineRule="auto"/>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noWrap/>
                            <w:vAlign w:val="center"/>
                            <w:hideMark/>
                          </w:tcPr>
                          <w:p w14:paraId="54532701"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150C21FD"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0D80AB79"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1C3EFC27"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375C2AAD"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65DE05C3"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118FFEA8"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5C292D53"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32BCAF22"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$m</w:t>
                            </w:r>
                          </w:p>
                        </w:tc>
                      </w:tr>
                      <w:tr w:rsidR="00C7229E" w:rsidRPr="00C7229E" w14:paraId="2C9D267B" w14:textId="77777777" w:rsidTr="00C7229E">
                        <w:trPr>
                          <w:trHeight w:val="315"/>
                        </w:trPr>
                        <w:tc>
                          <w:tcPr>
                            <w:tcW w:w="2460" w:type="dxa"/>
                            <w:tcBorders>
                              <w:top w:val="single" w:sz="4" w:space="0" w:color="ADD6EA"/>
                              <w:left w:val="nil"/>
                              <w:bottom w:val="nil"/>
                              <w:right w:val="nil"/>
                            </w:tcBorders>
                            <w:shd w:val="clear" w:color="000000" w:fill="FFFFFF"/>
                            <w:vAlign w:val="center"/>
                            <w:hideMark/>
                          </w:tcPr>
                          <w:p w14:paraId="4A570E97" w14:textId="77777777" w:rsidR="00C7229E" w:rsidRPr="00C7229E" w:rsidRDefault="00C7229E" w:rsidP="00C7229E">
                            <w:pPr>
                              <w:tabs>
                                <w:tab w:val="clear" w:pos="567"/>
                              </w:tabs>
                              <w:spacing w:before="0" w:line="240" w:lineRule="auto"/>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Changes in fiscal capacities</w:t>
                            </w:r>
                          </w:p>
                        </w:tc>
                        <w:tc>
                          <w:tcPr>
                            <w:tcW w:w="720" w:type="dxa"/>
                            <w:tcBorders>
                              <w:top w:val="single" w:sz="4" w:space="0" w:color="ADD6EA"/>
                              <w:left w:val="nil"/>
                              <w:bottom w:val="nil"/>
                              <w:right w:val="nil"/>
                            </w:tcBorders>
                            <w:shd w:val="clear" w:color="000000" w:fill="FFFFFF"/>
                            <w:vAlign w:val="center"/>
                            <w:hideMark/>
                          </w:tcPr>
                          <w:p w14:paraId="08D79B6A"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5271DBD7"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xml:space="preserve"> </w:t>
                            </w:r>
                          </w:p>
                        </w:tc>
                        <w:tc>
                          <w:tcPr>
                            <w:tcW w:w="720" w:type="dxa"/>
                            <w:tcBorders>
                              <w:top w:val="single" w:sz="4" w:space="0" w:color="ADD6EA"/>
                              <w:left w:val="nil"/>
                              <w:bottom w:val="nil"/>
                              <w:right w:val="nil"/>
                            </w:tcBorders>
                            <w:shd w:val="clear" w:color="000000" w:fill="FFFFFF"/>
                            <w:vAlign w:val="center"/>
                            <w:hideMark/>
                          </w:tcPr>
                          <w:p w14:paraId="750BB8FE"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xml:space="preserve"> </w:t>
                            </w:r>
                          </w:p>
                        </w:tc>
                        <w:tc>
                          <w:tcPr>
                            <w:tcW w:w="720" w:type="dxa"/>
                            <w:tcBorders>
                              <w:top w:val="single" w:sz="4" w:space="0" w:color="ADD6EA"/>
                              <w:left w:val="nil"/>
                              <w:bottom w:val="nil"/>
                              <w:right w:val="nil"/>
                            </w:tcBorders>
                            <w:shd w:val="clear" w:color="000000" w:fill="FFFFFF"/>
                            <w:vAlign w:val="center"/>
                            <w:hideMark/>
                          </w:tcPr>
                          <w:p w14:paraId="5DC4EC12"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xml:space="preserve"> </w:t>
                            </w:r>
                          </w:p>
                        </w:tc>
                        <w:tc>
                          <w:tcPr>
                            <w:tcW w:w="720" w:type="dxa"/>
                            <w:tcBorders>
                              <w:top w:val="single" w:sz="4" w:space="0" w:color="ADD6EA"/>
                              <w:left w:val="nil"/>
                              <w:bottom w:val="nil"/>
                              <w:right w:val="nil"/>
                            </w:tcBorders>
                            <w:shd w:val="clear" w:color="000000" w:fill="FFFFFF"/>
                            <w:vAlign w:val="center"/>
                            <w:hideMark/>
                          </w:tcPr>
                          <w:p w14:paraId="66A15BDB"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xml:space="preserve"> </w:t>
                            </w:r>
                          </w:p>
                        </w:tc>
                        <w:tc>
                          <w:tcPr>
                            <w:tcW w:w="720" w:type="dxa"/>
                            <w:tcBorders>
                              <w:top w:val="single" w:sz="4" w:space="0" w:color="ADD6EA"/>
                              <w:left w:val="nil"/>
                              <w:bottom w:val="nil"/>
                              <w:right w:val="nil"/>
                            </w:tcBorders>
                            <w:shd w:val="clear" w:color="000000" w:fill="FFFFFF"/>
                            <w:vAlign w:val="center"/>
                            <w:hideMark/>
                          </w:tcPr>
                          <w:p w14:paraId="574DE149"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xml:space="preserve"> </w:t>
                            </w:r>
                          </w:p>
                        </w:tc>
                        <w:tc>
                          <w:tcPr>
                            <w:tcW w:w="720" w:type="dxa"/>
                            <w:tcBorders>
                              <w:top w:val="single" w:sz="4" w:space="0" w:color="ADD6EA"/>
                              <w:left w:val="nil"/>
                              <w:bottom w:val="nil"/>
                              <w:right w:val="nil"/>
                            </w:tcBorders>
                            <w:shd w:val="clear" w:color="000000" w:fill="FFFFFF"/>
                            <w:vAlign w:val="center"/>
                            <w:hideMark/>
                          </w:tcPr>
                          <w:p w14:paraId="61C8899B"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xml:space="preserve"> </w:t>
                            </w:r>
                          </w:p>
                        </w:tc>
                        <w:tc>
                          <w:tcPr>
                            <w:tcW w:w="720" w:type="dxa"/>
                            <w:tcBorders>
                              <w:top w:val="single" w:sz="4" w:space="0" w:color="ADD6EA"/>
                              <w:left w:val="nil"/>
                              <w:bottom w:val="nil"/>
                              <w:right w:val="nil"/>
                            </w:tcBorders>
                            <w:shd w:val="clear" w:color="000000" w:fill="FFFFFF"/>
                            <w:vAlign w:val="center"/>
                            <w:hideMark/>
                          </w:tcPr>
                          <w:p w14:paraId="6553E236"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xml:space="preserve"> </w:t>
                            </w:r>
                          </w:p>
                        </w:tc>
                        <w:tc>
                          <w:tcPr>
                            <w:tcW w:w="720" w:type="dxa"/>
                            <w:tcBorders>
                              <w:top w:val="single" w:sz="4" w:space="0" w:color="ADD6EA"/>
                              <w:left w:val="nil"/>
                              <w:bottom w:val="nil"/>
                              <w:right w:val="nil"/>
                            </w:tcBorders>
                            <w:shd w:val="clear" w:color="000000" w:fill="FFFFFF"/>
                            <w:vAlign w:val="center"/>
                            <w:hideMark/>
                          </w:tcPr>
                          <w:p w14:paraId="5E1A28D4"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 xml:space="preserve"> </w:t>
                            </w:r>
                          </w:p>
                        </w:tc>
                      </w:tr>
                      <w:tr w:rsidR="00C7229E" w:rsidRPr="00C7229E" w14:paraId="220CFEA3" w14:textId="77777777" w:rsidTr="00C7229E">
                        <w:trPr>
                          <w:trHeight w:val="555"/>
                        </w:trPr>
                        <w:tc>
                          <w:tcPr>
                            <w:tcW w:w="2460" w:type="dxa"/>
                            <w:tcBorders>
                              <w:top w:val="single" w:sz="4" w:space="0" w:color="ADD6EA"/>
                              <w:left w:val="nil"/>
                              <w:bottom w:val="nil"/>
                              <w:right w:val="nil"/>
                            </w:tcBorders>
                            <w:shd w:val="clear" w:color="000000" w:fill="FFFFFF"/>
                            <w:vAlign w:val="center"/>
                            <w:hideMark/>
                          </w:tcPr>
                          <w:p w14:paraId="23DA11E1"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Changes in circumstances - Mining production</w:t>
                            </w:r>
                          </w:p>
                        </w:tc>
                        <w:tc>
                          <w:tcPr>
                            <w:tcW w:w="720" w:type="dxa"/>
                            <w:tcBorders>
                              <w:top w:val="single" w:sz="4" w:space="0" w:color="ADD6EA"/>
                              <w:left w:val="nil"/>
                              <w:bottom w:val="nil"/>
                              <w:right w:val="nil"/>
                            </w:tcBorders>
                            <w:shd w:val="clear" w:color="000000" w:fill="FFFFFF"/>
                            <w:vAlign w:val="center"/>
                            <w:hideMark/>
                          </w:tcPr>
                          <w:p w14:paraId="7FECAC5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-156</w:t>
                            </w:r>
                          </w:p>
                        </w:tc>
                        <w:tc>
                          <w:tcPr>
                            <w:tcW w:w="720" w:type="dxa"/>
                            <w:tcBorders>
                              <w:top w:val="single" w:sz="4" w:space="0" w:color="ADD6EA"/>
                              <w:left w:val="nil"/>
                              <w:bottom w:val="nil"/>
                              <w:right w:val="nil"/>
                            </w:tcBorders>
                            <w:shd w:val="clear" w:color="000000" w:fill="FFFFFF"/>
                            <w:vAlign w:val="center"/>
                            <w:hideMark/>
                          </w:tcPr>
                          <w:p w14:paraId="359D84DD"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831</w:t>
                            </w:r>
                          </w:p>
                        </w:tc>
                        <w:tc>
                          <w:tcPr>
                            <w:tcW w:w="720" w:type="dxa"/>
                            <w:tcBorders>
                              <w:top w:val="single" w:sz="4" w:space="0" w:color="ADD6EA"/>
                              <w:left w:val="nil"/>
                              <w:bottom w:val="nil"/>
                              <w:right w:val="nil"/>
                            </w:tcBorders>
                            <w:shd w:val="clear" w:color="000000" w:fill="FFFFFF"/>
                            <w:vAlign w:val="center"/>
                            <w:hideMark/>
                          </w:tcPr>
                          <w:p w14:paraId="76FEEFB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-2,283</w:t>
                            </w:r>
                          </w:p>
                        </w:tc>
                        <w:tc>
                          <w:tcPr>
                            <w:tcW w:w="720" w:type="dxa"/>
                            <w:tcBorders>
                              <w:top w:val="single" w:sz="4" w:space="0" w:color="ADD6EA"/>
                              <w:left w:val="nil"/>
                              <w:bottom w:val="nil"/>
                              <w:right w:val="nil"/>
                            </w:tcBorders>
                            <w:shd w:val="clear" w:color="000000" w:fill="FFFFFF"/>
                            <w:vAlign w:val="center"/>
                            <w:hideMark/>
                          </w:tcPr>
                          <w:p w14:paraId="2D3F531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1,268</w:t>
                            </w:r>
                          </w:p>
                        </w:tc>
                        <w:tc>
                          <w:tcPr>
                            <w:tcW w:w="720" w:type="dxa"/>
                            <w:tcBorders>
                              <w:top w:val="single" w:sz="4" w:space="0" w:color="ADD6EA"/>
                              <w:left w:val="nil"/>
                              <w:bottom w:val="nil"/>
                              <w:right w:val="nil"/>
                            </w:tcBorders>
                            <w:shd w:val="clear" w:color="000000" w:fill="FFFFFF"/>
                            <w:vAlign w:val="center"/>
                            <w:hideMark/>
                          </w:tcPr>
                          <w:p w14:paraId="71636CE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197</w:t>
                            </w:r>
                          </w:p>
                        </w:tc>
                        <w:tc>
                          <w:tcPr>
                            <w:tcW w:w="720" w:type="dxa"/>
                            <w:tcBorders>
                              <w:top w:val="single" w:sz="4" w:space="0" w:color="ADD6EA"/>
                              <w:left w:val="nil"/>
                              <w:bottom w:val="nil"/>
                              <w:right w:val="nil"/>
                            </w:tcBorders>
                            <w:shd w:val="clear" w:color="000000" w:fill="FFFFFF"/>
                            <w:vAlign w:val="center"/>
                            <w:hideMark/>
                          </w:tcPr>
                          <w:p w14:paraId="0E55A1B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53</w:t>
                            </w:r>
                          </w:p>
                        </w:tc>
                        <w:tc>
                          <w:tcPr>
                            <w:tcW w:w="720" w:type="dxa"/>
                            <w:tcBorders>
                              <w:top w:val="single" w:sz="4" w:space="0" w:color="ADD6EA"/>
                              <w:left w:val="nil"/>
                              <w:bottom w:val="nil"/>
                              <w:right w:val="nil"/>
                            </w:tcBorders>
                            <w:shd w:val="clear" w:color="000000" w:fill="FFFFFF"/>
                            <w:vAlign w:val="center"/>
                            <w:hideMark/>
                          </w:tcPr>
                          <w:p w14:paraId="06292A7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55</w:t>
                            </w:r>
                          </w:p>
                        </w:tc>
                        <w:tc>
                          <w:tcPr>
                            <w:tcW w:w="720" w:type="dxa"/>
                            <w:tcBorders>
                              <w:top w:val="single" w:sz="4" w:space="0" w:color="ADD6EA"/>
                              <w:left w:val="nil"/>
                              <w:bottom w:val="nil"/>
                              <w:right w:val="nil"/>
                            </w:tcBorders>
                            <w:shd w:val="clear" w:color="000000" w:fill="FFFFFF"/>
                            <w:vAlign w:val="center"/>
                            <w:hideMark/>
                          </w:tcPr>
                          <w:p w14:paraId="744EFA4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36</w:t>
                            </w:r>
                          </w:p>
                        </w:tc>
                        <w:tc>
                          <w:tcPr>
                            <w:tcW w:w="720" w:type="dxa"/>
                            <w:tcBorders>
                              <w:top w:val="single" w:sz="4" w:space="0" w:color="ADD6EA"/>
                              <w:left w:val="nil"/>
                              <w:bottom w:val="nil"/>
                              <w:right w:val="nil"/>
                            </w:tcBorders>
                            <w:shd w:val="clear" w:color="000000" w:fill="FFFFFF"/>
                            <w:vAlign w:val="center"/>
                            <w:hideMark/>
                          </w:tcPr>
                          <w:p w14:paraId="14E4A14F"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2,439</w:t>
                            </w:r>
                          </w:p>
                        </w:tc>
                      </w:tr>
                      <w:tr w:rsidR="00C7229E" w:rsidRPr="00C7229E" w14:paraId="2311ADB0" w14:textId="77777777" w:rsidTr="00C7229E">
                        <w:trPr>
                          <w:trHeight w:val="555"/>
                        </w:trPr>
                        <w:tc>
                          <w:tcPr>
                            <w:tcW w:w="2460" w:type="dxa"/>
                            <w:tcBorders>
                              <w:top w:val="single" w:sz="4" w:space="0" w:color="ADD6EA"/>
                              <w:left w:val="nil"/>
                              <w:bottom w:val="nil"/>
                              <w:right w:val="nil"/>
                            </w:tcBorders>
                            <w:shd w:val="clear" w:color="000000" w:fill="FFFFFF"/>
                            <w:vAlign w:val="center"/>
                            <w:hideMark/>
                          </w:tcPr>
                          <w:p w14:paraId="679169C3"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Changes in circumstances - Population growth</w:t>
                            </w:r>
                          </w:p>
                        </w:tc>
                        <w:tc>
                          <w:tcPr>
                            <w:tcW w:w="720" w:type="dxa"/>
                            <w:tcBorders>
                              <w:top w:val="single" w:sz="4" w:space="0" w:color="ADD6EA"/>
                              <w:left w:val="nil"/>
                              <w:bottom w:val="nil"/>
                              <w:right w:val="nil"/>
                            </w:tcBorders>
                            <w:shd w:val="clear" w:color="000000" w:fill="FFFFFF"/>
                            <w:vAlign w:val="center"/>
                            <w:hideMark/>
                          </w:tcPr>
                          <w:p w14:paraId="509340A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-188</w:t>
                            </w:r>
                          </w:p>
                        </w:tc>
                        <w:tc>
                          <w:tcPr>
                            <w:tcW w:w="720" w:type="dxa"/>
                            <w:tcBorders>
                              <w:top w:val="single" w:sz="4" w:space="0" w:color="ADD6EA"/>
                              <w:left w:val="nil"/>
                              <w:bottom w:val="nil"/>
                              <w:right w:val="nil"/>
                            </w:tcBorders>
                            <w:shd w:val="clear" w:color="000000" w:fill="FFFFFF"/>
                            <w:vAlign w:val="center"/>
                            <w:hideMark/>
                          </w:tcPr>
                          <w:p w14:paraId="3C24D05D"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896</w:t>
                            </w:r>
                          </w:p>
                        </w:tc>
                        <w:tc>
                          <w:tcPr>
                            <w:tcW w:w="720" w:type="dxa"/>
                            <w:tcBorders>
                              <w:top w:val="single" w:sz="4" w:space="0" w:color="ADD6EA"/>
                              <w:left w:val="nil"/>
                              <w:bottom w:val="nil"/>
                              <w:right w:val="nil"/>
                            </w:tcBorders>
                            <w:shd w:val="clear" w:color="000000" w:fill="FFFFFF"/>
                            <w:vAlign w:val="center"/>
                            <w:hideMark/>
                          </w:tcPr>
                          <w:p w14:paraId="6B5A5D5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-328</w:t>
                            </w:r>
                          </w:p>
                        </w:tc>
                        <w:tc>
                          <w:tcPr>
                            <w:tcW w:w="720" w:type="dxa"/>
                            <w:tcBorders>
                              <w:top w:val="single" w:sz="4" w:space="0" w:color="ADD6EA"/>
                              <w:left w:val="nil"/>
                              <w:bottom w:val="nil"/>
                              <w:right w:val="nil"/>
                            </w:tcBorders>
                            <w:shd w:val="clear" w:color="000000" w:fill="FFFFFF"/>
                            <w:vAlign w:val="center"/>
                            <w:hideMark/>
                          </w:tcPr>
                          <w:p w14:paraId="04BCDA5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-95</w:t>
                            </w:r>
                          </w:p>
                        </w:tc>
                        <w:tc>
                          <w:tcPr>
                            <w:tcW w:w="720" w:type="dxa"/>
                            <w:tcBorders>
                              <w:top w:val="single" w:sz="4" w:space="0" w:color="ADD6EA"/>
                              <w:left w:val="nil"/>
                              <w:bottom w:val="nil"/>
                              <w:right w:val="nil"/>
                            </w:tcBorders>
                            <w:shd w:val="clear" w:color="000000" w:fill="FFFFFF"/>
                            <w:vAlign w:val="center"/>
                            <w:hideMark/>
                          </w:tcPr>
                          <w:p w14:paraId="5C10BA0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-166</w:t>
                            </w:r>
                          </w:p>
                        </w:tc>
                        <w:tc>
                          <w:tcPr>
                            <w:tcW w:w="720" w:type="dxa"/>
                            <w:tcBorders>
                              <w:top w:val="single" w:sz="4" w:space="0" w:color="ADD6EA"/>
                              <w:left w:val="nil"/>
                              <w:bottom w:val="nil"/>
                              <w:right w:val="nil"/>
                            </w:tcBorders>
                            <w:shd w:val="clear" w:color="000000" w:fill="FFFFFF"/>
                            <w:vAlign w:val="center"/>
                            <w:hideMark/>
                          </w:tcPr>
                          <w:p w14:paraId="08BDA5D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-66</w:t>
                            </w:r>
                          </w:p>
                        </w:tc>
                        <w:tc>
                          <w:tcPr>
                            <w:tcW w:w="720" w:type="dxa"/>
                            <w:tcBorders>
                              <w:top w:val="single" w:sz="4" w:space="0" w:color="ADD6EA"/>
                              <w:left w:val="nil"/>
                              <w:bottom w:val="nil"/>
                              <w:right w:val="nil"/>
                            </w:tcBorders>
                            <w:shd w:val="clear" w:color="000000" w:fill="FFFFFF"/>
                            <w:vAlign w:val="center"/>
                            <w:hideMark/>
                          </w:tcPr>
                          <w:p w14:paraId="6E90EAC5"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-58</w:t>
                            </w:r>
                          </w:p>
                        </w:tc>
                        <w:tc>
                          <w:tcPr>
                            <w:tcW w:w="720" w:type="dxa"/>
                            <w:tcBorders>
                              <w:top w:val="single" w:sz="4" w:space="0" w:color="ADD6EA"/>
                              <w:left w:val="nil"/>
                              <w:bottom w:val="nil"/>
                              <w:right w:val="nil"/>
                            </w:tcBorders>
                            <w:shd w:val="clear" w:color="000000" w:fill="FFFFFF"/>
                            <w:vAlign w:val="center"/>
                            <w:hideMark/>
                          </w:tcPr>
                          <w:p w14:paraId="488B7F7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w:t>
                            </w:r>
                          </w:p>
                        </w:tc>
                        <w:tc>
                          <w:tcPr>
                            <w:tcW w:w="720" w:type="dxa"/>
                            <w:tcBorders>
                              <w:top w:val="single" w:sz="4" w:space="0" w:color="ADD6EA"/>
                              <w:left w:val="nil"/>
                              <w:bottom w:val="nil"/>
                              <w:right w:val="nil"/>
                            </w:tcBorders>
                            <w:shd w:val="clear" w:color="000000" w:fill="FFFFFF"/>
                            <w:vAlign w:val="center"/>
                            <w:hideMark/>
                          </w:tcPr>
                          <w:p w14:paraId="2AA5509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901</w:t>
                            </w:r>
                          </w:p>
                        </w:tc>
                      </w:tr>
                      <w:tr w:rsidR="00C7229E" w:rsidRPr="00C7229E" w14:paraId="42EE230E" w14:textId="77777777" w:rsidTr="00C7229E">
                        <w:trPr>
                          <w:trHeight w:val="555"/>
                        </w:trPr>
                        <w:tc>
                          <w:tcPr>
                            <w:tcW w:w="2460" w:type="dxa"/>
                            <w:tcBorders>
                              <w:top w:val="single" w:sz="4" w:space="0" w:color="ADD6EA"/>
                              <w:left w:val="nil"/>
                              <w:bottom w:val="nil"/>
                              <w:right w:val="nil"/>
                            </w:tcBorders>
                            <w:shd w:val="clear" w:color="000000" w:fill="FFFFFF"/>
                            <w:vAlign w:val="center"/>
                            <w:hideMark/>
                          </w:tcPr>
                          <w:p w14:paraId="784103F0"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New methods - Services to industry</w:t>
                            </w:r>
                          </w:p>
                        </w:tc>
                        <w:tc>
                          <w:tcPr>
                            <w:tcW w:w="720" w:type="dxa"/>
                            <w:tcBorders>
                              <w:top w:val="single" w:sz="4" w:space="0" w:color="ADD6EA"/>
                              <w:left w:val="nil"/>
                              <w:bottom w:val="nil"/>
                              <w:right w:val="nil"/>
                            </w:tcBorders>
                            <w:shd w:val="clear" w:color="000000" w:fill="FFFFFF"/>
                            <w:vAlign w:val="center"/>
                            <w:hideMark/>
                          </w:tcPr>
                          <w:p w14:paraId="71410792"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296</w:t>
                            </w:r>
                          </w:p>
                        </w:tc>
                        <w:tc>
                          <w:tcPr>
                            <w:tcW w:w="720" w:type="dxa"/>
                            <w:tcBorders>
                              <w:top w:val="single" w:sz="4" w:space="0" w:color="ADD6EA"/>
                              <w:left w:val="nil"/>
                              <w:bottom w:val="nil"/>
                              <w:right w:val="nil"/>
                            </w:tcBorders>
                            <w:shd w:val="clear" w:color="000000" w:fill="FFFFFF"/>
                            <w:vAlign w:val="center"/>
                            <w:hideMark/>
                          </w:tcPr>
                          <w:p w14:paraId="66CC4FC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471</w:t>
                            </w:r>
                          </w:p>
                        </w:tc>
                        <w:tc>
                          <w:tcPr>
                            <w:tcW w:w="720" w:type="dxa"/>
                            <w:tcBorders>
                              <w:top w:val="single" w:sz="4" w:space="0" w:color="ADD6EA"/>
                              <w:left w:val="nil"/>
                              <w:bottom w:val="nil"/>
                              <w:right w:val="nil"/>
                            </w:tcBorders>
                            <w:shd w:val="clear" w:color="000000" w:fill="FFFFFF"/>
                            <w:vAlign w:val="center"/>
                            <w:hideMark/>
                          </w:tcPr>
                          <w:p w14:paraId="471D096A"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-411</w:t>
                            </w:r>
                          </w:p>
                        </w:tc>
                        <w:tc>
                          <w:tcPr>
                            <w:tcW w:w="720" w:type="dxa"/>
                            <w:tcBorders>
                              <w:top w:val="single" w:sz="4" w:space="0" w:color="ADD6EA"/>
                              <w:left w:val="nil"/>
                              <w:bottom w:val="nil"/>
                              <w:right w:val="nil"/>
                            </w:tcBorders>
                            <w:shd w:val="clear" w:color="000000" w:fill="FFFFFF"/>
                            <w:vAlign w:val="center"/>
                            <w:hideMark/>
                          </w:tcPr>
                          <w:p w14:paraId="3FFF00F9"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-94</w:t>
                            </w:r>
                          </w:p>
                        </w:tc>
                        <w:tc>
                          <w:tcPr>
                            <w:tcW w:w="720" w:type="dxa"/>
                            <w:tcBorders>
                              <w:top w:val="single" w:sz="4" w:space="0" w:color="ADD6EA"/>
                              <w:left w:val="nil"/>
                              <w:bottom w:val="nil"/>
                              <w:right w:val="nil"/>
                            </w:tcBorders>
                            <w:shd w:val="clear" w:color="000000" w:fill="FFFFFF"/>
                            <w:vAlign w:val="center"/>
                            <w:hideMark/>
                          </w:tcPr>
                          <w:p w14:paraId="34D525A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-209</w:t>
                            </w:r>
                          </w:p>
                        </w:tc>
                        <w:tc>
                          <w:tcPr>
                            <w:tcW w:w="720" w:type="dxa"/>
                            <w:tcBorders>
                              <w:top w:val="single" w:sz="4" w:space="0" w:color="ADD6EA"/>
                              <w:left w:val="nil"/>
                              <w:bottom w:val="nil"/>
                              <w:right w:val="nil"/>
                            </w:tcBorders>
                            <w:shd w:val="clear" w:color="000000" w:fill="FFFFFF"/>
                            <w:vAlign w:val="center"/>
                            <w:hideMark/>
                          </w:tcPr>
                          <w:p w14:paraId="70123F4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-55</w:t>
                            </w:r>
                          </w:p>
                        </w:tc>
                        <w:tc>
                          <w:tcPr>
                            <w:tcW w:w="720" w:type="dxa"/>
                            <w:tcBorders>
                              <w:top w:val="single" w:sz="4" w:space="0" w:color="ADD6EA"/>
                              <w:left w:val="nil"/>
                              <w:bottom w:val="nil"/>
                              <w:right w:val="nil"/>
                            </w:tcBorders>
                            <w:shd w:val="clear" w:color="000000" w:fill="FFFFFF"/>
                            <w:vAlign w:val="center"/>
                            <w:hideMark/>
                          </w:tcPr>
                          <w:p w14:paraId="0713395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9</w:t>
                            </w:r>
                          </w:p>
                        </w:tc>
                        <w:tc>
                          <w:tcPr>
                            <w:tcW w:w="720" w:type="dxa"/>
                            <w:tcBorders>
                              <w:top w:val="single" w:sz="4" w:space="0" w:color="ADD6EA"/>
                              <w:left w:val="nil"/>
                              <w:bottom w:val="nil"/>
                              <w:right w:val="nil"/>
                            </w:tcBorders>
                            <w:shd w:val="clear" w:color="000000" w:fill="FFFFFF"/>
                            <w:vAlign w:val="center"/>
                            <w:hideMark/>
                          </w:tcPr>
                          <w:p w14:paraId="078B029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-7</w:t>
                            </w:r>
                          </w:p>
                        </w:tc>
                        <w:tc>
                          <w:tcPr>
                            <w:tcW w:w="720" w:type="dxa"/>
                            <w:tcBorders>
                              <w:top w:val="single" w:sz="4" w:space="0" w:color="ADD6EA"/>
                              <w:left w:val="nil"/>
                              <w:bottom w:val="nil"/>
                              <w:right w:val="nil"/>
                            </w:tcBorders>
                            <w:shd w:val="clear" w:color="000000" w:fill="FFFFFF"/>
                            <w:vAlign w:val="center"/>
                            <w:hideMark/>
                          </w:tcPr>
                          <w:p w14:paraId="7AEF21B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776</w:t>
                            </w:r>
                          </w:p>
                        </w:tc>
                      </w:tr>
                      <w:tr w:rsidR="00C7229E" w:rsidRPr="00C7229E" w14:paraId="4627F193" w14:textId="77777777" w:rsidTr="00C7229E">
                        <w:trPr>
                          <w:trHeight w:val="315"/>
                        </w:trPr>
                        <w:tc>
                          <w:tcPr>
                            <w:tcW w:w="2460" w:type="dxa"/>
                            <w:tcBorders>
                              <w:top w:val="single" w:sz="4" w:space="0" w:color="ADD6EA"/>
                              <w:left w:val="nil"/>
                              <w:bottom w:val="nil"/>
                              <w:right w:val="nil"/>
                            </w:tcBorders>
                            <w:shd w:val="clear" w:color="000000" w:fill="FFFFFF"/>
                            <w:vAlign w:val="center"/>
                            <w:hideMark/>
                          </w:tcPr>
                          <w:p w14:paraId="44C3B05E"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New methods - Health</w:t>
                            </w:r>
                          </w:p>
                        </w:tc>
                        <w:tc>
                          <w:tcPr>
                            <w:tcW w:w="720" w:type="dxa"/>
                            <w:tcBorders>
                              <w:top w:val="single" w:sz="4" w:space="0" w:color="ADD6EA"/>
                              <w:left w:val="nil"/>
                              <w:bottom w:val="nil"/>
                              <w:right w:val="nil"/>
                            </w:tcBorders>
                            <w:shd w:val="clear" w:color="000000" w:fill="FFFFFF"/>
                            <w:vAlign w:val="center"/>
                            <w:hideMark/>
                          </w:tcPr>
                          <w:p w14:paraId="2251EFA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280</w:t>
                            </w:r>
                          </w:p>
                        </w:tc>
                        <w:tc>
                          <w:tcPr>
                            <w:tcW w:w="720" w:type="dxa"/>
                            <w:tcBorders>
                              <w:top w:val="single" w:sz="4" w:space="0" w:color="ADD6EA"/>
                              <w:left w:val="nil"/>
                              <w:bottom w:val="nil"/>
                              <w:right w:val="nil"/>
                            </w:tcBorders>
                            <w:shd w:val="clear" w:color="000000" w:fill="FFFFFF"/>
                            <w:vAlign w:val="center"/>
                            <w:hideMark/>
                          </w:tcPr>
                          <w:p w14:paraId="3C63838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469</w:t>
                            </w:r>
                          </w:p>
                        </w:tc>
                        <w:tc>
                          <w:tcPr>
                            <w:tcW w:w="720" w:type="dxa"/>
                            <w:tcBorders>
                              <w:top w:val="single" w:sz="4" w:space="0" w:color="ADD6EA"/>
                              <w:left w:val="nil"/>
                              <w:bottom w:val="nil"/>
                              <w:right w:val="nil"/>
                            </w:tcBorders>
                            <w:shd w:val="clear" w:color="000000" w:fill="FFFFFF"/>
                            <w:vAlign w:val="center"/>
                            <w:hideMark/>
                          </w:tcPr>
                          <w:p w14:paraId="50BAA6A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-398</w:t>
                            </w:r>
                          </w:p>
                        </w:tc>
                        <w:tc>
                          <w:tcPr>
                            <w:tcW w:w="720" w:type="dxa"/>
                            <w:tcBorders>
                              <w:top w:val="single" w:sz="4" w:space="0" w:color="ADD6EA"/>
                              <w:left w:val="nil"/>
                              <w:bottom w:val="nil"/>
                              <w:right w:val="nil"/>
                            </w:tcBorders>
                            <w:shd w:val="clear" w:color="000000" w:fill="FFFFFF"/>
                            <w:vAlign w:val="center"/>
                            <w:hideMark/>
                          </w:tcPr>
                          <w:p w14:paraId="2398BDE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-159</w:t>
                            </w:r>
                          </w:p>
                        </w:tc>
                        <w:tc>
                          <w:tcPr>
                            <w:tcW w:w="720" w:type="dxa"/>
                            <w:tcBorders>
                              <w:top w:val="single" w:sz="4" w:space="0" w:color="ADD6EA"/>
                              <w:left w:val="nil"/>
                              <w:bottom w:val="nil"/>
                              <w:right w:val="nil"/>
                            </w:tcBorders>
                            <w:shd w:val="clear" w:color="000000" w:fill="FFFFFF"/>
                            <w:vAlign w:val="center"/>
                            <w:hideMark/>
                          </w:tcPr>
                          <w:p w14:paraId="35BACB5F"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-104</w:t>
                            </w:r>
                          </w:p>
                        </w:tc>
                        <w:tc>
                          <w:tcPr>
                            <w:tcW w:w="720" w:type="dxa"/>
                            <w:tcBorders>
                              <w:top w:val="single" w:sz="4" w:space="0" w:color="ADD6EA"/>
                              <w:left w:val="nil"/>
                              <w:bottom w:val="nil"/>
                              <w:right w:val="nil"/>
                            </w:tcBorders>
                            <w:shd w:val="clear" w:color="000000" w:fill="FFFFFF"/>
                            <w:vAlign w:val="center"/>
                            <w:hideMark/>
                          </w:tcPr>
                          <w:p w14:paraId="5A18BDA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-68</w:t>
                            </w:r>
                          </w:p>
                        </w:tc>
                        <w:tc>
                          <w:tcPr>
                            <w:tcW w:w="720" w:type="dxa"/>
                            <w:tcBorders>
                              <w:top w:val="single" w:sz="4" w:space="0" w:color="ADD6EA"/>
                              <w:left w:val="nil"/>
                              <w:bottom w:val="nil"/>
                              <w:right w:val="nil"/>
                            </w:tcBorders>
                            <w:shd w:val="clear" w:color="000000" w:fill="FFFFFF"/>
                            <w:vAlign w:val="center"/>
                            <w:hideMark/>
                          </w:tcPr>
                          <w:p w14:paraId="0231583D"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19</w:t>
                            </w:r>
                          </w:p>
                        </w:tc>
                        <w:tc>
                          <w:tcPr>
                            <w:tcW w:w="720" w:type="dxa"/>
                            <w:tcBorders>
                              <w:top w:val="single" w:sz="4" w:space="0" w:color="ADD6EA"/>
                              <w:left w:val="nil"/>
                              <w:bottom w:val="nil"/>
                              <w:right w:val="nil"/>
                            </w:tcBorders>
                            <w:shd w:val="clear" w:color="000000" w:fill="FFFFFF"/>
                            <w:vAlign w:val="center"/>
                            <w:hideMark/>
                          </w:tcPr>
                          <w:p w14:paraId="3A12CD1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-39</w:t>
                            </w:r>
                          </w:p>
                        </w:tc>
                        <w:tc>
                          <w:tcPr>
                            <w:tcW w:w="720" w:type="dxa"/>
                            <w:tcBorders>
                              <w:top w:val="single" w:sz="4" w:space="0" w:color="ADD6EA"/>
                              <w:left w:val="nil"/>
                              <w:bottom w:val="nil"/>
                              <w:right w:val="nil"/>
                            </w:tcBorders>
                            <w:shd w:val="clear" w:color="000000" w:fill="FFFFFF"/>
                            <w:vAlign w:val="center"/>
                            <w:hideMark/>
                          </w:tcPr>
                          <w:p w14:paraId="7E52B64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768</w:t>
                            </w:r>
                          </w:p>
                        </w:tc>
                      </w:tr>
                      <w:tr w:rsidR="00C7229E" w:rsidRPr="00C7229E" w14:paraId="3FCEE08E" w14:textId="77777777" w:rsidTr="00C7229E">
                        <w:trPr>
                          <w:trHeight w:val="315"/>
                        </w:trPr>
                        <w:tc>
                          <w:tcPr>
                            <w:tcW w:w="2460" w:type="dxa"/>
                            <w:tcBorders>
                              <w:top w:val="single" w:sz="4" w:space="0" w:color="ADD6EA"/>
                              <w:left w:val="nil"/>
                              <w:bottom w:val="nil"/>
                              <w:right w:val="nil"/>
                            </w:tcBorders>
                            <w:shd w:val="clear" w:color="000000" w:fill="FFFFFF"/>
                            <w:vAlign w:val="center"/>
                            <w:hideMark/>
                          </w:tcPr>
                          <w:p w14:paraId="056B7357"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New methods - Wage costs</w:t>
                            </w:r>
                          </w:p>
                        </w:tc>
                        <w:tc>
                          <w:tcPr>
                            <w:tcW w:w="720" w:type="dxa"/>
                            <w:tcBorders>
                              <w:top w:val="single" w:sz="4" w:space="0" w:color="ADD6EA"/>
                              <w:left w:val="nil"/>
                              <w:bottom w:val="nil"/>
                              <w:right w:val="nil"/>
                            </w:tcBorders>
                            <w:shd w:val="clear" w:color="000000" w:fill="FFFFFF"/>
                            <w:vAlign w:val="center"/>
                            <w:hideMark/>
                          </w:tcPr>
                          <w:p w14:paraId="0634896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-194</w:t>
                            </w:r>
                          </w:p>
                        </w:tc>
                        <w:tc>
                          <w:tcPr>
                            <w:tcW w:w="720" w:type="dxa"/>
                            <w:tcBorders>
                              <w:top w:val="single" w:sz="4" w:space="0" w:color="ADD6EA"/>
                              <w:left w:val="nil"/>
                              <w:bottom w:val="nil"/>
                              <w:right w:val="nil"/>
                            </w:tcBorders>
                            <w:shd w:val="clear" w:color="000000" w:fill="FFFFFF"/>
                            <w:vAlign w:val="center"/>
                            <w:hideMark/>
                          </w:tcPr>
                          <w:p w14:paraId="2888021F"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295</w:t>
                            </w:r>
                          </w:p>
                        </w:tc>
                        <w:tc>
                          <w:tcPr>
                            <w:tcW w:w="720" w:type="dxa"/>
                            <w:tcBorders>
                              <w:top w:val="single" w:sz="4" w:space="0" w:color="ADD6EA"/>
                              <w:left w:val="nil"/>
                              <w:bottom w:val="nil"/>
                              <w:right w:val="nil"/>
                            </w:tcBorders>
                            <w:shd w:val="clear" w:color="000000" w:fill="FFFFFF"/>
                            <w:vAlign w:val="center"/>
                            <w:hideMark/>
                          </w:tcPr>
                          <w:p w14:paraId="04C6209A"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-58</w:t>
                            </w:r>
                          </w:p>
                        </w:tc>
                        <w:tc>
                          <w:tcPr>
                            <w:tcW w:w="720" w:type="dxa"/>
                            <w:tcBorders>
                              <w:top w:val="single" w:sz="4" w:space="0" w:color="ADD6EA"/>
                              <w:left w:val="nil"/>
                              <w:bottom w:val="nil"/>
                              <w:right w:val="nil"/>
                            </w:tcBorders>
                            <w:shd w:val="clear" w:color="000000" w:fill="FFFFFF"/>
                            <w:vAlign w:val="center"/>
                            <w:hideMark/>
                          </w:tcPr>
                          <w:p w14:paraId="3FDD766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-370</w:t>
                            </w:r>
                          </w:p>
                        </w:tc>
                        <w:tc>
                          <w:tcPr>
                            <w:tcW w:w="720" w:type="dxa"/>
                            <w:tcBorders>
                              <w:top w:val="single" w:sz="4" w:space="0" w:color="ADD6EA"/>
                              <w:left w:val="nil"/>
                              <w:bottom w:val="nil"/>
                              <w:right w:val="nil"/>
                            </w:tcBorders>
                            <w:shd w:val="clear" w:color="000000" w:fill="FFFFFF"/>
                            <w:vAlign w:val="center"/>
                            <w:hideMark/>
                          </w:tcPr>
                          <w:p w14:paraId="2E14520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187</w:t>
                            </w:r>
                          </w:p>
                        </w:tc>
                        <w:tc>
                          <w:tcPr>
                            <w:tcW w:w="720" w:type="dxa"/>
                            <w:tcBorders>
                              <w:top w:val="single" w:sz="4" w:space="0" w:color="ADD6EA"/>
                              <w:left w:val="nil"/>
                              <w:bottom w:val="nil"/>
                              <w:right w:val="nil"/>
                            </w:tcBorders>
                            <w:shd w:val="clear" w:color="000000" w:fill="FFFFFF"/>
                            <w:vAlign w:val="center"/>
                            <w:hideMark/>
                          </w:tcPr>
                          <w:p w14:paraId="5C9C36CD"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136</w:t>
                            </w:r>
                          </w:p>
                        </w:tc>
                        <w:tc>
                          <w:tcPr>
                            <w:tcW w:w="720" w:type="dxa"/>
                            <w:tcBorders>
                              <w:top w:val="single" w:sz="4" w:space="0" w:color="ADD6EA"/>
                              <w:left w:val="nil"/>
                              <w:bottom w:val="nil"/>
                              <w:right w:val="nil"/>
                            </w:tcBorders>
                            <w:shd w:val="clear" w:color="000000" w:fill="FFFFFF"/>
                            <w:vAlign w:val="center"/>
                            <w:hideMark/>
                          </w:tcPr>
                          <w:p w14:paraId="6FEF4943"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51</w:t>
                            </w:r>
                          </w:p>
                        </w:tc>
                        <w:tc>
                          <w:tcPr>
                            <w:tcW w:w="720" w:type="dxa"/>
                            <w:tcBorders>
                              <w:top w:val="single" w:sz="4" w:space="0" w:color="ADD6EA"/>
                              <w:left w:val="nil"/>
                              <w:bottom w:val="nil"/>
                              <w:right w:val="nil"/>
                            </w:tcBorders>
                            <w:shd w:val="clear" w:color="000000" w:fill="FFFFFF"/>
                            <w:vAlign w:val="center"/>
                            <w:hideMark/>
                          </w:tcPr>
                          <w:p w14:paraId="49DA73A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-47</w:t>
                            </w:r>
                          </w:p>
                        </w:tc>
                        <w:tc>
                          <w:tcPr>
                            <w:tcW w:w="720" w:type="dxa"/>
                            <w:tcBorders>
                              <w:top w:val="single" w:sz="4" w:space="0" w:color="ADD6EA"/>
                              <w:left w:val="nil"/>
                              <w:bottom w:val="nil"/>
                              <w:right w:val="nil"/>
                            </w:tcBorders>
                            <w:shd w:val="clear" w:color="000000" w:fill="FFFFFF"/>
                            <w:vAlign w:val="center"/>
                            <w:hideMark/>
                          </w:tcPr>
                          <w:p w14:paraId="5C94495A"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669</w:t>
                            </w:r>
                          </w:p>
                        </w:tc>
                      </w:tr>
                      <w:tr w:rsidR="00C7229E" w:rsidRPr="00C7229E" w14:paraId="74597E6E" w14:textId="77777777" w:rsidTr="00C7229E">
                        <w:trPr>
                          <w:trHeight w:val="555"/>
                        </w:trPr>
                        <w:tc>
                          <w:tcPr>
                            <w:tcW w:w="2460" w:type="dxa"/>
                            <w:tcBorders>
                              <w:top w:val="single" w:sz="4" w:space="0" w:color="ADD6EA"/>
                              <w:left w:val="nil"/>
                              <w:bottom w:val="nil"/>
                              <w:right w:val="nil"/>
                            </w:tcBorders>
                            <w:shd w:val="clear" w:color="000000" w:fill="FFFFFF"/>
                            <w:vAlign w:val="center"/>
                            <w:hideMark/>
                          </w:tcPr>
                          <w:p w14:paraId="7E897FC6"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Data revisions - Natural disaster relief</w:t>
                            </w:r>
                          </w:p>
                        </w:tc>
                        <w:tc>
                          <w:tcPr>
                            <w:tcW w:w="720" w:type="dxa"/>
                            <w:tcBorders>
                              <w:top w:val="single" w:sz="4" w:space="0" w:color="ADD6EA"/>
                              <w:left w:val="nil"/>
                              <w:bottom w:val="nil"/>
                              <w:right w:val="nil"/>
                            </w:tcBorders>
                            <w:shd w:val="clear" w:color="000000" w:fill="FFFFFF"/>
                            <w:vAlign w:val="center"/>
                            <w:hideMark/>
                          </w:tcPr>
                          <w:p w14:paraId="7BF7C71D"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611</w:t>
                            </w:r>
                          </w:p>
                        </w:tc>
                        <w:tc>
                          <w:tcPr>
                            <w:tcW w:w="720" w:type="dxa"/>
                            <w:tcBorders>
                              <w:top w:val="single" w:sz="4" w:space="0" w:color="ADD6EA"/>
                              <w:left w:val="nil"/>
                              <w:bottom w:val="nil"/>
                              <w:right w:val="nil"/>
                            </w:tcBorders>
                            <w:shd w:val="clear" w:color="000000" w:fill="FFFFFF"/>
                            <w:vAlign w:val="center"/>
                            <w:hideMark/>
                          </w:tcPr>
                          <w:p w14:paraId="6B9E8AD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-292</w:t>
                            </w:r>
                          </w:p>
                        </w:tc>
                        <w:tc>
                          <w:tcPr>
                            <w:tcW w:w="720" w:type="dxa"/>
                            <w:tcBorders>
                              <w:top w:val="single" w:sz="4" w:space="0" w:color="ADD6EA"/>
                              <w:left w:val="nil"/>
                              <w:bottom w:val="nil"/>
                              <w:right w:val="nil"/>
                            </w:tcBorders>
                            <w:shd w:val="clear" w:color="000000" w:fill="FFFFFF"/>
                            <w:vAlign w:val="center"/>
                            <w:hideMark/>
                          </w:tcPr>
                          <w:p w14:paraId="3C42065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-175</w:t>
                            </w:r>
                          </w:p>
                        </w:tc>
                        <w:tc>
                          <w:tcPr>
                            <w:tcW w:w="720" w:type="dxa"/>
                            <w:tcBorders>
                              <w:top w:val="single" w:sz="4" w:space="0" w:color="ADD6EA"/>
                              <w:left w:val="nil"/>
                              <w:bottom w:val="nil"/>
                              <w:right w:val="nil"/>
                            </w:tcBorders>
                            <w:shd w:val="clear" w:color="000000" w:fill="FFFFFF"/>
                            <w:vAlign w:val="center"/>
                            <w:hideMark/>
                          </w:tcPr>
                          <w:p w14:paraId="4BFA3183"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24</w:t>
                            </w:r>
                          </w:p>
                        </w:tc>
                        <w:tc>
                          <w:tcPr>
                            <w:tcW w:w="720" w:type="dxa"/>
                            <w:tcBorders>
                              <w:top w:val="single" w:sz="4" w:space="0" w:color="ADD6EA"/>
                              <w:left w:val="nil"/>
                              <w:bottom w:val="nil"/>
                              <w:right w:val="nil"/>
                            </w:tcBorders>
                            <w:shd w:val="clear" w:color="000000" w:fill="FFFFFF"/>
                            <w:vAlign w:val="center"/>
                            <w:hideMark/>
                          </w:tcPr>
                          <w:p w14:paraId="584A5CB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-114</w:t>
                            </w:r>
                          </w:p>
                        </w:tc>
                        <w:tc>
                          <w:tcPr>
                            <w:tcW w:w="720" w:type="dxa"/>
                            <w:tcBorders>
                              <w:top w:val="single" w:sz="4" w:space="0" w:color="ADD6EA"/>
                              <w:left w:val="nil"/>
                              <w:bottom w:val="nil"/>
                              <w:right w:val="nil"/>
                            </w:tcBorders>
                            <w:shd w:val="clear" w:color="000000" w:fill="FFFFFF"/>
                            <w:vAlign w:val="center"/>
                            <w:hideMark/>
                          </w:tcPr>
                          <w:p w14:paraId="37D4729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-26</w:t>
                            </w:r>
                          </w:p>
                        </w:tc>
                        <w:tc>
                          <w:tcPr>
                            <w:tcW w:w="720" w:type="dxa"/>
                            <w:tcBorders>
                              <w:top w:val="single" w:sz="4" w:space="0" w:color="ADD6EA"/>
                              <w:left w:val="nil"/>
                              <w:bottom w:val="nil"/>
                              <w:right w:val="nil"/>
                            </w:tcBorders>
                            <w:shd w:val="clear" w:color="000000" w:fill="FFFFFF"/>
                            <w:vAlign w:val="center"/>
                            <w:hideMark/>
                          </w:tcPr>
                          <w:p w14:paraId="6C3CB99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-21</w:t>
                            </w:r>
                          </w:p>
                        </w:tc>
                        <w:tc>
                          <w:tcPr>
                            <w:tcW w:w="720" w:type="dxa"/>
                            <w:tcBorders>
                              <w:top w:val="single" w:sz="4" w:space="0" w:color="ADD6EA"/>
                              <w:left w:val="nil"/>
                              <w:bottom w:val="nil"/>
                              <w:right w:val="nil"/>
                            </w:tcBorders>
                            <w:shd w:val="clear" w:color="000000" w:fill="FFFFFF"/>
                            <w:vAlign w:val="center"/>
                            <w:hideMark/>
                          </w:tcPr>
                          <w:p w14:paraId="70A97CB2"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-8</w:t>
                            </w:r>
                          </w:p>
                        </w:tc>
                        <w:tc>
                          <w:tcPr>
                            <w:tcW w:w="720" w:type="dxa"/>
                            <w:tcBorders>
                              <w:top w:val="single" w:sz="4" w:space="0" w:color="ADD6EA"/>
                              <w:left w:val="nil"/>
                              <w:bottom w:val="nil"/>
                              <w:right w:val="nil"/>
                            </w:tcBorders>
                            <w:shd w:val="clear" w:color="000000" w:fill="FFFFFF"/>
                            <w:vAlign w:val="center"/>
                            <w:hideMark/>
                          </w:tcPr>
                          <w:p w14:paraId="3121AF9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636</w:t>
                            </w:r>
                          </w:p>
                        </w:tc>
                      </w:tr>
                      <w:tr w:rsidR="00C7229E" w:rsidRPr="00C7229E" w14:paraId="2AE011D1" w14:textId="77777777" w:rsidTr="00C7229E">
                        <w:trPr>
                          <w:trHeight w:val="315"/>
                        </w:trPr>
                        <w:tc>
                          <w:tcPr>
                            <w:tcW w:w="2460" w:type="dxa"/>
                            <w:tcBorders>
                              <w:top w:val="single" w:sz="4" w:space="0" w:color="ADD6EA"/>
                              <w:left w:val="nil"/>
                              <w:bottom w:val="nil"/>
                              <w:right w:val="nil"/>
                            </w:tcBorders>
                            <w:shd w:val="clear" w:color="000000" w:fill="FFFFFF"/>
                            <w:vAlign w:val="center"/>
                            <w:hideMark/>
                          </w:tcPr>
                          <w:p w14:paraId="28542E9C"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Other method changes</w:t>
                            </w:r>
                          </w:p>
                        </w:tc>
                        <w:tc>
                          <w:tcPr>
                            <w:tcW w:w="720" w:type="dxa"/>
                            <w:tcBorders>
                              <w:top w:val="single" w:sz="4" w:space="0" w:color="ADD6EA"/>
                              <w:left w:val="nil"/>
                              <w:bottom w:val="nil"/>
                              <w:right w:val="nil"/>
                            </w:tcBorders>
                            <w:shd w:val="clear" w:color="000000" w:fill="FFFFFF"/>
                            <w:vAlign w:val="center"/>
                            <w:hideMark/>
                          </w:tcPr>
                          <w:p w14:paraId="408CD8D5"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-145</w:t>
                            </w:r>
                          </w:p>
                        </w:tc>
                        <w:tc>
                          <w:tcPr>
                            <w:tcW w:w="720" w:type="dxa"/>
                            <w:tcBorders>
                              <w:top w:val="single" w:sz="4" w:space="0" w:color="ADD6EA"/>
                              <w:left w:val="nil"/>
                              <w:bottom w:val="nil"/>
                              <w:right w:val="nil"/>
                            </w:tcBorders>
                            <w:shd w:val="clear" w:color="000000" w:fill="FFFFFF"/>
                            <w:vAlign w:val="center"/>
                            <w:hideMark/>
                          </w:tcPr>
                          <w:p w14:paraId="76674C20"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-176</w:t>
                            </w:r>
                          </w:p>
                        </w:tc>
                        <w:tc>
                          <w:tcPr>
                            <w:tcW w:w="720" w:type="dxa"/>
                            <w:tcBorders>
                              <w:top w:val="single" w:sz="4" w:space="0" w:color="ADD6EA"/>
                              <w:left w:val="nil"/>
                              <w:bottom w:val="nil"/>
                              <w:right w:val="nil"/>
                            </w:tcBorders>
                            <w:shd w:val="clear" w:color="000000" w:fill="FFFFFF"/>
                            <w:vAlign w:val="center"/>
                            <w:hideMark/>
                          </w:tcPr>
                          <w:p w14:paraId="73E0654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-255</w:t>
                            </w:r>
                          </w:p>
                        </w:tc>
                        <w:tc>
                          <w:tcPr>
                            <w:tcW w:w="720" w:type="dxa"/>
                            <w:tcBorders>
                              <w:top w:val="single" w:sz="4" w:space="0" w:color="ADD6EA"/>
                              <w:left w:val="nil"/>
                              <w:bottom w:val="nil"/>
                              <w:right w:val="nil"/>
                            </w:tcBorders>
                            <w:shd w:val="clear" w:color="000000" w:fill="FFFFFF"/>
                            <w:vAlign w:val="center"/>
                            <w:hideMark/>
                          </w:tcPr>
                          <w:p w14:paraId="029A462A"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295</w:t>
                            </w:r>
                          </w:p>
                        </w:tc>
                        <w:tc>
                          <w:tcPr>
                            <w:tcW w:w="720" w:type="dxa"/>
                            <w:tcBorders>
                              <w:top w:val="single" w:sz="4" w:space="0" w:color="ADD6EA"/>
                              <w:left w:val="nil"/>
                              <w:bottom w:val="nil"/>
                              <w:right w:val="nil"/>
                            </w:tcBorders>
                            <w:shd w:val="clear" w:color="000000" w:fill="FFFFFF"/>
                            <w:vAlign w:val="center"/>
                            <w:hideMark/>
                          </w:tcPr>
                          <w:p w14:paraId="738265FD"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124</w:t>
                            </w:r>
                          </w:p>
                        </w:tc>
                        <w:tc>
                          <w:tcPr>
                            <w:tcW w:w="720" w:type="dxa"/>
                            <w:tcBorders>
                              <w:top w:val="single" w:sz="4" w:space="0" w:color="ADD6EA"/>
                              <w:left w:val="nil"/>
                              <w:bottom w:val="nil"/>
                              <w:right w:val="nil"/>
                            </w:tcBorders>
                            <w:shd w:val="clear" w:color="000000" w:fill="FFFFFF"/>
                            <w:vAlign w:val="center"/>
                            <w:hideMark/>
                          </w:tcPr>
                          <w:p w14:paraId="6C8F859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57</w:t>
                            </w:r>
                          </w:p>
                        </w:tc>
                        <w:tc>
                          <w:tcPr>
                            <w:tcW w:w="720" w:type="dxa"/>
                            <w:tcBorders>
                              <w:top w:val="single" w:sz="4" w:space="0" w:color="ADD6EA"/>
                              <w:left w:val="nil"/>
                              <w:bottom w:val="nil"/>
                              <w:right w:val="nil"/>
                            </w:tcBorders>
                            <w:shd w:val="clear" w:color="000000" w:fill="FFFFFF"/>
                            <w:vAlign w:val="center"/>
                            <w:hideMark/>
                          </w:tcPr>
                          <w:p w14:paraId="5905956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14</w:t>
                            </w:r>
                          </w:p>
                        </w:tc>
                        <w:tc>
                          <w:tcPr>
                            <w:tcW w:w="720" w:type="dxa"/>
                            <w:tcBorders>
                              <w:top w:val="single" w:sz="4" w:space="0" w:color="ADD6EA"/>
                              <w:left w:val="nil"/>
                              <w:bottom w:val="nil"/>
                              <w:right w:val="nil"/>
                            </w:tcBorders>
                            <w:shd w:val="clear" w:color="000000" w:fill="FFFFFF"/>
                            <w:vAlign w:val="center"/>
                            <w:hideMark/>
                          </w:tcPr>
                          <w:p w14:paraId="4641614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87</w:t>
                            </w:r>
                          </w:p>
                        </w:tc>
                        <w:tc>
                          <w:tcPr>
                            <w:tcW w:w="720" w:type="dxa"/>
                            <w:tcBorders>
                              <w:top w:val="single" w:sz="4" w:space="0" w:color="ADD6EA"/>
                              <w:left w:val="nil"/>
                              <w:bottom w:val="nil"/>
                              <w:right w:val="nil"/>
                            </w:tcBorders>
                            <w:shd w:val="clear" w:color="000000" w:fill="FFFFFF"/>
                            <w:vAlign w:val="center"/>
                            <w:hideMark/>
                          </w:tcPr>
                          <w:p w14:paraId="553D472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576</w:t>
                            </w:r>
                          </w:p>
                        </w:tc>
                      </w:tr>
                      <w:tr w:rsidR="00C7229E" w:rsidRPr="00C7229E" w14:paraId="050D88B7" w14:textId="77777777" w:rsidTr="00C7229E">
                        <w:trPr>
                          <w:trHeight w:val="315"/>
                        </w:trPr>
                        <w:tc>
                          <w:tcPr>
                            <w:tcW w:w="2460" w:type="dxa"/>
                            <w:tcBorders>
                              <w:top w:val="single" w:sz="4" w:space="0" w:color="ADD6EA"/>
                              <w:left w:val="nil"/>
                              <w:bottom w:val="nil"/>
                              <w:right w:val="nil"/>
                            </w:tcBorders>
                            <w:shd w:val="clear" w:color="000000" w:fill="FFFFFF"/>
                            <w:vAlign w:val="center"/>
                            <w:hideMark/>
                          </w:tcPr>
                          <w:p w14:paraId="7118468E"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Other revisions</w:t>
                            </w:r>
                          </w:p>
                        </w:tc>
                        <w:tc>
                          <w:tcPr>
                            <w:tcW w:w="720" w:type="dxa"/>
                            <w:tcBorders>
                              <w:top w:val="single" w:sz="4" w:space="0" w:color="ADD6EA"/>
                              <w:left w:val="nil"/>
                              <w:bottom w:val="nil"/>
                              <w:right w:val="nil"/>
                            </w:tcBorders>
                            <w:shd w:val="clear" w:color="000000" w:fill="FFFFFF"/>
                            <w:vAlign w:val="center"/>
                            <w:hideMark/>
                          </w:tcPr>
                          <w:p w14:paraId="4B57A84D"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117</w:t>
                            </w:r>
                          </w:p>
                        </w:tc>
                        <w:tc>
                          <w:tcPr>
                            <w:tcW w:w="720" w:type="dxa"/>
                            <w:tcBorders>
                              <w:top w:val="single" w:sz="4" w:space="0" w:color="ADD6EA"/>
                              <w:left w:val="nil"/>
                              <w:bottom w:val="nil"/>
                              <w:right w:val="nil"/>
                            </w:tcBorders>
                            <w:shd w:val="clear" w:color="000000" w:fill="FFFFFF"/>
                            <w:vAlign w:val="center"/>
                            <w:hideMark/>
                          </w:tcPr>
                          <w:p w14:paraId="7CE06F6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-50</w:t>
                            </w:r>
                          </w:p>
                        </w:tc>
                        <w:tc>
                          <w:tcPr>
                            <w:tcW w:w="720" w:type="dxa"/>
                            <w:tcBorders>
                              <w:top w:val="single" w:sz="4" w:space="0" w:color="ADD6EA"/>
                              <w:left w:val="nil"/>
                              <w:bottom w:val="nil"/>
                              <w:right w:val="nil"/>
                            </w:tcBorders>
                            <w:shd w:val="clear" w:color="000000" w:fill="FFFFFF"/>
                            <w:vAlign w:val="center"/>
                            <w:hideMark/>
                          </w:tcPr>
                          <w:p w14:paraId="491ED60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78</w:t>
                            </w:r>
                          </w:p>
                        </w:tc>
                        <w:tc>
                          <w:tcPr>
                            <w:tcW w:w="720" w:type="dxa"/>
                            <w:tcBorders>
                              <w:top w:val="single" w:sz="4" w:space="0" w:color="ADD6EA"/>
                              <w:left w:val="nil"/>
                              <w:bottom w:val="nil"/>
                              <w:right w:val="nil"/>
                            </w:tcBorders>
                            <w:shd w:val="clear" w:color="000000" w:fill="FFFFFF"/>
                            <w:vAlign w:val="center"/>
                            <w:hideMark/>
                          </w:tcPr>
                          <w:p w14:paraId="3F059E1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-105</w:t>
                            </w:r>
                          </w:p>
                        </w:tc>
                        <w:tc>
                          <w:tcPr>
                            <w:tcW w:w="720" w:type="dxa"/>
                            <w:tcBorders>
                              <w:top w:val="single" w:sz="4" w:space="0" w:color="ADD6EA"/>
                              <w:left w:val="nil"/>
                              <w:bottom w:val="nil"/>
                              <w:right w:val="nil"/>
                            </w:tcBorders>
                            <w:shd w:val="clear" w:color="000000" w:fill="FFFFFF"/>
                            <w:vAlign w:val="center"/>
                            <w:hideMark/>
                          </w:tcPr>
                          <w:p w14:paraId="558EA023"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w:t>
                            </w:r>
                          </w:p>
                        </w:tc>
                        <w:tc>
                          <w:tcPr>
                            <w:tcW w:w="720" w:type="dxa"/>
                            <w:tcBorders>
                              <w:top w:val="single" w:sz="4" w:space="0" w:color="ADD6EA"/>
                              <w:left w:val="nil"/>
                              <w:bottom w:val="nil"/>
                              <w:right w:val="nil"/>
                            </w:tcBorders>
                            <w:shd w:val="clear" w:color="000000" w:fill="FFFFFF"/>
                            <w:vAlign w:val="center"/>
                            <w:hideMark/>
                          </w:tcPr>
                          <w:p w14:paraId="5BA23901"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-9</w:t>
                            </w:r>
                          </w:p>
                        </w:tc>
                        <w:tc>
                          <w:tcPr>
                            <w:tcW w:w="720" w:type="dxa"/>
                            <w:tcBorders>
                              <w:top w:val="single" w:sz="4" w:space="0" w:color="ADD6EA"/>
                              <w:left w:val="nil"/>
                              <w:bottom w:val="nil"/>
                              <w:right w:val="nil"/>
                            </w:tcBorders>
                            <w:shd w:val="clear" w:color="000000" w:fill="FFFFFF"/>
                            <w:vAlign w:val="center"/>
                            <w:hideMark/>
                          </w:tcPr>
                          <w:p w14:paraId="7971B07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-21</w:t>
                            </w:r>
                          </w:p>
                        </w:tc>
                        <w:tc>
                          <w:tcPr>
                            <w:tcW w:w="720" w:type="dxa"/>
                            <w:tcBorders>
                              <w:top w:val="single" w:sz="4" w:space="0" w:color="ADD6EA"/>
                              <w:left w:val="nil"/>
                              <w:bottom w:val="nil"/>
                              <w:right w:val="nil"/>
                            </w:tcBorders>
                            <w:shd w:val="clear" w:color="000000" w:fill="FFFFFF"/>
                            <w:vAlign w:val="center"/>
                            <w:hideMark/>
                          </w:tcPr>
                          <w:p w14:paraId="198C45B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-7</w:t>
                            </w:r>
                          </w:p>
                        </w:tc>
                        <w:tc>
                          <w:tcPr>
                            <w:tcW w:w="720" w:type="dxa"/>
                            <w:tcBorders>
                              <w:top w:val="single" w:sz="4" w:space="0" w:color="ADD6EA"/>
                              <w:left w:val="nil"/>
                              <w:bottom w:val="nil"/>
                              <w:right w:val="nil"/>
                            </w:tcBorders>
                            <w:shd w:val="clear" w:color="000000" w:fill="FFFFFF"/>
                            <w:vAlign w:val="center"/>
                            <w:hideMark/>
                          </w:tcPr>
                          <w:p w14:paraId="355B27A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194</w:t>
                            </w:r>
                          </w:p>
                        </w:tc>
                      </w:tr>
                      <w:tr w:rsidR="00C7229E" w:rsidRPr="00C7229E" w14:paraId="58238C4B" w14:textId="77777777" w:rsidTr="00C7229E">
                        <w:trPr>
                          <w:trHeight w:val="555"/>
                        </w:trPr>
                        <w:tc>
                          <w:tcPr>
                            <w:tcW w:w="2460" w:type="dxa"/>
                            <w:tcBorders>
                              <w:top w:val="single" w:sz="4" w:space="0" w:color="ADD6EA"/>
                              <w:left w:val="nil"/>
                              <w:bottom w:val="nil"/>
                              <w:right w:val="nil"/>
                            </w:tcBorders>
                            <w:shd w:val="clear" w:color="000000" w:fill="FFFFFF"/>
                            <w:vAlign w:val="center"/>
                            <w:hideMark/>
                          </w:tcPr>
                          <w:p w14:paraId="734293CB"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Other changes in circumstances</w:t>
                            </w:r>
                          </w:p>
                        </w:tc>
                        <w:tc>
                          <w:tcPr>
                            <w:tcW w:w="720" w:type="dxa"/>
                            <w:tcBorders>
                              <w:top w:val="single" w:sz="4" w:space="0" w:color="ADD6EA"/>
                              <w:left w:val="nil"/>
                              <w:bottom w:val="nil"/>
                              <w:right w:val="nil"/>
                            </w:tcBorders>
                            <w:shd w:val="clear" w:color="000000" w:fill="FFFFFF"/>
                            <w:vAlign w:val="center"/>
                            <w:hideMark/>
                          </w:tcPr>
                          <w:p w14:paraId="5C2CBF3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-621</w:t>
                            </w:r>
                          </w:p>
                        </w:tc>
                        <w:tc>
                          <w:tcPr>
                            <w:tcW w:w="720" w:type="dxa"/>
                            <w:tcBorders>
                              <w:top w:val="single" w:sz="4" w:space="0" w:color="ADD6EA"/>
                              <w:left w:val="nil"/>
                              <w:bottom w:val="nil"/>
                              <w:right w:val="nil"/>
                            </w:tcBorders>
                            <w:shd w:val="clear" w:color="000000" w:fill="FFFFFF"/>
                            <w:vAlign w:val="center"/>
                            <w:hideMark/>
                          </w:tcPr>
                          <w:p w14:paraId="3BB187F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234</w:t>
                            </w:r>
                          </w:p>
                        </w:tc>
                        <w:tc>
                          <w:tcPr>
                            <w:tcW w:w="720" w:type="dxa"/>
                            <w:tcBorders>
                              <w:top w:val="single" w:sz="4" w:space="0" w:color="ADD6EA"/>
                              <w:left w:val="nil"/>
                              <w:bottom w:val="nil"/>
                              <w:right w:val="nil"/>
                            </w:tcBorders>
                            <w:shd w:val="clear" w:color="000000" w:fill="FFFFFF"/>
                            <w:vAlign w:val="center"/>
                            <w:hideMark/>
                          </w:tcPr>
                          <w:p w14:paraId="24B9CB6D"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437</w:t>
                            </w:r>
                          </w:p>
                        </w:tc>
                        <w:tc>
                          <w:tcPr>
                            <w:tcW w:w="720" w:type="dxa"/>
                            <w:tcBorders>
                              <w:top w:val="single" w:sz="4" w:space="0" w:color="ADD6EA"/>
                              <w:left w:val="nil"/>
                              <w:bottom w:val="nil"/>
                              <w:right w:val="nil"/>
                            </w:tcBorders>
                            <w:shd w:val="clear" w:color="000000" w:fill="FFFFFF"/>
                            <w:vAlign w:val="center"/>
                            <w:hideMark/>
                          </w:tcPr>
                          <w:p w14:paraId="06BDCD0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-56</w:t>
                            </w:r>
                          </w:p>
                        </w:tc>
                        <w:tc>
                          <w:tcPr>
                            <w:tcW w:w="720" w:type="dxa"/>
                            <w:tcBorders>
                              <w:top w:val="single" w:sz="4" w:space="0" w:color="ADD6EA"/>
                              <w:left w:val="nil"/>
                              <w:bottom w:val="nil"/>
                              <w:right w:val="nil"/>
                            </w:tcBorders>
                            <w:shd w:val="clear" w:color="000000" w:fill="FFFFFF"/>
                            <w:vAlign w:val="center"/>
                            <w:hideMark/>
                          </w:tcPr>
                          <w:p w14:paraId="3A6F0A0A"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32</w:t>
                            </w:r>
                          </w:p>
                        </w:tc>
                        <w:tc>
                          <w:tcPr>
                            <w:tcW w:w="720" w:type="dxa"/>
                            <w:tcBorders>
                              <w:top w:val="single" w:sz="4" w:space="0" w:color="ADD6EA"/>
                              <w:left w:val="nil"/>
                              <w:bottom w:val="nil"/>
                              <w:right w:val="nil"/>
                            </w:tcBorders>
                            <w:shd w:val="clear" w:color="000000" w:fill="FFFFFF"/>
                            <w:vAlign w:val="center"/>
                            <w:hideMark/>
                          </w:tcPr>
                          <w:p w14:paraId="50E0F793"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12</w:t>
                            </w:r>
                          </w:p>
                        </w:tc>
                        <w:tc>
                          <w:tcPr>
                            <w:tcW w:w="720" w:type="dxa"/>
                            <w:tcBorders>
                              <w:top w:val="single" w:sz="4" w:space="0" w:color="ADD6EA"/>
                              <w:left w:val="nil"/>
                              <w:bottom w:val="nil"/>
                              <w:right w:val="nil"/>
                            </w:tcBorders>
                            <w:shd w:val="clear" w:color="000000" w:fill="FFFFFF"/>
                            <w:vAlign w:val="center"/>
                            <w:hideMark/>
                          </w:tcPr>
                          <w:p w14:paraId="6186A95A"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-90</w:t>
                            </w:r>
                          </w:p>
                        </w:tc>
                        <w:tc>
                          <w:tcPr>
                            <w:tcW w:w="720" w:type="dxa"/>
                            <w:tcBorders>
                              <w:top w:val="single" w:sz="4" w:space="0" w:color="ADD6EA"/>
                              <w:left w:val="nil"/>
                              <w:bottom w:val="nil"/>
                              <w:right w:val="nil"/>
                            </w:tcBorders>
                            <w:shd w:val="clear" w:color="000000" w:fill="FFFFFF"/>
                            <w:vAlign w:val="center"/>
                            <w:hideMark/>
                          </w:tcPr>
                          <w:p w14:paraId="061BD191"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51</w:t>
                            </w:r>
                          </w:p>
                        </w:tc>
                        <w:tc>
                          <w:tcPr>
                            <w:tcW w:w="720" w:type="dxa"/>
                            <w:tcBorders>
                              <w:top w:val="single" w:sz="4" w:space="0" w:color="ADD6EA"/>
                              <w:left w:val="nil"/>
                              <w:bottom w:val="nil"/>
                              <w:right w:val="nil"/>
                            </w:tcBorders>
                            <w:shd w:val="clear" w:color="000000" w:fill="FFFFFF"/>
                            <w:vAlign w:val="center"/>
                            <w:hideMark/>
                          </w:tcPr>
                          <w:p w14:paraId="7443626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767</w:t>
                            </w:r>
                          </w:p>
                        </w:tc>
                      </w:tr>
                      <w:tr w:rsidR="00C7229E" w:rsidRPr="00C7229E" w14:paraId="47E71394" w14:textId="77777777" w:rsidTr="00C7229E">
                        <w:trPr>
                          <w:trHeight w:val="555"/>
                        </w:trPr>
                        <w:tc>
                          <w:tcPr>
                            <w:tcW w:w="2460" w:type="dxa"/>
                            <w:tcBorders>
                              <w:top w:val="single" w:sz="4" w:space="0" w:color="ADD6EA"/>
                              <w:left w:val="nil"/>
                              <w:bottom w:val="single" w:sz="4" w:space="0" w:color="ADD6EA"/>
                              <w:right w:val="nil"/>
                            </w:tcBorders>
                            <w:shd w:val="clear" w:color="000000" w:fill="D6E7F0"/>
                            <w:vAlign w:val="center"/>
                            <w:hideMark/>
                          </w:tcPr>
                          <w:p w14:paraId="66CA08F6" w14:textId="77777777" w:rsidR="00C7229E" w:rsidRPr="00C7229E" w:rsidRDefault="00C7229E" w:rsidP="00C7229E">
                            <w:pPr>
                              <w:tabs>
                                <w:tab w:val="clear" w:pos="567"/>
                              </w:tabs>
                              <w:spacing w:before="0" w:line="240" w:lineRule="auto"/>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Total change in fiscal capacities</w:t>
                            </w:r>
                          </w:p>
                        </w:tc>
                        <w:tc>
                          <w:tcPr>
                            <w:tcW w:w="720" w:type="dxa"/>
                            <w:tcBorders>
                              <w:top w:val="single" w:sz="4" w:space="0" w:color="ADD6EA"/>
                              <w:left w:val="nil"/>
                              <w:bottom w:val="single" w:sz="4" w:space="0" w:color="ADD6EA"/>
                              <w:right w:val="nil"/>
                            </w:tcBorders>
                            <w:shd w:val="clear" w:color="000000" w:fill="D6E7F0"/>
                            <w:noWrap/>
                            <w:vAlign w:val="center"/>
                            <w:hideMark/>
                          </w:tcPr>
                          <w:p w14:paraId="6FC6BEE6"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0</w:t>
                            </w:r>
                          </w:p>
                        </w:tc>
                        <w:tc>
                          <w:tcPr>
                            <w:tcW w:w="720" w:type="dxa"/>
                            <w:tcBorders>
                              <w:top w:val="single" w:sz="4" w:space="0" w:color="ADD6EA"/>
                              <w:left w:val="nil"/>
                              <w:bottom w:val="single" w:sz="4" w:space="0" w:color="ADD6EA"/>
                              <w:right w:val="nil"/>
                            </w:tcBorders>
                            <w:shd w:val="clear" w:color="000000" w:fill="D6E7F0"/>
                            <w:noWrap/>
                            <w:vAlign w:val="center"/>
                            <w:hideMark/>
                          </w:tcPr>
                          <w:p w14:paraId="36966F39"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2,675</w:t>
                            </w:r>
                          </w:p>
                        </w:tc>
                        <w:tc>
                          <w:tcPr>
                            <w:tcW w:w="720" w:type="dxa"/>
                            <w:tcBorders>
                              <w:top w:val="single" w:sz="4" w:space="0" w:color="ADD6EA"/>
                              <w:left w:val="nil"/>
                              <w:bottom w:val="single" w:sz="4" w:space="0" w:color="ADD6EA"/>
                              <w:right w:val="nil"/>
                            </w:tcBorders>
                            <w:shd w:val="clear" w:color="000000" w:fill="D6E7F0"/>
                            <w:noWrap/>
                            <w:vAlign w:val="center"/>
                            <w:hideMark/>
                          </w:tcPr>
                          <w:p w14:paraId="4435A650"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-3,391</w:t>
                            </w:r>
                          </w:p>
                        </w:tc>
                        <w:tc>
                          <w:tcPr>
                            <w:tcW w:w="720" w:type="dxa"/>
                            <w:tcBorders>
                              <w:top w:val="single" w:sz="4" w:space="0" w:color="ADD6EA"/>
                              <w:left w:val="nil"/>
                              <w:bottom w:val="single" w:sz="4" w:space="0" w:color="ADD6EA"/>
                              <w:right w:val="nil"/>
                            </w:tcBorders>
                            <w:shd w:val="clear" w:color="000000" w:fill="D6E7F0"/>
                            <w:noWrap/>
                            <w:vAlign w:val="center"/>
                            <w:hideMark/>
                          </w:tcPr>
                          <w:p w14:paraId="593A2546"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706</w:t>
                            </w:r>
                          </w:p>
                        </w:tc>
                        <w:tc>
                          <w:tcPr>
                            <w:tcW w:w="720" w:type="dxa"/>
                            <w:tcBorders>
                              <w:top w:val="single" w:sz="4" w:space="0" w:color="ADD6EA"/>
                              <w:left w:val="nil"/>
                              <w:bottom w:val="single" w:sz="4" w:space="0" w:color="ADD6EA"/>
                              <w:right w:val="nil"/>
                            </w:tcBorders>
                            <w:shd w:val="clear" w:color="000000" w:fill="D6E7F0"/>
                            <w:noWrap/>
                            <w:vAlign w:val="center"/>
                            <w:hideMark/>
                          </w:tcPr>
                          <w:p w14:paraId="26B4E2F2"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-55</w:t>
                            </w:r>
                          </w:p>
                        </w:tc>
                        <w:tc>
                          <w:tcPr>
                            <w:tcW w:w="720" w:type="dxa"/>
                            <w:tcBorders>
                              <w:top w:val="single" w:sz="4" w:space="0" w:color="ADD6EA"/>
                              <w:left w:val="nil"/>
                              <w:bottom w:val="single" w:sz="4" w:space="0" w:color="ADD6EA"/>
                              <w:right w:val="nil"/>
                            </w:tcBorders>
                            <w:shd w:val="clear" w:color="000000" w:fill="D6E7F0"/>
                            <w:noWrap/>
                            <w:vAlign w:val="center"/>
                            <w:hideMark/>
                          </w:tcPr>
                          <w:p w14:paraId="047322B4"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34</w:t>
                            </w:r>
                          </w:p>
                        </w:tc>
                        <w:tc>
                          <w:tcPr>
                            <w:tcW w:w="720" w:type="dxa"/>
                            <w:tcBorders>
                              <w:top w:val="single" w:sz="4" w:space="0" w:color="ADD6EA"/>
                              <w:left w:val="nil"/>
                              <w:bottom w:val="single" w:sz="4" w:space="0" w:color="ADD6EA"/>
                              <w:right w:val="nil"/>
                            </w:tcBorders>
                            <w:shd w:val="clear" w:color="000000" w:fill="D6E7F0"/>
                            <w:noWrap/>
                            <w:vAlign w:val="center"/>
                            <w:hideMark/>
                          </w:tcPr>
                          <w:p w14:paraId="5006FD20"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-42</w:t>
                            </w:r>
                          </w:p>
                        </w:tc>
                        <w:tc>
                          <w:tcPr>
                            <w:tcW w:w="720" w:type="dxa"/>
                            <w:tcBorders>
                              <w:top w:val="single" w:sz="4" w:space="0" w:color="ADD6EA"/>
                              <w:left w:val="nil"/>
                              <w:bottom w:val="single" w:sz="4" w:space="0" w:color="ADD6EA"/>
                              <w:right w:val="nil"/>
                            </w:tcBorders>
                            <w:shd w:val="clear" w:color="000000" w:fill="D6E7F0"/>
                            <w:noWrap/>
                            <w:vAlign w:val="center"/>
                            <w:hideMark/>
                          </w:tcPr>
                          <w:p w14:paraId="37299522"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73</w:t>
                            </w:r>
                          </w:p>
                        </w:tc>
                        <w:tc>
                          <w:tcPr>
                            <w:tcW w:w="720" w:type="dxa"/>
                            <w:tcBorders>
                              <w:top w:val="single" w:sz="4" w:space="0" w:color="ADD6EA"/>
                              <w:left w:val="nil"/>
                              <w:bottom w:val="single" w:sz="4" w:space="0" w:color="ADD6EA"/>
                              <w:right w:val="nil"/>
                            </w:tcBorders>
                            <w:shd w:val="clear" w:color="000000" w:fill="D6E7F0"/>
                            <w:noWrap/>
                            <w:vAlign w:val="center"/>
                            <w:hideMark/>
                          </w:tcPr>
                          <w:p w14:paraId="514B1164"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3,488</w:t>
                            </w:r>
                          </w:p>
                        </w:tc>
                      </w:tr>
                      <w:tr w:rsidR="00C7229E" w:rsidRPr="00C7229E" w14:paraId="28BF5CF5" w14:textId="77777777" w:rsidTr="00C7229E">
                        <w:trPr>
                          <w:trHeight w:val="555"/>
                        </w:trPr>
                        <w:tc>
                          <w:tcPr>
                            <w:tcW w:w="2460" w:type="dxa"/>
                            <w:tcBorders>
                              <w:top w:val="nil"/>
                              <w:left w:val="nil"/>
                              <w:bottom w:val="nil"/>
                              <w:right w:val="nil"/>
                            </w:tcBorders>
                            <w:shd w:val="clear" w:color="000000" w:fill="FFFFFF"/>
                            <w:vAlign w:val="center"/>
                            <w:hideMark/>
                          </w:tcPr>
                          <w:p w14:paraId="06E6DDF9"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Effect of GST floor and blended relativities</w:t>
                            </w:r>
                          </w:p>
                        </w:tc>
                        <w:tc>
                          <w:tcPr>
                            <w:tcW w:w="720" w:type="dxa"/>
                            <w:tcBorders>
                              <w:top w:val="nil"/>
                              <w:left w:val="nil"/>
                              <w:bottom w:val="nil"/>
                              <w:right w:val="nil"/>
                            </w:tcBorders>
                            <w:shd w:val="clear" w:color="000000" w:fill="FFFFFF"/>
                            <w:vAlign w:val="center"/>
                            <w:hideMark/>
                          </w:tcPr>
                          <w:p w14:paraId="61DE5EB0"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-252</w:t>
                            </w:r>
                          </w:p>
                        </w:tc>
                        <w:tc>
                          <w:tcPr>
                            <w:tcW w:w="720" w:type="dxa"/>
                            <w:tcBorders>
                              <w:top w:val="nil"/>
                              <w:left w:val="nil"/>
                              <w:bottom w:val="nil"/>
                              <w:right w:val="nil"/>
                            </w:tcBorders>
                            <w:shd w:val="clear" w:color="000000" w:fill="FFFFFF"/>
                            <w:vAlign w:val="center"/>
                            <w:hideMark/>
                          </w:tcPr>
                          <w:p w14:paraId="2AE37FD9"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-211</w:t>
                            </w:r>
                          </w:p>
                        </w:tc>
                        <w:tc>
                          <w:tcPr>
                            <w:tcW w:w="720" w:type="dxa"/>
                            <w:tcBorders>
                              <w:top w:val="nil"/>
                              <w:left w:val="nil"/>
                              <w:bottom w:val="nil"/>
                              <w:right w:val="nil"/>
                            </w:tcBorders>
                            <w:shd w:val="clear" w:color="000000" w:fill="FFFFFF"/>
                            <w:vAlign w:val="center"/>
                            <w:hideMark/>
                          </w:tcPr>
                          <w:p w14:paraId="74AC6F9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1,271</w:t>
                            </w:r>
                          </w:p>
                        </w:tc>
                        <w:tc>
                          <w:tcPr>
                            <w:tcW w:w="720" w:type="dxa"/>
                            <w:tcBorders>
                              <w:top w:val="nil"/>
                              <w:left w:val="nil"/>
                              <w:bottom w:val="nil"/>
                              <w:right w:val="nil"/>
                            </w:tcBorders>
                            <w:shd w:val="clear" w:color="000000" w:fill="FFFFFF"/>
                            <w:vAlign w:val="center"/>
                            <w:hideMark/>
                          </w:tcPr>
                          <w:p w14:paraId="1642B45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-720</w:t>
                            </w:r>
                          </w:p>
                        </w:tc>
                        <w:tc>
                          <w:tcPr>
                            <w:tcW w:w="720" w:type="dxa"/>
                            <w:tcBorders>
                              <w:top w:val="nil"/>
                              <w:left w:val="nil"/>
                              <w:bottom w:val="nil"/>
                              <w:right w:val="nil"/>
                            </w:tcBorders>
                            <w:shd w:val="clear" w:color="000000" w:fill="FFFFFF"/>
                            <w:vAlign w:val="center"/>
                            <w:hideMark/>
                          </w:tcPr>
                          <w:p w14:paraId="180CA959"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-54</w:t>
                            </w:r>
                          </w:p>
                        </w:tc>
                        <w:tc>
                          <w:tcPr>
                            <w:tcW w:w="720" w:type="dxa"/>
                            <w:tcBorders>
                              <w:top w:val="nil"/>
                              <w:left w:val="nil"/>
                              <w:bottom w:val="nil"/>
                              <w:right w:val="nil"/>
                            </w:tcBorders>
                            <w:shd w:val="clear" w:color="000000" w:fill="FFFFFF"/>
                            <w:vAlign w:val="center"/>
                            <w:hideMark/>
                          </w:tcPr>
                          <w:p w14:paraId="38C982F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-16</w:t>
                            </w:r>
                          </w:p>
                        </w:tc>
                        <w:tc>
                          <w:tcPr>
                            <w:tcW w:w="720" w:type="dxa"/>
                            <w:tcBorders>
                              <w:top w:val="nil"/>
                              <w:left w:val="nil"/>
                              <w:bottom w:val="nil"/>
                              <w:right w:val="nil"/>
                            </w:tcBorders>
                            <w:shd w:val="clear" w:color="000000" w:fill="FFFFFF"/>
                            <w:vAlign w:val="center"/>
                            <w:hideMark/>
                          </w:tcPr>
                          <w:p w14:paraId="25B20A16"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-14</w:t>
                            </w:r>
                          </w:p>
                        </w:tc>
                        <w:tc>
                          <w:tcPr>
                            <w:tcW w:w="720" w:type="dxa"/>
                            <w:tcBorders>
                              <w:top w:val="nil"/>
                              <w:left w:val="nil"/>
                              <w:bottom w:val="nil"/>
                              <w:right w:val="nil"/>
                            </w:tcBorders>
                            <w:shd w:val="clear" w:color="000000" w:fill="FFFFFF"/>
                            <w:vAlign w:val="center"/>
                            <w:hideMark/>
                          </w:tcPr>
                          <w:p w14:paraId="3A39A4F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-6</w:t>
                            </w:r>
                          </w:p>
                        </w:tc>
                        <w:tc>
                          <w:tcPr>
                            <w:tcW w:w="720" w:type="dxa"/>
                            <w:tcBorders>
                              <w:top w:val="nil"/>
                              <w:left w:val="nil"/>
                              <w:bottom w:val="nil"/>
                              <w:right w:val="nil"/>
                            </w:tcBorders>
                            <w:shd w:val="clear" w:color="000000" w:fill="FFFFFF"/>
                            <w:vAlign w:val="center"/>
                            <w:hideMark/>
                          </w:tcPr>
                          <w:p w14:paraId="507B6430"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1,271</w:t>
                            </w:r>
                          </w:p>
                        </w:tc>
                      </w:tr>
                      <w:tr w:rsidR="00C7229E" w:rsidRPr="00C7229E" w14:paraId="6BCAD4C6" w14:textId="77777777" w:rsidTr="00C7229E">
                        <w:trPr>
                          <w:trHeight w:val="315"/>
                        </w:trPr>
                        <w:tc>
                          <w:tcPr>
                            <w:tcW w:w="2460" w:type="dxa"/>
                            <w:tcBorders>
                              <w:top w:val="single" w:sz="4" w:space="0" w:color="ADD6EA"/>
                              <w:left w:val="nil"/>
                              <w:bottom w:val="nil"/>
                              <w:right w:val="nil"/>
                            </w:tcBorders>
                            <w:shd w:val="clear" w:color="000000" w:fill="FFFFFF"/>
                            <w:vAlign w:val="center"/>
                            <w:hideMark/>
                          </w:tcPr>
                          <w:p w14:paraId="505DDC79"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Change in population</w:t>
                            </w:r>
                          </w:p>
                        </w:tc>
                        <w:tc>
                          <w:tcPr>
                            <w:tcW w:w="720" w:type="dxa"/>
                            <w:tcBorders>
                              <w:top w:val="single" w:sz="4" w:space="0" w:color="ADD6EA"/>
                              <w:left w:val="nil"/>
                              <w:bottom w:val="nil"/>
                              <w:right w:val="nil"/>
                            </w:tcBorders>
                            <w:shd w:val="clear" w:color="000000" w:fill="FFFFFF"/>
                            <w:noWrap/>
                            <w:vAlign w:val="center"/>
                            <w:hideMark/>
                          </w:tcPr>
                          <w:p w14:paraId="3BDFF403"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-29</w:t>
                            </w:r>
                          </w:p>
                        </w:tc>
                        <w:tc>
                          <w:tcPr>
                            <w:tcW w:w="720" w:type="dxa"/>
                            <w:tcBorders>
                              <w:top w:val="single" w:sz="4" w:space="0" w:color="ADD6EA"/>
                              <w:left w:val="nil"/>
                              <w:bottom w:val="nil"/>
                              <w:right w:val="nil"/>
                            </w:tcBorders>
                            <w:shd w:val="clear" w:color="000000" w:fill="FFFFFF"/>
                            <w:noWrap/>
                            <w:vAlign w:val="center"/>
                            <w:hideMark/>
                          </w:tcPr>
                          <w:p w14:paraId="19A0D9B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68</w:t>
                            </w:r>
                          </w:p>
                        </w:tc>
                        <w:tc>
                          <w:tcPr>
                            <w:tcW w:w="720" w:type="dxa"/>
                            <w:tcBorders>
                              <w:top w:val="single" w:sz="4" w:space="0" w:color="ADD6EA"/>
                              <w:left w:val="nil"/>
                              <w:bottom w:val="nil"/>
                              <w:right w:val="nil"/>
                            </w:tcBorders>
                            <w:shd w:val="clear" w:color="000000" w:fill="FFFFFF"/>
                            <w:noWrap/>
                            <w:vAlign w:val="center"/>
                            <w:hideMark/>
                          </w:tcPr>
                          <w:p w14:paraId="4ACC9439"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43</w:t>
                            </w:r>
                          </w:p>
                        </w:tc>
                        <w:tc>
                          <w:tcPr>
                            <w:tcW w:w="720" w:type="dxa"/>
                            <w:tcBorders>
                              <w:top w:val="single" w:sz="4" w:space="0" w:color="ADD6EA"/>
                              <w:left w:val="nil"/>
                              <w:bottom w:val="nil"/>
                              <w:right w:val="nil"/>
                            </w:tcBorders>
                            <w:shd w:val="clear" w:color="000000" w:fill="FFFFFF"/>
                            <w:noWrap/>
                            <w:vAlign w:val="center"/>
                            <w:hideMark/>
                          </w:tcPr>
                          <w:p w14:paraId="255F33A3"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36</w:t>
                            </w:r>
                          </w:p>
                        </w:tc>
                        <w:tc>
                          <w:tcPr>
                            <w:tcW w:w="720" w:type="dxa"/>
                            <w:tcBorders>
                              <w:top w:val="single" w:sz="4" w:space="0" w:color="ADD6EA"/>
                              <w:left w:val="nil"/>
                              <w:bottom w:val="nil"/>
                              <w:right w:val="nil"/>
                            </w:tcBorders>
                            <w:shd w:val="clear" w:color="000000" w:fill="FFFFFF"/>
                            <w:noWrap/>
                            <w:vAlign w:val="center"/>
                            <w:hideMark/>
                          </w:tcPr>
                          <w:p w14:paraId="504CC16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-46</w:t>
                            </w:r>
                          </w:p>
                        </w:tc>
                        <w:tc>
                          <w:tcPr>
                            <w:tcW w:w="720" w:type="dxa"/>
                            <w:tcBorders>
                              <w:top w:val="single" w:sz="4" w:space="0" w:color="ADD6EA"/>
                              <w:left w:val="nil"/>
                              <w:bottom w:val="nil"/>
                              <w:right w:val="nil"/>
                            </w:tcBorders>
                            <w:shd w:val="clear" w:color="000000" w:fill="FFFFFF"/>
                            <w:noWrap/>
                            <w:vAlign w:val="center"/>
                            <w:hideMark/>
                          </w:tcPr>
                          <w:p w14:paraId="2BA3F69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-39</w:t>
                            </w:r>
                          </w:p>
                        </w:tc>
                        <w:tc>
                          <w:tcPr>
                            <w:tcW w:w="720" w:type="dxa"/>
                            <w:tcBorders>
                              <w:top w:val="single" w:sz="4" w:space="0" w:color="ADD6EA"/>
                              <w:left w:val="nil"/>
                              <w:bottom w:val="nil"/>
                              <w:right w:val="nil"/>
                            </w:tcBorders>
                            <w:shd w:val="clear" w:color="000000" w:fill="FFFFFF"/>
                            <w:noWrap/>
                            <w:vAlign w:val="center"/>
                            <w:hideMark/>
                          </w:tcPr>
                          <w:p w14:paraId="4C38C458"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w:t>
                            </w:r>
                          </w:p>
                        </w:tc>
                        <w:tc>
                          <w:tcPr>
                            <w:tcW w:w="720" w:type="dxa"/>
                            <w:tcBorders>
                              <w:top w:val="single" w:sz="4" w:space="0" w:color="ADD6EA"/>
                              <w:left w:val="nil"/>
                              <w:bottom w:val="nil"/>
                              <w:right w:val="nil"/>
                            </w:tcBorders>
                            <w:shd w:val="clear" w:color="000000" w:fill="FFFFFF"/>
                            <w:noWrap/>
                            <w:vAlign w:val="center"/>
                            <w:hideMark/>
                          </w:tcPr>
                          <w:p w14:paraId="38D13F9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-30</w:t>
                            </w:r>
                          </w:p>
                        </w:tc>
                        <w:tc>
                          <w:tcPr>
                            <w:tcW w:w="720" w:type="dxa"/>
                            <w:tcBorders>
                              <w:top w:val="single" w:sz="4" w:space="0" w:color="ADD6EA"/>
                              <w:left w:val="nil"/>
                              <w:bottom w:val="nil"/>
                              <w:right w:val="nil"/>
                            </w:tcBorders>
                            <w:shd w:val="clear" w:color="000000" w:fill="FFFFFF"/>
                            <w:noWrap/>
                            <w:vAlign w:val="center"/>
                            <w:hideMark/>
                          </w:tcPr>
                          <w:p w14:paraId="4E81FCC4"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147</w:t>
                            </w:r>
                          </w:p>
                        </w:tc>
                      </w:tr>
                      <w:tr w:rsidR="00C7229E" w:rsidRPr="00C7229E" w14:paraId="009463BA" w14:textId="77777777" w:rsidTr="00C7229E">
                        <w:trPr>
                          <w:trHeight w:val="315"/>
                        </w:trPr>
                        <w:tc>
                          <w:tcPr>
                            <w:tcW w:w="2460" w:type="dxa"/>
                            <w:tcBorders>
                              <w:top w:val="single" w:sz="4" w:space="0" w:color="ADD6EA"/>
                              <w:left w:val="nil"/>
                              <w:bottom w:val="nil"/>
                              <w:right w:val="nil"/>
                            </w:tcBorders>
                            <w:shd w:val="clear" w:color="000000" w:fill="FFFFFF"/>
                            <w:vAlign w:val="center"/>
                            <w:hideMark/>
                          </w:tcPr>
                          <w:p w14:paraId="5F51AD82" w14:textId="77777777" w:rsidR="00C7229E" w:rsidRPr="00C7229E" w:rsidRDefault="00C7229E" w:rsidP="00C7229E">
                            <w:pPr>
                              <w:tabs>
                                <w:tab w:val="clear" w:pos="567"/>
                              </w:tabs>
                              <w:spacing w:before="0" w:line="240" w:lineRule="auto"/>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Change in pool (a)</w:t>
                            </w:r>
                          </w:p>
                        </w:tc>
                        <w:tc>
                          <w:tcPr>
                            <w:tcW w:w="720" w:type="dxa"/>
                            <w:tcBorders>
                              <w:top w:val="single" w:sz="4" w:space="0" w:color="ADD6EA"/>
                              <w:left w:val="nil"/>
                              <w:bottom w:val="nil"/>
                              <w:right w:val="nil"/>
                            </w:tcBorders>
                            <w:shd w:val="clear" w:color="000000" w:fill="FFFFFF"/>
                            <w:noWrap/>
                            <w:vAlign w:val="center"/>
                            <w:hideMark/>
                          </w:tcPr>
                          <w:p w14:paraId="5B7A3E8C"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1,222</w:t>
                            </w:r>
                          </w:p>
                        </w:tc>
                        <w:tc>
                          <w:tcPr>
                            <w:tcW w:w="720" w:type="dxa"/>
                            <w:tcBorders>
                              <w:top w:val="single" w:sz="4" w:space="0" w:color="ADD6EA"/>
                              <w:left w:val="nil"/>
                              <w:bottom w:val="nil"/>
                              <w:right w:val="nil"/>
                            </w:tcBorders>
                            <w:shd w:val="clear" w:color="000000" w:fill="FFFFFF"/>
                            <w:noWrap/>
                            <w:vAlign w:val="center"/>
                            <w:hideMark/>
                          </w:tcPr>
                          <w:p w14:paraId="7BBE7765"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1,125</w:t>
                            </w:r>
                          </w:p>
                        </w:tc>
                        <w:tc>
                          <w:tcPr>
                            <w:tcW w:w="720" w:type="dxa"/>
                            <w:tcBorders>
                              <w:top w:val="single" w:sz="4" w:space="0" w:color="ADD6EA"/>
                              <w:left w:val="nil"/>
                              <w:bottom w:val="nil"/>
                              <w:right w:val="nil"/>
                            </w:tcBorders>
                            <w:shd w:val="clear" w:color="000000" w:fill="FFFFFF"/>
                            <w:noWrap/>
                            <w:vAlign w:val="center"/>
                            <w:hideMark/>
                          </w:tcPr>
                          <w:p w14:paraId="54F7452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887</w:t>
                            </w:r>
                          </w:p>
                        </w:tc>
                        <w:tc>
                          <w:tcPr>
                            <w:tcW w:w="720" w:type="dxa"/>
                            <w:tcBorders>
                              <w:top w:val="single" w:sz="4" w:space="0" w:color="ADD6EA"/>
                              <w:left w:val="nil"/>
                              <w:bottom w:val="nil"/>
                              <w:right w:val="nil"/>
                            </w:tcBorders>
                            <w:shd w:val="clear" w:color="000000" w:fill="FFFFFF"/>
                            <w:noWrap/>
                            <w:vAlign w:val="center"/>
                            <w:hideMark/>
                          </w:tcPr>
                          <w:p w14:paraId="2D25569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372</w:t>
                            </w:r>
                          </w:p>
                        </w:tc>
                        <w:tc>
                          <w:tcPr>
                            <w:tcW w:w="720" w:type="dxa"/>
                            <w:tcBorders>
                              <w:top w:val="single" w:sz="4" w:space="0" w:color="ADD6EA"/>
                              <w:left w:val="nil"/>
                              <w:bottom w:val="nil"/>
                              <w:right w:val="nil"/>
                            </w:tcBorders>
                            <w:shd w:val="clear" w:color="000000" w:fill="FFFFFF"/>
                            <w:noWrap/>
                            <w:vAlign w:val="center"/>
                            <w:hideMark/>
                          </w:tcPr>
                          <w:p w14:paraId="0C78B6A1"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434</w:t>
                            </w:r>
                          </w:p>
                        </w:tc>
                        <w:tc>
                          <w:tcPr>
                            <w:tcW w:w="720" w:type="dxa"/>
                            <w:tcBorders>
                              <w:top w:val="single" w:sz="4" w:space="0" w:color="ADD6EA"/>
                              <w:left w:val="nil"/>
                              <w:bottom w:val="nil"/>
                              <w:right w:val="nil"/>
                            </w:tcBorders>
                            <w:shd w:val="clear" w:color="000000" w:fill="FFFFFF"/>
                            <w:noWrap/>
                            <w:vAlign w:val="center"/>
                            <w:hideMark/>
                          </w:tcPr>
                          <w:p w14:paraId="0E03000E"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172</w:t>
                            </w:r>
                          </w:p>
                        </w:tc>
                        <w:tc>
                          <w:tcPr>
                            <w:tcW w:w="720" w:type="dxa"/>
                            <w:tcBorders>
                              <w:top w:val="single" w:sz="4" w:space="0" w:color="ADD6EA"/>
                              <w:left w:val="nil"/>
                              <w:bottom w:val="nil"/>
                              <w:right w:val="nil"/>
                            </w:tcBorders>
                            <w:shd w:val="clear" w:color="000000" w:fill="FFFFFF"/>
                            <w:noWrap/>
                            <w:vAlign w:val="center"/>
                            <w:hideMark/>
                          </w:tcPr>
                          <w:p w14:paraId="2425CA17"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95</w:t>
                            </w:r>
                          </w:p>
                        </w:tc>
                        <w:tc>
                          <w:tcPr>
                            <w:tcW w:w="720" w:type="dxa"/>
                            <w:tcBorders>
                              <w:top w:val="single" w:sz="4" w:space="0" w:color="ADD6EA"/>
                              <w:left w:val="nil"/>
                              <w:bottom w:val="nil"/>
                              <w:right w:val="nil"/>
                            </w:tcBorders>
                            <w:shd w:val="clear" w:color="000000" w:fill="FFFFFF"/>
                            <w:noWrap/>
                            <w:vAlign w:val="center"/>
                            <w:hideMark/>
                          </w:tcPr>
                          <w:p w14:paraId="58C6A640"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212</w:t>
                            </w:r>
                          </w:p>
                        </w:tc>
                        <w:tc>
                          <w:tcPr>
                            <w:tcW w:w="720" w:type="dxa"/>
                            <w:tcBorders>
                              <w:top w:val="single" w:sz="4" w:space="0" w:color="ADD6EA"/>
                              <w:left w:val="nil"/>
                              <w:bottom w:val="nil"/>
                              <w:right w:val="nil"/>
                            </w:tcBorders>
                            <w:shd w:val="clear" w:color="000000" w:fill="FFFFFF"/>
                            <w:noWrap/>
                            <w:vAlign w:val="center"/>
                            <w:hideMark/>
                          </w:tcPr>
                          <w:p w14:paraId="57E4D38B" w14:textId="77777777" w:rsidR="00C7229E" w:rsidRPr="00C7229E" w:rsidRDefault="00C7229E" w:rsidP="00C7229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C7229E">
                              <w:rPr>
                                <w:rFonts w:ascii="Open Sans Light" w:eastAsia="Times New Roman" w:hAnsi="Open Sans Light" w:cs="Open Sans Light"/>
                                <w:color w:val="000000"/>
                                <w:sz w:val="16"/>
                                <w:szCs w:val="16"/>
                                <w:lang w:eastAsia="en-AU"/>
                              </w:rPr>
                              <w:t>4,519</w:t>
                            </w:r>
                          </w:p>
                        </w:tc>
                      </w:tr>
                      <w:tr w:rsidR="00C7229E" w:rsidRPr="00C7229E" w14:paraId="21697EC4" w14:textId="77777777" w:rsidTr="00C7229E">
                        <w:trPr>
                          <w:trHeight w:val="315"/>
                        </w:trPr>
                        <w:tc>
                          <w:tcPr>
                            <w:tcW w:w="2460" w:type="dxa"/>
                            <w:tcBorders>
                              <w:top w:val="single" w:sz="4" w:space="0" w:color="ADD6EA"/>
                              <w:left w:val="nil"/>
                              <w:bottom w:val="single" w:sz="4" w:space="0" w:color="ADD6EA"/>
                              <w:right w:val="nil"/>
                            </w:tcBorders>
                            <w:shd w:val="clear" w:color="000000" w:fill="D6E7F0"/>
                            <w:vAlign w:val="center"/>
                            <w:hideMark/>
                          </w:tcPr>
                          <w:p w14:paraId="57C27D15" w14:textId="77777777" w:rsidR="00C7229E" w:rsidRPr="00C7229E" w:rsidRDefault="00C7229E" w:rsidP="00C7229E">
                            <w:pPr>
                              <w:tabs>
                                <w:tab w:val="clear" w:pos="567"/>
                              </w:tabs>
                              <w:spacing w:before="0" w:line="240" w:lineRule="auto"/>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Total change in GST</w:t>
                            </w:r>
                          </w:p>
                        </w:tc>
                        <w:tc>
                          <w:tcPr>
                            <w:tcW w:w="720" w:type="dxa"/>
                            <w:tcBorders>
                              <w:top w:val="single" w:sz="4" w:space="0" w:color="ADD6EA"/>
                              <w:left w:val="nil"/>
                              <w:bottom w:val="single" w:sz="4" w:space="0" w:color="ADD6EA"/>
                              <w:right w:val="nil"/>
                            </w:tcBorders>
                            <w:shd w:val="clear" w:color="000000" w:fill="D6E7F0"/>
                            <w:noWrap/>
                            <w:vAlign w:val="center"/>
                            <w:hideMark/>
                          </w:tcPr>
                          <w:p w14:paraId="5B457668"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942</w:t>
                            </w:r>
                          </w:p>
                        </w:tc>
                        <w:tc>
                          <w:tcPr>
                            <w:tcW w:w="720" w:type="dxa"/>
                            <w:tcBorders>
                              <w:top w:val="single" w:sz="4" w:space="0" w:color="ADD6EA"/>
                              <w:left w:val="nil"/>
                              <w:bottom w:val="single" w:sz="4" w:space="0" w:color="ADD6EA"/>
                              <w:right w:val="nil"/>
                            </w:tcBorders>
                            <w:shd w:val="clear" w:color="000000" w:fill="D6E7F0"/>
                            <w:noWrap/>
                            <w:vAlign w:val="center"/>
                            <w:hideMark/>
                          </w:tcPr>
                          <w:p w14:paraId="12DC48AE"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3,657</w:t>
                            </w:r>
                          </w:p>
                        </w:tc>
                        <w:tc>
                          <w:tcPr>
                            <w:tcW w:w="720" w:type="dxa"/>
                            <w:tcBorders>
                              <w:top w:val="single" w:sz="4" w:space="0" w:color="ADD6EA"/>
                              <w:left w:val="nil"/>
                              <w:bottom w:val="single" w:sz="4" w:space="0" w:color="ADD6EA"/>
                              <w:right w:val="nil"/>
                            </w:tcBorders>
                            <w:shd w:val="clear" w:color="000000" w:fill="D6E7F0"/>
                            <w:noWrap/>
                            <w:vAlign w:val="center"/>
                            <w:hideMark/>
                          </w:tcPr>
                          <w:p w14:paraId="27DCE6F9"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-1,189</w:t>
                            </w:r>
                          </w:p>
                        </w:tc>
                        <w:tc>
                          <w:tcPr>
                            <w:tcW w:w="720" w:type="dxa"/>
                            <w:tcBorders>
                              <w:top w:val="single" w:sz="4" w:space="0" w:color="ADD6EA"/>
                              <w:left w:val="nil"/>
                              <w:bottom w:val="single" w:sz="4" w:space="0" w:color="ADD6EA"/>
                              <w:right w:val="nil"/>
                            </w:tcBorders>
                            <w:shd w:val="clear" w:color="000000" w:fill="D6E7F0"/>
                            <w:noWrap/>
                            <w:vAlign w:val="center"/>
                            <w:hideMark/>
                          </w:tcPr>
                          <w:p w14:paraId="609594EE"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395</w:t>
                            </w:r>
                          </w:p>
                        </w:tc>
                        <w:tc>
                          <w:tcPr>
                            <w:tcW w:w="720" w:type="dxa"/>
                            <w:tcBorders>
                              <w:top w:val="single" w:sz="4" w:space="0" w:color="ADD6EA"/>
                              <w:left w:val="nil"/>
                              <w:bottom w:val="single" w:sz="4" w:space="0" w:color="ADD6EA"/>
                              <w:right w:val="nil"/>
                            </w:tcBorders>
                            <w:shd w:val="clear" w:color="000000" w:fill="D6E7F0"/>
                            <w:noWrap/>
                            <w:vAlign w:val="center"/>
                            <w:hideMark/>
                          </w:tcPr>
                          <w:p w14:paraId="657F4A52"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279</w:t>
                            </w:r>
                          </w:p>
                        </w:tc>
                        <w:tc>
                          <w:tcPr>
                            <w:tcW w:w="720" w:type="dxa"/>
                            <w:tcBorders>
                              <w:top w:val="single" w:sz="4" w:space="0" w:color="ADD6EA"/>
                              <w:left w:val="nil"/>
                              <w:bottom w:val="single" w:sz="4" w:space="0" w:color="ADD6EA"/>
                              <w:right w:val="nil"/>
                            </w:tcBorders>
                            <w:shd w:val="clear" w:color="000000" w:fill="D6E7F0"/>
                            <w:noWrap/>
                            <w:vAlign w:val="center"/>
                            <w:hideMark/>
                          </w:tcPr>
                          <w:p w14:paraId="5F532027"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151</w:t>
                            </w:r>
                          </w:p>
                        </w:tc>
                        <w:tc>
                          <w:tcPr>
                            <w:tcW w:w="720" w:type="dxa"/>
                            <w:tcBorders>
                              <w:top w:val="single" w:sz="4" w:space="0" w:color="ADD6EA"/>
                              <w:left w:val="nil"/>
                              <w:bottom w:val="single" w:sz="4" w:space="0" w:color="ADD6EA"/>
                              <w:right w:val="nil"/>
                            </w:tcBorders>
                            <w:shd w:val="clear" w:color="000000" w:fill="D6E7F0"/>
                            <w:noWrap/>
                            <w:vAlign w:val="center"/>
                            <w:hideMark/>
                          </w:tcPr>
                          <w:p w14:paraId="13055562"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35</w:t>
                            </w:r>
                          </w:p>
                        </w:tc>
                        <w:tc>
                          <w:tcPr>
                            <w:tcW w:w="720" w:type="dxa"/>
                            <w:tcBorders>
                              <w:top w:val="single" w:sz="4" w:space="0" w:color="ADD6EA"/>
                              <w:left w:val="nil"/>
                              <w:bottom w:val="single" w:sz="4" w:space="0" w:color="ADD6EA"/>
                              <w:right w:val="nil"/>
                            </w:tcBorders>
                            <w:shd w:val="clear" w:color="000000" w:fill="D6E7F0"/>
                            <w:noWrap/>
                            <w:vAlign w:val="center"/>
                            <w:hideMark/>
                          </w:tcPr>
                          <w:p w14:paraId="4EA94294"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248</w:t>
                            </w:r>
                          </w:p>
                        </w:tc>
                        <w:tc>
                          <w:tcPr>
                            <w:tcW w:w="720" w:type="dxa"/>
                            <w:tcBorders>
                              <w:top w:val="single" w:sz="4" w:space="0" w:color="ADD6EA"/>
                              <w:left w:val="nil"/>
                              <w:bottom w:val="single" w:sz="4" w:space="0" w:color="ADD6EA"/>
                              <w:right w:val="nil"/>
                            </w:tcBorders>
                            <w:shd w:val="clear" w:color="000000" w:fill="D6E7F0"/>
                            <w:noWrap/>
                            <w:vAlign w:val="center"/>
                            <w:hideMark/>
                          </w:tcPr>
                          <w:p w14:paraId="4E6C0786" w14:textId="77777777" w:rsidR="00C7229E" w:rsidRPr="00C7229E" w:rsidRDefault="00C7229E" w:rsidP="00C7229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229E">
                              <w:rPr>
                                <w:rFonts w:ascii="Open Sans Semibold" w:eastAsia="Times New Roman" w:hAnsi="Open Sans Semibold" w:cs="Open Sans Semibold"/>
                                <w:color w:val="000000"/>
                                <w:sz w:val="16"/>
                                <w:szCs w:val="16"/>
                                <w:lang w:eastAsia="en-AU"/>
                              </w:rPr>
                              <w:t>4,519</w:t>
                            </w:r>
                          </w:p>
                        </w:tc>
                      </w:tr>
                    </w:tbl>
                    <w:p w14:paraId="53CF7961" w14:textId="029D705F" w:rsidR="00003F8E" w:rsidRDefault="002B297D" w:rsidP="00A00D6A">
                      <w:pPr>
                        <w:pStyle w:val="CGC2025TableNote"/>
                        <w:numPr>
                          <w:ilvl w:val="0"/>
                          <w:numId w:val="30"/>
                        </w:numPr>
                      </w:pPr>
                      <w:bookmarkStart w:id="77" w:name="RANGE!A4:J20"/>
                      <w:bookmarkEnd w:id="77"/>
                      <w:r>
                        <w:t>Total increase in GST and pool top-up payment.</w:t>
                      </w:r>
                      <w:r w:rsidR="00F32C7A">
                        <w:t xml:space="preserve"> </w:t>
                      </w:r>
                    </w:p>
                    <w:p w14:paraId="4BB3AEBB" w14:textId="60F93768" w:rsidR="000C4809" w:rsidRPr="00DC23FC" w:rsidRDefault="000C4809" w:rsidP="000C4809">
                      <w:r w:rsidRPr="00DC23FC">
                        <w:t xml:space="preserve">Changes in states’ GST </w:t>
                      </w:r>
                      <w:r>
                        <w:t xml:space="preserve">relativities </w:t>
                      </w:r>
                      <w:r w:rsidRPr="008808D5">
                        <w:t xml:space="preserve">occurred for </w:t>
                      </w:r>
                      <w:r w:rsidR="005D7053">
                        <w:t>the following reasons</w:t>
                      </w:r>
                      <w:r w:rsidRPr="00DC23FC">
                        <w:t>.</w:t>
                      </w:r>
                    </w:p>
                    <w:p w14:paraId="7CE210DC" w14:textId="2569467A" w:rsidR="009A13CA" w:rsidRDefault="009A13CA" w:rsidP="000C4809">
                      <w:pPr>
                        <w:pStyle w:val="CGC2025Bullet1"/>
                      </w:pPr>
                      <w:r>
                        <w:t xml:space="preserve">Changes in </w:t>
                      </w:r>
                      <w:r w:rsidR="00326C63">
                        <w:t xml:space="preserve">state </w:t>
                      </w:r>
                      <w:r w:rsidR="0090205F">
                        <w:t>p</w:t>
                      </w:r>
                      <w:r w:rsidR="00EE71B2">
                        <w:t>opulation</w:t>
                      </w:r>
                      <w:r w:rsidR="00326C63">
                        <w:t>s</w:t>
                      </w:r>
                      <w:r w:rsidR="0090205F">
                        <w:t>.</w:t>
                      </w:r>
                    </w:p>
                    <w:p w14:paraId="543B1C04" w14:textId="647ADE24" w:rsidR="00EE71B2" w:rsidRDefault="00EE71B2" w:rsidP="000C4809">
                      <w:pPr>
                        <w:pStyle w:val="CGC2025Bullet1"/>
                      </w:pPr>
                      <w:r>
                        <w:t>GST pool growth</w:t>
                      </w:r>
                      <w:r w:rsidR="0090205F">
                        <w:t>.</w:t>
                      </w:r>
                    </w:p>
                    <w:p w14:paraId="4743238F" w14:textId="69D23826" w:rsidR="000C4809" w:rsidRPr="005E6B63" w:rsidRDefault="000C4809" w:rsidP="000C4809">
                      <w:pPr>
                        <w:pStyle w:val="CGC2025Bullet1"/>
                      </w:pPr>
                      <w:r>
                        <w:t>Method changes – a</w:t>
                      </w:r>
                      <w:r w:rsidRPr="005E6B63">
                        <w:t xml:space="preserve">s part of the 2025 Review, the Commission reviewed and revised some of </w:t>
                      </w:r>
                      <w:r w:rsidR="008C6358">
                        <w:t>the</w:t>
                      </w:r>
                      <w:r w:rsidRPr="005E6B63">
                        <w:t xml:space="preserve"> methods</w:t>
                      </w:r>
                      <w:r w:rsidR="008C6358">
                        <w:t xml:space="preserve"> it uses to assess relative </w:t>
                      </w:r>
                      <w:r w:rsidR="00F47C42">
                        <w:t xml:space="preserve">state </w:t>
                      </w:r>
                      <w:r w:rsidR="008C6358">
                        <w:t xml:space="preserve">fiscal </w:t>
                      </w:r>
                      <w:r w:rsidR="00430365">
                        <w:t>capacities</w:t>
                      </w:r>
                      <w:r w:rsidRPr="005E6B63">
                        <w:t>.</w:t>
                      </w:r>
                    </w:p>
                    <w:p w14:paraId="75B806CD" w14:textId="72637823" w:rsidR="000C4809" w:rsidRDefault="000C4809" w:rsidP="000C4809">
                      <w:pPr>
                        <w:pStyle w:val="CGC2025Bullet1"/>
                      </w:pPr>
                      <w:r>
                        <w:t xml:space="preserve">Revisions – </w:t>
                      </w:r>
                      <w:r w:rsidR="00897F0C" w:rsidRPr="00897F0C">
                        <w:t>since the 2024 Update</w:t>
                      </w:r>
                      <w:r w:rsidR="00B96B31">
                        <w:t>,</w:t>
                      </w:r>
                      <w:r w:rsidR="00897F0C" w:rsidRPr="00897F0C">
                        <w:t xml:space="preserve"> data providers released updated data for 2020–21 to 2022–23 which have been incorporated</w:t>
                      </w:r>
                      <w:r>
                        <w:t>.</w:t>
                      </w:r>
                    </w:p>
                    <w:p w14:paraId="2FE9EF38" w14:textId="675D3E05" w:rsidR="00F879F8" w:rsidRPr="0037478C" w:rsidRDefault="00F04D59" w:rsidP="00F04D59">
                      <w:pPr>
                        <w:pStyle w:val="CGC2025Bullet1"/>
                      </w:pPr>
                      <w:r w:rsidRPr="00F04D59">
                        <w:t xml:space="preserve">Changes in circumstances – states’ economic and socio-demographic circumstances change over time. </w:t>
                      </w:r>
                      <w:r w:rsidR="000A5C30">
                        <w:t>For t</w:t>
                      </w:r>
                      <w:r w:rsidRPr="00F04D59">
                        <w:t>he 2025</w:t>
                      </w:r>
                      <w:r w:rsidR="00793C59">
                        <w:t>–</w:t>
                      </w:r>
                      <w:r w:rsidRPr="00F04D59">
                        <w:t>26 GST relativities</w:t>
                      </w:r>
                      <w:r w:rsidR="000A5C30">
                        <w:t>,</w:t>
                      </w:r>
                      <w:r w:rsidRPr="00F04D59">
                        <w:t xml:space="preserve"> states’ GST</w:t>
                      </w:r>
                      <w:r w:rsidR="00424D38">
                        <w:t> </w:t>
                      </w:r>
                      <w:r w:rsidRPr="00F04D59">
                        <w:t xml:space="preserve">needs </w:t>
                      </w:r>
                      <w:r w:rsidR="000A5C30">
                        <w:t xml:space="preserve">were assessed </w:t>
                      </w:r>
                      <w:r w:rsidRPr="00F04D59">
                        <w:t>using an average of data for the 3 years 2021–22 to 2023–</w:t>
                      </w:r>
                      <w:r w:rsidR="004963EF">
                        <w:rPr>
                          <w:rFonts w:ascii="Times New Roman" w:hAnsi="Times New Roman" w:cs="Times New Roman" w:hint="eastAsia"/>
                          <w:rtl/>
                        </w:rPr>
                        <w:t>‍</w:t>
                      </w:r>
                      <w:r w:rsidRPr="00F04D59">
                        <w:t>24. The 2024 Update used an average of data for the 3 years 2020–21 to 2022–</w:t>
                      </w:r>
                      <w:r w:rsidR="004963EF">
                        <w:rPr>
                          <w:rFonts w:ascii="Times New Roman" w:hAnsi="Times New Roman" w:cs="Times New Roman" w:hint="eastAsia"/>
                          <w:rtl/>
                        </w:rPr>
                        <w:t>‍</w:t>
                      </w:r>
                      <w:r w:rsidRPr="00F04D59">
                        <w:t>23. Differences in state circumstances between the year brought into the 3-year average (2023–24) and the year removed (2020–21) changed states’ relative needs.</w:t>
                      </w:r>
                      <w:bookmarkEnd w:id="75"/>
                    </w:p>
                  </w:txbxContent>
                </v:textbox>
                <w10:wrap type="square" anchorx="margin"/>
              </v:shape>
            </w:pict>
          </mc:Fallback>
        </mc:AlternateContent>
      </w:r>
      <w:r w:rsidR="008537A3" w:rsidRPr="00D40090">
        <w:br w:type="page"/>
      </w:r>
      <w:r w:rsidR="00611FE1">
        <w:rPr>
          <w:rFonts w:ascii="Times New Roman" w:hAnsi="Times New Roman" w:cs="Times New Roman"/>
          <w:noProof/>
          <w:sz w:val="24"/>
          <w:szCs w:val="24"/>
          <w:lang w:eastAsia="en-AU"/>
        </w:rPr>
        <w:lastRenderedPageBreak/>
        <mc:AlternateContent>
          <mc:Choice Requires="wps">
            <w:drawing>
              <wp:anchor distT="45720" distB="45720" distL="114300" distR="114300" simplePos="0" relativeHeight="251658244" behindDoc="0" locked="0" layoutInCell="1" allowOverlap="1" wp14:anchorId="2D4E4AC1" wp14:editId="2AF8445B">
                <wp:simplePos x="0" y="0"/>
                <wp:positionH relativeFrom="margin">
                  <wp:align>left</wp:align>
                </wp:positionH>
                <wp:positionV relativeFrom="paragraph">
                  <wp:posOffset>0</wp:posOffset>
                </wp:positionV>
                <wp:extent cx="5853600" cy="8845200"/>
                <wp:effectExtent l="0" t="0" r="13970" b="13335"/>
                <wp:wrapSquare wrapText="bothSides"/>
                <wp:docPr id="1030580337" name="Text Box 1030580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600" cy="8845200"/>
                        </a:xfrm>
                        <a:prstGeom prst="rect">
                          <a:avLst/>
                        </a:prstGeom>
                        <a:solidFill>
                          <a:srgbClr val="E5F8FF"/>
                        </a:solidFill>
                        <a:ln w="9525">
                          <a:solidFill>
                            <a:schemeClr val="bg1"/>
                          </a:solidFill>
                          <a:miter lim="800000"/>
                          <a:headEnd/>
                          <a:tailEnd/>
                        </a:ln>
                      </wps:spPr>
                      <wps:txbx>
                        <w:txbxContent>
                          <w:p w14:paraId="34058596" w14:textId="23DBE1DE" w:rsidR="00A11E05" w:rsidRDefault="00A11E05" w:rsidP="00A11E05">
                            <w:pPr>
                              <w:pStyle w:val="CGC2025Bullet1"/>
                            </w:pPr>
                            <w:r w:rsidRPr="00DC23FC">
                              <w:t>Legislat</w:t>
                            </w:r>
                            <w:r>
                              <w:t>ion – t</w:t>
                            </w:r>
                            <w:r w:rsidRPr="00DC23FC">
                              <w:t xml:space="preserve">he transition to using </w:t>
                            </w:r>
                            <w:r w:rsidRPr="0095123E">
                              <w:t xml:space="preserve">standard state </w:t>
                            </w:r>
                            <w:r w:rsidRPr="00386B56">
                              <w:t xml:space="preserve">relativities is </w:t>
                            </w:r>
                            <w:r>
                              <w:t>nearly</w:t>
                            </w:r>
                            <w:r w:rsidRPr="00386B56">
                              <w:t xml:space="preserve"> complete, with</w:t>
                            </w:r>
                            <w:r>
                              <w:t xml:space="preserve"> 2025–26</w:t>
                            </w:r>
                            <w:r w:rsidRPr="00386B56">
                              <w:t xml:space="preserve"> blended relativities based on five-sixths standard state relativities and one-sixth assessed relativities. </w:t>
                            </w:r>
                            <w:r w:rsidR="001B00A8">
                              <w:t xml:space="preserve">The GST floor also ensures </w:t>
                            </w:r>
                            <w:r w:rsidR="0089560A">
                              <w:t>e</w:t>
                            </w:r>
                            <w:r w:rsidRPr="00386B56">
                              <w:t>ach state’s GST relativity</w:t>
                            </w:r>
                            <w:r w:rsidRPr="00DC23FC">
                              <w:t xml:space="preserve"> must be at least 0.75.</w:t>
                            </w:r>
                            <w:r w:rsidRPr="009B406E">
                              <w:t xml:space="preserve"> </w:t>
                            </w:r>
                          </w:p>
                          <w:p w14:paraId="2F2D379C" w14:textId="734723E5" w:rsidR="00113C59" w:rsidRDefault="00113C59" w:rsidP="00113C59">
                            <w:r>
                              <w:t>Changes in states’ relative capacities to raise mining revenue were a major driver of changes in GST distribution for 2025–</w:t>
                            </w:r>
                            <w:r>
                              <w:rPr>
                                <w:rFonts w:ascii="Times New Roman" w:hAnsi="Times New Roman" w:cs="Times New Roman" w:hint="eastAsia"/>
                                <w:rtl/>
                              </w:rPr>
                              <w:t>‍</w:t>
                            </w:r>
                            <w:r>
                              <w:t xml:space="preserve">26. </w:t>
                            </w:r>
                            <w:r w:rsidRPr="00A257F0">
                              <w:t>The capacity for New South Wales and particularly Queensland to raise revenue through coal royalties increased between 2020–</w:t>
                            </w:r>
                            <w:r w:rsidRPr="00A257F0">
                              <w:rPr>
                                <w:rFonts w:ascii="Times New Roman" w:hAnsi="Times New Roman" w:cs="Times New Roman" w:hint="eastAsia"/>
                                <w:rtl/>
                              </w:rPr>
                              <w:t>‍</w:t>
                            </w:r>
                            <w:r w:rsidRPr="00A257F0">
                              <w:t xml:space="preserve">21 and 2023–24 due to higher coal prices and an increase in the average royalty rate. Because Queensland </w:t>
                            </w:r>
                            <w:r w:rsidR="00184F1E" w:rsidRPr="00A257F0">
                              <w:t>had a larger share of the production of high-value coal</w:t>
                            </w:r>
                            <w:r w:rsidRPr="00A257F0">
                              <w:t>, the increases in prices and royalties had a larger effect on its assessed</w:t>
                            </w:r>
                            <w:r w:rsidR="00254C33" w:rsidRPr="00A257F0">
                              <w:t xml:space="preserve"> GST needs</w:t>
                            </w:r>
                            <w:r w:rsidR="00AF6C8A" w:rsidRPr="00A257F0">
                              <w:t xml:space="preserve"> (see</w:t>
                            </w:r>
                            <w:r w:rsidR="00EB0162">
                              <w:t> </w:t>
                            </w:r>
                            <w:r w:rsidR="00AF6C8A" w:rsidRPr="00A257F0">
                              <w:t>Box</w:t>
                            </w:r>
                            <w:r w:rsidR="00C5181D">
                              <w:t> </w:t>
                            </w:r>
                            <w:r w:rsidR="00AF6C8A" w:rsidRPr="00A257F0">
                              <w:t>2-</w:t>
                            </w:r>
                            <w:r w:rsidR="00D83B15" w:rsidRPr="00A257F0">
                              <w:t>2</w:t>
                            </w:r>
                            <w:r w:rsidR="00AF6C8A" w:rsidRPr="00A257F0">
                              <w:t>)</w:t>
                            </w:r>
                            <w:r w:rsidR="00254C33" w:rsidRPr="00A257F0">
                              <w:t>.</w:t>
                            </w:r>
                          </w:p>
                          <w:p w14:paraId="5C43F5EB" w14:textId="507B5DFE" w:rsidR="00F14091" w:rsidRDefault="00F14091" w:rsidP="00113C59">
                            <w:r w:rsidRPr="00F14091">
                              <w:t xml:space="preserve">Changes in relative </w:t>
                            </w:r>
                            <w:r w:rsidR="0025263C">
                              <w:t xml:space="preserve">state </w:t>
                            </w:r>
                            <w:r w:rsidRPr="00F14091">
                              <w:t xml:space="preserve">population growth increased the assessed GST needs of Victoria. Victoria experienced negative population growth in 2020–21. Because this year </w:t>
                            </w:r>
                            <w:r w:rsidR="00E60A17">
                              <w:t xml:space="preserve">is </w:t>
                            </w:r>
                            <w:r w:rsidRPr="00F14091">
                              <w:t>no longer part of the 3-year average used for GST relativities, its population growth rate is significantly higher than in the 2024 Update (see Box 2-</w:t>
                            </w:r>
                            <w:r w:rsidR="00D83B15">
                              <w:t>3</w:t>
                            </w:r>
                            <w:r w:rsidRPr="00F14091">
                              <w:t>). This additional population growth increased its investment needs, particularly for urban transport.</w:t>
                            </w:r>
                          </w:p>
                          <w:p w14:paraId="1CFD5A97" w14:textId="525D1A0B" w:rsidR="00113C59" w:rsidRDefault="00221275" w:rsidP="00113C59">
                            <w:r>
                              <w:t>The net effect of c</w:t>
                            </w:r>
                            <w:r w:rsidR="00113C59">
                              <w:t xml:space="preserve">hanges in the assessment methods for COVID-19 health and business support expenses increased the assessed GST needs of New South Wales, Victoria and the ACT. Given that these expenses </w:t>
                            </w:r>
                            <w:r w:rsidR="00B45960">
                              <w:t xml:space="preserve">decreased </w:t>
                            </w:r>
                            <w:r w:rsidR="00113C59">
                              <w:t>after 2021–22, their impact on GST</w:t>
                            </w:r>
                            <w:r w:rsidR="00A210FC">
                              <w:t> </w:t>
                            </w:r>
                            <w:r w:rsidR="00113C59">
                              <w:t>distribution will significantly decline in future updates as the COVID-19 expenses fall outside the Commission’s assessment period.</w:t>
                            </w:r>
                          </w:p>
                          <w:p w14:paraId="3E8924FA" w14:textId="1D860FB3" w:rsidR="00113C59" w:rsidRPr="00E2195C" w:rsidRDefault="00113C59" w:rsidP="00113C59">
                            <w:r>
                              <w:t>As part of the 2025 Review, t</w:t>
                            </w:r>
                            <w:r w:rsidRPr="00A51F0E">
                              <w:t xml:space="preserve">he </w:t>
                            </w:r>
                            <w:r>
                              <w:t>C</w:t>
                            </w:r>
                            <w:r w:rsidRPr="00A51F0E">
                              <w:t xml:space="preserve">ommission made </w:t>
                            </w:r>
                            <w:r w:rsidRPr="00A257F0">
                              <w:t>changes to the model</w:t>
                            </w:r>
                            <w:r w:rsidRPr="00A51F0E">
                              <w:t xml:space="preserve"> used to estimate different wage pressures</w:t>
                            </w:r>
                            <w:r w:rsidR="005122FD">
                              <w:t xml:space="preserve"> across states</w:t>
                            </w:r>
                            <w:r w:rsidRPr="00A51F0E">
                              <w:t>.</w:t>
                            </w:r>
                            <w:r>
                              <w:t xml:space="preserve"> This increased the assessed GST needs of Victoria, South Australia, Tasmania and the ACT. </w:t>
                            </w:r>
                          </w:p>
                          <w:p w14:paraId="2E5C67A8" w14:textId="3D409B38" w:rsidR="00113C59" w:rsidRDefault="00113C59" w:rsidP="00113C59">
                            <w:r>
                              <w:t xml:space="preserve">Data revisions to natural disaster relief expenses increased the assessed GST needs of New South Wales. </w:t>
                            </w:r>
                            <w:r w:rsidRPr="002C39EB">
                              <w:t>A significant upward revision was made</w:t>
                            </w:r>
                            <w:r w:rsidR="001F5F9E">
                              <w:t xml:space="preserve"> by</w:t>
                            </w:r>
                            <w:r w:rsidRPr="002C39EB">
                              <w:t xml:space="preserve"> New South Wales</w:t>
                            </w:r>
                            <w:r w:rsidR="00F92FA2">
                              <w:t xml:space="preserve"> </w:t>
                            </w:r>
                            <w:r w:rsidR="001F5F9E">
                              <w:t xml:space="preserve">to its </w:t>
                            </w:r>
                            <w:r>
                              <w:t xml:space="preserve">expenses </w:t>
                            </w:r>
                            <w:r w:rsidRPr="002C39EB">
                              <w:t>in 2022</w:t>
                            </w:r>
                            <w:r>
                              <w:t>–</w:t>
                            </w:r>
                            <w:r w:rsidRPr="002C39EB">
                              <w:t>23, which was due to delay</w:t>
                            </w:r>
                            <w:r w:rsidR="00F40256">
                              <w:t>s</w:t>
                            </w:r>
                            <w:r w:rsidRPr="002C39EB">
                              <w:t xml:space="preserve"> in </w:t>
                            </w:r>
                            <w:r w:rsidR="00F40256">
                              <w:t>finalising costs</w:t>
                            </w:r>
                            <w:r>
                              <w:t xml:space="preserve"> for </w:t>
                            </w:r>
                            <w:r w:rsidRPr="006E539A">
                              <w:t>floods</w:t>
                            </w:r>
                            <w:r>
                              <w:t xml:space="preserve"> in </w:t>
                            </w:r>
                            <w:r w:rsidRPr="00362DFB">
                              <w:t xml:space="preserve">the </w:t>
                            </w:r>
                            <w:r w:rsidRPr="006E539A">
                              <w:t>Northern Rivers region</w:t>
                            </w:r>
                            <w:r w:rsidRPr="002C39EB">
                              <w:t>.</w:t>
                            </w:r>
                          </w:p>
                          <w:p w14:paraId="418F1989" w14:textId="4B938F21" w:rsidR="008B637E" w:rsidRPr="00A257F0" w:rsidRDefault="00C9432F" w:rsidP="008B637E">
                            <w:r>
                              <w:t xml:space="preserve">Under the 2018 GST </w:t>
                            </w:r>
                            <w:r w:rsidR="00523C66">
                              <w:t>distribution</w:t>
                            </w:r>
                            <w:r>
                              <w:t xml:space="preserve"> </w:t>
                            </w:r>
                            <w:r w:rsidR="00523C66">
                              <w:t>legislation</w:t>
                            </w:r>
                            <w:r>
                              <w:t xml:space="preserve">, </w:t>
                            </w:r>
                            <w:r w:rsidR="008B637E" w:rsidRPr="00362DFB">
                              <w:t>2025–</w:t>
                            </w:r>
                            <w:r w:rsidR="008B637E" w:rsidRPr="00362DFB">
                              <w:rPr>
                                <w:rFonts w:ascii="Times New Roman" w:hAnsi="Times New Roman" w:cs="Times New Roman"/>
                              </w:rPr>
                              <w:t>‍</w:t>
                            </w:r>
                            <w:r w:rsidR="008B637E" w:rsidRPr="00362DFB">
                              <w:t>26 is the fifth year in a 6-year</w:t>
                            </w:r>
                            <w:r w:rsidR="008B637E">
                              <w:t xml:space="preserve"> transition away from distributing the GST pool based solely on the Commission’s assessment of states’ relative fiscal capacities. At the end of the </w:t>
                            </w:r>
                            <w:r w:rsidR="00DD5F5E">
                              <w:t>6-year</w:t>
                            </w:r>
                            <w:r w:rsidR="00745F5D">
                              <w:t xml:space="preserve"> </w:t>
                            </w:r>
                            <w:r w:rsidR="005D344A">
                              <w:t>period</w:t>
                            </w:r>
                            <w:r w:rsidR="001B49AF">
                              <w:t xml:space="preserve"> (2026 Update)</w:t>
                            </w:r>
                            <w:r w:rsidR="008B637E">
                              <w:t>, the Commission’s assessment will be adjusted so that no state will have a GST relativity less than the lower of New South Wales or Victoria (referred to as the ‘standard state’).</w:t>
                            </w:r>
                            <w:r w:rsidR="00763575">
                              <w:t xml:space="preserve"> </w:t>
                            </w:r>
                            <w:r w:rsidR="00763575" w:rsidRPr="00A257F0">
                              <w:t>However, during th</w:t>
                            </w:r>
                            <w:r w:rsidR="00ED73D5" w:rsidRPr="00A257F0">
                              <w:t>e</w:t>
                            </w:r>
                            <w:r w:rsidR="00763575" w:rsidRPr="00A257F0">
                              <w:t xml:space="preserve"> transition, th</w:t>
                            </w:r>
                            <w:r w:rsidR="00B3650E" w:rsidRPr="00A257F0">
                              <w:t>e</w:t>
                            </w:r>
                            <w:r w:rsidR="00763575" w:rsidRPr="00A257F0">
                              <w:t xml:space="preserve"> standard state approach is blended with the previous approach (based solely on assessed relativities).</w:t>
                            </w:r>
                          </w:p>
                          <w:p w14:paraId="025F9498" w14:textId="32E24D10" w:rsidR="00A009F4" w:rsidRPr="00A009F4" w:rsidRDefault="00763575" w:rsidP="00427E9A">
                            <w:r w:rsidRPr="00A257F0">
                              <w:t>For the 2025–26 GST distribution, blended relativities are calculated using five-sixths of the standard state approach and one-sixth of the previous approach</w:t>
                            </w:r>
                            <w:r w:rsidR="008E5BB8" w:rsidRPr="00A257F0">
                              <w:t>.</w:t>
                            </w:r>
                            <w:r w:rsidRPr="00A257F0">
                              <w:t xml:space="preserve"> </w:t>
                            </w:r>
                            <w:r w:rsidR="0033694C" w:rsidRPr="00A257F0">
                              <w:t>Under the standard state approach, Queensland and Western Australia had their relativities increased to match that of the standard state, New South Wales, in each assessment year.</w:t>
                            </w:r>
                          </w:p>
                          <w:p w14:paraId="2912E096" w14:textId="05BD412D" w:rsidR="005B21F0" w:rsidRDefault="00EA5039" w:rsidP="005B21F0">
                            <w:r>
                              <w:t>Under t</w:t>
                            </w:r>
                            <w:r w:rsidR="009808D9" w:rsidRPr="009808D9">
                              <w:t xml:space="preserve">he GST distribution legislation, Western Australia’s relativity </w:t>
                            </w:r>
                            <w:r>
                              <w:t>was increased</w:t>
                            </w:r>
                            <w:r w:rsidR="009808D9" w:rsidRPr="009808D9">
                              <w:t xml:space="preserve"> to </w:t>
                            </w:r>
                            <w:r w:rsidR="005638A3">
                              <w:t xml:space="preserve">the floor of </w:t>
                            </w:r>
                            <w:r w:rsidR="009808D9" w:rsidRPr="009808D9">
                              <w:t>0.75</w:t>
                            </w:r>
                            <w:r w:rsidR="00510A8C">
                              <w:t>,</w:t>
                            </w:r>
                            <w:r w:rsidR="009808D9" w:rsidRPr="009808D9">
                              <w:t xml:space="preserve"> lowering the GST shares of the other states. Western Australia is estimated to receive $</w:t>
                            </w:r>
                            <w:r w:rsidR="00E92A06">
                              <w:t>6</w:t>
                            </w:r>
                            <w:r w:rsidR="009808D9" w:rsidRPr="009808D9">
                              <w:t xml:space="preserve"> billion in additional</w:t>
                            </w:r>
                            <w:r w:rsidR="009808D9">
                              <w:t xml:space="preserve"> </w:t>
                            </w:r>
                            <w:r w:rsidR="005B21F0">
                              <w:t xml:space="preserve">GST payments in </w:t>
                            </w:r>
                            <w:r w:rsidR="005B21F0" w:rsidRPr="00362DFB">
                              <w:t>2025–</w:t>
                            </w:r>
                            <w:r w:rsidR="005B21F0" w:rsidRPr="00362DFB">
                              <w:rPr>
                                <w:rtl/>
                              </w:rPr>
                              <w:t>‍‍‍</w:t>
                            </w:r>
                            <w:r w:rsidR="005B21F0" w:rsidRPr="00362DFB">
                              <w:t>26</w:t>
                            </w:r>
                            <w:r w:rsidR="005B21F0">
                              <w:t xml:space="preserve"> than under the previous GST</w:t>
                            </w:r>
                            <w:r w:rsidR="00F947BF">
                              <w:t> </w:t>
                            </w:r>
                            <w:r w:rsidR="005B21F0">
                              <w:t xml:space="preserve">distribution arrangements. </w:t>
                            </w:r>
                            <w:r w:rsidR="003B00C0">
                              <w:t>T</w:t>
                            </w:r>
                            <w:r w:rsidR="005B21F0">
                              <w:t xml:space="preserve">he </w:t>
                            </w:r>
                            <w:r w:rsidR="005474B4">
                              <w:t>Australian</w:t>
                            </w:r>
                            <w:r w:rsidR="005B21F0">
                              <w:t xml:space="preserve"> Government’s no worse off guarantee will ameliorate the impact on the other states (see below).</w:t>
                            </w:r>
                          </w:p>
                          <w:p w14:paraId="71C89818" w14:textId="77777777" w:rsidR="00611FE1" w:rsidRDefault="00611FE1" w:rsidP="00611FE1"/>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E4AC1" id="Text Box 1030580337" o:spid="_x0000_s1031" type="#_x0000_t202" style="position:absolute;margin-left:0;margin-top:0;width:460.9pt;height:696.45pt;z-index:2516582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" fillcolor="#e5f8ff" strokecolor="white [3212]">
                <v:textbox>
                  <w:txbxContent>
                    <w:p w14:paraId="34058596" w14:textId="23DBE1DE" w:rsidR="00A11E05" w:rsidRDefault="00A11E05" w:rsidP="00A11E05">
                      <w:pPr>
                        <w:pStyle w:val="CGC2025Bullet1"/>
                      </w:pPr>
                      <w:r w:rsidRPr="00DC23FC">
                        <w:t>Legislat</w:t>
                      </w:r>
                      <w:r>
                        <w:t>ion – t</w:t>
                      </w:r>
                      <w:r w:rsidRPr="00DC23FC">
                        <w:t xml:space="preserve">he transition to using </w:t>
                      </w:r>
                      <w:r w:rsidRPr="0095123E">
                        <w:t xml:space="preserve">standard state </w:t>
                      </w:r>
                      <w:r w:rsidRPr="00386B56">
                        <w:t xml:space="preserve">relativities is </w:t>
                      </w:r>
                      <w:r>
                        <w:t>nearly</w:t>
                      </w:r>
                      <w:r w:rsidRPr="00386B56">
                        <w:t xml:space="preserve"> complete, with</w:t>
                      </w:r>
                      <w:r>
                        <w:t xml:space="preserve"> 2025–26</w:t>
                      </w:r>
                      <w:r w:rsidRPr="00386B56">
                        <w:t xml:space="preserve"> blended relativities based on five-sixths standard state relativities and one-sixth assessed relativities. </w:t>
                      </w:r>
                      <w:r w:rsidR="001B00A8">
                        <w:t xml:space="preserve">The GST floor also ensures </w:t>
                      </w:r>
                      <w:r w:rsidR="0089560A">
                        <w:t>e</w:t>
                      </w:r>
                      <w:r w:rsidRPr="00386B56">
                        <w:t>ach state’s GST relativity</w:t>
                      </w:r>
                      <w:r w:rsidRPr="00DC23FC">
                        <w:t xml:space="preserve"> must be at least 0.75.</w:t>
                      </w:r>
                      <w:r w:rsidRPr="009B406E">
                        <w:t xml:space="preserve"> </w:t>
                      </w:r>
                    </w:p>
                    <w:p w14:paraId="2F2D379C" w14:textId="734723E5" w:rsidR="00113C59" w:rsidRDefault="00113C59" w:rsidP="00113C59">
                      <w:r>
                        <w:t>Changes in states’ relative capacities to raise mining revenue were a major driver of changes in GST distribution for 2025–</w:t>
                      </w:r>
                      <w:r>
                        <w:rPr>
                          <w:rFonts w:ascii="Times New Roman" w:hAnsi="Times New Roman" w:cs="Times New Roman" w:hint="eastAsia"/>
                          <w:rtl/>
                        </w:rPr>
                        <w:t>‍</w:t>
                      </w:r>
                      <w:r>
                        <w:t xml:space="preserve">26. </w:t>
                      </w:r>
                      <w:r w:rsidRPr="00A257F0">
                        <w:t>The capacity for New South Wales and particularly Queensland to raise revenue through coal royalties increased between 2020–</w:t>
                      </w:r>
                      <w:r w:rsidRPr="00A257F0">
                        <w:rPr>
                          <w:rFonts w:ascii="Times New Roman" w:hAnsi="Times New Roman" w:cs="Times New Roman" w:hint="eastAsia"/>
                          <w:rtl/>
                        </w:rPr>
                        <w:t>‍</w:t>
                      </w:r>
                      <w:r w:rsidRPr="00A257F0">
                        <w:t xml:space="preserve">21 and 2023–24 due to higher coal prices and an increase in the average royalty rate. Because Queensland </w:t>
                      </w:r>
                      <w:r w:rsidR="00184F1E" w:rsidRPr="00A257F0">
                        <w:t>had a larger share of the production of high-value coal</w:t>
                      </w:r>
                      <w:r w:rsidRPr="00A257F0">
                        <w:t>, the increases in prices and royalties had a larger effect on its assessed</w:t>
                      </w:r>
                      <w:r w:rsidR="00254C33" w:rsidRPr="00A257F0">
                        <w:t xml:space="preserve"> GST needs</w:t>
                      </w:r>
                      <w:r w:rsidR="00AF6C8A" w:rsidRPr="00A257F0">
                        <w:t xml:space="preserve"> (see</w:t>
                      </w:r>
                      <w:r w:rsidR="00EB0162">
                        <w:t> </w:t>
                      </w:r>
                      <w:r w:rsidR="00AF6C8A" w:rsidRPr="00A257F0">
                        <w:t>Box</w:t>
                      </w:r>
                      <w:r w:rsidR="00C5181D">
                        <w:t> </w:t>
                      </w:r>
                      <w:r w:rsidR="00AF6C8A" w:rsidRPr="00A257F0">
                        <w:t>2-</w:t>
                      </w:r>
                      <w:r w:rsidR="00D83B15" w:rsidRPr="00A257F0">
                        <w:t>2</w:t>
                      </w:r>
                      <w:r w:rsidR="00AF6C8A" w:rsidRPr="00A257F0">
                        <w:t>)</w:t>
                      </w:r>
                      <w:r w:rsidR="00254C33" w:rsidRPr="00A257F0">
                        <w:t>.</w:t>
                      </w:r>
                    </w:p>
                    <w:p w14:paraId="5C43F5EB" w14:textId="507B5DFE" w:rsidR="00F14091" w:rsidRDefault="00F14091" w:rsidP="00113C59">
                      <w:r w:rsidRPr="00F14091">
                        <w:t xml:space="preserve">Changes in relative </w:t>
                      </w:r>
                      <w:r w:rsidR="0025263C">
                        <w:t xml:space="preserve">state </w:t>
                      </w:r>
                      <w:r w:rsidRPr="00F14091">
                        <w:t xml:space="preserve">population growth increased the assessed GST needs of Victoria. Victoria experienced negative population growth in 2020–21. Because this year </w:t>
                      </w:r>
                      <w:r w:rsidR="00E60A17">
                        <w:t xml:space="preserve">is </w:t>
                      </w:r>
                      <w:r w:rsidRPr="00F14091">
                        <w:t>no longer part of the 3-year average used for GST relativities, its population growth rate is significantly higher than in the 2024 Update (see Box 2-</w:t>
                      </w:r>
                      <w:r w:rsidR="00D83B15">
                        <w:t>3</w:t>
                      </w:r>
                      <w:r w:rsidRPr="00F14091">
                        <w:t>). This additional population growth increased its investment needs, particularly for urban transport.</w:t>
                      </w:r>
                    </w:p>
                    <w:p w14:paraId="1CFD5A97" w14:textId="525D1A0B" w:rsidR="00113C59" w:rsidRDefault="00221275" w:rsidP="00113C59">
                      <w:r>
                        <w:t>The net effect of c</w:t>
                      </w:r>
                      <w:r w:rsidR="00113C59">
                        <w:t xml:space="preserve">hanges in the assessment methods for COVID-19 health and business support expenses increased the assessed GST needs of New South Wales, Victoria and the ACT. Given that these expenses </w:t>
                      </w:r>
                      <w:r w:rsidR="00B45960">
                        <w:t xml:space="preserve">decreased </w:t>
                      </w:r>
                      <w:r w:rsidR="00113C59">
                        <w:t>after 2021–22, their impact on GST</w:t>
                      </w:r>
                      <w:r w:rsidR="00A210FC">
                        <w:t> </w:t>
                      </w:r>
                      <w:r w:rsidR="00113C59">
                        <w:t>distribution will significantly decline in future updates as the COVID-19 expenses fall outside the Commission’s assessment period.</w:t>
                      </w:r>
                    </w:p>
                    <w:p w14:paraId="3E8924FA" w14:textId="1D860FB3" w:rsidR="00113C59" w:rsidRPr="00E2195C" w:rsidRDefault="00113C59" w:rsidP="00113C59">
                      <w:r>
                        <w:t>As part of the 2025 Review, t</w:t>
                      </w:r>
                      <w:r w:rsidRPr="00A51F0E">
                        <w:t xml:space="preserve">he </w:t>
                      </w:r>
                      <w:r>
                        <w:t>C</w:t>
                      </w:r>
                      <w:r w:rsidRPr="00A51F0E">
                        <w:t xml:space="preserve">ommission made </w:t>
                      </w:r>
                      <w:r w:rsidRPr="00A257F0">
                        <w:t>changes to the model</w:t>
                      </w:r>
                      <w:r w:rsidRPr="00A51F0E">
                        <w:t xml:space="preserve"> used to estimate different wage pressures</w:t>
                      </w:r>
                      <w:r w:rsidR="005122FD">
                        <w:t xml:space="preserve"> across states</w:t>
                      </w:r>
                      <w:r w:rsidRPr="00A51F0E">
                        <w:t>.</w:t>
                      </w:r>
                      <w:r>
                        <w:t xml:space="preserve"> This increased the assessed GST needs of Victoria, South Australia, Tasmania and the ACT. </w:t>
                      </w:r>
                    </w:p>
                    <w:p w14:paraId="2E5C67A8" w14:textId="3D409B38" w:rsidR="00113C59" w:rsidRDefault="00113C59" w:rsidP="00113C59">
                      <w:r>
                        <w:t xml:space="preserve">Data revisions to natural disaster relief expenses increased the assessed GST needs of New South Wales. </w:t>
                      </w:r>
                      <w:r w:rsidRPr="002C39EB">
                        <w:t>A significant upward revision was made</w:t>
                      </w:r>
                      <w:r w:rsidR="001F5F9E">
                        <w:t xml:space="preserve"> by</w:t>
                      </w:r>
                      <w:r w:rsidRPr="002C39EB">
                        <w:t xml:space="preserve"> New South Wales</w:t>
                      </w:r>
                      <w:r w:rsidR="00F92FA2">
                        <w:t xml:space="preserve"> </w:t>
                      </w:r>
                      <w:r w:rsidR="001F5F9E">
                        <w:t xml:space="preserve">to its </w:t>
                      </w:r>
                      <w:r>
                        <w:t xml:space="preserve">expenses </w:t>
                      </w:r>
                      <w:r w:rsidRPr="002C39EB">
                        <w:t>in 2022</w:t>
                      </w:r>
                      <w:r>
                        <w:t>–</w:t>
                      </w:r>
                      <w:r w:rsidRPr="002C39EB">
                        <w:t>23, which was due to delay</w:t>
                      </w:r>
                      <w:r w:rsidR="00F40256">
                        <w:t>s</w:t>
                      </w:r>
                      <w:r w:rsidRPr="002C39EB">
                        <w:t xml:space="preserve"> in </w:t>
                      </w:r>
                      <w:r w:rsidR="00F40256">
                        <w:t>finalising costs</w:t>
                      </w:r>
                      <w:r>
                        <w:t xml:space="preserve"> for </w:t>
                      </w:r>
                      <w:r w:rsidRPr="006E539A">
                        <w:t>floods</w:t>
                      </w:r>
                      <w:r>
                        <w:t xml:space="preserve"> in </w:t>
                      </w:r>
                      <w:r w:rsidRPr="00362DFB">
                        <w:t xml:space="preserve">the </w:t>
                      </w:r>
                      <w:r w:rsidRPr="006E539A">
                        <w:t>Northern Rivers region</w:t>
                      </w:r>
                      <w:r w:rsidRPr="002C39EB">
                        <w:t>.</w:t>
                      </w:r>
                    </w:p>
                    <w:p w14:paraId="418F1989" w14:textId="4B938F21" w:rsidR="008B637E" w:rsidRPr="00A257F0" w:rsidRDefault="00C9432F" w:rsidP="008B637E">
                      <w:r>
                        <w:t xml:space="preserve">Under the 2018 GST </w:t>
                      </w:r>
                      <w:r w:rsidR="00523C66">
                        <w:t>distribution</w:t>
                      </w:r>
                      <w:r>
                        <w:t xml:space="preserve"> </w:t>
                      </w:r>
                      <w:r w:rsidR="00523C66">
                        <w:t>legislation</w:t>
                      </w:r>
                      <w:r>
                        <w:t xml:space="preserve">, </w:t>
                      </w:r>
                      <w:r w:rsidR="008B637E" w:rsidRPr="00362DFB">
                        <w:t>2025–</w:t>
                      </w:r>
                      <w:r w:rsidR="008B637E" w:rsidRPr="00362DFB">
                        <w:rPr>
                          <w:rFonts w:ascii="Times New Roman" w:hAnsi="Times New Roman" w:cs="Times New Roman"/>
                        </w:rPr>
                        <w:t>‍</w:t>
                      </w:r>
                      <w:r w:rsidR="008B637E" w:rsidRPr="00362DFB">
                        <w:t>26 is the fifth year in a 6-year</w:t>
                      </w:r>
                      <w:r w:rsidR="008B637E">
                        <w:t xml:space="preserve"> transition away from distributing the GST pool based solely on the Commission’s assessment of states’ relative fiscal capacities. At the end of the </w:t>
                      </w:r>
                      <w:r w:rsidR="00DD5F5E">
                        <w:t>6-year</w:t>
                      </w:r>
                      <w:r w:rsidR="00745F5D">
                        <w:t xml:space="preserve"> </w:t>
                      </w:r>
                      <w:r w:rsidR="005D344A">
                        <w:t>period</w:t>
                      </w:r>
                      <w:r w:rsidR="001B49AF">
                        <w:t xml:space="preserve"> (2026 Update)</w:t>
                      </w:r>
                      <w:r w:rsidR="008B637E">
                        <w:t>, the Commission’s assessment will be adjusted so that no state will have a GST relativity less than the lower of New South Wales or Victoria (referred to as the ‘standard state’).</w:t>
                      </w:r>
                      <w:r w:rsidR="00763575">
                        <w:t xml:space="preserve"> </w:t>
                      </w:r>
                      <w:r w:rsidR="00763575" w:rsidRPr="00A257F0">
                        <w:t>However, during th</w:t>
                      </w:r>
                      <w:r w:rsidR="00ED73D5" w:rsidRPr="00A257F0">
                        <w:t>e</w:t>
                      </w:r>
                      <w:r w:rsidR="00763575" w:rsidRPr="00A257F0">
                        <w:t xml:space="preserve"> transition, th</w:t>
                      </w:r>
                      <w:r w:rsidR="00B3650E" w:rsidRPr="00A257F0">
                        <w:t>e</w:t>
                      </w:r>
                      <w:r w:rsidR="00763575" w:rsidRPr="00A257F0">
                        <w:t xml:space="preserve"> standard state approach is blended with the previous approach (based solely on assessed relativities).</w:t>
                      </w:r>
                    </w:p>
                    <w:p w14:paraId="025F9498" w14:textId="32E24D10" w:rsidR="00A009F4" w:rsidRPr="00A009F4" w:rsidRDefault="00763575" w:rsidP="00427E9A">
                      <w:r w:rsidRPr="00A257F0">
                        <w:t>For the 2025–26 GST distribution, blended relativities are calculated using five-sixths of the standard state approach and one-sixth of the previous approach</w:t>
                      </w:r>
                      <w:r w:rsidR="008E5BB8" w:rsidRPr="00A257F0">
                        <w:t>.</w:t>
                      </w:r>
                      <w:r w:rsidRPr="00A257F0">
                        <w:t xml:space="preserve"> </w:t>
                      </w:r>
                      <w:r w:rsidR="0033694C" w:rsidRPr="00A257F0">
                        <w:t>Under the standard state approach, Queensland and Western Australia had their relativities increased to match that of the standard state, New South Wales, in each assessment year.</w:t>
                      </w:r>
                    </w:p>
                    <w:p w14:paraId="2912E096" w14:textId="05BD412D" w:rsidR="005B21F0" w:rsidRDefault="00EA5039" w:rsidP="005B21F0">
                      <w:r>
                        <w:t>Under t</w:t>
                      </w:r>
                      <w:r w:rsidR="009808D9" w:rsidRPr="009808D9">
                        <w:t xml:space="preserve">he GST distribution legislation, Western Australia’s relativity </w:t>
                      </w:r>
                      <w:r>
                        <w:t>was increased</w:t>
                      </w:r>
                      <w:r w:rsidR="009808D9" w:rsidRPr="009808D9">
                        <w:t xml:space="preserve"> to </w:t>
                      </w:r>
                      <w:r w:rsidR="005638A3">
                        <w:t xml:space="preserve">the floor of </w:t>
                      </w:r>
                      <w:r w:rsidR="009808D9" w:rsidRPr="009808D9">
                        <w:t>0.75</w:t>
                      </w:r>
                      <w:r w:rsidR="00510A8C">
                        <w:t>,</w:t>
                      </w:r>
                      <w:r w:rsidR="009808D9" w:rsidRPr="009808D9">
                        <w:t xml:space="preserve"> lowering the GST shares of the other states. Western Australia is estimated to receive $</w:t>
                      </w:r>
                      <w:r w:rsidR="00E92A06">
                        <w:t>6</w:t>
                      </w:r>
                      <w:r w:rsidR="009808D9" w:rsidRPr="009808D9">
                        <w:t xml:space="preserve"> billion in additional</w:t>
                      </w:r>
                      <w:r w:rsidR="009808D9">
                        <w:t xml:space="preserve"> </w:t>
                      </w:r>
                      <w:r w:rsidR="005B21F0">
                        <w:t xml:space="preserve">GST payments in </w:t>
                      </w:r>
                      <w:r w:rsidR="005B21F0" w:rsidRPr="00362DFB">
                        <w:t>2025–</w:t>
                      </w:r>
                      <w:r w:rsidR="005B21F0" w:rsidRPr="00362DFB">
                        <w:rPr>
                          <w:rtl/>
                        </w:rPr>
                        <w:t>‍‍‍</w:t>
                      </w:r>
                      <w:r w:rsidR="005B21F0" w:rsidRPr="00362DFB">
                        <w:t>26</w:t>
                      </w:r>
                      <w:r w:rsidR="005B21F0">
                        <w:t xml:space="preserve"> than under the previous GST</w:t>
                      </w:r>
                      <w:r w:rsidR="00F947BF">
                        <w:t> </w:t>
                      </w:r>
                      <w:r w:rsidR="005B21F0">
                        <w:t xml:space="preserve">distribution arrangements. </w:t>
                      </w:r>
                      <w:r w:rsidR="003B00C0">
                        <w:t>T</w:t>
                      </w:r>
                      <w:r w:rsidR="005B21F0">
                        <w:t xml:space="preserve">he </w:t>
                      </w:r>
                      <w:r w:rsidR="005474B4">
                        <w:t>Australian</w:t>
                      </w:r>
                      <w:r w:rsidR="005B21F0">
                        <w:t xml:space="preserve"> Government’s no worse off guarantee will ameliorate the impact on the other states (see below).</w:t>
                      </w:r>
                    </w:p>
                    <w:p w14:paraId="71C89818" w14:textId="77777777" w:rsidR="00611FE1" w:rsidRDefault="00611FE1" w:rsidP="00611FE1"/>
                  </w:txbxContent>
                </v:textbox>
                <w10:wrap type="square" anchorx="margin"/>
              </v:shape>
            </w:pict>
          </mc:Fallback>
        </mc:AlternateContent>
      </w:r>
      <w:r>
        <w:br w:type="page"/>
      </w:r>
      <w:bookmarkStart w:id="78" w:name="_Hlk187922652"/>
    </w:p>
    <w:p w14:paraId="5A5582B1" w14:textId="5C0F79A9" w:rsidR="009535D6" w:rsidRDefault="008F56EA" w:rsidP="009535D6">
      <w:pPr>
        <w:rPr>
          <w:rFonts w:eastAsia="Times New Roman" w:cs="Open Sans"/>
          <w:b/>
          <w:bCs/>
          <w:color w:val="006991"/>
          <w:sz w:val="36"/>
          <w:szCs w:val="36"/>
        </w:rPr>
      </w:pPr>
      <w:r>
        <w:rPr>
          <w:noProof/>
          <w:lang w:eastAsia="en-AU"/>
        </w:rPr>
        <w:lastRenderedPageBreak/>
        <mc:AlternateContent>
          <mc:Choice Requires="wps">
            <w:drawing>
              <wp:anchor distT="45720" distB="45720" distL="114300" distR="114300" simplePos="0" relativeHeight="251658247" behindDoc="0" locked="0" layoutInCell="1" allowOverlap="1" wp14:anchorId="0DA9EC1F" wp14:editId="4A1A49CB">
                <wp:simplePos x="0" y="0"/>
                <wp:positionH relativeFrom="margin">
                  <wp:align>left</wp:align>
                </wp:positionH>
                <wp:positionV relativeFrom="paragraph">
                  <wp:posOffset>0</wp:posOffset>
                </wp:positionV>
                <wp:extent cx="5853600" cy="8845200"/>
                <wp:effectExtent l="0" t="0" r="13970" b="13335"/>
                <wp:wrapSquare wrapText="bothSides"/>
                <wp:docPr id="2140234510" name="Text Box 2140234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600" cy="8845200"/>
                        </a:xfrm>
                        <a:prstGeom prst="rect">
                          <a:avLst/>
                        </a:prstGeom>
                        <a:solidFill>
                          <a:srgbClr val="E5F8FF"/>
                        </a:solidFill>
                        <a:ln w="9525">
                          <a:solidFill>
                            <a:sysClr val="window" lastClr="FFFFFF"/>
                          </a:solidFill>
                          <a:miter lim="800000"/>
                          <a:headEnd/>
                          <a:tailEnd/>
                        </a:ln>
                      </wps:spPr>
                      <wps:txbx>
                        <w:txbxContent>
                          <w:p w14:paraId="313750C7" w14:textId="77777777" w:rsidR="00A11E05" w:rsidRDefault="00A11E05" w:rsidP="00994767">
                            <w:pPr>
                              <w:pStyle w:val="HeadingBox-Level2"/>
                            </w:pPr>
                            <w:bookmarkStart w:id="79" w:name="_Toc190780920"/>
                            <w:r>
                              <w:t>Estimated total GST-related payments</w:t>
                            </w:r>
                            <w:bookmarkEnd w:id="79"/>
                          </w:p>
                          <w:p w14:paraId="3222C08E" w14:textId="0EA5BA2C" w:rsidR="00A11E05" w:rsidRDefault="00A11E05" w:rsidP="00A11E05">
                            <w:r>
                              <w:t xml:space="preserve">A state that was worse off </w:t>
                            </w:r>
                            <w:r w:rsidRPr="00362DFB">
                              <w:t xml:space="preserve">in </w:t>
                            </w:r>
                            <w:r>
                              <w:t xml:space="preserve">the distribution of GST in </w:t>
                            </w:r>
                            <w:r w:rsidRPr="00362DFB">
                              <w:t>2025–26 (</w:t>
                            </w:r>
                            <w:r>
                              <w:t>compared with the previous GST distribution arrangements) could expect a no worse off payment from the Commonwealth similar to that shown in the table below. All states except Western</w:t>
                            </w:r>
                            <w:r w:rsidR="00F947BF">
                              <w:t> </w:t>
                            </w:r>
                            <w:r>
                              <w:t xml:space="preserve">Australia are estimated to receive a no worse off payment in </w:t>
                            </w:r>
                            <w:r w:rsidRPr="00362DFB">
                              <w:t>2025–26.</w:t>
                            </w:r>
                          </w:p>
                          <w:p w14:paraId="62D2CB3D" w14:textId="60C0EB55" w:rsidR="00F14091" w:rsidRPr="00F14091" w:rsidRDefault="00F14091" w:rsidP="00F14091">
                            <w:r w:rsidRPr="00F14091">
                              <w:t>In determining whether a state is worse off under the 2018 GST distribution legislation, allowance is made for the extent to which a state has gained from Commonwealth top</w:t>
                            </w:r>
                            <w:r w:rsidR="004250F3">
                              <w:noBreakHyphen/>
                            </w:r>
                            <w:r w:rsidRPr="00F14091">
                              <w:t>ups to the GST pool.</w:t>
                            </w:r>
                          </w:p>
                          <w:p w14:paraId="2E6B4C42" w14:textId="2EAA7E03" w:rsidR="00113C59" w:rsidRPr="00D855E5" w:rsidRDefault="00113C59" w:rsidP="00113C59">
                            <w:pPr>
                              <w:rPr>
                                <w:i/>
                                <w:iCs/>
                              </w:rPr>
                            </w:pPr>
                            <w:r>
                              <w:t xml:space="preserve">Queensland’s estimated no worse off payment for 2025–26 is significantly smaller than in previous years. </w:t>
                            </w:r>
                            <w:r w:rsidRPr="004E6F7D">
                              <w:t>This is because</w:t>
                            </w:r>
                            <w:r w:rsidR="007C5243" w:rsidRPr="004E6F7D">
                              <w:t>, f</w:t>
                            </w:r>
                            <w:r w:rsidR="00E14CC5" w:rsidRPr="004E6F7D">
                              <w:t>o</w:t>
                            </w:r>
                            <w:r w:rsidR="007C5243" w:rsidRPr="004E6F7D">
                              <w:t>r 2025</w:t>
                            </w:r>
                            <w:r w:rsidR="001B5020" w:rsidRPr="004E6F7D">
                              <w:t>–</w:t>
                            </w:r>
                            <w:r w:rsidR="007C5243" w:rsidRPr="004E6F7D">
                              <w:t>26,</w:t>
                            </w:r>
                            <w:r w:rsidRPr="004E6F7D">
                              <w:t xml:space="preserve"> Queensland </w:t>
                            </w:r>
                            <w:r w:rsidR="00DC017E" w:rsidRPr="004E6F7D">
                              <w:t>benefited from</w:t>
                            </w:r>
                            <w:r w:rsidR="0014741C" w:rsidRPr="004E6F7D">
                              <w:t xml:space="preserve"> </w:t>
                            </w:r>
                            <w:r w:rsidR="008C3915" w:rsidRPr="004E6F7D">
                              <w:t>having its</w:t>
                            </w:r>
                            <w:r w:rsidR="00261D7A" w:rsidRPr="004E6F7D">
                              <w:t xml:space="preserve"> relativity</w:t>
                            </w:r>
                            <w:r w:rsidR="0014741C" w:rsidRPr="004E6F7D">
                              <w:t xml:space="preserve"> lifted </w:t>
                            </w:r>
                            <w:r w:rsidR="00D843FC" w:rsidRPr="004E6F7D">
                              <w:t>to</w:t>
                            </w:r>
                            <w:r w:rsidR="00DC017E" w:rsidRPr="004E6F7D">
                              <w:t xml:space="preserve"> </w:t>
                            </w:r>
                            <w:r w:rsidR="00261D7A" w:rsidRPr="004E6F7D">
                              <w:t xml:space="preserve">that of </w:t>
                            </w:r>
                            <w:r w:rsidR="00C82CA8" w:rsidRPr="004E6F7D">
                              <w:t xml:space="preserve">New South Wales </w:t>
                            </w:r>
                            <w:r w:rsidR="005749ED" w:rsidRPr="004E6F7D">
                              <w:t xml:space="preserve">under </w:t>
                            </w:r>
                            <w:r w:rsidR="004305A9" w:rsidRPr="004E6F7D">
                              <w:t>the standard state</w:t>
                            </w:r>
                            <w:r w:rsidR="005749ED" w:rsidRPr="004E6F7D">
                              <w:t xml:space="preserve"> approach</w:t>
                            </w:r>
                            <w:r w:rsidR="00351E8C" w:rsidRPr="004E6F7D">
                              <w:t xml:space="preserve">. </w:t>
                            </w:r>
                            <w:r w:rsidRPr="004E6F7D">
                              <w:t xml:space="preserve">However, this benefit was more than offset </w:t>
                            </w:r>
                            <w:r w:rsidR="00412DDB" w:rsidRPr="004E6F7D">
                              <w:t xml:space="preserve">by </w:t>
                            </w:r>
                            <w:r w:rsidRPr="004E6F7D">
                              <w:t>the reduction in Queensland’s relativity as a consequence of lifting Western</w:t>
                            </w:r>
                            <w:r w:rsidR="005A7029" w:rsidRPr="004E6F7D">
                              <w:t> </w:t>
                            </w:r>
                            <w:r w:rsidRPr="004E6F7D">
                              <w:t xml:space="preserve">Australia’s relativity </w:t>
                            </w:r>
                            <w:r w:rsidR="00E40AFF" w:rsidRPr="004E6F7D">
                              <w:t>under the standard state approach</w:t>
                            </w:r>
                            <w:r w:rsidRPr="004E6F7D">
                              <w:t xml:space="preserve"> and applying the 0.75 floor.</w:t>
                            </w:r>
                            <w:r w:rsidR="001A6967" w:rsidRPr="004E6F7D">
                              <w:t xml:space="preserve"> </w:t>
                            </w:r>
                            <w:r w:rsidR="00E47326" w:rsidRPr="004E6F7D">
                              <w:t>In effect</w:t>
                            </w:r>
                            <w:r w:rsidR="00384510" w:rsidRPr="004E6F7D">
                              <w:t>,</w:t>
                            </w:r>
                            <w:r w:rsidR="001A6967" w:rsidRPr="004E6F7D">
                              <w:t xml:space="preserve"> </w:t>
                            </w:r>
                            <w:r w:rsidR="00FD4470" w:rsidRPr="004E6F7D">
                              <w:t>Queensland</w:t>
                            </w:r>
                            <w:r w:rsidR="00F332AF" w:rsidRPr="004E6F7D">
                              <w:t>’s relat</w:t>
                            </w:r>
                            <w:r w:rsidR="0041384A" w:rsidRPr="004E6F7D">
                              <w:t>ivity was reduced less</w:t>
                            </w:r>
                            <w:r w:rsidR="00FD4470" w:rsidRPr="004E6F7D">
                              <w:t xml:space="preserve"> than other states </w:t>
                            </w:r>
                            <w:r w:rsidR="00BB3DBE" w:rsidRPr="004E6F7D">
                              <w:t>when</w:t>
                            </w:r>
                            <w:r w:rsidR="00A21BF8" w:rsidRPr="004E6F7D">
                              <w:t xml:space="preserve"> lifting Western</w:t>
                            </w:r>
                            <w:r w:rsidR="00B33856" w:rsidRPr="004E6F7D">
                              <w:t> </w:t>
                            </w:r>
                            <w:r w:rsidR="00A21BF8" w:rsidRPr="004E6F7D">
                              <w:t>Australia’s relativity</w:t>
                            </w:r>
                            <w:r w:rsidR="00CF34B1" w:rsidRPr="004E6F7D">
                              <w:t xml:space="preserve"> (see Table A-1</w:t>
                            </w:r>
                            <w:r w:rsidR="006F36F6" w:rsidRPr="004E6F7D">
                              <w:t xml:space="preserve"> in Attachment A</w:t>
                            </w:r>
                            <w:r w:rsidR="00CF34B1" w:rsidRPr="004E6F7D">
                              <w:t>).</w:t>
                            </w:r>
                            <w:r w:rsidRPr="004E6F7D">
                              <w:t xml:space="preserve"> As a result, Queensland is still estimated to receive a no worse off payment.</w:t>
                            </w:r>
                          </w:p>
                          <w:p w14:paraId="55A6905F" w14:textId="2B4AF96D" w:rsidR="008F56EA" w:rsidRPr="00F438B0" w:rsidRDefault="008F56EA" w:rsidP="000E5201">
                            <w:pPr>
                              <w:pStyle w:val="CGC2025Caption"/>
                            </w:pPr>
                            <w:r w:rsidRPr="00F438B0">
                              <w:t>Estimated total payments to the states from GST distribution and no worse off payments</w:t>
                            </w:r>
                          </w:p>
                          <w:tbl>
                            <w:tblPr>
                              <w:tblW w:w="8940" w:type="dxa"/>
                              <w:tblLook w:val="04A0" w:firstRow="1" w:lastRow="0" w:firstColumn="1" w:lastColumn="0" w:noHBand="0" w:noVBand="1"/>
                            </w:tblPr>
                            <w:tblGrid>
                              <w:gridCol w:w="2373"/>
                              <w:gridCol w:w="720"/>
                              <w:gridCol w:w="720"/>
                              <w:gridCol w:w="720"/>
                              <w:gridCol w:w="720"/>
                              <w:gridCol w:w="720"/>
                              <w:gridCol w:w="720"/>
                              <w:gridCol w:w="720"/>
                              <w:gridCol w:w="720"/>
                              <w:gridCol w:w="807"/>
                            </w:tblGrid>
                            <w:tr w:rsidR="001A4EBE" w:rsidRPr="001A4EBE" w14:paraId="3A8BAE40" w14:textId="77777777" w:rsidTr="001A4EBE">
                              <w:trPr>
                                <w:trHeight w:val="379"/>
                              </w:trPr>
                              <w:tc>
                                <w:tcPr>
                                  <w:tcW w:w="2460" w:type="dxa"/>
                                  <w:tcBorders>
                                    <w:top w:val="nil"/>
                                    <w:left w:val="nil"/>
                                    <w:bottom w:val="nil"/>
                                    <w:right w:val="nil"/>
                                  </w:tcBorders>
                                  <w:shd w:val="clear" w:color="000000" w:fill="006991"/>
                                  <w:vAlign w:val="bottom"/>
                                  <w:hideMark/>
                                </w:tcPr>
                                <w:p w14:paraId="0CA353FD" w14:textId="77777777" w:rsidR="001A4EBE" w:rsidRPr="001A4EBE" w:rsidRDefault="001A4EBE" w:rsidP="001A4EBE">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80" w:name="RANGE!A4:J17"/>
                                  <w:r w:rsidRPr="001A4EBE">
                                    <w:rPr>
                                      <w:rFonts w:ascii="Open Sans Semibold" w:eastAsia="Times New Roman" w:hAnsi="Open Sans Semibold" w:cs="Open Sans Semibold"/>
                                      <w:color w:val="FFFFFF"/>
                                      <w:sz w:val="16"/>
                                      <w:szCs w:val="16"/>
                                      <w:lang w:eastAsia="en-AU"/>
                                    </w:rPr>
                                    <w:t> </w:t>
                                  </w:r>
                                  <w:bookmarkEnd w:id="80"/>
                                </w:p>
                              </w:tc>
                              <w:tc>
                                <w:tcPr>
                                  <w:tcW w:w="720" w:type="dxa"/>
                                  <w:tcBorders>
                                    <w:top w:val="nil"/>
                                    <w:left w:val="nil"/>
                                    <w:bottom w:val="nil"/>
                                    <w:right w:val="nil"/>
                                  </w:tcBorders>
                                  <w:shd w:val="clear" w:color="000000" w:fill="006991"/>
                                  <w:vAlign w:val="center"/>
                                  <w:hideMark/>
                                </w:tcPr>
                                <w:p w14:paraId="70D9C97A"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NSW</w:t>
                                  </w:r>
                                </w:p>
                              </w:tc>
                              <w:tc>
                                <w:tcPr>
                                  <w:tcW w:w="720" w:type="dxa"/>
                                  <w:tcBorders>
                                    <w:top w:val="nil"/>
                                    <w:left w:val="nil"/>
                                    <w:bottom w:val="nil"/>
                                    <w:right w:val="nil"/>
                                  </w:tcBorders>
                                  <w:shd w:val="clear" w:color="000000" w:fill="006991"/>
                                  <w:vAlign w:val="center"/>
                                  <w:hideMark/>
                                </w:tcPr>
                                <w:p w14:paraId="6E1352D7"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Vic</w:t>
                                  </w:r>
                                </w:p>
                              </w:tc>
                              <w:tc>
                                <w:tcPr>
                                  <w:tcW w:w="720" w:type="dxa"/>
                                  <w:tcBorders>
                                    <w:top w:val="nil"/>
                                    <w:left w:val="nil"/>
                                    <w:bottom w:val="nil"/>
                                    <w:right w:val="nil"/>
                                  </w:tcBorders>
                                  <w:shd w:val="clear" w:color="000000" w:fill="006991"/>
                                  <w:vAlign w:val="center"/>
                                  <w:hideMark/>
                                </w:tcPr>
                                <w:p w14:paraId="765DF651"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Qld</w:t>
                                  </w:r>
                                </w:p>
                              </w:tc>
                              <w:tc>
                                <w:tcPr>
                                  <w:tcW w:w="720" w:type="dxa"/>
                                  <w:tcBorders>
                                    <w:top w:val="nil"/>
                                    <w:left w:val="nil"/>
                                    <w:bottom w:val="nil"/>
                                    <w:right w:val="nil"/>
                                  </w:tcBorders>
                                  <w:shd w:val="clear" w:color="000000" w:fill="006991"/>
                                  <w:vAlign w:val="center"/>
                                  <w:hideMark/>
                                </w:tcPr>
                                <w:p w14:paraId="0DBF7724"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WA</w:t>
                                  </w:r>
                                </w:p>
                              </w:tc>
                              <w:tc>
                                <w:tcPr>
                                  <w:tcW w:w="720" w:type="dxa"/>
                                  <w:tcBorders>
                                    <w:top w:val="nil"/>
                                    <w:left w:val="nil"/>
                                    <w:bottom w:val="nil"/>
                                    <w:right w:val="nil"/>
                                  </w:tcBorders>
                                  <w:shd w:val="clear" w:color="000000" w:fill="006991"/>
                                  <w:vAlign w:val="center"/>
                                  <w:hideMark/>
                                </w:tcPr>
                                <w:p w14:paraId="054A6158"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SA</w:t>
                                  </w:r>
                                </w:p>
                              </w:tc>
                              <w:tc>
                                <w:tcPr>
                                  <w:tcW w:w="720" w:type="dxa"/>
                                  <w:tcBorders>
                                    <w:top w:val="nil"/>
                                    <w:left w:val="nil"/>
                                    <w:bottom w:val="nil"/>
                                    <w:right w:val="nil"/>
                                  </w:tcBorders>
                                  <w:shd w:val="clear" w:color="000000" w:fill="006991"/>
                                  <w:vAlign w:val="center"/>
                                  <w:hideMark/>
                                </w:tcPr>
                                <w:p w14:paraId="11852877"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Tas</w:t>
                                  </w:r>
                                </w:p>
                              </w:tc>
                              <w:tc>
                                <w:tcPr>
                                  <w:tcW w:w="720" w:type="dxa"/>
                                  <w:tcBorders>
                                    <w:top w:val="nil"/>
                                    <w:left w:val="nil"/>
                                    <w:bottom w:val="nil"/>
                                    <w:right w:val="nil"/>
                                  </w:tcBorders>
                                  <w:shd w:val="clear" w:color="000000" w:fill="006991"/>
                                  <w:vAlign w:val="center"/>
                                  <w:hideMark/>
                                </w:tcPr>
                                <w:p w14:paraId="3C6E1940"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ACT</w:t>
                                  </w:r>
                                </w:p>
                              </w:tc>
                              <w:tc>
                                <w:tcPr>
                                  <w:tcW w:w="720" w:type="dxa"/>
                                  <w:tcBorders>
                                    <w:top w:val="nil"/>
                                    <w:left w:val="nil"/>
                                    <w:bottom w:val="nil"/>
                                    <w:right w:val="nil"/>
                                  </w:tcBorders>
                                  <w:shd w:val="clear" w:color="000000" w:fill="006991"/>
                                  <w:vAlign w:val="center"/>
                                  <w:hideMark/>
                                </w:tcPr>
                                <w:p w14:paraId="66CB72AE"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NT</w:t>
                                  </w:r>
                                </w:p>
                              </w:tc>
                              <w:tc>
                                <w:tcPr>
                                  <w:tcW w:w="720" w:type="dxa"/>
                                  <w:tcBorders>
                                    <w:top w:val="nil"/>
                                    <w:left w:val="nil"/>
                                    <w:bottom w:val="nil"/>
                                    <w:right w:val="nil"/>
                                  </w:tcBorders>
                                  <w:shd w:val="clear" w:color="000000" w:fill="006991"/>
                                  <w:vAlign w:val="center"/>
                                  <w:hideMark/>
                                </w:tcPr>
                                <w:p w14:paraId="25FB7386"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Total</w:t>
                                  </w:r>
                                </w:p>
                              </w:tc>
                            </w:tr>
                            <w:tr w:rsidR="001A4EBE" w:rsidRPr="001A4EBE" w14:paraId="1D528ECD" w14:textId="77777777" w:rsidTr="001A4EBE">
                              <w:trPr>
                                <w:trHeight w:val="259"/>
                              </w:trPr>
                              <w:tc>
                                <w:tcPr>
                                  <w:tcW w:w="2460" w:type="dxa"/>
                                  <w:tcBorders>
                                    <w:top w:val="single" w:sz="4" w:space="0" w:color="ADD6EA"/>
                                    <w:left w:val="nil"/>
                                    <w:bottom w:val="nil"/>
                                    <w:right w:val="nil"/>
                                  </w:tcBorders>
                                  <w:shd w:val="clear" w:color="000000" w:fill="B6D5E4"/>
                                  <w:vAlign w:val="bottom"/>
                                  <w:hideMark/>
                                </w:tcPr>
                                <w:p w14:paraId="1BA8AD89" w14:textId="77777777" w:rsidR="001A4EBE" w:rsidRPr="001A4EBE" w:rsidRDefault="001A4EBE" w:rsidP="001A4EBE">
                                  <w:pPr>
                                    <w:tabs>
                                      <w:tab w:val="clear" w:pos="567"/>
                                    </w:tabs>
                                    <w:spacing w:before="0" w:line="240" w:lineRule="auto"/>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noWrap/>
                                  <w:vAlign w:val="center"/>
                                  <w:hideMark/>
                                </w:tcPr>
                                <w:p w14:paraId="311623E8"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396C4B88"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0A9A687E"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60A75335"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0E300341"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62F996C6"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1C1A12AF"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2F4B7481"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7CC143CA"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r>
                            <w:tr w:rsidR="001A4EBE" w:rsidRPr="001A4EBE" w14:paraId="551902DD"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033D100A" w14:textId="77777777" w:rsidR="001A4EBE" w:rsidRPr="001A4EBE" w:rsidRDefault="001A4EBE" w:rsidP="001A4EBE">
                                  <w:pPr>
                                    <w:tabs>
                                      <w:tab w:val="clear" w:pos="567"/>
                                    </w:tabs>
                                    <w:spacing w:before="0" w:line="240" w:lineRule="auto"/>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2024-25</w:t>
                                  </w:r>
                                </w:p>
                              </w:tc>
                              <w:tc>
                                <w:tcPr>
                                  <w:tcW w:w="720" w:type="dxa"/>
                                  <w:tcBorders>
                                    <w:top w:val="single" w:sz="4" w:space="0" w:color="ADD6EA"/>
                                    <w:left w:val="nil"/>
                                    <w:bottom w:val="nil"/>
                                    <w:right w:val="nil"/>
                                  </w:tcBorders>
                                  <w:shd w:val="clear" w:color="000000" w:fill="FFFFFF"/>
                                  <w:noWrap/>
                                  <w:vAlign w:val="center"/>
                                  <w:hideMark/>
                                </w:tcPr>
                                <w:p w14:paraId="589D00A2"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1A2E3F1E"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7B381A77"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325C4CC1"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19F955F7"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0D63B402"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44FD6AF2"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48FCA4EC"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1F4FD7DD"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r>
                            <w:tr w:rsidR="001A4EBE" w:rsidRPr="001A4EBE" w14:paraId="6F15D912"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3B8FC05C" w14:textId="77777777" w:rsidR="001A4EBE" w:rsidRPr="001A4EBE" w:rsidRDefault="001A4EBE" w:rsidP="001A4EB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Total GST distribution</w:t>
                                  </w:r>
                                </w:p>
                              </w:tc>
                              <w:tc>
                                <w:tcPr>
                                  <w:tcW w:w="720" w:type="dxa"/>
                                  <w:tcBorders>
                                    <w:top w:val="single" w:sz="4" w:space="0" w:color="ADD6EA"/>
                                    <w:left w:val="nil"/>
                                    <w:bottom w:val="nil"/>
                                    <w:right w:val="nil"/>
                                  </w:tcBorders>
                                  <w:shd w:val="clear" w:color="000000" w:fill="FFFFFF"/>
                                  <w:noWrap/>
                                  <w:vAlign w:val="center"/>
                                  <w:hideMark/>
                                </w:tcPr>
                                <w:p w14:paraId="14D36EB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24,540</w:t>
                                  </w:r>
                                </w:p>
                              </w:tc>
                              <w:tc>
                                <w:tcPr>
                                  <w:tcW w:w="720" w:type="dxa"/>
                                  <w:tcBorders>
                                    <w:top w:val="single" w:sz="4" w:space="0" w:color="ADD6EA"/>
                                    <w:left w:val="nil"/>
                                    <w:bottom w:val="nil"/>
                                    <w:right w:val="nil"/>
                                  </w:tcBorders>
                                  <w:shd w:val="clear" w:color="000000" w:fill="FFFFFF"/>
                                  <w:noWrap/>
                                  <w:vAlign w:val="center"/>
                                  <w:hideMark/>
                                </w:tcPr>
                                <w:p w14:paraId="0E4B9F3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22,491</w:t>
                                  </w:r>
                                </w:p>
                              </w:tc>
                              <w:tc>
                                <w:tcPr>
                                  <w:tcW w:w="720" w:type="dxa"/>
                                  <w:tcBorders>
                                    <w:top w:val="single" w:sz="4" w:space="0" w:color="ADD6EA"/>
                                    <w:left w:val="nil"/>
                                    <w:bottom w:val="nil"/>
                                    <w:right w:val="nil"/>
                                  </w:tcBorders>
                                  <w:shd w:val="clear" w:color="000000" w:fill="FFFFFF"/>
                                  <w:noWrap/>
                                  <w:vAlign w:val="center"/>
                                  <w:hideMark/>
                                </w:tcPr>
                                <w:p w14:paraId="06283CC1"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17,751</w:t>
                                  </w:r>
                                </w:p>
                              </w:tc>
                              <w:tc>
                                <w:tcPr>
                                  <w:tcW w:w="720" w:type="dxa"/>
                                  <w:tcBorders>
                                    <w:top w:val="single" w:sz="4" w:space="0" w:color="ADD6EA"/>
                                    <w:left w:val="nil"/>
                                    <w:bottom w:val="nil"/>
                                    <w:right w:val="nil"/>
                                  </w:tcBorders>
                                  <w:shd w:val="clear" w:color="000000" w:fill="FFFFFF"/>
                                  <w:noWrap/>
                                  <w:vAlign w:val="center"/>
                                  <w:hideMark/>
                                </w:tcPr>
                                <w:p w14:paraId="50AF72EE"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7,435</w:t>
                                  </w:r>
                                </w:p>
                              </w:tc>
                              <w:tc>
                                <w:tcPr>
                                  <w:tcW w:w="720" w:type="dxa"/>
                                  <w:tcBorders>
                                    <w:top w:val="single" w:sz="4" w:space="0" w:color="ADD6EA"/>
                                    <w:left w:val="nil"/>
                                    <w:bottom w:val="nil"/>
                                    <w:right w:val="nil"/>
                                  </w:tcBorders>
                                  <w:shd w:val="clear" w:color="000000" w:fill="FFFFFF"/>
                                  <w:noWrap/>
                                  <w:vAlign w:val="center"/>
                                  <w:hideMark/>
                                </w:tcPr>
                                <w:p w14:paraId="75D904D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8,753</w:t>
                                  </w:r>
                                </w:p>
                              </w:tc>
                              <w:tc>
                                <w:tcPr>
                                  <w:tcW w:w="720" w:type="dxa"/>
                                  <w:tcBorders>
                                    <w:top w:val="single" w:sz="4" w:space="0" w:color="ADD6EA"/>
                                    <w:left w:val="nil"/>
                                    <w:bottom w:val="nil"/>
                                    <w:right w:val="nil"/>
                                  </w:tcBorders>
                                  <w:shd w:val="clear" w:color="000000" w:fill="FFFFFF"/>
                                  <w:noWrap/>
                                  <w:vAlign w:val="center"/>
                                  <w:hideMark/>
                                </w:tcPr>
                                <w:p w14:paraId="219C0AB8"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3,484</w:t>
                                  </w:r>
                                </w:p>
                              </w:tc>
                              <w:tc>
                                <w:tcPr>
                                  <w:tcW w:w="720" w:type="dxa"/>
                                  <w:tcBorders>
                                    <w:top w:val="single" w:sz="4" w:space="0" w:color="ADD6EA"/>
                                    <w:left w:val="nil"/>
                                    <w:bottom w:val="nil"/>
                                    <w:right w:val="nil"/>
                                  </w:tcBorders>
                                  <w:shd w:val="clear" w:color="000000" w:fill="FFFFFF"/>
                                  <w:noWrap/>
                                  <w:vAlign w:val="center"/>
                                  <w:hideMark/>
                                </w:tcPr>
                                <w:p w14:paraId="7A54017E"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1,899</w:t>
                                  </w:r>
                                </w:p>
                              </w:tc>
                              <w:tc>
                                <w:tcPr>
                                  <w:tcW w:w="720" w:type="dxa"/>
                                  <w:tcBorders>
                                    <w:top w:val="single" w:sz="4" w:space="0" w:color="ADD6EA"/>
                                    <w:left w:val="nil"/>
                                    <w:bottom w:val="nil"/>
                                    <w:right w:val="nil"/>
                                  </w:tcBorders>
                                  <w:shd w:val="clear" w:color="000000" w:fill="FFFFFF"/>
                                  <w:noWrap/>
                                  <w:vAlign w:val="center"/>
                                  <w:hideMark/>
                                </w:tcPr>
                                <w:p w14:paraId="03CA3803"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4,279</w:t>
                                  </w:r>
                                </w:p>
                              </w:tc>
                              <w:tc>
                                <w:tcPr>
                                  <w:tcW w:w="720" w:type="dxa"/>
                                  <w:tcBorders>
                                    <w:top w:val="single" w:sz="4" w:space="0" w:color="ADD6EA"/>
                                    <w:left w:val="nil"/>
                                    <w:bottom w:val="nil"/>
                                    <w:right w:val="nil"/>
                                  </w:tcBorders>
                                  <w:shd w:val="clear" w:color="000000" w:fill="FFFFFF"/>
                                  <w:noWrap/>
                                  <w:vAlign w:val="center"/>
                                  <w:hideMark/>
                                </w:tcPr>
                                <w:p w14:paraId="7FD37AA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90,631</w:t>
                                  </w:r>
                                </w:p>
                              </w:tc>
                            </w:tr>
                            <w:tr w:rsidR="001A4EBE" w:rsidRPr="001A4EBE" w14:paraId="2EF8C48A"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3435778F" w14:textId="77777777" w:rsidR="001A4EBE" w:rsidRPr="001A4EBE" w:rsidRDefault="001A4EBE" w:rsidP="001A4EB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No worse off payments</w:t>
                                  </w:r>
                                </w:p>
                              </w:tc>
                              <w:tc>
                                <w:tcPr>
                                  <w:tcW w:w="720" w:type="dxa"/>
                                  <w:tcBorders>
                                    <w:top w:val="single" w:sz="4" w:space="0" w:color="ADD6EA"/>
                                    <w:left w:val="nil"/>
                                    <w:bottom w:val="nil"/>
                                    <w:right w:val="nil"/>
                                  </w:tcBorders>
                                  <w:shd w:val="clear" w:color="000000" w:fill="FFFFFF"/>
                                  <w:noWrap/>
                                  <w:vAlign w:val="center"/>
                                  <w:hideMark/>
                                </w:tcPr>
                                <w:p w14:paraId="023871B5"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1,879</w:t>
                                  </w:r>
                                </w:p>
                              </w:tc>
                              <w:tc>
                                <w:tcPr>
                                  <w:tcW w:w="720" w:type="dxa"/>
                                  <w:tcBorders>
                                    <w:top w:val="single" w:sz="4" w:space="0" w:color="ADD6EA"/>
                                    <w:left w:val="nil"/>
                                    <w:bottom w:val="nil"/>
                                    <w:right w:val="nil"/>
                                  </w:tcBorders>
                                  <w:shd w:val="clear" w:color="000000" w:fill="FFFFFF"/>
                                  <w:noWrap/>
                                  <w:vAlign w:val="center"/>
                                  <w:hideMark/>
                                </w:tcPr>
                                <w:p w14:paraId="4A6EEE8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1,551</w:t>
                                  </w:r>
                                </w:p>
                              </w:tc>
                              <w:tc>
                                <w:tcPr>
                                  <w:tcW w:w="720" w:type="dxa"/>
                                  <w:tcBorders>
                                    <w:top w:val="single" w:sz="4" w:space="0" w:color="ADD6EA"/>
                                    <w:left w:val="nil"/>
                                    <w:bottom w:val="nil"/>
                                    <w:right w:val="nil"/>
                                  </w:tcBorders>
                                  <w:shd w:val="clear" w:color="000000" w:fill="FFFFFF"/>
                                  <w:noWrap/>
                                  <w:vAlign w:val="center"/>
                                  <w:hideMark/>
                                </w:tcPr>
                                <w:p w14:paraId="1CC21069"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1,228</w:t>
                                  </w:r>
                                </w:p>
                              </w:tc>
                              <w:tc>
                                <w:tcPr>
                                  <w:tcW w:w="720" w:type="dxa"/>
                                  <w:tcBorders>
                                    <w:top w:val="single" w:sz="4" w:space="0" w:color="ADD6EA"/>
                                    <w:left w:val="nil"/>
                                    <w:bottom w:val="nil"/>
                                    <w:right w:val="nil"/>
                                  </w:tcBorders>
                                  <w:shd w:val="clear" w:color="000000" w:fill="FFFFFF"/>
                                  <w:noWrap/>
                                  <w:vAlign w:val="center"/>
                                  <w:hideMark/>
                                </w:tcPr>
                                <w:p w14:paraId="5BFC4251"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0</w:t>
                                  </w:r>
                                </w:p>
                              </w:tc>
                              <w:tc>
                                <w:tcPr>
                                  <w:tcW w:w="720" w:type="dxa"/>
                                  <w:tcBorders>
                                    <w:top w:val="single" w:sz="4" w:space="0" w:color="ADD6EA"/>
                                    <w:left w:val="nil"/>
                                    <w:bottom w:val="nil"/>
                                    <w:right w:val="nil"/>
                                  </w:tcBorders>
                                  <w:shd w:val="clear" w:color="000000" w:fill="FFFFFF"/>
                                  <w:noWrap/>
                                  <w:vAlign w:val="center"/>
                                  <w:hideMark/>
                                </w:tcPr>
                                <w:p w14:paraId="778903C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404</w:t>
                                  </w:r>
                                </w:p>
                              </w:tc>
                              <w:tc>
                                <w:tcPr>
                                  <w:tcW w:w="720" w:type="dxa"/>
                                  <w:tcBorders>
                                    <w:top w:val="single" w:sz="4" w:space="0" w:color="ADD6EA"/>
                                    <w:left w:val="nil"/>
                                    <w:bottom w:val="nil"/>
                                    <w:right w:val="nil"/>
                                  </w:tcBorders>
                                  <w:shd w:val="clear" w:color="000000" w:fill="FFFFFF"/>
                                  <w:noWrap/>
                                  <w:vAlign w:val="center"/>
                                  <w:hideMark/>
                                </w:tcPr>
                                <w:p w14:paraId="5E62C7C7"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120</w:t>
                                  </w:r>
                                </w:p>
                              </w:tc>
                              <w:tc>
                                <w:tcPr>
                                  <w:tcW w:w="720" w:type="dxa"/>
                                  <w:tcBorders>
                                    <w:top w:val="single" w:sz="4" w:space="0" w:color="ADD6EA"/>
                                    <w:left w:val="nil"/>
                                    <w:bottom w:val="nil"/>
                                    <w:right w:val="nil"/>
                                  </w:tcBorders>
                                  <w:shd w:val="clear" w:color="000000" w:fill="FFFFFF"/>
                                  <w:noWrap/>
                                  <w:vAlign w:val="center"/>
                                  <w:hideMark/>
                                </w:tcPr>
                                <w:p w14:paraId="0E96F915"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103</w:t>
                                  </w:r>
                                </w:p>
                              </w:tc>
                              <w:tc>
                                <w:tcPr>
                                  <w:tcW w:w="720" w:type="dxa"/>
                                  <w:tcBorders>
                                    <w:top w:val="single" w:sz="4" w:space="0" w:color="ADD6EA"/>
                                    <w:left w:val="nil"/>
                                    <w:bottom w:val="nil"/>
                                    <w:right w:val="nil"/>
                                  </w:tcBorders>
                                  <w:shd w:val="clear" w:color="000000" w:fill="FFFFFF"/>
                                  <w:noWrap/>
                                  <w:vAlign w:val="center"/>
                                  <w:hideMark/>
                                </w:tcPr>
                                <w:p w14:paraId="50DE61A9"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43</w:t>
                                  </w:r>
                                </w:p>
                              </w:tc>
                              <w:tc>
                                <w:tcPr>
                                  <w:tcW w:w="720" w:type="dxa"/>
                                  <w:tcBorders>
                                    <w:top w:val="single" w:sz="4" w:space="0" w:color="ADD6EA"/>
                                    <w:left w:val="nil"/>
                                    <w:bottom w:val="nil"/>
                                    <w:right w:val="nil"/>
                                  </w:tcBorders>
                                  <w:shd w:val="clear" w:color="000000" w:fill="FFFFFF"/>
                                  <w:noWrap/>
                                  <w:vAlign w:val="center"/>
                                  <w:hideMark/>
                                </w:tcPr>
                                <w:p w14:paraId="7E5571B9"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5,328</w:t>
                                  </w:r>
                                </w:p>
                              </w:tc>
                            </w:tr>
                            <w:tr w:rsidR="001A4EBE" w:rsidRPr="001A4EBE" w14:paraId="3B883C9C" w14:textId="77777777" w:rsidTr="001A4EBE">
                              <w:trPr>
                                <w:trHeight w:val="315"/>
                              </w:trPr>
                              <w:tc>
                                <w:tcPr>
                                  <w:tcW w:w="2460" w:type="dxa"/>
                                  <w:tcBorders>
                                    <w:top w:val="single" w:sz="4" w:space="0" w:color="ADD6EA"/>
                                    <w:left w:val="nil"/>
                                    <w:bottom w:val="nil"/>
                                    <w:right w:val="nil"/>
                                  </w:tcBorders>
                                  <w:shd w:val="clear" w:color="000000" w:fill="D6E7F0"/>
                                  <w:vAlign w:val="center"/>
                                  <w:hideMark/>
                                </w:tcPr>
                                <w:p w14:paraId="18989F34" w14:textId="77777777" w:rsidR="001A4EBE" w:rsidRPr="001A4EBE" w:rsidRDefault="001A4EBE" w:rsidP="001A4EBE">
                                  <w:pPr>
                                    <w:tabs>
                                      <w:tab w:val="clear" w:pos="567"/>
                                    </w:tabs>
                                    <w:spacing w:before="0" w:line="240" w:lineRule="auto"/>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 xml:space="preserve">    Total</w:t>
                                  </w:r>
                                </w:p>
                              </w:tc>
                              <w:tc>
                                <w:tcPr>
                                  <w:tcW w:w="720" w:type="dxa"/>
                                  <w:tcBorders>
                                    <w:top w:val="single" w:sz="4" w:space="0" w:color="ADD6EA"/>
                                    <w:left w:val="nil"/>
                                    <w:bottom w:val="nil"/>
                                    <w:right w:val="nil"/>
                                  </w:tcBorders>
                                  <w:shd w:val="clear" w:color="000000" w:fill="D6E7F0"/>
                                  <w:noWrap/>
                                  <w:vAlign w:val="center"/>
                                  <w:hideMark/>
                                </w:tcPr>
                                <w:p w14:paraId="322042CB"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26,419</w:t>
                                  </w:r>
                                </w:p>
                              </w:tc>
                              <w:tc>
                                <w:tcPr>
                                  <w:tcW w:w="720" w:type="dxa"/>
                                  <w:tcBorders>
                                    <w:top w:val="single" w:sz="4" w:space="0" w:color="ADD6EA"/>
                                    <w:left w:val="nil"/>
                                    <w:bottom w:val="nil"/>
                                    <w:right w:val="nil"/>
                                  </w:tcBorders>
                                  <w:shd w:val="clear" w:color="000000" w:fill="D6E7F0"/>
                                  <w:noWrap/>
                                  <w:vAlign w:val="center"/>
                                  <w:hideMark/>
                                </w:tcPr>
                                <w:p w14:paraId="1AAF225E"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24,042</w:t>
                                  </w:r>
                                </w:p>
                              </w:tc>
                              <w:tc>
                                <w:tcPr>
                                  <w:tcW w:w="720" w:type="dxa"/>
                                  <w:tcBorders>
                                    <w:top w:val="single" w:sz="4" w:space="0" w:color="ADD6EA"/>
                                    <w:left w:val="nil"/>
                                    <w:bottom w:val="nil"/>
                                    <w:right w:val="nil"/>
                                  </w:tcBorders>
                                  <w:shd w:val="clear" w:color="000000" w:fill="D6E7F0"/>
                                  <w:noWrap/>
                                  <w:vAlign w:val="center"/>
                                  <w:hideMark/>
                                </w:tcPr>
                                <w:p w14:paraId="4BC6219A"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18,979</w:t>
                                  </w:r>
                                </w:p>
                              </w:tc>
                              <w:tc>
                                <w:tcPr>
                                  <w:tcW w:w="720" w:type="dxa"/>
                                  <w:tcBorders>
                                    <w:top w:val="single" w:sz="4" w:space="0" w:color="ADD6EA"/>
                                    <w:left w:val="nil"/>
                                    <w:bottom w:val="nil"/>
                                    <w:right w:val="nil"/>
                                  </w:tcBorders>
                                  <w:shd w:val="clear" w:color="000000" w:fill="D6E7F0"/>
                                  <w:noWrap/>
                                  <w:vAlign w:val="center"/>
                                  <w:hideMark/>
                                </w:tcPr>
                                <w:p w14:paraId="0B03E64B"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7,435</w:t>
                                  </w:r>
                                </w:p>
                              </w:tc>
                              <w:tc>
                                <w:tcPr>
                                  <w:tcW w:w="720" w:type="dxa"/>
                                  <w:tcBorders>
                                    <w:top w:val="single" w:sz="4" w:space="0" w:color="ADD6EA"/>
                                    <w:left w:val="nil"/>
                                    <w:bottom w:val="nil"/>
                                    <w:right w:val="nil"/>
                                  </w:tcBorders>
                                  <w:shd w:val="clear" w:color="000000" w:fill="D6E7F0"/>
                                  <w:noWrap/>
                                  <w:vAlign w:val="center"/>
                                  <w:hideMark/>
                                </w:tcPr>
                                <w:p w14:paraId="2FA67A74"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9,157</w:t>
                                  </w:r>
                                </w:p>
                              </w:tc>
                              <w:tc>
                                <w:tcPr>
                                  <w:tcW w:w="720" w:type="dxa"/>
                                  <w:tcBorders>
                                    <w:top w:val="single" w:sz="4" w:space="0" w:color="ADD6EA"/>
                                    <w:left w:val="nil"/>
                                    <w:bottom w:val="nil"/>
                                    <w:right w:val="nil"/>
                                  </w:tcBorders>
                                  <w:shd w:val="clear" w:color="000000" w:fill="D6E7F0"/>
                                  <w:noWrap/>
                                  <w:vAlign w:val="center"/>
                                  <w:hideMark/>
                                </w:tcPr>
                                <w:p w14:paraId="20B47841"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3,604</w:t>
                                  </w:r>
                                </w:p>
                              </w:tc>
                              <w:tc>
                                <w:tcPr>
                                  <w:tcW w:w="720" w:type="dxa"/>
                                  <w:tcBorders>
                                    <w:top w:val="single" w:sz="4" w:space="0" w:color="ADD6EA"/>
                                    <w:left w:val="nil"/>
                                    <w:bottom w:val="nil"/>
                                    <w:right w:val="nil"/>
                                  </w:tcBorders>
                                  <w:shd w:val="clear" w:color="000000" w:fill="D6E7F0"/>
                                  <w:noWrap/>
                                  <w:vAlign w:val="center"/>
                                  <w:hideMark/>
                                </w:tcPr>
                                <w:p w14:paraId="46760D5C"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2,002</w:t>
                                  </w:r>
                                </w:p>
                              </w:tc>
                              <w:tc>
                                <w:tcPr>
                                  <w:tcW w:w="720" w:type="dxa"/>
                                  <w:tcBorders>
                                    <w:top w:val="single" w:sz="4" w:space="0" w:color="ADD6EA"/>
                                    <w:left w:val="nil"/>
                                    <w:bottom w:val="nil"/>
                                    <w:right w:val="nil"/>
                                  </w:tcBorders>
                                  <w:shd w:val="clear" w:color="000000" w:fill="D6E7F0"/>
                                  <w:noWrap/>
                                  <w:vAlign w:val="center"/>
                                  <w:hideMark/>
                                </w:tcPr>
                                <w:p w14:paraId="39EB61A8"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4,322</w:t>
                                  </w:r>
                                </w:p>
                              </w:tc>
                              <w:tc>
                                <w:tcPr>
                                  <w:tcW w:w="720" w:type="dxa"/>
                                  <w:tcBorders>
                                    <w:top w:val="single" w:sz="4" w:space="0" w:color="ADD6EA"/>
                                    <w:left w:val="nil"/>
                                    <w:bottom w:val="nil"/>
                                    <w:right w:val="nil"/>
                                  </w:tcBorders>
                                  <w:shd w:val="clear" w:color="000000" w:fill="D6E7F0"/>
                                  <w:noWrap/>
                                  <w:vAlign w:val="center"/>
                                  <w:hideMark/>
                                </w:tcPr>
                                <w:p w14:paraId="160E3EB4"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95,959</w:t>
                                  </w:r>
                                </w:p>
                              </w:tc>
                            </w:tr>
                            <w:tr w:rsidR="001A4EBE" w:rsidRPr="001A4EBE" w14:paraId="0E6B7B21"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7489EF81" w14:textId="77777777" w:rsidR="001A4EBE" w:rsidRPr="001A4EBE" w:rsidRDefault="001A4EBE" w:rsidP="001A4EBE">
                                  <w:pPr>
                                    <w:tabs>
                                      <w:tab w:val="clear" w:pos="567"/>
                                    </w:tabs>
                                    <w:spacing w:before="0" w:line="240" w:lineRule="auto"/>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2025-26</w:t>
                                  </w:r>
                                </w:p>
                              </w:tc>
                              <w:tc>
                                <w:tcPr>
                                  <w:tcW w:w="720" w:type="dxa"/>
                                  <w:tcBorders>
                                    <w:top w:val="single" w:sz="4" w:space="0" w:color="ADD6EA"/>
                                    <w:left w:val="nil"/>
                                    <w:bottom w:val="nil"/>
                                    <w:right w:val="nil"/>
                                  </w:tcBorders>
                                  <w:shd w:val="clear" w:color="000000" w:fill="FFFFFF"/>
                                  <w:noWrap/>
                                  <w:vAlign w:val="center"/>
                                  <w:hideMark/>
                                </w:tcPr>
                                <w:p w14:paraId="6AB628F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694E645E"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7F6D65C7"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22E67842"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7EA04447"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656862DC"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70A5708E"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15DBE13D"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2F5C9922"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r>
                            <w:tr w:rsidR="001A4EBE" w:rsidRPr="001A4EBE" w14:paraId="52E16022"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4C5F694B" w14:textId="77777777" w:rsidR="001A4EBE" w:rsidRPr="001A4EBE" w:rsidRDefault="001A4EBE" w:rsidP="001A4EB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Total GST distribution</w:t>
                                  </w:r>
                                </w:p>
                              </w:tc>
                              <w:tc>
                                <w:tcPr>
                                  <w:tcW w:w="720" w:type="dxa"/>
                                  <w:tcBorders>
                                    <w:top w:val="single" w:sz="4" w:space="0" w:color="ADD6EA"/>
                                    <w:left w:val="nil"/>
                                    <w:bottom w:val="nil"/>
                                    <w:right w:val="nil"/>
                                  </w:tcBorders>
                                  <w:shd w:val="clear" w:color="000000" w:fill="FFFFFF"/>
                                  <w:noWrap/>
                                  <w:vAlign w:val="center"/>
                                  <w:hideMark/>
                                </w:tcPr>
                                <w:p w14:paraId="035746F4"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25,482</w:t>
                                  </w:r>
                                </w:p>
                              </w:tc>
                              <w:tc>
                                <w:tcPr>
                                  <w:tcW w:w="720" w:type="dxa"/>
                                  <w:tcBorders>
                                    <w:top w:val="single" w:sz="4" w:space="0" w:color="ADD6EA"/>
                                    <w:left w:val="nil"/>
                                    <w:bottom w:val="nil"/>
                                    <w:right w:val="nil"/>
                                  </w:tcBorders>
                                  <w:shd w:val="clear" w:color="000000" w:fill="FFFFFF"/>
                                  <w:noWrap/>
                                  <w:vAlign w:val="center"/>
                                  <w:hideMark/>
                                </w:tcPr>
                                <w:p w14:paraId="4649B6E9"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26,147</w:t>
                                  </w:r>
                                </w:p>
                              </w:tc>
                              <w:tc>
                                <w:tcPr>
                                  <w:tcW w:w="720" w:type="dxa"/>
                                  <w:tcBorders>
                                    <w:top w:val="single" w:sz="4" w:space="0" w:color="ADD6EA"/>
                                    <w:left w:val="nil"/>
                                    <w:bottom w:val="nil"/>
                                    <w:right w:val="nil"/>
                                  </w:tcBorders>
                                  <w:shd w:val="clear" w:color="000000" w:fill="FFFFFF"/>
                                  <w:noWrap/>
                                  <w:vAlign w:val="center"/>
                                  <w:hideMark/>
                                </w:tcPr>
                                <w:p w14:paraId="14FAF24C"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16,562</w:t>
                                  </w:r>
                                </w:p>
                              </w:tc>
                              <w:tc>
                                <w:tcPr>
                                  <w:tcW w:w="720" w:type="dxa"/>
                                  <w:tcBorders>
                                    <w:top w:val="single" w:sz="4" w:space="0" w:color="ADD6EA"/>
                                    <w:left w:val="nil"/>
                                    <w:bottom w:val="nil"/>
                                    <w:right w:val="nil"/>
                                  </w:tcBorders>
                                  <w:shd w:val="clear" w:color="000000" w:fill="FFFFFF"/>
                                  <w:noWrap/>
                                  <w:vAlign w:val="center"/>
                                  <w:hideMark/>
                                </w:tcPr>
                                <w:p w14:paraId="7A2E056D"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7,830</w:t>
                                  </w:r>
                                </w:p>
                              </w:tc>
                              <w:tc>
                                <w:tcPr>
                                  <w:tcW w:w="720" w:type="dxa"/>
                                  <w:tcBorders>
                                    <w:top w:val="single" w:sz="4" w:space="0" w:color="ADD6EA"/>
                                    <w:left w:val="nil"/>
                                    <w:bottom w:val="nil"/>
                                    <w:right w:val="nil"/>
                                  </w:tcBorders>
                                  <w:shd w:val="clear" w:color="000000" w:fill="FFFFFF"/>
                                  <w:noWrap/>
                                  <w:vAlign w:val="center"/>
                                  <w:hideMark/>
                                </w:tcPr>
                                <w:p w14:paraId="5293332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9,032</w:t>
                                  </w:r>
                                </w:p>
                              </w:tc>
                              <w:tc>
                                <w:tcPr>
                                  <w:tcW w:w="720" w:type="dxa"/>
                                  <w:tcBorders>
                                    <w:top w:val="single" w:sz="4" w:space="0" w:color="ADD6EA"/>
                                    <w:left w:val="nil"/>
                                    <w:bottom w:val="nil"/>
                                    <w:right w:val="nil"/>
                                  </w:tcBorders>
                                  <w:shd w:val="clear" w:color="000000" w:fill="FFFFFF"/>
                                  <w:noWrap/>
                                  <w:vAlign w:val="center"/>
                                  <w:hideMark/>
                                </w:tcPr>
                                <w:p w14:paraId="741EA2CE"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3,635</w:t>
                                  </w:r>
                                </w:p>
                              </w:tc>
                              <w:tc>
                                <w:tcPr>
                                  <w:tcW w:w="720" w:type="dxa"/>
                                  <w:tcBorders>
                                    <w:top w:val="single" w:sz="4" w:space="0" w:color="ADD6EA"/>
                                    <w:left w:val="nil"/>
                                    <w:bottom w:val="nil"/>
                                    <w:right w:val="nil"/>
                                  </w:tcBorders>
                                  <w:shd w:val="clear" w:color="000000" w:fill="FFFFFF"/>
                                  <w:noWrap/>
                                  <w:vAlign w:val="center"/>
                                  <w:hideMark/>
                                </w:tcPr>
                                <w:p w14:paraId="56589CC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1,934</w:t>
                                  </w:r>
                                </w:p>
                              </w:tc>
                              <w:tc>
                                <w:tcPr>
                                  <w:tcW w:w="720" w:type="dxa"/>
                                  <w:tcBorders>
                                    <w:top w:val="single" w:sz="4" w:space="0" w:color="ADD6EA"/>
                                    <w:left w:val="nil"/>
                                    <w:bottom w:val="nil"/>
                                    <w:right w:val="nil"/>
                                  </w:tcBorders>
                                  <w:shd w:val="clear" w:color="000000" w:fill="FFFFFF"/>
                                  <w:noWrap/>
                                  <w:vAlign w:val="center"/>
                                  <w:hideMark/>
                                </w:tcPr>
                                <w:p w14:paraId="2083D73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4,527</w:t>
                                  </w:r>
                                </w:p>
                              </w:tc>
                              <w:tc>
                                <w:tcPr>
                                  <w:tcW w:w="720" w:type="dxa"/>
                                  <w:tcBorders>
                                    <w:top w:val="single" w:sz="4" w:space="0" w:color="ADD6EA"/>
                                    <w:left w:val="nil"/>
                                    <w:bottom w:val="nil"/>
                                    <w:right w:val="nil"/>
                                  </w:tcBorders>
                                  <w:shd w:val="clear" w:color="000000" w:fill="FFFFFF"/>
                                  <w:noWrap/>
                                  <w:vAlign w:val="center"/>
                                  <w:hideMark/>
                                </w:tcPr>
                                <w:p w14:paraId="7CE406AF"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95,150</w:t>
                                  </w:r>
                                </w:p>
                              </w:tc>
                            </w:tr>
                            <w:tr w:rsidR="001A4EBE" w:rsidRPr="001A4EBE" w14:paraId="378FA639"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2B31DC3C" w14:textId="77777777" w:rsidR="001A4EBE" w:rsidRPr="001A4EBE" w:rsidRDefault="001A4EBE" w:rsidP="001A4EB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No worse off payments</w:t>
                                  </w:r>
                                </w:p>
                              </w:tc>
                              <w:tc>
                                <w:tcPr>
                                  <w:tcW w:w="720" w:type="dxa"/>
                                  <w:tcBorders>
                                    <w:top w:val="single" w:sz="4" w:space="0" w:color="ADD6EA"/>
                                    <w:left w:val="nil"/>
                                    <w:bottom w:val="nil"/>
                                    <w:right w:val="nil"/>
                                  </w:tcBorders>
                                  <w:shd w:val="clear" w:color="000000" w:fill="FFFFFF"/>
                                  <w:noWrap/>
                                  <w:vAlign w:val="center"/>
                                  <w:hideMark/>
                                </w:tcPr>
                                <w:p w14:paraId="32DAA225"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2,234</w:t>
                                  </w:r>
                                </w:p>
                              </w:tc>
                              <w:tc>
                                <w:tcPr>
                                  <w:tcW w:w="720" w:type="dxa"/>
                                  <w:tcBorders>
                                    <w:top w:val="single" w:sz="4" w:space="0" w:color="ADD6EA"/>
                                    <w:left w:val="nil"/>
                                    <w:bottom w:val="nil"/>
                                    <w:right w:val="nil"/>
                                  </w:tcBorders>
                                  <w:shd w:val="clear" w:color="000000" w:fill="FFFFFF"/>
                                  <w:noWrap/>
                                  <w:vAlign w:val="center"/>
                                  <w:hideMark/>
                                </w:tcPr>
                                <w:p w14:paraId="088B2FB3"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1,841</w:t>
                                  </w:r>
                                </w:p>
                              </w:tc>
                              <w:tc>
                                <w:tcPr>
                                  <w:tcW w:w="720" w:type="dxa"/>
                                  <w:tcBorders>
                                    <w:top w:val="single" w:sz="4" w:space="0" w:color="ADD6EA"/>
                                    <w:left w:val="nil"/>
                                    <w:bottom w:val="nil"/>
                                    <w:right w:val="nil"/>
                                  </w:tcBorders>
                                  <w:shd w:val="clear" w:color="000000" w:fill="FFFFFF"/>
                                  <w:noWrap/>
                                  <w:vAlign w:val="center"/>
                                  <w:hideMark/>
                                </w:tcPr>
                                <w:p w14:paraId="5EB199B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47</w:t>
                                  </w:r>
                                </w:p>
                              </w:tc>
                              <w:tc>
                                <w:tcPr>
                                  <w:tcW w:w="720" w:type="dxa"/>
                                  <w:tcBorders>
                                    <w:top w:val="single" w:sz="4" w:space="0" w:color="ADD6EA"/>
                                    <w:left w:val="nil"/>
                                    <w:bottom w:val="nil"/>
                                    <w:right w:val="nil"/>
                                  </w:tcBorders>
                                  <w:shd w:val="clear" w:color="000000" w:fill="FFFFFF"/>
                                  <w:noWrap/>
                                  <w:vAlign w:val="center"/>
                                  <w:hideMark/>
                                </w:tcPr>
                                <w:p w14:paraId="5E635B25"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0</w:t>
                                  </w:r>
                                </w:p>
                              </w:tc>
                              <w:tc>
                                <w:tcPr>
                                  <w:tcW w:w="720" w:type="dxa"/>
                                  <w:tcBorders>
                                    <w:top w:val="single" w:sz="4" w:space="0" w:color="ADD6EA"/>
                                    <w:left w:val="nil"/>
                                    <w:bottom w:val="nil"/>
                                    <w:right w:val="nil"/>
                                  </w:tcBorders>
                                  <w:shd w:val="clear" w:color="000000" w:fill="FFFFFF"/>
                                  <w:noWrap/>
                                  <w:vAlign w:val="center"/>
                                  <w:hideMark/>
                                </w:tcPr>
                                <w:p w14:paraId="24AC8DD5"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486</w:t>
                                  </w:r>
                                </w:p>
                              </w:tc>
                              <w:tc>
                                <w:tcPr>
                                  <w:tcW w:w="720" w:type="dxa"/>
                                  <w:tcBorders>
                                    <w:top w:val="single" w:sz="4" w:space="0" w:color="ADD6EA"/>
                                    <w:left w:val="nil"/>
                                    <w:bottom w:val="nil"/>
                                    <w:right w:val="nil"/>
                                  </w:tcBorders>
                                  <w:shd w:val="clear" w:color="000000" w:fill="FFFFFF"/>
                                  <w:noWrap/>
                                  <w:vAlign w:val="center"/>
                                  <w:hideMark/>
                                </w:tcPr>
                                <w:p w14:paraId="0AC9F3BB"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146</w:t>
                                  </w:r>
                                </w:p>
                              </w:tc>
                              <w:tc>
                                <w:tcPr>
                                  <w:tcW w:w="720" w:type="dxa"/>
                                  <w:tcBorders>
                                    <w:top w:val="single" w:sz="4" w:space="0" w:color="ADD6EA"/>
                                    <w:left w:val="nil"/>
                                    <w:bottom w:val="nil"/>
                                    <w:right w:val="nil"/>
                                  </w:tcBorders>
                                  <w:shd w:val="clear" w:color="000000" w:fill="FFFFFF"/>
                                  <w:noWrap/>
                                  <w:vAlign w:val="center"/>
                                  <w:hideMark/>
                                </w:tcPr>
                                <w:p w14:paraId="00980E20"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124</w:t>
                                  </w:r>
                                </w:p>
                              </w:tc>
                              <w:tc>
                                <w:tcPr>
                                  <w:tcW w:w="720" w:type="dxa"/>
                                  <w:tcBorders>
                                    <w:top w:val="single" w:sz="4" w:space="0" w:color="ADD6EA"/>
                                    <w:left w:val="nil"/>
                                    <w:bottom w:val="nil"/>
                                    <w:right w:val="nil"/>
                                  </w:tcBorders>
                                  <w:shd w:val="clear" w:color="000000" w:fill="FFFFFF"/>
                                  <w:noWrap/>
                                  <w:vAlign w:val="center"/>
                                  <w:hideMark/>
                                </w:tcPr>
                                <w:p w14:paraId="6462962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61</w:t>
                                  </w:r>
                                </w:p>
                              </w:tc>
                              <w:tc>
                                <w:tcPr>
                                  <w:tcW w:w="720" w:type="dxa"/>
                                  <w:tcBorders>
                                    <w:top w:val="single" w:sz="4" w:space="0" w:color="ADD6EA"/>
                                    <w:left w:val="nil"/>
                                    <w:bottom w:val="nil"/>
                                    <w:right w:val="nil"/>
                                  </w:tcBorders>
                                  <w:shd w:val="clear" w:color="000000" w:fill="FFFFFF"/>
                                  <w:noWrap/>
                                  <w:vAlign w:val="center"/>
                                  <w:hideMark/>
                                </w:tcPr>
                                <w:p w14:paraId="3527164F"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4,938</w:t>
                                  </w:r>
                                </w:p>
                              </w:tc>
                            </w:tr>
                            <w:tr w:rsidR="001A4EBE" w:rsidRPr="001A4EBE" w14:paraId="1292EBFD" w14:textId="77777777" w:rsidTr="001A4EBE">
                              <w:trPr>
                                <w:trHeight w:val="315"/>
                              </w:trPr>
                              <w:tc>
                                <w:tcPr>
                                  <w:tcW w:w="2460" w:type="dxa"/>
                                  <w:tcBorders>
                                    <w:top w:val="single" w:sz="4" w:space="0" w:color="ADD6EA"/>
                                    <w:left w:val="nil"/>
                                    <w:bottom w:val="nil"/>
                                    <w:right w:val="nil"/>
                                  </w:tcBorders>
                                  <w:shd w:val="clear" w:color="000000" w:fill="D6E7F0"/>
                                  <w:vAlign w:val="center"/>
                                  <w:hideMark/>
                                </w:tcPr>
                                <w:p w14:paraId="1CE8A42A" w14:textId="77777777" w:rsidR="001A4EBE" w:rsidRPr="001A4EBE" w:rsidRDefault="001A4EBE" w:rsidP="001A4EBE">
                                  <w:pPr>
                                    <w:tabs>
                                      <w:tab w:val="clear" w:pos="567"/>
                                    </w:tabs>
                                    <w:spacing w:before="0" w:line="240" w:lineRule="auto"/>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 xml:space="preserve">    Total</w:t>
                                  </w:r>
                                </w:p>
                              </w:tc>
                              <w:tc>
                                <w:tcPr>
                                  <w:tcW w:w="720" w:type="dxa"/>
                                  <w:tcBorders>
                                    <w:top w:val="single" w:sz="4" w:space="0" w:color="ADD6EA"/>
                                    <w:left w:val="nil"/>
                                    <w:bottom w:val="nil"/>
                                    <w:right w:val="nil"/>
                                  </w:tcBorders>
                                  <w:shd w:val="clear" w:color="000000" w:fill="D6E7F0"/>
                                  <w:noWrap/>
                                  <w:vAlign w:val="center"/>
                                  <w:hideMark/>
                                </w:tcPr>
                                <w:p w14:paraId="23EE8F5D"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27,716</w:t>
                                  </w:r>
                                </w:p>
                              </w:tc>
                              <w:tc>
                                <w:tcPr>
                                  <w:tcW w:w="720" w:type="dxa"/>
                                  <w:tcBorders>
                                    <w:top w:val="single" w:sz="4" w:space="0" w:color="ADD6EA"/>
                                    <w:left w:val="nil"/>
                                    <w:bottom w:val="nil"/>
                                    <w:right w:val="nil"/>
                                  </w:tcBorders>
                                  <w:shd w:val="clear" w:color="000000" w:fill="D6E7F0"/>
                                  <w:noWrap/>
                                  <w:vAlign w:val="center"/>
                                  <w:hideMark/>
                                </w:tcPr>
                                <w:p w14:paraId="11FEADCB"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27,988</w:t>
                                  </w:r>
                                </w:p>
                              </w:tc>
                              <w:tc>
                                <w:tcPr>
                                  <w:tcW w:w="720" w:type="dxa"/>
                                  <w:tcBorders>
                                    <w:top w:val="single" w:sz="4" w:space="0" w:color="ADD6EA"/>
                                    <w:left w:val="nil"/>
                                    <w:bottom w:val="nil"/>
                                    <w:right w:val="nil"/>
                                  </w:tcBorders>
                                  <w:shd w:val="clear" w:color="000000" w:fill="D6E7F0"/>
                                  <w:noWrap/>
                                  <w:vAlign w:val="center"/>
                                  <w:hideMark/>
                                </w:tcPr>
                                <w:p w14:paraId="725DF167"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16,608</w:t>
                                  </w:r>
                                </w:p>
                              </w:tc>
                              <w:tc>
                                <w:tcPr>
                                  <w:tcW w:w="720" w:type="dxa"/>
                                  <w:tcBorders>
                                    <w:top w:val="single" w:sz="4" w:space="0" w:color="ADD6EA"/>
                                    <w:left w:val="nil"/>
                                    <w:bottom w:val="nil"/>
                                    <w:right w:val="nil"/>
                                  </w:tcBorders>
                                  <w:shd w:val="clear" w:color="000000" w:fill="D6E7F0"/>
                                  <w:noWrap/>
                                  <w:vAlign w:val="center"/>
                                  <w:hideMark/>
                                </w:tcPr>
                                <w:p w14:paraId="1902E026"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7,830</w:t>
                                  </w:r>
                                </w:p>
                              </w:tc>
                              <w:tc>
                                <w:tcPr>
                                  <w:tcW w:w="720" w:type="dxa"/>
                                  <w:tcBorders>
                                    <w:top w:val="single" w:sz="4" w:space="0" w:color="ADD6EA"/>
                                    <w:left w:val="nil"/>
                                    <w:bottom w:val="nil"/>
                                    <w:right w:val="nil"/>
                                  </w:tcBorders>
                                  <w:shd w:val="clear" w:color="000000" w:fill="D6E7F0"/>
                                  <w:noWrap/>
                                  <w:vAlign w:val="center"/>
                                  <w:hideMark/>
                                </w:tcPr>
                                <w:p w14:paraId="1E5DE2A8"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9,518</w:t>
                                  </w:r>
                                </w:p>
                              </w:tc>
                              <w:tc>
                                <w:tcPr>
                                  <w:tcW w:w="720" w:type="dxa"/>
                                  <w:tcBorders>
                                    <w:top w:val="single" w:sz="4" w:space="0" w:color="ADD6EA"/>
                                    <w:left w:val="nil"/>
                                    <w:bottom w:val="nil"/>
                                    <w:right w:val="nil"/>
                                  </w:tcBorders>
                                  <w:shd w:val="clear" w:color="000000" w:fill="D6E7F0"/>
                                  <w:noWrap/>
                                  <w:vAlign w:val="center"/>
                                  <w:hideMark/>
                                </w:tcPr>
                                <w:p w14:paraId="12CCFA23"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3,781</w:t>
                                  </w:r>
                                </w:p>
                              </w:tc>
                              <w:tc>
                                <w:tcPr>
                                  <w:tcW w:w="720" w:type="dxa"/>
                                  <w:tcBorders>
                                    <w:top w:val="single" w:sz="4" w:space="0" w:color="ADD6EA"/>
                                    <w:left w:val="nil"/>
                                    <w:bottom w:val="nil"/>
                                    <w:right w:val="nil"/>
                                  </w:tcBorders>
                                  <w:shd w:val="clear" w:color="000000" w:fill="D6E7F0"/>
                                  <w:noWrap/>
                                  <w:vAlign w:val="center"/>
                                  <w:hideMark/>
                                </w:tcPr>
                                <w:p w14:paraId="5CA4BF8B"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2,058</w:t>
                                  </w:r>
                                </w:p>
                              </w:tc>
                              <w:tc>
                                <w:tcPr>
                                  <w:tcW w:w="720" w:type="dxa"/>
                                  <w:tcBorders>
                                    <w:top w:val="single" w:sz="4" w:space="0" w:color="ADD6EA"/>
                                    <w:left w:val="nil"/>
                                    <w:bottom w:val="nil"/>
                                    <w:right w:val="nil"/>
                                  </w:tcBorders>
                                  <w:shd w:val="clear" w:color="000000" w:fill="D6E7F0"/>
                                  <w:noWrap/>
                                  <w:vAlign w:val="center"/>
                                  <w:hideMark/>
                                </w:tcPr>
                                <w:p w14:paraId="3755257E"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4,588</w:t>
                                  </w:r>
                                </w:p>
                              </w:tc>
                              <w:tc>
                                <w:tcPr>
                                  <w:tcW w:w="720" w:type="dxa"/>
                                  <w:tcBorders>
                                    <w:top w:val="single" w:sz="4" w:space="0" w:color="ADD6EA"/>
                                    <w:left w:val="nil"/>
                                    <w:bottom w:val="nil"/>
                                    <w:right w:val="nil"/>
                                  </w:tcBorders>
                                  <w:shd w:val="clear" w:color="000000" w:fill="D6E7F0"/>
                                  <w:noWrap/>
                                  <w:vAlign w:val="center"/>
                                  <w:hideMark/>
                                </w:tcPr>
                                <w:p w14:paraId="588C1F20"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100,088</w:t>
                                  </w:r>
                                </w:p>
                              </w:tc>
                            </w:tr>
                            <w:tr w:rsidR="001A4EBE" w:rsidRPr="001A4EBE" w14:paraId="00DB7F77"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297408D3" w14:textId="77777777" w:rsidR="001A4EBE" w:rsidRPr="001A4EBE" w:rsidRDefault="001A4EBE" w:rsidP="001A4EBE">
                                  <w:pPr>
                                    <w:tabs>
                                      <w:tab w:val="clear" w:pos="567"/>
                                    </w:tabs>
                                    <w:spacing w:before="0" w:line="240" w:lineRule="auto"/>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xml:space="preserve">Difference </w:t>
                                  </w:r>
                                </w:p>
                              </w:tc>
                              <w:tc>
                                <w:tcPr>
                                  <w:tcW w:w="720" w:type="dxa"/>
                                  <w:tcBorders>
                                    <w:top w:val="single" w:sz="4" w:space="0" w:color="ADD6EA"/>
                                    <w:left w:val="nil"/>
                                    <w:bottom w:val="nil"/>
                                    <w:right w:val="nil"/>
                                  </w:tcBorders>
                                  <w:shd w:val="clear" w:color="000000" w:fill="FFFFFF"/>
                                  <w:vAlign w:val="center"/>
                                  <w:hideMark/>
                                </w:tcPr>
                                <w:p w14:paraId="63835E2B"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41C07774"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0FB38332"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74BCD7C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0BAEB321"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481AB78E"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44008FC3"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64980920"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37A2EFEF"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r>
                            <w:tr w:rsidR="001A4EBE" w:rsidRPr="001A4EBE" w14:paraId="1496417E"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7FB5B153" w14:textId="77777777" w:rsidR="001A4EBE" w:rsidRPr="001A4EBE" w:rsidRDefault="001A4EBE" w:rsidP="001A4EB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GST distribution</w:t>
                                  </w:r>
                                </w:p>
                              </w:tc>
                              <w:tc>
                                <w:tcPr>
                                  <w:tcW w:w="720" w:type="dxa"/>
                                  <w:tcBorders>
                                    <w:top w:val="single" w:sz="4" w:space="0" w:color="ADD6EA"/>
                                    <w:left w:val="nil"/>
                                    <w:bottom w:val="nil"/>
                                    <w:right w:val="nil"/>
                                  </w:tcBorders>
                                  <w:shd w:val="clear" w:color="000000" w:fill="FFFFFF"/>
                                  <w:noWrap/>
                                  <w:vAlign w:val="center"/>
                                  <w:hideMark/>
                                </w:tcPr>
                                <w:p w14:paraId="7860A6B9"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942</w:t>
                                  </w:r>
                                </w:p>
                              </w:tc>
                              <w:tc>
                                <w:tcPr>
                                  <w:tcW w:w="720" w:type="dxa"/>
                                  <w:tcBorders>
                                    <w:top w:val="single" w:sz="4" w:space="0" w:color="ADD6EA"/>
                                    <w:left w:val="nil"/>
                                    <w:bottom w:val="nil"/>
                                    <w:right w:val="nil"/>
                                  </w:tcBorders>
                                  <w:shd w:val="clear" w:color="000000" w:fill="FFFFFF"/>
                                  <w:noWrap/>
                                  <w:vAlign w:val="center"/>
                                  <w:hideMark/>
                                </w:tcPr>
                                <w:p w14:paraId="2EE91067"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3,657</w:t>
                                  </w:r>
                                </w:p>
                              </w:tc>
                              <w:tc>
                                <w:tcPr>
                                  <w:tcW w:w="720" w:type="dxa"/>
                                  <w:tcBorders>
                                    <w:top w:val="single" w:sz="4" w:space="0" w:color="ADD6EA"/>
                                    <w:left w:val="nil"/>
                                    <w:bottom w:val="nil"/>
                                    <w:right w:val="nil"/>
                                  </w:tcBorders>
                                  <w:shd w:val="clear" w:color="000000" w:fill="FFFFFF"/>
                                  <w:noWrap/>
                                  <w:vAlign w:val="center"/>
                                  <w:hideMark/>
                                </w:tcPr>
                                <w:p w14:paraId="3E27095F"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-1,189</w:t>
                                  </w:r>
                                </w:p>
                              </w:tc>
                              <w:tc>
                                <w:tcPr>
                                  <w:tcW w:w="720" w:type="dxa"/>
                                  <w:tcBorders>
                                    <w:top w:val="single" w:sz="4" w:space="0" w:color="ADD6EA"/>
                                    <w:left w:val="nil"/>
                                    <w:bottom w:val="nil"/>
                                    <w:right w:val="nil"/>
                                  </w:tcBorders>
                                  <w:shd w:val="clear" w:color="000000" w:fill="FFFFFF"/>
                                  <w:noWrap/>
                                  <w:vAlign w:val="center"/>
                                  <w:hideMark/>
                                </w:tcPr>
                                <w:p w14:paraId="7A9F6610"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395</w:t>
                                  </w:r>
                                </w:p>
                              </w:tc>
                              <w:tc>
                                <w:tcPr>
                                  <w:tcW w:w="720" w:type="dxa"/>
                                  <w:tcBorders>
                                    <w:top w:val="single" w:sz="4" w:space="0" w:color="ADD6EA"/>
                                    <w:left w:val="nil"/>
                                    <w:bottom w:val="nil"/>
                                    <w:right w:val="nil"/>
                                  </w:tcBorders>
                                  <w:shd w:val="clear" w:color="000000" w:fill="FFFFFF"/>
                                  <w:noWrap/>
                                  <w:vAlign w:val="center"/>
                                  <w:hideMark/>
                                </w:tcPr>
                                <w:p w14:paraId="501B6ADF"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279</w:t>
                                  </w:r>
                                </w:p>
                              </w:tc>
                              <w:tc>
                                <w:tcPr>
                                  <w:tcW w:w="720" w:type="dxa"/>
                                  <w:tcBorders>
                                    <w:top w:val="single" w:sz="4" w:space="0" w:color="ADD6EA"/>
                                    <w:left w:val="nil"/>
                                    <w:bottom w:val="nil"/>
                                    <w:right w:val="nil"/>
                                  </w:tcBorders>
                                  <w:shd w:val="clear" w:color="000000" w:fill="FFFFFF"/>
                                  <w:noWrap/>
                                  <w:vAlign w:val="center"/>
                                  <w:hideMark/>
                                </w:tcPr>
                                <w:p w14:paraId="46DFDEF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151</w:t>
                                  </w:r>
                                </w:p>
                              </w:tc>
                              <w:tc>
                                <w:tcPr>
                                  <w:tcW w:w="720" w:type="dxa"/>
                                  <w:tcBorders>
                                    <w:top w:val="single" w:sz="4" w:space="0" w:color="ADD6EA"/>
                                    <w:left w:val="nil"/>
                                    <w:bottom w:val="nil"/>
                                    <w:right w:val="nil"/>
                                  </w:tcBorders>
                                  <w:shd w:val="clear" w:color="000000" w:fill="FFFFFF"/>
                                  <w:noWrap/>
                                  <w:vAlign w:val="center"/>
                                  <w:hideMark/>
                                </w:tcPr>
                                <w:p w14:paraId="157A013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35</w:t>
                                  </w:r>
                                </w:p>
                              </w:tc>
                              <w:tc>
                                <w:tcPr>
                                  <w:tcW w:w="720" w:type="dxa"/>
                                  <w:tcBorders>
                                    <w:top w:val="single" w:sz="4" w:space="0" w:color="ADD6EA"/>
                                    <w:left w:val="nil"/>
                                    <w:bottom w:val="nil"/>
                                    <w:right w:val="nil"/>
                                  </w:tcBorders>
                                  <w:shd w:val="clear" w:color="000000" w:fill="FFFFFF"/>
                                  <w:noWrap/>
                                  <w:vAlign w:val="center"/>
                                  <w:hideMark/>
                                </w:tcPr>
                                <w:p w14:paraId="048DD0D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248</w:t>
                                  </w:r>
                                </w:p>
                              </w:tc>
                              <w:tc>
                                <w:tcPr>
                                  <w:tcW w:w="720" w:type="dxa"/>
                                  <w:tcBorders>
                                    <w:top w:val="single" w:sz="4" w:space="0" w:color="ADD6EA"/>
                                    <w:left w:val="nil"/>
                                    <w:bottom w:val="nil"/>
                                    <w:right w:val="nil"/>
                                  </w:tcBorders>
                                  <w:shd w:val="clear" w:color="000000" w:fill="FFFFFF"/>
                                  <w:noWrap/>
                                  <w:vAlign w:val="center"/>
                                  <w:hideMark/>
                                </w:tcPr>
                                <w:p w14:paraId="4F914F2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4,519</w:t>
                                  </w:r>
                                </w:p>
                              </w:tc>
                            </w:tr>
                            <w:tr w:rsidR="001A4EBE" w:rsidRPr="001A4EBE" w14:paraId="1BAA1C8F"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635B4CB2" w14:textId="77777777" w:rsidR="001A4EBE" w:rsidRPr="001A4EBE" w:rsidRDefault="001A4EBE" w:rsidP="001A4EB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No worse off payments</w:t>
                                  </w:r>
                                </w:p>
                              </w:tc>
                              <w:tc>
                                <w:tcPr>
                                  <w:tcW w:w="720" w:type="dxa"/>
                                  <w:tcBorders>
                                    <w:top w:val="single" w:sz="4" w:space="0" w:color="ADD6EA"/>
                                    <w:left w:val="nil"/>
                                    <w:bottom w:val="nil"/>
                                    <w:right w:val="nil"/>
                                  </w:tcBorders>
                                  <w:shd w:val="clear" w:color="000000" w:fill="FFFFFF"/>
                                  <w:noWrap/>
                                  <w:vAlign w:val="center"/>
                                  <w:hideMark/>
                                </w:tcPr>
                                <w:p w14:paraId="409A4545"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355</w:t>
                                  </w:r>
                                </w:p>
                              </w:tc>
                              <w:tc>
                                <w:tcPr>
                                  <w:tcW w:w="720" w:type="dxa"/>
                                  <w:tcBorders>
                                    <w:top w:val="single" w:sz="4" w:space="0" w:color="ADD6EA"/>
                                    <w:left w:val="nil"/>
                                    <w:bottom w:val="nil"/>
                                    <w:right w:val="nil"/>
                                  </w:tcBorders>
                                  <w:shd w:val="clear" w:color="000000" w:fill="FFFFFF"/>
                                  <w:noWrap/>
                                  <w:vAlign w:val="center"/>
                                  <w:hideMark/>
                                </w:tcPr>
                                <w:p w14:paraId="7960448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290</w:t>
                                  </w:r>
                                </w:p>
                              </w:tc>
                              <w:tc>
                                <w:tcPr>
                                  <w:tcW w:w="720" w:type="dxa"/>
                                  <w:tcBorders>
                                    <w:top w:val="single" w:sz="4" w:space="0" w:color="ADD6EA"/>
                                    <w:left w:val="nil"/>
                                    <w:bottom w:val="nil"/>
                                    <w:right w:val="nil"/>
                                  </w:tcBorders>
                                  <w:shd w:val="clear" w:color="000000" w:fill="FFFFFF"/>
                                  <w:noWrap/>
                                  <w:vAlign w:val="center"/>
                                  <w:hideMark/>
                                </w:tcPr>
                                <w:p w14:paraId="7D31CE6C"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-1,181</w:t>
                                  </w:r>
                                </w:p>
                              </w:tc>
                              <w:tc>
                                <w:tcPr>
                                  <w:tcW w:w="720" w:type="dxa"/>
                                  <w:tcBorders>
                                    <w:top w:val="single" w:sz="4" w:space="0" w:color="ADD6EA"/>
                                    <w:left w:val="nil"/>
                                    <w:bottom w:val="nil"/>
                                    <w:right w:val="nil"/>
                                  </w:tcBorders>
                                  <w:shd w:val="clear" w:color="000000" w:fill="FFFFFF"/>
                                  <w:noWrap/>
                                  <w:vAlign w:val="center"/>
                                  <w:hideMark/>
                                </w:tcPr>
                                <w:p w14:paraId="7AC90E4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0</w:t>
                                  </w:r>
                                </w:p>
                              </w:tc>
                              <w:tc>
                                <w:tcPr>
                                  <w:tcW w:w="720" w:type="dxa"/>
                                  <w:tcBorders>
                                    <w:top w:val="single" w:sz="4" w:space="0" w:color="ADD6EA"/>
                                    <w:left w:val="nil"/>
                                    <w:bottom w:val="nil"/>
                                    <w:right w:val="nil"/>
                                  </w:tcBorders>
                                  <w:shd w:val="clear" w:color="000000" w:fill="FFFFFF"/>
                                  <w:noWrap/>
                                  <w:vAlign w:val="center"/>
                                  <w:hideMark/>
                                </w:tcPr>
                                <w:p w14:paraId="0E359C2D"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81</w:t>
                                  </w:r>
                                </w:p>
                              </w:tc>
                              <w:tc>
                                <w:tcPr>
                                  <w:tcW w:w="720" w:type="dxa"/>
                                  <w:tcBorders>
                                    <w:top w:val="single" w:sz="4" w:space="0" w:color="ADD6EA"/>
                                    <w:left w:val="nil"/>
                                    <w:bottom w:val="nil"/>
                                    <w:right w:val="nil"/>
                                  </w:tcBorders>
                                  <w:shd w:val="clear" w:color="000000" w:fill="FFFFFF"/>
                                  <w:noWrap/>
                                  <w:vAlign w:val="center"/>
                                  <w:hideMark/>
                                </w:tcPr>
                                <w:p w14:paraId="39B530DB"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26</w:t>
                                  </w:r>
                                </w:p>
                              </w:tc>
                              <w:tc>
                                <w:tcPr>
                                  <w:tcW w:w="720" w:type="dxa"/>
                                  <w:tcBorders>
                                    <w:top w:val="single" w:sz="4" w:space="0" w:color="ADD6EA"/>
                                    <w:left w:val="nil"/>
                                    <w:bottom w:val="nil"/>
                                    <w:right w:val="nil"/>
                                  </w:tcBorders>
                                  <w:shd w:val="clear" w:color="000000" w:fill="FFFFFF"/>
                                  <w:noWrap/>
                                  <w:vAlign w:val="center"/>
                                  <w:hideMark/>
                                </w:tcPr>
                                <w:p w14:paraId="77201879"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21</w:t>
                                  </w:r>
                                </w:p>
                              </w:tc>
                              <w:tc>
                                <w:tcPr>
                                  <w:tcW w:w="720" w:type="dxa"/>
                                  <w:tcBorders>
                                    <w:top w:val="single" w:sz="4" w:space="0" w:color="ADD6EA"/>
                                    <w:left w:val="nil"/>
                                    <w:bottom w:val="nil"/>
                                    <w:right w:val="nil"/>
                                  </w:tcBorders>
                                  <w:shd w:val="clear" w:color="000000" w:fill="FFFFFF"/>
                                  <w:noWrap/>
                                  <w:vAlign w:val="center"/>
                                  <w:hideMark/>
                                </w:tcPr>
                                <w:p w14:paraId="2557CEC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18</w:t>
                                  </w:r>
                                </w:p>
                              </w:tc>
                              <w:tc>
                                <w:tcPr>
                                  <w:tcW w:w="720" w:type="dxa"/>
                                  <w:tcBorders>
                                    <w:top w:val="single" w:sz="4" w:space="0" w:color="ADD6EA"/>
                                    <w:left w:val="nil"/>
                                    <w:bottom w:val="nil"/>
                                    <w:right w:val="nil"/>
                                  </w:tcBorders>
                                  <w:shd w:val="clear" w:color="000000" w:fill="FFFFFF"/>
                                  <w:noWrap/>
                                  <w:vAlign w:val="center"/>
                                  <w:hideMark/>
                                </w:tcPr>
                                <w:p w14:paraId="34A43C4D"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-391</w:t>
                                  </w:r>
                                </w:p>
                              </w:tc>
                            </w:tr>
                            <w:tr w:rsidR="001A4EBE" w:rsidRPr="001A4EBE" w14:paraId="638C1629" w14:textId="77777777" w:rsidTr="001A4EBE">
                              <w:trPr>
                                <w:trHeight w:val="315"/>
                              </w:trPr>
                              <w:tc>
                                <w:tcPr>
                                  <w:tcW w:w="2460" w:type="dxa"/>
                                  <w:tcBorders>
                                    <w:top w:val="single" w:sz="4" w:space="0" w:color="ADD6EA"/>
                                    <w:left w:val="nil"/>
                                    <w:bottom w:val="single" w:sz="4" w:space="0" w:color="ADD6EA"/>
                                    <w:right w:val="nil"/>
                                  </w:tcBorders>
                                  <w:shd w:val="clear" w:color="000000" w:fill="D6E7F0"/>
                                  <w:vAlign w:val="center"/>
                                  <w:hideMark/>
                                </w:tcPr>
                                <w:p w14:paraId="68165178" w14:textId="77777777" w:rsidR="001A4EBE" w:rsidRPr="001A4EBE" w:rsidRDefault="001A4EBE" w:rsidP="001A4EBE">
                                  <w:pPr>
                                    <w:tabs>
                                      <w:tab w:val="clear" w:pos="567"/>
                                    </w:tabs>
                                    <w:spacing w:before="0" w:line="240" w:lineRule="auto"/>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 xml:space="preserve">    Total ($m)</w:t>
                                  </w:r>
                                </w:p>
                              </w:tc>
                              <w:tc>
                                <w:tcPr>
                                  <w:tcW w:w="720" w:type="dxa"/>
                                  <w:tcBorders>
                                    <w:top w:val="single" w:sz="4" w:space="0" w:color="ADD6EA"/>
                                    <w:left w:val="nil"/>
                                    <w:bottom w:val="single" w:sz="4" w:space="0" w:color="ADD6EA"/>
                                    <w:right w:val="nil"/>
                                  </w:tcBorders>
                                  <w:shd w:val="clear" w:color="000000" w:fill="D6E7F0"/>
                                  <w:noWrap/>
                                  <w:vAlign w:val="center"/>
                                  <w:hideMark/>
                                </w:tcPr>
                                <w:p w14:paraId="3B405949"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1,297</w:t>
                                  </w:r>
                                </w:p>
                              </w:tc>
                              <w:tc>
                                <w:tcPr>
                                  <w:tcW w:w="720" w:type="dxa"/>
                                  <w:tcBorders>
                                    <w:top w:val="single" w:sz="4" w:space="0" w:color="ADD6EA"/>
                                    <w:left w:val="nil"/>
                                    <w:bottom w:val="single" w:sz="4" w:space="0" w:color="ADD6EA"/>
                                    <w:right w:val="nil"/>
                                  </w:tcBorders>
                                  <w:shd w:val="clear" w:color="000000" w:fill="D6E7F0"/>
                                  <w:noWrap/>
                                  <w:vAlign w:val="center"/>
                                  <w:hideMark/>
                                </w:tcPr>
                                <w:p w14:paraId="2EAE268E"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3,946</w:t>
                                  </w:r>
                                </w:p>
                              </w:tc>
                              <w:tc>
                                <w:tcPr>
                                  <w:tcW w:w="720" w:type="dxa"/>
                                  <w:tcBorders>
                                    <w:top w:val="single" w:sz="4" w:space="0" w:color="ADD6EA"/>
                                    <w:left w:val="nil"/>
                                    <w:bottom w:val="single" w:sz="4" w:space="0" w:color="ADD6EA"/>
                                    <w:right w:val="nil"/>
                                  </w:tcBorders>
                                  <w:shd w:val="clear" w:color="000000" w:fill="D6E7F0"/>
                                  <w:noWrap/>
                                  <w:vAlign w:val="center"/>
                                  <w:hideMark/>
                                </w:tcPr>
                                <w:p w14:paraId="6A09D1AD"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-2,371</w:t>
                                  </w:r>
                                </w:p>
                              </w:tc>
                              <w:tc>
                                <w:tcPr>
                                  <w:tcW w:w="720" w:type="dxa"/>
                                  <w:tcBorders>
                                    <w:top w:val="single" w:sz="4" w:space="0" w:color="ADD6EA"/>
                                    <w:left w:val="nil"/>
                                    <w:bottom w:val="single" w:sz="4" w:space="0" w:color="ADD6EA"/>
                                    <w:right w:val="nil"/>
                                  </w:tcBorders>
                                  <w:shd w:val="clear" w:color="000000" w:fill="D6E7F0"/>
                                  <w:noWrap/>
                                  <w:vAlign w:val="center"/>
                                  <w:hideMark/>
                                </w:tcPr>
                                <w:p w14:paraId="15BDCD9D"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395</w:t>
                                  </w:r>
                                </w:p>
                              </w:tc>
                              <w:tc>
                                <w:tcPr>
                                  <w:tcW w:w="720" w:type="dxa"/>
                                  <w:tcBorders>
                                    <w:top w:val="single" w:sz="4" w:space="0" w:color="ADD6EA"/>
                                    <w:left w:val="nil"/>
                                    <w:bottom w:val="single" w:sz="4" w:space="0" w:color="ADD6EA"/>
                                    <w:right w:val="nil"/>
                                  </w:tcBorders>
                                  <w:shd w:val="clear" w:color="000000" w:fill="D6E7F0"/>
                                  <w:noWrap/>
                                  <w:vAlign w:val="center"/>
                                  <w:hideMark/>
                                </w:tcPr>
                                <w:p w14:paraId="2D85CBDD"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361</w:t>
                                  </w:r>
                                </w:p>
                              </w:tc>
                              <w:tc>
                                <w:tcPr>
                                  <w:tcW w:w="720" w:type="dxa"/>
                                  <w:tcBorders>
                                    <w:top w:val="single" w:sz="4" w:space="0" w:color="ADD6EA"/>
                                    <w:left w:val="nil"/>
                                    <w:bottom w:val="single" w:sz="4" w:space="0" w:color="ADD6EA"/>
                                    <w:right w:val="nil"/>
                                  </w:tcBorders>
                                  <w:shd w:val="clear" w:color="000000" w:fill="D6E7F0"/>
                                  <w:noWrap/>
                                  <w:vAlign w:val="center"/>
                                  <w:hideMark/>
                                </w:tcPr>
                                <w:p w14:paraId="00EAB03C"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177</w:t>
                                  </w:r>
                                </w:p>
                              </w:tc>
                              <w:tc>
                                <w:tcPr>
                                  <w:tcW w:w="720" w:type="dxa"/>
                                  <w:tcBorders>
                                    <w:top w:val="single" w:sz="4" w:space="0" w:color="ADD6EA"/>
                                    <w:left w:val="nil"/>
                                    <w:bottom w:val="single" w:sz="4" w:space="0" w:color="ADD6EA"/>
                                    <w:right w:val="nil"/>
                                  </w:tcBorders>
                                  <w:shd w:val="clear" w:color="000000" w:fill="D6E7F0"/>
                                  <w:noWrap/>
                                  <w:vAlign w:val="center"/>
                                  <w:hideMark/>
                                </w:tcPr>
                                <w:p w14:paraId="4677A432"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56</w:t>
                                  </w:r>
                                </w:p>
                              </w:tc>
                              <w:tc>
                                <w:tcPr>
                                  <w:tcW w:w="720" w:type="dxa"/>
                                  <w:tcBorders>
                                    <w:top w:val="single" w:sz="4" w:space="0" w:color="ADD6EA"/>
                                    <w:left w:val="nil"/>
                                    <w:bottom w:val="single" w:sz="4" w:space="0" w:color="ADD6EA"/>
                                    <w:right w:val="nil"/>
                                  </w:tcBorders>
                                  <w:shd w:val="clear" w:color="000000" w:fill="D6E7F0"/>
                                  <w:noWrap/>
                                  <w:vAlign w:val="center"/>
                                  <w:hideMark/>
                                </w:tcPr>
                                <w:p w14:paraId="76E2E70E"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267</w:t>
                                  </w:r>
                                </w:p>
                              </w:tc>
                              <w:tc>
                                <w:tcPr>
                                  <w:tcW w:w="720" w:type="dxa"/>
                                  <w:tcBorders>
                                    <w:top w:val="single" w:sz="4" w:space="0" w:color="ADD6EA"/>
                                    <w:left w:val="nil"/>
                                    <w:bottom w:val="single" w:sz="4" w:space="0" w:color="ADD6EA"/>
                                    <w:right w:val="nil"/>
                                  </w:tcBorders>
                                  <w:shd w:val="clear" w:color="000000" w:fill="D6E7F0"/>
                                  <w:noWrap/>
                                  <w:vAlign w:val="center"/>
                                  <w:hideMark/>
                                </w:tcPr>
                                <w:p w14:paraId="79C70808"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4,128</w:t>
                                  </w:r>
                                </w:p>
                              </w:tc>
                            </w:tr>
                            <w:tr w:rsidR="001A4EBE" w:rsidRPr="001A4EBE" w14:paraId="34C174C6" w14:textId="77777777" w:rsidTr="001A4EBE">
                              <w:trPr>
                                <w:trHeight w:val="315"/>
                              </w:trPr>
                              <w:tc>
                                <w:tcPr>
                                  <w:tcW w:w="2460" w:type="dxa"/>
                                  <w:tcBorders>
                                    <w:top w:val="nil"/>
                                    <w:left w:val="nil"/>
                                    <w:bottom w:val="single" w:sz="4" w:space="0" w:color="ADD6EA"/>
                                    <w:right w:val="nil"/>
                                  </w:tcBorders>
                                  <w:shd w:val="clear" w:color="000000" w:fill="D6E7F0"/>
                                  <w:vAlign w:val="center"/>
                                  <w:hideMark/>
                                </w:tcPr>
                                <w:p w14:paraId="103B1B75" w14:textId="77777777" w:rsidR="001A4EBE" w:rsidRPr="001A4EBE" w:rsidRDefault="001A4EBE" w:rsidP="001A4EBE">
                                  <w:pPr>
                                    <w:tabs>
                                      <w:tab w:val="clear" w:pos="567"/>
                                    </w:tabs>
                                    <w:spacing w:before="0" w:line="240" w:lineRule="auto"/>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 xml:space="preserve">    Total ($pc)</w:t>
                                  </w:r>
                                </w:p>
                              </w:tc>
                              <w:tc>
                                <w:tcPr>
                                  <w:tcW w:w="720" w:type="dxa"/>
                                  <w:tcBorders>
                                    <w:top w:val="nil"/>
                                    <w:left w:val="nil"/>
                                    <w:bottom w:val="single" w:sz="4" w:space="0" w:color="ADD6EA"/>
                                    <w:right w:val="nil"/>
                                  </w:tcBorders>
                                  <w:shd w:val="clear" w:color="000000" w:fill="D6E7F0"/>
                                  <w:noWrap/>
                                  <w:vAlign w:val="center"/>
                                  <w:hideMark/>
                                </w:tcPr>
                                <w:p w14:paraId="469914F2"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150</w:t>
                                  </w:r>
                                </w:p>
                              </w:tc>
                              <w:tc>
                                <w:tcPr>
                                  <w:tcW w:w="720" w:type="dxa"/>
                                  <w:tcBorders>
                                    <w:top w:val="nil"/>
                                    <w:left w:val="nil"/>
                                    <w:bottom w:val="single" w:sz="4" w:space="0" w:color="ADD6EA"/>
                                    <w:right w:val="nil"/>
                                  </w:tcBorders>
                                  <w:shd w:val="clear" w:color="000000" w:fill="D6E7F0"/>
                                  <w:noWrap/>
                                  <w:vAlign w:val="center"/>
                                  <w:hideMark/>
                                </w:tcPr>
                                <w:p w14:paraId="79C55FA7"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550</w:t>
                                  </w:r>
                                </w:p>
                              </w:tc>
                              <w:tc>
                                <w:tcPr>
                                  <w:tcW w:w="720" w:type="dxa"/>
                                  <w:tcBorders>
                                    <w:top w:val="nil"/>
                                    <w:left w:val="nil"/>
                                    <w:bottom w:val="single" w:sz="4" w:space="0" w:color="ADD6EA"/>
                                    <w:right w:val="nil"/>
                                  </w:tcBorders>
                                  <w:shd w:val="clear" w:color="000000" w:fill="D6E7F0"/>
                                  <w:noWrap/>
                                  <w:vAlign w:val="center"/>
                                  <w:hideMark/>
                                </w:tcPr>
                                <w:p w14:paraId="23F37E69"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-414</w:t>
                                  </w:r>
                                </w:p>
                              </w:tc>
                              <w:tc>
                                <w:tcPr>
                                  <w:tcW w:w="720" w:type="dxa"/>
                                  <w:tcBorders>
                                    <w:top w:val="nil"/>
                                    <w:left w:val="nil"/>
                                    <w:bottom w:val="single" w:sz="4" w:space="0" w:color="ADD6EA"/>
                                    <w:right w:val="nil"/>
                                  </w:tcBorders>
                                  <w:shd w:val="clear" w:color="000000" w:fill="D6E7F0"/>
                                  <w:noWrap/>
                                  <w:vAlign w:val="center"/>
                                  <w:hideMark/>
                                </w:tcPr>
                                <w:p w14:paraId="4F45359F"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129</w:t>
                                  </w:r>
                                </w:p>
                              </w:tc>
                              <w:tc>
                                <w:tcPr>
                                  <w:tcW w:w="720" w:type="dxa"/>
                                  <w:tcBorders>
                                    <w:top w:val="nil"/>
                                    <w:left w:val="nil"/>
                                    <w:bottom w:val="single" w:sz="4" w:space="0" w:color="ADD6EA"/>
                                    <w:right w:val="nil"/>
                                  </w:tcBorders>
                                  <w:shd w:val="clear" w:color="000000" w:fill="D6E7F0"/>
                                  <w:noWrap/>
                                  <w:vAlign w:val="center"/>
                                  <w:hideMark/>
                                </w:tcPr>
                                <w:p w14:paraId="2D26E66F"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190</w:t>
                                  </w:r>
                                </w:p>
                              </w:tc>
                              <w:tc>
                                <w:tcPr>
                                  <w:tcW w:w="720" w:type="dxa"/>
                                  <w:tcBorders>
                                    <w:top w:val="nil"/>
                                    <w:left w:val="nil"/>
                                    <w:bottom w:val="single" w:sz="4" w:space="0" w:color="ADD6EA"/>
                                    <w:right w:val="nil"/>
                                  </w:tcBorders>
                                  <w:shd w:val="clear" w:color="000000" w:fill="D6E7F0"/>
                                  <w:noWrap/>
                                  <w:vAlign w:val="center"/>
                                  <w:hideMark/>
                                </w:tcPr>
                                <w:p w14:paraId="486309B7"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306</w:t>
                                  </w:r>
                                </w:p>
                              </w:tc>
                              <w:tc>
                                <w:tcPr>
                                  <w:tcW w:w="720" w:type="dxa"/>
                                  <w:tcBorders>
                                    <w:top w:val="nil"/>
                                    <w:left w:val="nil"/>
                                    <w:bottom w:val="single" w:sz="4" w:space="0" w:color="ADD6EA"/>
                                    <w:right w:val="nil"/>
                                  </w:tcBorders>
                                  <w:shd w:val="clear" w:color="000000" w:fill="D6E7F0"/>
                                  <w:noWrap/>
                                  <w:vAlign w:val="center"/>
                                  <w:hideMark/>
                                </w:tcPr>
                                <w:p w14:paraId="1A787FB5"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116</w:t>
                                  </w:r>
                                </w:p>
                              </w:tc>
                              <w:tc>
                                <w:tcPr>
                                  <w:tcW w:w="720" w:type="dxa"/>
                                  <w:tcBorders>
                                    <w:top w:val="nil"/>
                                    <w:left w:val="nil"/>
                                    <w:bottom w:val="single" w:sz="4" w:space="0" w:color="ADD6EA"/>
                                    <w:right w:val="nil"/>
                                  </w:tcBorders>
                                  <w:shd w:val="clear" w:color="000000" w:fill="D6E7F0"/>
                                  <w:noWrap/>
                                  <w:vAlign w:val="center"/>
                                  <w:hideMark/>
                                </w:tcPr>
                                <w:p w14:paraId="1BC80E82"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1,037</w:t>
                                  </w:r>
                                </w:p>
                              </w:tc>
                              <w:tc>
                                <w:tcPr>
                                  <w:tcW w:w="720" w:type="dxa"/>
                                  <w:tcBorders>
                                    <w:top w:val="nil"/>
                                    <w:left w:val="nil"/>
                                    <w:bottom w:val="single" w:sz="4" w:space="0" w:color="ADD6EA"/>
                                    <w:right w:val="nil"/>
                                  </w:tcBorders>
                                  <w:shd w:val="clear" w:color="000000" w:fill="D6E7F0"/>
                                  <w:noWrap/>
                                  <w:vAlign w:val="center"/>
                                  <w:hideMark/>
                                </w:tcPr>
                                <w:p w14:paraId="64E15D34"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148</w:t>
                                  </w:r>
                                </w:p>
                              </w:tc>
                            </w:tr>
                          </w:tbl>
                          <w:p w14:paraId="3A6B0590" w14:textId="248A7773" w:rsidR="008F56EA" w:rsidRPr="002C0D38" w:rsidRDefault="008F56EA" w:rsidP="00A00D6A">
                            <w:pPr>
                              <w:pStyle w:val="CGC2025TableNote"/>
                              <w:rPr>
                                <w:color w:val="FF0000"/>
                              </w:rPr>
                            </w:pPr>
                            <w:r>
                              <w:t xml:space="preserve">Note: </w:t>
                            </w:r>
                            <w:r w:rsidR="00951195">
                              <w:t>Estimates s</w:t>
                            </w:r>
                            <w:r>
                              <w:t xml:space="preserve">ubject to changes in the GST pool and populations. </w:t>
                            </w:r>
                          </w:p>
                          <w:p w14:paraId="36C13DF4" w14:textId="77777777" w:rsidR="008F56EA" w:rsidRDefault="008F56EA" w:rsidP="008F56EA"/>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9EC1F" id="Text Box 2140234510" o:spid="_x0000_s1032" type="#_x0000_t202" style="position:absolute;margin-left:0;margin-top:0;width:460.9pt;height:696.45pt;z-index:25165824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" fillcolor="#e5f8ff" strokecolor="window">
                <v:textbox>
                  <w:txbxContent>
                    <w:p w14:paraId="313750C7" w14:textId="77777777" w:rsidR="00A11E05" w:rsidRDefault="00A11E05" w:rsidP="00994767">
                      <w:pPr>
                        <w:pStyle w:val="HeadingBox-Level2"/>
                      </w:pPr>
                      <w:bookmarkStart w:id="81" w:name="_Toc190780920"/>
                      <w:r>
                        <w:t>Estimated total GST-related payments</w:t>
                      </w:r>
                      <w:bookmarkEnd w:id="81"/>
                    </w:p>
                    <w:p w14:paraId="3222C08E" w14:textId="0EA5BA2C" w:rsidR="00A11E05" w:rsidRDefault="00A11E05" w:rsidP="00A11E05">
                      <w:r>
                        <w:t xml:space="preserve">A state that was worse off </w:t>
                      </w:r>
                      <w:r w:rsidRPr="00362DFB">
                        <w:t xml:space="preserve">in </w:t>
                      </w:r>
                      <w:r>
                        <w:t xml:space="preserve">the distribution of GST in </w:t>
                      </w:r>
                      <w:r w:rsidRPr="00362DFB">
                        <w:t>2025–26 (</w:t>
                      </w:r>
                      <w:r>
                        <w:t>compared with the previous GST distribution arrangements) could expect a no worse off payment from the Commonwealth similar to that shown in the table below. All states except Western</w:t>
                      </w:r>
                      <w:r w:rsidR="00F947BF">
                        <w:t> </w:t>
                      </w:r>
                      <w:r>
                        <w:t xml:space="preserve">Australia are estimated to receive a no worse off payment in </w:t>
                      </w:r>
                      <w:r w:rsidRPr="00362DFB">
                        <w:t>2025–26.</w:t>
                      </w:r>
                    </w:p>
                    <w:p w14:paraId="62D2CB3D" w14:textId="60C0EB55" w:rsidR="00F14091" w:rsidRPr="00F14091" w:rsidRDefault="00F14091" w:rsidP="00F14091">
                      <w:r w:rsidRPr="00F14091">
                        <w:t>In determining whether a state is worse off under the 2018 GST distribution legislation, allowance is made for the extent to which a state has gained from Commonwealth top</w:t>
                      </w:r>
                      <w:r w:rsidR="004250F3">
                        <w:noBreakHyphen/>
                      </w:r>
                      <w:r w:rsidRPr="00F14091">
                        <w:t>ups to the GST pool.</w:t>
                      </w:r>
                    </w:p>
                    <w:p w14:paraId="2E6B4C42" w14:textId="2EAA7E03" w:rsidR="00113C59" w:rsidRPr="00D855E5" w:rsidRDefault="00113C59" w:rsidP="00113C59">
                      <w:pPr>
                        <w:rPr>
                          <w:i/>
                          <w:iCs/>
                        </w:rPr>
                      </w:pPr>
                      <w:r>
                        <w:t xml:space="preserve">Queensland’s estimated no worse off payment for 2025–26 is significantly smaller than in previous years. </w:t>
                      </w:r>
                      <w:r w:rsidRPr="004E6F7D">
                        <w:t>This is because</w:t>
                      </w:r>
                      <w:r w:rsidR="007C5243" w:rsidRPr="004E6F7D">
                        <w:t>, f</w:t>
                      </w:r>
                      <w:r w:rsidR="00E14CC5" w:rsidRPr="004E6F7D">
                        <w:t>o</w:t>
                      </w:r>
                      <w:r w:rsidR="007C5243" w:rsidRPr="004E6F7D">
                        <w:t>r 2025</w:t>
                      </w:r>
                      <w:r w:rsidR="001B5020" w:rsidRPr="004E6F7D">
                        <w:t>–</w:t>
                      </w:r>
                      <w:r w:rsidR="007C5243" w:rsidRPr="004E6F7D">
                        <w:t>26,</w:t>
                      </w:r>
                      <w:r w:rsidRPr="004E6F7D">
                        <w:t xml:space="preserve"> Queensland </w:t>
                      </w:r>
                      <w:r w:rsidR="00DC017E" w:rsidRPr="004E6F7D">
                        <w:t>benefited from</w:t>
                      </w:r>
                      <w:r w:rsidR="0014741C" w:rsidRPr="004E6F7D">
                        <w:t xml:space="preserve"> </w:t>
                      </w:r>
                      <w:r w:rsidR="008C3915" w:rsidRPr="004E6F7D">
                        <w:t>having its</w:t>
                      </w:r>
                      <w:r w:rsidR="00261D7A" w:rsidRPr="004E6F7D">
                        <w:t xml:space="preserve"> relativity</w:t>
                      </w:r>
                      <w:r w:rsidR="0014741C" w:rsidRPr="004E6F7D">
                        <w:t xml:space="preserve"> lifted </w:t>
                      </w:r>
                      <w:r w:rsidR="00D843FC" w:rsidRPr="004E6F7D">
                        <w:t>to</w:t>
                      </w:r>
                      <w:r w:rsidR="00DC017E" w:rsidRPr="004E6F7D">
                        <w:t xml:space="preserve"> </w:t>
                      </w:r>
                      <w:r w:rsidR="00261D7A" w:rsidRPr="004E6F7D">
                        <w:t xml:space="preserve">that of </w:t>
                      </w:r>
                      <w:r w:rsidR="00C82CA8" w:rsidRPr="004E6F7D">
                        <w:t xml:space="preserve">New South Wales </w:t>
                      </w:r>
                      <w:r w:rsidR="005749ED" w:rsidRPr="004E6F7D">
                        <w:t xml:space="preserve">under </w:t>
                      </w:r>
                      <w:r w:rsidR="004305A9" w:rsidRPr="004E6F7D">
                        <w:t>the standard state</w:t>
                      </w:r>
                      <w:r w:rsidR="005749ED" w:rsidRPr="004E6F7D">
                        <w:t xml:space="preserve"> approach</w:t>
                      </w:r>
                      <w:r w:rsidR="00351E8C" w:rsidRPr="004E6F7D">
                        <w:t xml:space="preserve">. </w:t>
                      </w:r>
                      <w:r w:rsidRPr="004E6F7D">
                        <w:t xml:space="preserve">However, this benefit was more than offset </w:t>
                      </w:r>
                      <w:r w:rsidR="00412DDB" w:rsidRPr="004E6F7D">
                        <w:t xml:space="preserve">by </w:t>
                      </w:r>
                      <w:r w:rsidRPr="004E6F7D">
                        <w:t>the reduction in Queensland’s relativity as a consequence of lifting Western</w:t>
                      </w:r>
                      <w:r w:rsidR="005A7029" w:rsidRPr="004E6F7D">
                        <w:t> </w:t>
                      </w:r>
                      <w:r w:rsidRPr="004E6F7D">
                        <w:t xml:space="preserve">Australia’s relativity </w:t>
                      </w:r>
                      <w:r w:rsidR="00E40AFF" w:rsidRPr="004E6F7D">
                        <w:t>under the standard state approach</w:t>
                      </w:r>
                      <w:r w:rsidRPr="004E6F7D">
                        <w:t xml:space="preserve"> and applying the 0.75 floor.</w:t>
                      </w:r>
                      <w:r w:rsidR="001A6967" w:rsidRPr="004E6F7D">
                        <w:t xml:space="preserve"> </w:t>
                      </w:r>
                      <w:r w:rsidR="00E47326" w:rsidRPr="004E6F7D">
                        <w:t>In effect</w:t>
                      </w:r>
                      <w:r w:rsidR="00384510" w:rsidRPr="004E6F7D">
                        <w:t>,</w:t>
                      </w:r>
                      <w:r w:rsidR="001A6967" w:rsidRPr="004E6F7D">
                        <w:t xml:space="preserve"> </w:t>
                      </w:r>
                      <w:r w:rsidR="00FD4470" w:rsidRPr="004E6F7D">
                        <w:t>Queensland</w:t>
                      </w:r>
                      <w:r w:rsidR="00F332AF" w:rsidRPr="004E6F7D">
                        <w:t>’s relat</w:t>
                      </w:r>
                      <w:r w:rsidR="0041384A" w:rsidRPr="004E6F7D">
                        <w:t>ivity was reduced less</w:t>
                      </w:r>
                      <w:r w:rsidR="00FD4470" w:rsidRPr="004E6F7D">
                        <w:t xml:space="preserve"> than other states </w:t>
                      </w:r>
                      <w:r w:rsidR="00BB3DBE" w:rsidRPr="004E6F7D">
                        <w:t>when</w:t>
                      </w:r>
                      <w:r w:rsidR="00A21BF8" w:rsidRPr="004E6F7D">
                        <w:t xml:space="preserve"> lifting Western</w:t>
                      </w:r>
                      <w:r w:rsidR="00B33856" w:rsidRPr="004E6F7D">
                        <w:t> </w:t>
                      </w:r>
                      <w:r w:rsidR="00A21BF8" w:rsidRPr="004E6F7D">
                        <w:t>Australia’s relativity</w:t>
                      </w:r>
                      <w:r w:rsidR="00CF34B1" w:rsidRPr="004E6F7D">
                        <w:t xml:space="preserve"> (see Table A-1</w:t>
                      </w:r>
                      <w:r w:rsidR="006F36F6" w:rsidRPr="004E6F7D">
                        <w:t xml:space="preserve"> in Attachment A</w:t>
                      </w:r>
                      <w:r w:rsidR="00CF34B1" w:rsidRPr="004E6F7D">
                        <w:t>).</w:t>
                      </w:r>
                      <w:r w:rsidRPr="004E6F7D">
                        <w:t xml:space="preserve"> As a result, Queensland is still estimated to receive a no worse off payment.</w:t>
                      </w:r>
                    </w:p>
                    <w:p w14:paraId="55A6905F" w14:textId="2B4AF96D" w:rsidR="008F56EA" w:rsidRPr="00F438B0" w:rsidRDefault="008F56EA" w:rsidP="000E5201">
                      <w:pPr>
                        <w:pStyle w:val="CGC2025Caption"/>
                      </w:pPr>
                      <w:r w:rsidRPr="00F438B0">
                        <w:t>Estimated total payments to the states from GST distribution and no worse off payments</w:t>
                      </w:r>
                    </w:p>
                    <w:tbl>
                      <w:tblPr>
                        <w:tblW w:w="8940" w:type="dxa"/>
                        <w:tblLook w:val="04A0" w:firstRow="1" w:lastRow="0" w:firstColumn="1" w:lastColumn="0" w:noHBand="0" w:noVBand="1"/>
                      </w:tblPr>
                      <w:tblGrid>
                        <w:gridCol w:w="2373"/>
                        <w:gridCol w:w="720"/>
                        <w:gridCol w:w="720"/>
                        <w:gridCol w:w="720"/>
                        <w:gridCol w:w="720"/>
                        <w:gridCol w:w="720"/>
                        <w:gridCol w:w="720"/>
                        <w:gridCol w:w="720"/>
                        <w:gridCol w:w="720"/>
                        <w:gridCol w:w="807"/>
                      </w:tblGrid>
                      <w:tr w:rsidR="001A4EBE" w:rsidRPr="001A4EBE" w14:paraId="3A8BAE40" w14:textId="77777777" w:rsidTr="001A4EBE">
                        <w:trPr>
                          <w:trHeight w:val="379"/>
                        </w:trPr>
                        <w:tc>
                          <w:tcPr>
                            <w:tcW w:w="2460" w:type="dxa"/>
                            <w:tcBorders>
                              <w:top w:val="nil"/>
                              <w:left w:val="nil"/>
                              <w:bottom w:val="nil"/>
                              <w:right w:val="nil"/>
                            </w:tcBorders>
                            <w:shd w:val="clear" w:color="000000" w:fill="006991"/>
                            <w:vAlign w:val="bottom"/>
                            <w:hideMark/>
                          </w:tcPr>
                          <w:p w14:paraId="0CA353FD" w14:textId="77777777" w:rsidR="001A4EBE" w:rsidRPr="001A4EBE" w:rsidRDefault="001A4EBE" w:rsidP="001A4EBE">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82" w:name="RANGE!A4:J17"/>
                            <w:r w:rsidRPr="001A4EBE">
                              <w:rPr>
                                <w:rFonts w:ascii="Open Sans Semibold" w:eastAsia="Times New Roman" w:hAnsi="Open Sans Semibold" w:cs="Open Sans Semibold"/>
                                <w:color w:val="FFFFFF"/>
                                <w:sz w:val="16"/>
                                <w:szCs w:val="16"/>
                                <w:lang w:eastAsia="en-AU"/>
                              </w:rPr>
                              <w:t> </w:t>
                            </w:r>
                            <w:bookmarkEnd w:id="82"/>
                          </w:p>
                        </w:tc>
                        <w:tc>
                          <w:tcPr>
                            <w:tcW w:w="720" w:type="dxa"/>
                            <w:tcBorders>
                              <w:top w:val="nil"/>
                              <w:left w:val="nil"/>
                              <w:bottom w:val="nil"/>
                              <w:right w:val="nil"/>
                            </w:tcBorders>
                            <w:shd w:val="clear" w:color="000000" w:fill="006991"/>
                            <w:vAlign w:val="center"/>
                            <w:hideMark/>
                          </w:tcPr>
                          <w:p w14:paraId="70D9C97A"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NSW</w:t>
                            </w:r>
                          </w:p>
                        </w:tc>
                        <w:tc>
                          <w:tcPr>
                            <w:tcW w:w="720" w:type="dxa"/>
                            <w:tcBorders>
                              <w:top w:val="nil"/>
                              <w:left w:val="nil"/>
                              <w:bottom w:val="nil"/>
                              <w:right w:val="nil"/>
                            </w:tcBorders>
                            <w:shd w:val="clear" w:color="000000" w:fill="006991"/>
                            <w:vAlign w:val="center"/>
                            <w:hideMark/>
                          </w:tcPr>
                          <w:p w14:paraId="6E1352D7"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Vic</w:t>
                            </w:r>
                          </w:p>
                        </w:tc>
                        <w:tc>
                          <w:tcPr>
                            <w:tcW w:w="720" w:type="dxa"/>
                            <w:tcBorders>
                              <w:top w:val="nil"/>
                              <w:left w:val="nil"/>
                              <w:bottom w:val="nil"/>
                              <w:right w:val="nil"/>
                            </w:tcBorders>
                            <w:shd w:val="clear" w:color="000000" w:fill="006991"/>
                            <w:vAlign w:val="center"/>
                            <w:hideMark/>
                          </w:tcPr>
                          <w:p w14:paraId="765DF651"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Qld</w:t>
                            </w:r>
                          </w:p>
                        </w:tc>
                        <w:tc>
                          <w:tcPr>
                            <w:tcW w:w="720" w:type="dxa"/>
                            <w:tcBorders>
                              <w:top w:val="nil"/>
                              <w:left w:val="nil"/>
                              <w:bottom w:val="nil"/>
                              <w:right w:val="nil"/>
                            </w:tcBorders>
                            <w:shd w:val="clear" w:color="000000" w:fill="006991"/>
                            <w:vAlign w:val="center"/>
                            <w:hideMark/>
                          </w:tcPr>
                          <w:p w14:paraId="0DBF7724"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WA</w:t>
                            </w:r>
                          </w:p>
                        </w:tc>
                        <w:tc>
                          <w:tcPr>
                            <w:tcW w:w="720" w:type="dxa"/>
                            <w:tcBorders>
                              <w:top w:val="nil"/>
                              <w:left w:val="nil"/>
                              <w:bottom w:val="nil"/>
                              <w:right w:val="nil"/>
                            </w:tcBorders>
                            <w:shd w:val="clear" w:color="000000" w:fill="006991"/>
                            <w:vAlign w:val="center"/>
                            <w:hideMark/>
                          </w:tcPr>
                          <w:p w14:paraId="054A6158"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SA</w:t>
                            </w:r>
                          </w:p>
                        </w:tc>
                        <w:tc>
                          <w:tcPr>
                            <w:tcW w:w="720" w:type="dxa"/>
                            <w:tcBorders>
                              <w:top w:val="nil"/>
                              <w:left w:val="nil"/>
                              <w:bottom w:val="nil"/>
                              <w:right w:val="nil"/>
                            </w:tcBorders>
                            <w:shd w:val="clear" w:color="000000" w:fill="006991"/>
                            <w:vAlign w:val="center"/>
                            <w:hideMark/>
                          </w:tcPr>
                          <w:p w14:paraId="11852877"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Tas</w:t>
                            </w:r>
                          </w:p>
                        </w:tc>
                        <w:tc>
                          <w:tcPr>
                            <w:tcW w:w="720" w:type="dxa"/>
                            <w:tcBorders>
                              <w:top w:val="nil"/>
                              <w:left w:val="nil"/>
                              <w:bottom w:val="nil"/>
                              <w:right w:val="nil"/>
                            </w:tcBorders>
                            <w:shd w:val="clear" w:color="000000" w:fill="006991"/>
                            <w:vAlign w:val="center"/>
                            <w:hideMark/>
                          </w:tcPr>
                          <w:p w14:paraId="3C6E1940"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ACT</w:t>
                            </w:r>
                          </w:p>
                        </w:tc>
                        <w:tc>
                          <w:tcPr>
                            <w:tcW w:w="720" w:type="dxa"/>
                            <w:tcBorders>
                              <w:top w:val="nil"/>
                              <w:left w:val="nil"/>
                              <w:bottom w:val="nil"/>
                              <w:right w:val="nil"/>
                            </w:tcBorders>
                            <w:shd w:val="clear" w:color="000000" w:fill="006991"/>
                            <w:vAlign w:val="center"/>
                            <w:hideMark/>
                          </w:tcPr>
                          <w:p w14:paraId="66CB72AE"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NT</w:t>
                            </w:r>
                          </w:p>
                        </w:tc>
                        <w:tc>
                          <w:tcPr>
                            <w:tcW w:w="720" w:type="dxa"/>
                            <w:tcBorders>
                              <w:top w:val="nil"/>
                              <w:left w:val="nil"/>
                              <w:bottom w:val="nil"/>
                              <w:right w:val="nil"/>
                            </w:tcBorders>
                            <w:shd w:val="clear" w:color="000000" w:fill="006991"/>
                            <w:vAlign w:val="center"/>
                            <w:hideMark/>
                          </w:tcPr>
                          <w:p w14:paraId="25FB7386"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4EBE">
                              <w:rPr>
                                <w:rFonts w:ascii="Open Sans Semibold" w:eastAsia="Times New Roman" w:hAnsi="Open Sans Semibold" w:cs="Open Sans Semibold"/>
                                <w:color w:val="FFFFFF"/>
                                <w:sz w:val="16"/>
                                <w:szCs w:val="16"/>
                                <w:lang w:eastAsia="en-AU"/>
                              </w:rPr>
                              <w:t>Total</w:t>
                            </w:r>
                          </w:p>
                        </w:tc>
                      </w:tr>
                      <w:tr w:rsidR="001A4EBE" w:rsidRPr="001A4EBE" w14:paraId="1D528ECD" w14:textId="77777777" w:rsidTr="001A4EBE">
                        <w:trPr>
                          <w:trHeight w:val="259"/>
                        </w:trPr>
                        <w:tc>
                          <w:tcPr>
                            <w:tcW w:w="2460" w:type="dxa"/>
                            <w:tcBorders>
                              <w:top w:val="single" w:sz="4" w:space="0" w:color="ADD6EA"/>
                              <w:left w:val="nil"/>
                              <w:bottom w:val="nil"/>
                              <w:right w:val="nil"/>
                            </w:tcBorders>
                            <w:shd w:val="clear" w:color="000000" w:fill="B6D5E4"/>
                            <w:vAlign w:val="bottom"/>
                            <w:hideMark/>
                          </w:tcPr>
                          <w:p w14:paraId="1BA8AD89" w14:textId="77777777" w:rsidR="001A4EBE" w:rsidRPr="001A4EBE" w:rsidRDefault="001A4EBE" w:rsidP="001A4EBE">
                            <w:pPr>
                              <w:tabs>
                                <w:tab w:val="clear" w:pos="567"/>
                              </w:tabs>
                              <w:spacing w:before="0" w:line="240" w:lineRule="auto"/>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noWrap/>
                            <w:vAlign w:val="center"/>
                            <w:hideMark/>
                          </w:tcPr>
                          <w:p w14:paraId="311623E8"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396C4B88"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0A9A687E"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60A75335"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0E300341"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62F996C6"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1C1A12AF"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2F4B7481"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7CC143CA"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$m</w:t>
                            </w:r>
                          </w:p>
                        </w:tc>
                      </w:tr>
                      <w:tr w:rsidR="001A4EBE" w:rsidRPr="001A4EBE" w14:paraId="551902DD"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033D100A" w14:textId="77777777" w:rsidR="001A4EBE" w:rsidRPr="001A4EBE" w:rsidRDefault="001A4EBE" w:rsidP="001A4EBE">
                            <w:pPr>
                              <w:tabs>
                                <w:tab w:val="clear" w:pos="567"/>
                              </w:tabs>
                              <w:spacing w:before="0" w:line="240" w:lineRule="auto"/>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2024-25</w:t>
                            </w:r>
                          </w:p>
                        </w:tc>
                        <w:tc>
                          <w:tcPr>
                            <w:tcW w:w="720" w:type="dxa"/>
                            <w:tcBorders>
                              <w:top w:val="single" w:sz="4" w:space="0" w:color="ADD6EA"/>
                              <w:left w:val="nil"/>
                              <w:bottom w:val="nil"/>
                              <w:right w:val="nil"/>
                            </w:tcBorders>
                            <w:shd w:val="clear" w:color="000000" w:fill="FFFFFF"/>
                            <w:noWrap/>
                            <w:vAlign w:val="center"/>
                            <w:hideMark/>
                          </w:tcPr>
                          <w:p w14:paraId="589D00A2"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1A2E3F1E"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7B381A77"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325C4CC1"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19F955F7"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0D63B402"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44FD6AF2"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48FCA4EC"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1F4FD7DD"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r>
                      <w:tr w:rsidR="001A4EBE" w:rsidRPr="001A4EBE" w14:paraId="6F15D912"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3B8FC05C" w14:textId="77777777" w:rsidR="001A4EBE" w:rsidRPr="001A4EBE" w:rsidRDefault="001A4EBE" w:rsidP="001A4EB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Total GST distribution</w:t>
                            </w:r>
                          </w:p>
                        </w:tc>
                        <w:tc>
                          <w:tcPr>
                            <w:tcW w:w="720" w:type="dxa"/>
                            <w:tcBorders>
                              <w:top w:val="single" w:sz="4" w:space="0" w:color="ADD6EA"/>
                              <w:left w:val="nil"/>
                              <w:bottom w:val="nil"/>
                              <w:right w:val="nil"/>
                            </w:tcBorders>
                            <w:shd w:val="clear" w:color="000000" w:fill="FFFFFF"/>
                            <w:noWrap/>
                            <w:vAlign w:val="center"/>
                            <w:hideMark/>
                          </w:tcPr>
                          <w:p w14:paraId="14D36EB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24,540</w:t>
                            </w:r>
                          </w:p>
                        </w:tc>
                        <w:tc>
                          <w:tcPr>
                            <w:tcW w:w="720" w:type="dxa"/>
                            <w:tcBorders>
                              <w:top w:val="single" w:sz="4" w:space="0" w:color="ADD6EA"/>
                              <w:left w:val="nil"/>
                              <w:bottom w:val="nil"/>
                              <w:right w:val="nil"/>
                            </w:tcBorders>
                            <w:shd w:val="clear" w:color="000000" w:fill="FFFFFF"/>
                            <w:noWrap/>
                            <w:vAlign w:val="center"/>
                            <w:hideMark/>
                          </w:tcPr>
                          <w:p w14:paraId="0E4B9F3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22,491</w:t>
                            </w:r>
                          </w:p>
                        </w:tc>
                        <w:tc>
                          <w:tcPr>
                            <w:tcW w:w="720" w:type="dxa"/>
                            <w:tcBorders>
                              <w:top w:val="single" w:sz="4" w:space="0" w:color="ADD6EA"/>
                              <w:left w:val="nil"/>
                              <w:bottom w:val="nil"/>
                              <w:right w:val="nil"/>
                            </w:tcBorders>
                            <w:shd w:val="clear" w:color="000000" w:fill="FFFFFF"/>
                            <w:noWrap/>
                            <w:vAlign w:val="center"/>
                            <w:hideMark/>
                          </w:tcPr>
                          <w:p w14:paraId="06283CC1"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17,751</w:t>
                            </w:r>
                          </w:p>
                        </w:tc>
                        <w:tc>
                          <w:tcPr>
                            <w:tcW w:w="720" w:type="dxa"/>
                            <w:tcBorders>
                              <w:top w:val="single" w:sz="4" w:space="0" w:color="ADD6EA"/>
                              <w:left w:val="nil"/>
                              <w:bottom w:val="nil"/>
                              <w:right w:val="nil"/>
                            </w:tcBorders>
                            <w:shd w:val="clear" w:color="000000" w:fill="FFFFFF"/>
                            <w:noWrap/>
                            <w:vAlign w:val="center"/>
                            <w:hideMark/>
                          </w:tcPr>
                          <w:p w14:paraId="50AF72EE"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7,435</w:t>
                            </w:r>
                          </w:p>
                        </w:tc>
                        <w:tc>
                          <w:tcPr>
                            <w:tcW w:w="720" w:type="dxa"/>
                            <w:tcBorders>
                              <w:top w:val="single" w:sz="4" w:space="0" w:color="ADD6EA"/>
                              <w:left w:val="nil"/>
                              <w:bottom w:val="nil"/>
                              <w:right w:val="nil"/>
                            </w:tcBorders>
                            <w:shd w:val="clear" w:color="000000" w:fill="FFFFFF"/>
                            <w:noWrap/>
                            <w:vAlign w:val="center"/>
                            <w:hideMark/>
                          </w:tcPr>
                          <w:p w14:paraId="75D904D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8,753</w:t>
                            </w:r>
                          </w:p>
                        </w:tc>
                        <w:tc>
                          <w:tcPr>
                            <w:tcW w:w="720" w:type="dxa"/>
                            <w:tcBorders>
                              <w:top w:val="single" w:sz="4" w:space="0" w:color="ADD6EA"/>
                              <w:left w:val="nil"/>
                              <w:bottom w:val="nil"/>
                              <w:right w:val="nil"/>
                            </w:tcBorders>
                            <w:shd w:val="clear" w:color="000000" w:fill="FFFFFF"/>
                            <w:noWrap/>
                            <w:vAlign w:val="center"/>
                            <w:hideMark/>
                          </w:tcPr>
                          <w:p w14:paraId="219C0AB8"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3,484</w:t>
                            </w:r>
                          </w:p>
                        </w:tc>
                        <w:tc>
                          <w:tcPr>
                            <w:tcW w:w="720" w:type="dxa"/>
                            <w:tcBorders>
                              <w:top w:val="single" w:sz="4" w:space="0" w:color="ADD6EA"/>
                              <w:left w:val="nil"/>
                              <w:bottom w:val="nil"/>
                              <w:right w:val="nil"/>
                            </w:tcBorders>
                            <w:shd w:val="clear" w:color="000000" w:fill="FFFFFF"/>
                            <w:noWrap/>
                            <w:vAlign w:val="center"/>
                            <w:hideMark/>
                          </w:tcPr>
                          <w:p w14:paraId="7A54017E"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1,899</w:t>
                            </w:r>
                          </w:p>
                        </w:tc>
                        <w:tc>
                          <w:tcPr>
                            <w:tcW w:w="720" w:type="dxa"/>
                            <w:tcBorders>
                              <w:top w:val="single" w:sz="4" w:space="0" w:color="ADD6EA"/>
                              <w:left w:val="nil"/>
                              <w:bottom w:val="nil"/>
                              <w:right w:val="nil"/>
                            </w:tcBorders>
                            <w:shd w:val="clear" w:color="000000" w:fill="FFFFFF"/>
                            <w:noWrap/>
                            <w:vAlign w:val="center"/>
                            <w:hideMark/>
                          </w:tcPr>
                          <w:p w14:paraId="03CA3803"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4,279</w:t>
                            </w:r>
                          </w:p>
                        </w:tc>
                        <w:tc>
                          <w:tcPr>
                            <w:tcW w:w="720" w:type="dxa"/>
                            <w:tcBorders>
                              <w:top w:val="single" w:sz="4" w:space="0" w:color="ADD6EA"/>
                              <w:left w:val="nil"/>
                              <w:bottom w:val="nil"/>
                              <w:right w:val="nil"/>
                            </w:tcBorders>
                            <w:shd w:val="clear" w:color="000000" w:fill="FFFFFF"/>
                            <w:noWrap/>
                            <w:vAlign w:val="center"/>
                            <w:hideMark/>
                          </w:tcPr>
                          <w:p w14:paraId="7FD37AA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90,631</w:t>
                            </w:r>
                          </w:p>
                        </w:tc>
                      </w:tr>
                      <w:tr w:rsidR="001A4EBE" w:rsidRPr="001A4EBE" w14:paraId="2EF8C48A"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3435778F" w14:textId="77777777" w:rsidR="001A4EBE" w:rsidRPr="001A4EBE" w:rsidRDefault="001A4EBE" w:rsidP="001A4EB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No worse off payments</w:t>
                            </w:r>
                          </w:p>
                        </w:tc>
                        <w:tc>
                          <w:tcPr>
                            <w:tcW w:w="720" w:type="dxa"/>
                            <w:tcBorders>
                              <w:top w:val="single" w:sz="4" w:space="0" w:color="ADD6EA"/>
                              <w:left w:val="nil"/>
                              <w:bottom w:val="nil"/>
                              <w:right w:val="nil"/>
                            </w:tcBorders>
                            <w:shd w:val="clear" w:color="000000" w:fill="FFFFFF"/>
                            <w:noWrap/>
                            <w:vAlign w:val="center"/>
                            <w:hideMark/>
                          </w:tcPr>
                          <w:p w14:paraId="023871B5"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1,879</w:t>
                            </w:r>
                          </w:p>
                        </w:tc>
                        <w:tc>
                          <w:tcPr>
                            <w:tcW w:w="720" w:type="dxa"/>
                            <w:tcBorders>
                              <w:top w:val="single" w:sz="4" w:space="0" w:color="ADD6EA"/>
                              <w:left w:val="nil"/>
                              <w:bottom w:val="nil"/>
                              <w:right w:val="nil"/>
                            </w:tcBorders>
                            <w:shd w:val="clear" w:color="000000" w:fill="FFFFFF"/>
                            <w:noWrap/>
                            <w:vAlign w:val="center"/>
                            <w:hideMark/>
                          </w:tcPr>
                          <w:p w14:paraId="4A6EEE8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1,551</w:t>
                            </w:r>
                          </w:p>
                        </w:tc>
                        <w:tc>
                          <w:tcPr>
                            <w:tcW w:w="720" w:type="dxa"/>
                            <w:tcBorders>
                              <w:top w:val="single" w:sz="4" w:space="0" w:color="ADD6EA"/>
                              <w:left w:val="nil"/>
                              <w:bottom w:val="nil"/>
                              <w:right w:val="nil"/>
                            </w:tcBorders>
                            <w:shd w:val="clear" w:color="000000" w:fill="FFFFFF"/>
                            <w:noWrap/>
                            <w:vAlign w:val="center"/>
                            <w:hideMark/>
                          </w:tcPr>
                          <w:p w14:paraId="1CC21069"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1,228</w:t>
                            </w:r>
                          </w:p>
                        </w:tc>
                        <w:tc>
                          <w:tcPr>
                            <w:tcW w:w="720" w:type="dxa"/>
                            <w:tcBorders>
                              <w:top w:val="single" w:sz="4" w:space="0" w:color="ADD6EA"/>
                              <w:left w:val="nil"/>
                              <w:bottom w:val="nil"/>
                              <w:right w:val="nil"/>
                            </w:tcBorders>
                            <w:shd w:val="clear" w:color="000000" w:fill="FFFFFF"/>
                            <w:noWrap/>
                            <w:vAlign w:val="center"/>
                            <w:hideMark/>
                          </w:tcPr>
                          <w:p w14:paraId="5BFC4251"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0</w:t>
                            </w:r>
                          </w:p>
                        </w:tc>
                        <w:tc>
                          <w:tcPr>
                            <w:tcW w:w="720" w:type="dxa"/>
                            <w:tcBorders>
                              <w:top w:val="single" w:sz="4" w:space="0" w:color="ADD6EA"/>
                              <w:left w:val="nil"/>
                              <w:bottom w:val="nil"/>
                              <w:right w:val="nil"/>
                            </w:tcBorders>
                            <w:shd w:val="clear" w:color="000000" w:fill="FFFFFF"/>
                            <w:noWrap/>
                            <w:vAlign w:val="center"/>
                            <w:hideMark/>
                          </w:tcPr>
                          <w:p w14:paraId="778903C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404</w:t>
                            </w:r>
                          </w:p>
                        </w:tc>
                        <w:tc>
                          <w:tcPr>
                            <w:tcW w:w="720" w:type="dxa"/>
                            <w:tcBorders>
                              <w:top w:val="single" w:sz="4" w:space="0" w:color="ADD6EA"/>
                              <w:left w:val="nil"/>
                              <w:bottom w:val="nil"/>
                              <w:right w:val="nil"/>
                            </w:tcBorders>
                            <w:shd w:val="clear" w:color="000000" w:fill="FFFFFF"/>
                            <w:noWrap/>
                            <w:vAlign w:val="center"/>
                            <w:hideMark/>
                          </w:tcPr>
                          <w:p w14:paraId="5E62C7C7"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120</w:t>
                            </w:r>
                          </w:p>
                        </w:tc>
                        <w:tc>
                          <w:tcPr>
                            <w:tcW w:w="720" w:type="dxa"/>
                            <w:tcBorders>
                              <w:top w:val="single" w:sz="4" w:space="0" w:color="ADD6EA"/>
                              <w:left w:val="nil"/>
                              <w:bottom w:val="nil"/>
                              <w:right w:val="nil"/>
                            </w:tcBorders>
                            <w:shd w:val="clear" w:color="000000" w:fill="FFFFFF"/>
                            <w:noWrap/>
                            <w:vAlign w:val="center"/>
                            <w:hideMark/>
                          </w:tcPr>
                          <w:p w14:paraId="0E96F915"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103</w:t>
                            </w:r>
                          </w:p>
                        </w:tc>
                        <w:tc>
                          <w:tcPr>
                            <w:tcW w:w="720" w:type="dxa"/>
                            <w:tcBorders>
                              <w:top w:val="single" w:sz="4" w:space="0" w:color="ADD6EA"/>
                              <w:left w:val="nil"/>
                              <w:bottom w:val="nil"/>
                              <w:right w:val="nil"/>
                            </w:tcBorders>
                            <w:shd w:val="clear" w:color="000000" w:fill="FFFFFF"/>
                            <w:noWrap/>
                            <w:vAlign w:val="center"/>
                            <w:hideMark/>
                          </w:tcPr>
                          <w:p w14:paraId="50DE61A9"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43</w:t>
                            </w:r>
                          </w:p>
                        </w:tc>
                        <w:tc>
                          <w:tcPr>
                            <w:tcW w:w="720" w:type="dxa"/>
                            <w:tcBorders>
                              <w:top w:val="single" w:sz="4" w:space="0" w:color="ADD6EA"/>
                              <w:left w:val="nil"/>
                              <w:bottom w:val="nil"/>
                              <w:right w:val="nil"/>
                            </w:tcBorders>
                            <w:shd w:val="clear" w:color="000000" w:fill="FFFFFF"/>
                            <w:noWrap/>
                            <w:vAlign w:val="center"/>
                            <w:hideMark/>
                          </w:tcPr>
                          <w:p w14:paraId="7E5571B9"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5,328</w:t>
                            </w:r>
                          </w:p>
                        </w:tc>
                      </w:tr>
                      <w:tr w:rsidR="001A4EBE" w:rsidRPr="001A4EBE" w14:paraId="3B883C9C" w14:textId="77777777" w:rsidTr="001A4EBE">
                        <w:trPr>
                          <w:trHeight w:val="315"/>
                        </w:trPr>
                        <w:tc>
                          <w:tcPr>
                            <w:tcW w:w="2460" w:type="dxa"/>
                            <w:tcBorders>
                              <w:top w:val="single" w:sz="4" w:space="0" w:color="ADD6EA"/>
                              <w:left w:val="nil"/>
                              <w:bottom w:val="nil"/>
                              <w:right w:val="nil"/>
                            </w:tcBorders>
                            <w:shd w:val="clear" w:color="000000" w:fill="D6E7F0"/>
                            <w:vAlign w:val="center"/>
                            <w:hideMark/>
                          </w:tcPr>
                          <w:p w14:paraId="18989F34" w14:textId="77777777" w:rsidR="001A4EBE" w:rsidRPr="001A4EBE" w:rsidRDefault="001A4EBE" w:rsidP="001A4EBE">
                            <w:pPr>
                              <w:tabs>
                                <w:tab w:val="clear" w:pos="567"/>
                              </w:tabs>
                              <w:spacing w:before="0" w:line="240" w:lineRule="auto"/>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 xml:space="preserve">    Total</w:t>
                            </w:r>
                          </w:p>
                        </w:tc>
                        <w:tc>
                          <w:tcPr>
                            <w:tcW w:w="720" w:type="dxa"/>
                            <w:tcBorders>
                              <w:top w:val="single" w:sz="4" w:space="0" w:color="ADD6EA"/>
                              <w:left w:val="nil"/>
                              <w:bottom w:val="nil"/>
                              <w:right w:val="nil"/>
                            </w:tcBorders>
                            <w:shd w:val="clear" w:color="000000" w:fill="D6E7F0"/>
                            <w:noWrap/>
                            <w:vAlign w:val="center"/>
                            <w:hideMark/>
                          </w:tcPr>
                          <w:p w14:paraId="322042CB"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26,419</w:t>
                            </w:r>
                          </w:p>
                        </w:tc>
                        <w:tc>
                          <w:tcPr>
                            <w:tcW w:w="720" w:type="dxa"/>
                            <w:tcBorders>
                              <w:top w:val="single" w:sz="4" w:space="0" w:color="ADD6EA"/>
                              <w:left w:val="nil"/>
                              <w:bottom w:val="nil"/>
                              <w:right w:val="nil"/>
                            </w:tcBorders>
                            <w:shd w:val="clear" w:color="000000" w:fill="D6E7F0"/>
                            <w:noWrap/>
                            <w:vAlign w:val="center"/>
                            <w:hideMark/>
                          </w:tcPr>
                          <w:p w14:paraId="1AAF225E"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24,042</w:t>
                            </w:r>
                          </w:p>
                        </w:tc>
                        <w:tc>
                          <w:tcPr>
                            <w:tcW w:w="720" w:type="dxa"/>
                            <w:tcBorders>
                              <w:top w:val="single" w:sz="4" w:space="0" w:color="ADD6EA"/>
                              <w:left w:val="nil"/>
                              <w:bottom w:val="nil"/>
                              <w:right w:val="nil"/>
                            </w:tcBorders>
                            <w:shd w:val="clear" w:color="000000" w:fill="D6E7F0"/>
                            <w:noWrap/>
                            <w:vAlign w:val="center"/>
                            <w:hideMark/>
                          </w:tcPr>
                          <w:p w14:paraId="4BC6219A"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18,979</w:t>
                            </w:r>
                          </w:p>
                        </w:tc>
                        <w:tc>
                          <w:tcPr>
                            <w:tcW w:w="720" w:type="dxa"/>
                            <w:tcBorders>
                              <w:top w:val="single" w:sz="4" w:space="0" w:color="ADD6EA"/>
                              <w:left w:val="nil"/>
                              <w:bottom w:val="nil"/>
                              <w:right w:val="nil"/>
                            </w:tcBorders>
                            <w:shd w:val="clear" w:color="000000" w:fill="D6E7F0"/>
                            <w:noWrap/>
                            <w:vAlign w:val="center"/>
                            <w:hideMark/>
                          </w:tcPr>
                          <w:p w14:paraId="0B03E64B"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7,435</w:t>
                            </w:r>
                          </w:p>
                        </w:tc>
                        <w:tc>
                          <w:tcPr>
                            <w:tcW w:w="720" w:type="dxa"/>
                            <w:tcBorders>
                              <w:top w:val="single" w:sz="4" w:space="0" w:color="ADD6EA"/>
                              <w:left w:val="nil"/>
                              <w:bottom w:val="nil"/>
                              <w:right w:val="nil"/>
                            </w:tcBorders>
                            <w:shd w:val="clear" w:color="000000" w:fill="D6E7F0"/>
                            <w:noWrap/>
                            <w:vAlign w:val="center"/>
                            <w:hideMark/>
                          </w:tcPr>
                          <w:p w14:paraId="2FA67A74"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9,157</w:t>
                            </w:r>
                          </w:p>
                        </w:tc>
                        <w:tc>
                          <w:tcPr>
                            <w:tcW w:w="720" w:type="dxa"/>
                            <w:tcBorders>
                              <w:top w:val="single" w:sz="4" w:space="0" w:color="ADD6EA"/>
                              <w:left w:val="nil"/>
                              <w:bottom w:val="nil"/>
                              <w:right w:val="nil"/>
                            </w:tcBorders>
                            <w:shd w:val="clear" w:color="000000" w:fill="D6E7F0"/>
                            <w:noWrap/>
                            <w:vAlign w:val="center"/>
                            <w:hideMark/>
                          </w:tcPr>
                          <w:p w14:paraId="20B47841"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3,604</w:t>
                            </w:r>
                          </w:p>
                        </w:tc>
                        <w:tc>
                          <w:tcPr>
                            <w:tcW w:w="720" w:type="dxa"/>
                            <w:tcBorders>
                              <w:top w:val="single" w:sz="4" w:space="0" w:color="ADD6EA"/>
                              <w:left w:val="nil"/>
                              <w:bottom w:val="nil"/>
                              <w:right w:val="nil"/>
                            </w:tcBorders>
                            <w:shd w:val="clear" w:color="000000" w:fill="D6E7F0"/>
                            <w:noWrap/>
                            <w:vAlign w:val="center"/>
                            <w:hideMark/>
                          </w:tcPr>
                          <w:p w14:paraId="46760D5C"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2,002</w:t>
                            </w:r>
                          </w:p>
                        </w:tc>
                        <w:tc>
                          <w:tcPr>
                            <w:tcW w:w="720" w:type="dxa"/>
                            <w:tcBorders>
                              <w:top w:val="single" w:sz="4" w:space="0" w:color="ADD6EA"/>
                              <w:left w:val="nil"/>
                              <w:bottom w:val="nil"/>
                              <w:right w:val="nil"/>
                            </w:tcBorders>
                            <w:shd w:val="clear" w:color="000000" w:fill="D6E7F0"/>
                            <w:noWrap/>
                            <w:vAlign w:val="center"/>
                            <w:hideMark/>
                          </w:tcPr>
                          <w:p w14:paraId="39EB61A8"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4,322</w:t>
                            </w:r>
                          </w:p>
                        </w:tc>
                        <w:tc>
                          <w:tcPr>
                            <w:tcW w:w="720" w:type="dxa"/>
                            <w:tcBorders>
                              <w:top w:val="single" w:sz="4" w:space="0" w:color="ADD6EA"/>
                              <w:left w:val="nil"/>
                              <w:bottom w:val="nil"/>
                              <w:right w:val="nil"/>
                            </w:tcBorders>
                            <w:shd w:val="clear" w:color="000000" w:fill="D6E7F0"/>
                            <w:noWrap/>
                            <w:vAlign w:val="center"/>
                            <w:hideMark/>
                          </w:tcPr>
                          <w:p w14:paraId="160E3EB4"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95,959</w:t>
                            </w:r>
                          </w:p>
                        </w:tc>
                      </w:tr>
                      <w:tr w:rsidR="001A4EBE" w:rsidRPr="001A4EBE" w14:paraId="0E6B7B21"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7489EF81" w14:textId="77777777" w:rsidR="001A4EBE" w:rsidRPr="001A4EBE" w:rsidRDefault="001A4EBE" w:rsidP="001A4EBE">
                            <w:pPr>
                              <w:tabs>
                                <w:tab w:val="clear" w:pos="567"/>
                              </w:tabs>
                              <w:spacing w:before="0" w:line="240" w:lineRule="auto"/>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2025-26</w:t>
                            </w:r>
                          </w:p>
                        </w:tc>
                        <w:tc>
                          <w:tcPr>
                            <w:tcW w:w="720" w:type="dxa"/>
                            <w:tcBorders>
                              <w:top w:val="single" w:sz="4" w:space="0" w:color="ADD6EA"/>
                              <w:left w:val="nil"/>
                              <w:bottom w:val="nil"/>
                              <w:right w:val="nil"/>
                            </w:tcBorders>
                            <w:shd w:val="clear" w:color="000000" w:fill="FFFFFF"/>
                            <w:noWrap/>
                            <w:vAlign w:val="center"/>
                            <w:hideMark/>
                          </w:tcPr>
                          <w:p w14:paraId="6AB628F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694E645E"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7F6D65C7"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22E67842"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7EA04447"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656862DC"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70A5708E"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15DBE13D"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2F5C9922"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r>
                      <w:tr w:rsidR="001A4EBE" w:rsidRPr="001A4EBE" w14:paraId="52E16022"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4C5F694B" w14:textId="77777777" w:rsidR="001A4EBE" w:rsidRPr="001A4EBE" w:rsidRDefault="001A4EBE" w:rsidP="001A4EB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Total GST distribution</w:t>
                            </w:r>
                          </w:p>
                        </w:tc>
                        <w:tc>
                          <w:tcPr>
                            <w:tcW w:w="720" w:type="dxa"/>
                            <w:tcBorders>
                              <w:top w:val="single" w:sz="4" w:space="0" w:color="ADD6EA"/>
                              <w:left w:val="nil"/>
                              <w:bottom w:val="nil"/>
                              <w:right w:val="nil"/>
                            </w:tcBorders>
                            <w:shd w:val="clear" w:color="000000" w:fill="FFFFFF"/>
                            <w:noWrap/>
                            <w:vAlign w:val="center"/>
                            <w:hideMark/>
                          </w:tcPr>
                          <w:p w14:paraId="035746F4"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25,482</w:t>
                            </w:r>
                          </w:p>
                        </w:tc>
                        <w:tc>
                          <w:tcPr>
                            <w:tcW w:w="720" w:type="dxa"/>
                            <w:tcBorders>
                              <w:top w:val="single" w:sz="4" w:space="0" w:color="ADD6EA"/>
                              <w:left w:val="nil"/>
                              <w:bottom w:val="nil"/>
                              <w:right w:val="nil"/>
                            </w:tcBorders>
                            <w:shd w:val="clear" w:color="000000" w:fill="FFFFFF"/>
                            <w:noWrap/>
                            <w:vAlign w:val="center"/>
                            <w:hideMark/>
                          </w:tcPr>
                          <w:p w14:paraId="4649B6E9"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26,147</w:t>
                            </w:r>
                          </w:p>
                        </w:tc>
                        <w:tc>
                          <w:tcPr>
                            <w:tcW w:w="720" w:type="dxa"/>
                            <w:tcBorders>
                              <w:top w:val="single" w:sz="4" w:space="0" w:color="ADD6EA"/>
                              <w:left w:val="nil"/>
                              <w:bottom w:val="nil"/>
                              <w:right w:val="nil"/>
                            </w:tcBorders>
                            <w:shd w:val="clear" w:color="000000" w:fill="FFFFFF"/>
                            <w:noWrap/>
                            <w:vAlign w:val="center"/>
                            <w:hideMark/>
                          </w:tcPr>
                          <w:p w14:paraId="14FAF24C"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16,562</w:t>
                            </w:r>
                          </w:p>
                        </w:tc>
                        <w:tc>
                          <w:tcPr>
                            <w:tcW w:w="720" w:type="dxa"/>
                            <w:tcBorders>
                              <w:top w:val="single" w:sz="4" w:space="0" w:color="ADD6EA"/>
                              <w:left w:val="nil"/>
                              <w:bottom w:val="nil"/>
                              <w:right w:val="nil"/>
                            </w:tcBorders>
                            <w:shd w:val="clear" w:color="000000" w:fill="FFFFFF"/>
                            <w:noWrap/>
                            <w:vAlign w:val="center"/>
                            <w:hideMark/>
                          </w:tcPr>
                          <w:p w14:paraId="7A2E056D"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7,830</w:t>
                            </w:r>
                          </w:p>
                        </w:tc>
                        <w:tc>
                          <w:tcPr>
                            <w:tcW w:w="720" w:type="dxa"/>
                            <w:tcBorders>
                              <w:top w:val="single" w:sz="4" w:space="0" w:color="ADD6EA"/>
                              <w:left w:val="nil"/>
                              <w:bottom w:val="nil"/>
                              <w:right w:val="nil"/>
                            </w:tcBorders>
                            <w:shd w:val="clear" w:color="000000" w:fill="FFFFFF"/>
                            <w:noWrap/>
                            <w:vAlign w:val="center"/>
                            <w:hideMark/>
                          </w:tcPr>
                          <w:p w14:paraId="5293332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9,032</w:t>
                            </w:r>
                          </w:p>
                        </w:tc>
                        <w:tc>
                          <w:tcPr>
                            <w:tcW w:w="720" w:type="dxa"/>
                            <w:tcBorders>
                              <w:top w:val="single" w:sz="4" w:space="0" w:color="ADD6EA"/>
                              <w:left w:val="nil"/>
                              <w:bottom w:val="nil"/>
                              <w:right w:val="nil"/>
                            </w:tcBorders>
                            <w:shd w:val="clear" w:color="000000" w:fill="FFFFFF"/>
                            <w:noWrap/>
                            <w:vAlign w:val="center"/>
                            <w:hideMark/>
                          </w:tcPr>
                          <w:p w14:paraId="741EA2CE"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3,635</w:t>
                            </w:r>
                          </w:p>
                        </w:tc>
                        <w:tc>
                          <w:tcPr>
                            <w:tcW w:w="720" w:type="dxa"/>
                            <w:tcBorders>
                              <w:top w:val="single" w:sz="4" w:space="0" w:color="ADD6EA"/>
                              <w:left w:val="nil"/>
                              <w:bottom w:val="nil"/>
                              <w:right w:val="nil"/>
                            </w:tcBorders>
                            <w:shd w:val="clear" w:color="000000" w:fill="FFFFFF"/>
                            <w:noWrap/>
                            <w:vAlign w:val="center"/>
                            <w:hideMark/>
                          </w:tcPr>
                          <w:p w14:paraId="56589CC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1,934</w:t>
                            </w:r>
                          </w:p>
                        </w:tc>
                        <w:tc>
                          <w:tcPr>
                            <w:tcW w:w="720" w:type="dxa"/>
                            <w:tcBorders>
                              <w:top w:val="single" w:sz="4" w:space="0" w:color="ADD6EA"/>
                              <w:left w:val="nil"/>
                              <w:bottom w:val="nil"/>
                              <w:right w:val="nil"/>
                            </w:tcBorders>
                            <w:shd w:val="clear" w:color="000000" w:fill="FFFFFF"/>
                            <w:noWrap/>
                            <w:vAlign w:val="center"/>
                            <w:hideMark/>
                          </w:tcPr>
                          <w:p w14:paraId="2083D73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4,527</w:t>
                            </w:r>
                          </w:p>
                        </w:tc>
                        <w:tc>
                          <w:tcPr>
                            <w:tcW w:w="720" w:type="dxa"/>
                            <w:tcBorders>
                              <w:top w:val="single" w:sz="4" w:space="0" w:color="ADD6EA"/>
                              <w:left w:val="nil"/>
                              <w:bottom w:val="nil"/>
                              <w:right w:val="nil"/>
                            </w:tcBorders>
                            <w:shd w:val="clear" w:color="000000" w:fill="FFFFFF"/>
                            <w:noWrap/>
                            <w:vAlign w:val="center"/>
                            <w:hideMark/>
                          </w:tcPr>
                          <w:p w14:paraId="7CE406AF"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95,150</w:t>
                            </w:r>
                          </w:p>
                        </w:tc>
                      </w:tr>
                      <w:tr w:rsidR="001A4EBE" w:rsidRPr="001A4EBE" w14:paraId="378FA639"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2B31DC3C" w14:textId="77777777" w:rsidR="001A4EBE" w:rsidRPr="001A4EBE" w:rsidRDefault="001A4EBE" w:rsidP="001A4EB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No worse off payments</w:t>
                            </w:r>
                          </w:p>
                        </w:tc>
                        <w:tc>
                          <w:tcPr>
                            <w:tcW w:w="720" w:type="dxa"/>
                            <w:tcBorders>
                              <w:top w:val="single" w:sz="4" w:space="0" w:color="ADD6EA"/>
                              <w:left w:val="nil"/>
                              <w:bottom w:val="nil"/>
                              <w:right w:val="nil"/>
                            </w:tcBorders>
                            <w:shd w:val="clear" w:color="000000" w:fill="FFFFFF"/>
                            <w:noWrap/>
                            <w:vAlign w:val="center"/>
                            <w:hideMark/>
                          </w:tcPr>
                          <w:p w14:paraId="32DAA225"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2,234</w:t>
                            </w:r>
                          </w:p>
                        </w:tc>
                        <w:tc>
                          <w:tcPr>
                            <w:tcW w:w="720" w:type="dxa"/>
                            <w:tcBorders>
                              <w:top w:val="single" w:sz="4" w:space="0" w:color="ADD6EA"/>
                              <w:left w:val="nil"/>
                              <w:bottom w:val="nil"/>
                              <w:right w:val="nil"/>
                            </w:tcBorders>
                            <w:shd w:val="clear" w:color="000000" w:fill="FFFFFF"/>
                            <w:noWrap/>
                            <w:vAlign w:val="center"/>
                            <w:hideMark/>
                          </w:tcPr>
                          <w:p w14:paraId="088B2FB3"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1,841</w:t>
                            </w:r>
                          </w:p>
                        </w:tc>
                        <w:tc>
                          <w:tcPr>
                            <w:tcW w:w="720" w:type="dxa"/>
                            <w:tcBorders>
                              <w:top w:val="single" w:sz="4" w:space="0" w:color="ADD6EA"/>
                              <w:left w:val="nil"/>
                              <w:bottom w:val="nil"/>
                              <w:right w:val="nil"/>
                            </w:tcBorders>
                            <w:shd w:val="clear" w:color="000000" w:fill="FFFFFF"/>
                            <w:noWrap/>
                            <w:vAlign w:val="center"/>
                            <w:hideMark/>
                          </w:tcPr>
                          <w:p w14:paraId="5EB199B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47</w:t>
                            </w:r>
                          </w:p>
                        </w:tc>
                        <w:tc>
                          <w:tcPr>
                            <w:tcW w:w="720" w:type="dxa"/>
                            <w:tcBorders>
                              <w:top w:val="single" w:sz="4" w:space="0" w:color="ADD6EA"/>
                              <w:left w:val="nil"/>
                              <w:bottom w:val="nil"/>
                              <w:right w:val="nil"/>
                            </w:tcBorders>
                            <w:shd w:val="clear" w:color="000000" w:fill="FFFFFF"/>
                            <w:noWrap/>
                            <w:vAlign w:val="center"/>
                            <w:hideMark/>
                          </w:tcPr>
                          <w:p w14:paraId="5E635B25"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0</w:t>
                            </w:r>
                          </w:p>
                        </w:tc>
                        <w:tc>
                          <w:tcPr>
                            <w:tcW w:w="720" w:type="dxa"/>
                            <w:tcBorders>
                              <w:top w:val="single" w:sz="4" w:space="0" w:color="ADD6EA"/>
                              <w:left w:val="nil"/>
                              <w:bottom w:val="nil"/>
                              <w:right w:val="nil"/>
                            </w:tcBorders>
                            <w:shd w:val="clear" w:color="000000" w:fill="FFFFFF"/>
                            <w:noWrap/>
                            <w:vAlign w:val="center"/>
                            <w:hideMark/>
                          </w:tcPr>
                          <w:p w14:paraId="24AC8DD5"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486</w:t>
                            </w:r>
                          </w:p>
                        </w:tc>
                        <w:tc>
                          <w:tcPr>
                            <w:tcW w:w="720" w:type="dxa"/>
                            <w:tcBorders>
                              <w:top w:val="single" w:sz="4" w:space="0" w:color="ADD6EA"/>
                              <w:left w:val="nil"/>
                              <w:bottom w:val="nil"/>
                              <w:right w:val="nil"/>
                            </w:tcBorders>
                            <w:shd w:val="clear" w:color="000000" w:fill="FFFFFF"/>
                            <w:noWrap/>
                            <w:vAlign w:val="center"/>
                            <w:hideMark/>
                          </w:tcPr>
                          <w:p w14:paraId="0AC9F3BB"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146</w:t>
                            </w:r>
                          </w:p>
                        </w:tc>
                        <w:tc>
                          <w:tcPr>
                            <w:tcW w:w="720" w:type="dxa"/>
                            <w:tcBorders>
                              <w:top w:val="single" w:sz="4" w:space="0" w:color="ADD6EA"/>
                              <w:left w:val="nil"/>
                              <w:bottom w:val="nil"/>
                              <w:right w:val="nil"/>
                            </w:tcBorders>
                            <w:shd w:val="clear" w:color="000000" w:fill="FFFFFF"/>
                            <w:noWrap/>
                            <w:vAlign w:val="center"/>
                            <w:hideMark/>
                          </w:tcPr>
                          <w:p w14:paraId="00980E20"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124</w:t>
                            </w:r>
                          </w:p>
                        </w:tc>
                        <w:tc>
                          <w:tcPr>
                            <w:tcW w:w="720" w:type="dxa"/>
                            <w:tcBorders>
                              <w:top w:val="single" w:sz="4" w:space="0" w:color="ADD6EA"/>
                              <w:left w:val="nil"/>
                              <w:bottom w:val="nil"/>
                              <w:right w:val="nil"/>
                            </w:tcBorders>
                            <w:shd w:val="clear" w:color="000000" w:fill="FFFFFF"/>
                            <w:noWrap/>
                            <w:vAlign w:val="center"/>
                            <w:hideMark/>
                          </w:tcPr>
                          <w:p w14:paraId="6462962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61</w:t>
                            </w:r>
                          </w:p>
                        </w:tc>
                        <w:tc>
                          <w:tcPr>
                            <w:tcW w:w="720" w:type="dxa"/>
                            <w:tcBorders>
                              <w:top w:val="single" w:sz="4" w:space="0" w:color="ADD6EA"/>
                              <w:left w:val="nil"/>
                              <w:bottom w:val="nil"/>
                              <w:right w:val="nil"/>
                            </w:tcBorders>
                            <w:shd w:val="clear" w:color="000000" w:fill="FFFFFF"/>
                            <w:noWrap/>
                            <w:vAlign w:val="center"/>
                            <w:hideMark/>
                          </w:tcPr>
                          <w:p w14:paraId="3527164F"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4,938</w:t>
                            </w:r>
                          </w:p>
                        </w:tc>
                      </w:tr>
                      <w:tr w:rsidR="001A4EBE" w:rsidRPr="001A4EBE" w14:paraId="1292EBFD" w14:textId="77777777" w:rsidTr="001A4EBE">
                        <w:trPr>
                          <w:trHeight w:val="315"/>
                        </w:trPr>
                        <w:tc>
                          <w:tcPr>
                            <w:tcW w:w="2460" w:type="dxa"/>
                            <w:tcBorders>
                              <w:top w:val="single" w:sz="4" w:space="0" w:color="ADD6EA"/>
                              <w:left w:val="nil"/>
                              <w:bottom w:val="nil"/>
                              <w:right w:val="nil"/>
                            </w:tcBorders>
                            <w:shd w:val="clear" w:color="000000" w:fill="D6E7F0"/>
                            <w:vAlign w:val="center"/>
                            <w:hideMark/>
                          </w:tcPr>
                          <w:p w14:paraId="1CE8A42A" w14:textId="77777777" w:rsidR="001A4EBE" w:rsidRPr="001A4EBE" w:rsidRDefault="001A4EBE" w:rsidP="001A4EBE">
                            <w:pPr>
                              <w:tabs>
                                <w:tab w:val="clear" w:pos="567"/>
                              </w:tabs>
                              <w:spacing w:before="0" w:line="240" w:lineRule="auto"/>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 xml:space="preserve">    Total</w:t>
                            </w:r>
                          </w:p>
                        </w:tc>
                        <w:tc>
                          <w:tcPr>
                            <w:tcW w:w="720" w:type="dxa"/>
                            <w:tcBorders>
                              <w:top w:val="single" w:sz="4" w:space="0" w:color="ADD6EA"/>
                              <w:left w:val="nil"/>
                              <w:bottom w:val="nil"/>
                              <w:right w:val="nil"/>
                            </w:tcBorders>
                            <w:shd w:val="clear" w:color="000000" w:fill="D6E7F0"/>
                            <w:noWrap/>
                            <w:vAlign w:val="center"/>
                            <w:hideMark/>
                          </w:tcPr>
                          <w:p w14:paraId="23EE8F5D"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27,716</w:t>
                            </w:r>
                          </w:p>
                        </w:tc>
                        <w:tc>
                          <w:tcPr>
                            <w:tcW w:w="720" w:type="dxa"/>
                            <w:tcBorders>
                              <w:top w:val="single" w:sz="4" w:space="0" w:color="ADD6EA"/>
                              <w:left w:val="nil"/>
                              <w:bottom w:val="nil"/>
                              <w:right w:val="nil"/>
                            </w:tcBorders>
                            <w:shd w:val="clear" w:color="000000" w:fill="D6E7F0"/>
                            <w:noWrap/>
                            <w:vAlign w:val="center"/>
                            <w:hideMark/>
                          </w:tcPr>
                          <w:p w14:paraId="11FEADCB"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27,988</w:t>
                            </w:r>
                          </w:p>
                        </w:tc>
                        <w:tc>
                          <w:tcPr>
                            <w:tcW w:w="720" w:type="dxa"/>
                            <w:tcBorders>
                              <w:top w:val="single" w:sz="4" w:space="0" w:color="ADD6EA"/>
                              <w:left w:val="nil"/>
                              <w:bottom w:val="nil"/>
                              <w:right w:val="nil"/>
                            </w:tcBorders>
                            <w:shd w:val="clear" w:color="000000" w:fill="D6E7F0"/>
                            <w:noWrap/>
                            <w:vAlign w:val="center"/>
                            <w:hideMark/>
                          </w:tcPr>
                          <w:p w14:paraId="725DF167"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16,608</w:t>
                            </w:r>
                          </w:p>
                        </w:tc>
                        <w:tc>
                          <w:tcPr>
                            <w:tcW w:w="720" w:type="dxa"/>
                            <w:tcBorders>
                              <w:top w:val="single" w:sz="4" w:space="0" w:color="ADD6EA"/>
                              <w:left w:val="nil"/>
                              <w:bottom w:val="nil"/>
                              <w:right w:val="nil"/>
                            </w:tcBorders>
                            <w:shd w:val="clear" w:color="000000" w:fill="D6E7F0"/>
                            <w:noWrap/>
                            <w:vAlign w:val="center"/>
                            <w:hideMark/>
                          </w:tcPr>
                          <w:p w14:paraId="1902E026"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7,830</w:t>
                            </w:r>
                          </w:p>
                        </w:tc>
                        <w:tc>
                          <w:tcPr>
                            <w:tcW w:w="720" w:type="dxa"/>
                            <w:tcBorders>
                              <w:top w:val="single" w:sz="4" w:space="0" w:color="ADD6EA"/>
                              <w:left w:val="nil"/>
                              <w:bottom w:val="nil"/>
                              <w:right w:val="nil"/>
                            </w:tcBorders>
                            <w:shd w:val="clear" w:color="000000" w:fill="D6E7F0"/>
                            <w:noWrap/>
                            <w:vAlign w:val="center"/>
                            <w:hideMark/>
                          </w:tcPr>
                          <w:p w14:paraId="1E5DE2A8"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9,518</w:t>
                            </w:r>
                          </w:p>
                        </w:tc>
                        <w:tc>
                          <w:tcPr>
                            <w:tcW w:w="720" w:type="dxa"/>
                            <w:tcBorders>
                              <w:top w:val="single" w:sz="4" w:space="0" w:color="ADD6EA"/>
                              <w:left w:val="nil"/>
                              <w:bottom w:val="nil"/>
                              <w:right w:val="nil"/>
                            </w:tcBorders>
                            <w:shd w:val="clear" w:color="000000" w:fill="D6E7F0"/>
                            <w:noWrap/>
                            <w:vAlign w:val="center"/>
                            <w:hideMark/>
                          </w:tcPr>
                          <w:p w14:paraId="12CCFA23"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3,781</w:t>
                            </w:r>
                          </w:p>
                        </w:tc>
                        <w:tc>
                          <w:tcPr>
                            <w:tcW w:w="720" w:type="dxa"/>
                            <w:tcBorders>
                              <w:top w:val="single" w:sz="4" w:space="0" w:color="ADD6EA"/>
                              <w:left w:val="nil"/>
                              <w:bottom w:val="nil"/>
                              <w:right w:val="nil"/>
                            </w:tcBorders>
                            <w:shd w:val="clear" w:color="000000" w:fill="D6E7F0"/>
                            <w:noWrap/>
                            <w:vAlign w:val="center"/>
                            <w:hideMark/>
                          </w:tcPr>
                          <w:p w14:paraId="5CA4BF8B"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2,058</w:t>
                            </w:r>
                          </w:p>
                        </w:tc>
                        <w:tc>
                          <w:tcPr>
                            <w:tcW w:w="720" w:type="dxa"/>
                            <w:tcBorders>
                              <w:top w:val="single" w:sz="4" w:space="0" w:color="ADD6EA"/>
                              <w:left w:val="nil"/>
                              <w:bottom w:val="nil"/>
                              <w:right w:val="nil"/>
                            </w:tcBorders>
                            <w:shd w:val="clear" w:color="000000" w:fill="D6E7F0"/>
                            <w:noWrap/>
                            <w:vAlign w:val="center"/>
                            <w:hideMark/>
                          </w:tcPr>
                          <w:p w14:paraId="3755257E"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4,588</w:t>
                            </w:r>
                          </w:p>
                        </w:tc>
                        <w:tc>
                          <w:tcPr>
                            <w:tcW w:w="720" w:type="dxa"/>
                            <w:tcBorders>
                              <w:top w:val="single" w:sz="4" w:space="0" w:color="ADD6EA"/>
                              <w:left w:val="nil"/>
                              <w:bottom w:val="nil"/>
                              <w:right w:val="nil"/>
                            </w:tcBorders>
                            <w:shd w:val="clear" w:color="000000" w:fill="D6E7F0"/>
                            <w:noWrap/>
                            <w:vAlign w:val="center"/>
                            <w:hideMark/>
                          </w:tcPr>
                          <w:p w14:paraId="588C1F20"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100,088</w:t>
                            </w:r>
                          </w:p>
                        </w:tc>
                      </w:tr>
                      <w:tr w:rsidR="001A4EBE" w:rsidRPr="001A4EBE" w14:paraId="00DB7F77"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297408D3" w14:textId="77777777" w:rsidR="001A4EBE" w:rsidRPr="001A4EBE" w:rsidRDefault="001A4EBE" w:rsidP="001A4EBE">
                            <w:pPr>
                              <w:tabs>
                                <w:tab w:val="clear" w:pos="567"/>
                              </w:tabs>
                              <w:spacing w:before="0" w:line="240" w:lineRule="auto"/>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xml:space="preserve">Difference </w:t>
                            </w:r>
                          </w:p>
                        </w:tc>
                        <w:tc>
                          <w:tcPr>
                            <w:tcW w:w="720" w:type="dxa"/>
                            <w:tcBorders>
                              <w:top w:val="single" w:sz="4" w:space="0" w:color="ADD6EA"/>
                              <w:left w:val="nil"/>
                              <w:bottom w:val="nil"/>
                              <w:right w:val="nil"/>
                            </w:tcBorders>
                            <w:shd w:val="clear" w:color="000000" w:fill="FFFFFF"/>
                            <w:vAlign w:val="center"/>
                            <w:hideMark/>
                          </w:tcPr>
                          <w:p w14:paraId="63835E2B"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41C07774"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0FB38332"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74BCD7C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0BAEB321"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481AB78E"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44008FC3"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64980920"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37A2EFEF"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 </w:t>
                            </w:r>
                          </w:p>
                        </w:tc>
                      </w:tr>
                      <w:tr w:rsidR="001A4EBE" w:rsidRPr="001A4EBE" w14:paraId="1496417E"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7FB5B153" w14:textId="77777777" w:rsidR="001A4EBE" w:rsidRPr="001A4EBE" w:rsidRDefault="001A4EBE" w:rsidP="001A4EB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GST distribution</w:t>
                            </w:r>
                          </w:p>
                        </w:tc>
                        <w:tc>
                          <w:tcPr>
                            <w:tcW w:w="720" w:type="dxa"/>
                            <w:tcBorders>
                              <w:top w:val="single" w:sz="4" w:space="0" w:color="ADD6EA"/>
                              <w:left w:val="nil"/>
                              <w:bottom w:val="nil"/>
                              <w:right w:val="nil"/>
                            </w:tcBorders>
                            <w:shd w:val="clear" w:color="000000" w:fill="FFFFFF"/>
                            <w:noWrap/>
                            <w:vAlign w:val="center"/>
                            <w:hideMark/>
                          </w:tcPr>
                          <w:p w14:paraId="7860A6B9"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942</w:t>
                            </w:r>
                          </w:p>
                        </w:tc>
                        <w:tc>
                          <w:tcPr>
                            <w:tcW w:w="720" w:type="dxa"/>
                            <w:tcBorders>
                              <w:top w:val="single" w:sz="4" w:space="0" w:color="ADD6EA"/>
                              <w:left w:val="nil"/>
                              <w:bottom w:val="nil"/>
                              <w:right w:val="nil"/>
                            </w:tcBorders>
                            <w:shd w:val="clear" w:color="000000" w:fill="FFFFFF"/>
                            <w:noWrap/>
                            <w:vAlign w:val="center"/>
                            <w:hideMark/>
                          </w:tcPr>
                          <w:p w14:paraId="2EE91067"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3,657</w:t>
                            </w:r>
                          </w:p>
                        </w:tc>
                        <w:tc>
                          <w:tcPr>
                            <w:tcW w:w="720" w:type="dxa"/>
                            <w:tcBorders>
                              <w:top w:val="single" w:sz="4" w:space="0" w:color="ADD6EA"/>
                              <w:left w:val="nil"/>
                              <w:bottom w:val="nil"/>
                              <w:right w:val="nil"/>
                            </w:tcBorders>
                            <w:shd w:val="clear" w:color="000000" w:fill="FFFFFF"/>
                            <w:noWrap/>
                            <w:vAlign w:val="center"/>
                            <w:hideMark/>
                          </w:tcPr>
                          <w:p w14:paraId="3E27095F"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-1,189</w:t>
                            </w:r>
                          </w:p>
                        </w:tc>
                        <w:tc>
                          <w:tcPr>
                            <w:tcW w:w="720" w:type="dxa"/>
                            <w:tcBorders>
                              <w:top w:val="single" w:sz="4" w:space="0" w:color="ADD6EA"/>
                              <w:left w:val="nil"/>
                              <w:bottom w:val="nil"/>
                              <w:right w:val="nil"/>
                            </w:tcBorders>
                            <w:shd w:val="clear" w:color="000000" w:fill="FFFFFF"/>
                            <w:noWrap/>
                            <w:vAlign w:val="center"/>
                            <w:hideMark/>
                          </w:tcPr>
                          <w:p w14:paraId="7A9F6610"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395</w:t>
                            </w:r>
                          </w:p>
                        </w:tc>
                        <w:tc>
                          <w:tcPr>
                            <w:tcW w:w="720" w:type="dxa"/>
                            <w:tcBorders>
                              <w:top w:val="single" w:sz="4" w:space="0" w:color="ADD6EA"/>
                              <w:left w:val="nil"/>
                              <w:bottom w:val="nil"/>
                              <w:right w:val="nil"/>
                            </w:tcBorders>
                            <w:shd w:val="clear" w:color="000000" w:fill="FFFFFF"/>
                            <w:noWrap/>
                            <w:vAlign w:val="center"/>
                            <w:hideMark/>
                          </w:tcPr>
                          <w:p w14:paraId="501B6ADF"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279</w:t>
                            </w:r>
                          </w:p>
                        </w:tc>
                        <w:tc>
                          <w:tcPr>
                            <w:tcW w:w="720" w:type="dxa"/>
                            <w:tcBorders>
                              <w:top w:val="single" w:sz="4" w:space="0" w:color="ADD6EA"/>
                              <w:left w:val="nil"/>
                              <w:bottom w:val="nil"/>
                              <w:right w:val="nil"/>
                            </w:tcBorders>
                            <w:shd w:val="clear" w:color="000000" w:fill="FFFFFF"/>
                            <w:noWrap/>
                            <w:vAlign w:val="center"/>
                            <w:hideMark/>
                          </w:tcPr>
                          <w:p w14:paraId="46DFDEF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151</w:t>
                            </w:r>
                          </w:p>
                        </w:tc>
                        <w:tc>
                          <w:tcPr>
                            <w:tcW w:w="720" w:type="dxa"/>
                            <w:tcBorders>
                              <w:top w:val="single" w:sz="4" w:space="0" w:color="ADD6EA"/>
                              <w:left w:val="nil"/>
                              <w:bottom w:val="nil"/>
                              <w:right w:val="nil"/>
                            </w:tcBorders>
                            <w:shd w:val="clear" w:color="000000" w:fill="FFFFFF"/>
                            <w:noWrap/>
                            <w:vAlign w:val="center"/>
                            <w:hideMark/>
                          </w:tcPr>
                          <w:p w14:paraId="157A013A"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35</w:t>
                            </w:r>
                          </w:p>
                        </w:tc>
                        <w:tc>
                          <w:tcPr>
                            <w:tcW w:w="720" w:type="dxa"/>
                            <w:tcBorders>
                              <w:top w:val="single" w:sz="4" w:space="0" w:color="ADD6EA"/>
                              <w:left w:val="nil"/>
                              <w:bottom w:val="nil"/>
                              <w:right w:val="nil"/>
                            </w:tcBorders>
                            <w:shd w:val="clear" w:color="000000" w:fill="FFFFFF"/>
                            <w:noWrap/>
                            <w:vAlign w:val="center"/>
                            <w:hideMark/>
                          </w:tcPr>
                          <w:p w14:paraId="048DD0D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248</w:t>
                            </w:r>
                          </w:p>
                        </w:tc>
                        <w:tc>
                          <w:tcPr>
                            <w:tcW w:w="720" w:type="dxa"/>
                            <w:tcBorders>
                              <w:top w:val="single" w:sz="4" w:space="0" w:color="ADD6EA"/>
                              <w:left w:val="nil"/>
                              <w:bottom w:val="nil"/>
                              <w:right w:val="nil"/>
                            </w:tcBorders>
                            <w:shd w:val="clear" w:color="000000" w:fill="FFFFFF"/>
                            <w:noWrap/>
                            <w:vAlign w:val="center"/>
                            <w:hideMark/>
                          </w:tcPr>
                          <w:p w14:paraId="4F914F2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4,519</w:t>
                            </w:r>
                          </w:p>
                        </w:tc>
                      </w:tr>
                      <w:tr w:rsidR="001A4EBE" w:rsidRPr="001A4EBE" w14:paraId="1BAA1C8F" w14:textId="77777777" w:rsidTr="001A4EBE">
                        <w:trPr>
                          <w:trHeight w:val="315"/>
                        </w:trPr>
                        <w:tc>
                          <w:tcPr>
                            <w:tcW w:w="2460" w:type="dxa"/>
                            <w:tcBorders>
                              <w:top w:val="single" w:sz="4" w:space="0" w:color="ADD6EA"/>
                              <w:left w:val="nil"/>
                              <w:bottom w:val="nil"/>
                              <w:right w:val="nil"/>
                            </w:tcBorders>
                            <w:shd w:val="clear" w:color="000000" w:fill="FFFFFF"/>
                            <w:vAlign w:val="center"/>
                            <w:hideMark/>
                          </w:tcPr>
                          <w:p w14:paraId="635B4CB2" w14:textId="77777777" w:rsidR="001A4EBE" w:rsidRPr="001A4EBE" w:rsidRDefault="001A4EBE" w:rsidP="001A4EB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No worse off payments</w:t>
                            </w:r>
                          </w:p>
                        </w:tc>
                        <w:tc>
                          <w:tcPr>
                            <w:tcW w:w="720" w:type="dxa"/>
                            <w:tcBorders>
                              <w:top w:val="single" w:sz="4" w:space="0" w:color="ADD6EA"/>
                              <w:left w:val="nil"/>
                              <w:bottom w:val="nil"/>
                              <w:right w:val="nil"/>
                            </w:tcBorders>
                            <w:shd w:val="clear" w:color="000000" w:fill="FFFFFF"/>
                            <w:noWrap/>
                            <w:vAlign w:val="center"/>
                            <w:hideMark/>
                          </w:tcPr>
                          <w:p w14:paraId="409A4545"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355</w:t>
                            </w:r>
                          </w:p>
                        </w:tc>
                        <w:tc>
                          <w:tcPr>
                            <w:tcW w:w="720" w:type="dxa"/>
                            <w:tcBorders>
                              <w:top w:val="single" w:sz="4" w:space="0" w:color="ADD6EA"/>
                              <w:left w:val="nil"/>
                              <w:bottom w:val="nil"/>
                              <w:right w:val="nil"/>
                            </w:tcBorders>
                            <w:shd w:val="clear" w:color="000000" w:fill="FFFFFF"/>
                            <w:noWrap/>
                            <w:vAlign w:val="center"/>
                            <w:hideMark/>
                          </w:tcPr>
                          <w:p w14:paraId="7960448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290</w:t>
                            </w:r>
                          </w:p>
                        </w:tc>
                        <w:tc>
                          <w:tcPr>
                            <w:tcW w:w="720" w:type="dxa"/>
                            <w:tcBorders>
                              <w:top w:val="single" w:sz="4" w:space="0" w:color="ADD6EA"/>
                              <w:left w:val="nil"/>
                              <w:bottom w:val="nil"/>
                              <w:right w:val="nil"/>
                            </w:tcBorders>
                            <w:shd w:val="clear" w:color="000000" w:fill="FFFFFF"/>
                            <w:noWrap/>
                            <w:vAlign w:val="center"/>
                            <w:hideMark/>
                          </w:tcPr>
                          <w:p w14:paraId="7D31CE6C"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-1,181</w:t>
                            </w:r>
                          </w:p>
                        </w:tc>
                        <w:tc>
                          <w:tcPr>
                            <w:tcW w:w="720" w:type="dxa"/>
                            <w:tcBorders>
                              <w:top w:val="single" w:sz="4" w:space="0" w:color="ADD6EA"/>
                              <w:left w:val="nil"/>
                              <w:bottom w:val="nil"/>
                              <w:right w:val="nil"/>
                            </w:tcBorders>
                            <w:shd w:val="clear" w:color="000000" w:fill="FFFFFF"/>
                            <w:noWrap/>
                            <w:vAlign w:val="center"/>
                            <w:hideMark/>
                          </w:tcPr>
                          <w:p w14:paraId="7AC90E4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0</w:t>
                            </w:r>
                          </w:p>
                        </w:tc>
                        <w:tc>
                          <w:tcPr>
                            <w:tcW w:w="720" w:type="dxa"/>
                            <w:tcBorders>
                              <w:top w:val="single" w:sz="4" w:space="0" w:color="ADD6EA"/>
                              <w:left w:val="nil"/>
                              <w:bottom w:val="nil"/>
                              <w:right w:val="nil"/>
                            </w:tcBorders>
                            <w:shd w:val="clear" w:color="000000" w:fill="FFFFFF"/>
                            <w:noWrap/>
                            <w:vAlign w:val="center"/>
                            <w:hideMark/>
                          </w:tcPr>
                          <w:p w14:paraId="0E359C2D"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81</w:t>
                            </w:r>
                          </w:p>
                        </w:tc>
                        <w:tc>
                          <w:tcPr>
                            <w:tcW w:w="720" w:type="dxa"/>
                            <w:tcBorders>
                              <w:top w:val="single" w:sz="4" w:space="0" w:color="ADD6EA"/>
                              <w:left w:val="nil"/>
                              <w:bottom w:val="nil"/>
                              <w:right w:val="nil"/>
                            </w:tcBorders>
                            <w:shd w:val="clear" w:color="000000" w:fill="FFFFFF"/>
                            <w:noWrap/>
                            <w:vAlign w:val="center"/>
                            <w:hideMark/>
                          </w:tcPr>
                          <w:p w14:paraId="39B530DB"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26</w:t>
                            </w:r>
                          </w:p>
                        </w:tc>
                        <w:tc>
                          <w:tcPr>
                            <w:tcW w:w="720" w:type="dxa"/>
                            <w:tcBorders>
                              <w:top w:val="single" w:sz="4" w:space="0" w:color="ADD6EA"/>
                              <w:left w:val="nil"/>
                              <w:bottom w:val="nil"/>
                              <w:right w:val="nil"/>
                            </w:tcBorders>
                            <w:shd w:val="clear" w:color="000000" w:fill="FFFFFF"/>
                            <w:noWrap/>
                            <w:vAlign w:val="center"/>
                            <w:hideMark/>
                          </w:tcPr>
                          <w:p w14:paraId="77201879"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21</w:t>
                            </w:r>
                          </w:p>
                        </w:tc>
                        <w:tc>
                          <w:tcPr>
                            <w:tcW w:w="720" w:type="dxa"/>
                            <w:tcBorders>
                              <w:top w:val="single" w:sz="4" w:space="0" w:color="ADD6EA"/>
                              <w:left w:val="nil"/>
                              <w:bottom w:val="nil"/>
                              <w:right w:val="nil"/>
                            </w:tcBorders>
                            <w:shd w:val="clear" w:color="000000" w:fill="FFFFFF"/>
                            <w:noWrap/>
                            <w:vAlign w:val="center"/>
                            <w:hideMark/>
                          </w:tcPr>
                          <w:p w14:paraId="2557CEC6"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18</w:t>
                            </w:r>
                          </w:p>
                        </w:tc>
                        <w:tc>
                          <w:tcPr>
                            <w:tcW w:w="720" w:type="dxa"/>
                            <w:tcBorders>
                              <w:top w:val="single" w:sz="4" w:space="0" w:color="ADD6EA"/>
                              <w:left w:val="nil"/>
                              <w:bottom w:val="nil"/>
                              <w:right w:val="nil"/>
                            </w:tcBorders>
                            <w:shd w:val="clear" w:color="000000" w:fill="FFFFFF"/>
                            <w:noWrap/>
                            <w:vAlign w:val="center"/>
                            <w:hideMark/>
                          </w:tcPr>
                          <w:p w14:paraId="34A43C4D" w14:textId="77777777" w:rsidR="001A4EBE" w:rsidRPr="001A4EBE" w:rsidRDefault="001A4EBE" w:rsidP="001A4EB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4EBE">
                              <w:rPr>
                                <w:rFonts w:ascii="Open Sans Light" w:eastAsia="Times New Roman" w:hAnsi="Open Sans Light" w:cs="Open Sans Light"/>
                                <w:color w:val="000000"/>
                                <w:sz w:val="16"/>
                                <w:szCs w:val="16"/>
                                <w:lang w:eastAsia="en-AU"/>
                              </w:rPr>
                              <w:t>-391</w:t>
                            </w:r>
                          </w:p>
                        </w:tc>
                      </w:tr>
                      <w:tr w:rsidR="001A4EBE" w:rsidRPr="001A4EBE" w14:paraId="638C1629" w14:textId="77777777" w:rsidTr="001A4EBE">
                        <w:trPr>
                          <w:trHeight w:val="315"/>
                        </w:trPr>
                        <w:tc>
                          <w:tcPr>
                            <w:tcW w:w="2460" w:type="dxa"/>
                            <w:tcBorders>
                              <w:top w:val="single" w:sz="4" w:space="0" w:color="ADD6EA"/>
                              <w:left w:val="nil"/>
                              <w:bottom w:val="single" w:sz="4" w:space="0" w:color="ADD6EA"/>
                              <w:right w:val="nil"/>
                            </w:tcBorders>
                            <w:shd w:val="clear" w:color="000000" w:fill="D6E7F0"/>
                            <w:vAlign w:val="center"/>
                            <w:hideMark/>
                          </w:tcPr>
                          <w:p w14:paraId="68165178" w14:textId="77777777" w:rsidR="001A4EBE" w:rsidRPr="001A4EBE" w:rsidRDefault="001A4EBE" w:rsidP="001A4EBE">
                            <w:pPr>
                              <w:tabs>
                                <w:tab w:val="clear" w:pos="567"/>
                              </w:tabs>
                              <w:spacing w:before="0" w:line="240" w:lineRule="auto"/>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 xml:space="preserve">    Total ($m)</w:t>
                            </w:r>
                          </w:p>
                        </w:tc>
                        <w:tc>
                          <w:tcPr>
                            <w:tcW w:w="720" w:type="dxa"/>
                            <w:tcBorders>
                              <w:top w:val="single" w:sz="4" w:space="0" w:color="ADD6EA"/>
                              <w:left w:val="nil"/>
                              <w:bottom w:val="single" w:sz="4" w:space="0" w:color="ADD6EA"/>
                              <w:right w:val="nil"/>
                            </w:tcBorders>
                            <w:shd w:val="clear" w:color="000000" w:fill="D6E7F0"/>
                            <w:noWrap/>
                            <w:vAlign w:val="center"/>
                            <w:hideMark/>
                          </w:tcPr>
                          <w:p w14:paraId="3B405949"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1,297</w:t>
                            </w:r>
                          </w:p>
                        </w:tc>
                        <w:tc>
                          <w:tcPr>
                            <w:tcW w:w="720" w:type="dxa"/>
                            <w:tcBorders>
                              <w:top w:val="single" w:sz="4" w:space="0" w:color="ADD6EA"/>
                              <w:left w:val="nil"/>
                              <w:bottom w:val="single" w:sz="4" w:space="0" w:color="ADD6EA"/>
                              <w:right w:val="nil"/>
                            </w:tcBorders>
                            <w:shd w:val="clear" w:color="000000" w:fill="D6E7F0"/>
                            <w:noWrap/>
                            <w:vAlign w:val="center"/>
                            <w:hideMark/>
                          </w:tcPr>
                          <w:p w14:paraId="2EAE268E"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3,946</w:t>
                            </w:r>
                          </w:p>
                        </w:tc>
                        <w:tc>
                          <w:tcPr>
                            <w:tcW w:w="720" w:type="dxa"/>
                            <w:tcBorders>
                              <w:top w:val="single" w:sz="4" w:space="0" w:color="ADD6EA"/>
                              <w:left w:val="nil"/>
                              <w:bottom w:val="single" w:sz="4" w:space="0" w:color="ADD6EA"/>
                              <w:right w:val="nil"/>
                            </w:tcBorders>
                            <w:shd w:val="clear" w:color="000000" w:fill="D6E7F0"/>
                            <w:noWrap/>
                            <w:vAlign w:val="center"/>
                            <w:hideMark/>
                          </w:tcPr>
                          <w:p w14:paraId="6A09D1AD"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-2,371</w:t>
                            </w:r>
                          </w:p>
                        </w:tc>
                        <w:tc>
                          <w:tcPr>
                            <w:tcW w:w="720" w:type="dxa"/>
                            <w:tcBorders>
                              <w:top w:val="single" w:sz="4" w:space="0" w:color="ADD6EA"/>
                              <w:left w:val="nil"/>
                              <w:bottom w:val="single" w:sz="4" w:space="0" w:color="ADD6EA"/>
                              <w:right w:val="nil"/>
                            </w:tcBorders>
                            <w:shd w:val="clear" w:color="000000" w:fill="D6E7F0"/>
                            <w:noWrap/>
                            <w:vAlign w:val="center"/>
                            <w:hideMark/>
                          </w:tcPr>
                          <w:p w14:paraId="15BDCD9D"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395</w:t>
                            </w:r>
                          </w:p>
                        </w:tc>
                        <w:tc>
                          <w:tcPr>
                            <w:tcW w:w="720" w:type="dxa"/>
                            <w:tcBorders>
                              <w:top w:val="single" w:sz="4" w:space="0" w:color="ADD6EA"/>
                              <w:left w:val="nil"/>
                              <w:bottom w:val="single" w:sz="4" w:space="0" w:color="ADD6EA"/>
                              <w:right w:val="nil"/>
                            </w:tcBorders>
                            <w:shd w:val="clear" w:color="000000" w:fill="D6E7F0"/>
                            <w:noWrap/>
                            <w:vAlign w:val="center"/>
                            <w:hideMark/>
                          </w:tcPr>
                          <w:p w14:paraId="2D85CBDD"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361</w:t>
                            </w:r>
                          </w:p>
                        </w:tc>
                        <w:tc>
                          <w:tcPr>
                            <w:tcW w:w="720" w:type="dxa"/>
                            <w:tcBorders>
                              <w:top w:val="single" w:sz="4" w:space="0" w:color="ADD6EA"/>
                              <w:left w:val="nil"/>
                              <w:bottom w:val="single" w:sz="4" w:space="0" w:color="ADD6EA"/>
                              <w:right w:val="nil"/>
                            </w:tcBorders>
                            <w:shd w:val="clear" w:color="000000" w:fill="D6E7F0"/>
                            <w:noWrap/>
                            <w:vAlign w:val="center"/>
                            <w:hideMark/>
                          </w:tcPr>
                          <w:p w14:paraId="00EAB03C"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177</w:t>
                            </w:r>
                          </w:p>
                        </w:tc>
                        <w:tc>
                          <w:tcPr>
                            <w:tcW w:w="720" w:type="dxa"/>
                            <w:tcBorders>
                              <w:top w:val="single" w:sz="4" w:space="0" w:color="ADD6EA"/>
                              <w:left w:val="nil"/>
                              <w:bottom w:val="single" w:sz="4" w:space="0" w:color="ADD6EA"/>
                              <w:right w:val="nil"/>
                            </w:tcBorders>
                            <w:shd w:val="clear" w:color="000000" w:fill="D6E7F0"/>
                            <w:noWrap/>
                            <w:vAlign w:val="center"/>
                            <w:hideMark/>
                          </w:tcPr>
                          <w:p w14:paraId="4677A432"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56</w:t>
                            </w:r>
                          </w:p>
                        </w:tc>
                        <w:tc>
                          <w:tcPr>
                            <w:tcW w:w="720" w:type="dxa"/>
                            <w:tcBorders>
                              <w:top w:val="single" w:sz="4" w:space="0" w:color="ADD6EA"/>
                              <w:left w:val="nil"/>
                              <w:bottom w:val="single" w:sz="4" w:space="0" w:color="ADD6EA"/>
                              <w:right w:val="nil"/>
                            </w:tcBorders>
                            <w:shd w:val="clear" w:color="000000" w:fill="D6E7F0"/>
                            <w:noWrap/>
                            <w:vAlign w:val="center"/>
                            <w:hideMark/>
                          </w:tcPr>
                          <w:p w14:paraId="76E2E70E"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267</w:t>
                            </w:r>
                          </w:p>
                        </w:tc>
                        <w:tc>
                          <w:tcPr>
                            <w:tcW w:w="720" w:type="dxa"/>
                            <w:tcBorders>
                              <w:top w:val="single" w:sz="4" w:space="0" w:color="ADD6EA"/>
                              <w:left w:val="nil"/>
                              <w:bottom w:val="single" w:sz="4" w:space="0" w:color="ADD6EA"/>
                              <w:right w:val="nil"/>
                            </w:tcBorders>
                            <w:shd w:val="clear" w:color="000000" w:fill="D6E7F0"/>
                            <w:noWrap/>
                            <w:vAlign w:val="center"/>
                            <w:hideMark/>
                          </w:tcPr>
                          <w:p w14:paraId="79C70808"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4,128</w:t>
                            </w:r>
                          </w:p>
                        </w:tc>
                      </w:tr>
                      <w:tr w:rsidR="001A4EBE" w:rsidRPr="001A4EBE" w14:paraId="34C174C6" w14:textId="77777777" w:rsidTr="001A4EBE">
                        <w:trPr>
                          <w:trHeight w:val="315"/>
                        </w:trPr>
                        <w:tc>
                          <w:tcPr>
                            <w:tcW w:w="2460" w:type="dxa"/>
                            <w:tcBorders>
                              <w:top w:val="nil"/>
                              <w:left w:val="nil"/>
                              <w:bottom w:val="single" w:sz="4" w:space="0" w:color="ADD6EA"/>
                              <w:right w:val="nil"/>
                            </w:tcBorders>
                            <w:shd w:val="clear" w:color="000000" w:fill="D6E7F0"/>
                            <w:vAlign w:val="center"/>
                            <w:hideMark/>
                          </w:tcPr>
                          <w:p w14:paraId="103B1B75" w14:textId="77777777" w:rsidR="001A4EBE" w:rsidRPr="001A4EBE" w:rsidRDefault="001A4EBE" w:rsidP="001A4EBE">
                            <w:pPr>
                              <w:tabs>
                                <w:tab w:val="clear" w:pos="567"/>
                              </w:tabs>
                              <w:spacing w:before="0" w:line="240" w:lineRule="auto"/>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 xml:space="preserve">    Total ($pc)</w:t>
                            </w:r>
                          </w:p>
                        </w:tc>
                        <w:tc>
                          <w:tcPr>
                            <w:tcW w:w="720" w:type="dxa"/>
                            <w:tcBorders>
                              <w:top w:val="nil"/>
                              <w:left w:val="nil"/>
                              <w:bottom w:val="single" w:sz="4" w:space="0" w:color="ADD6EA"/>
                              <w:right w:val="nil"/>
                            </w:tcBorders>
                            <w:shd w:val="clear" w:color="000000" w:fill="D6E7F0"/>
                            <w:noWrap/>
                            <w:vAlign w:val="center"/>
                            <w:hideMark/>
                          </w:tcPr>
                          <w:p w14:paraId="469914F2"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150</w:t>
                            </w:r>
                          </w:p>
                        </w:tc>
                        <w:tc>
                          <w:tcPr>
                            <w:tcW w:w="720" w:type="dxa"/>
                            <w:tcBorders>
                              <w:top w:val="nil"/>
                              <w:left w:val="nil"/>
                              <w:bottom w:val="single" w:sz="4" w:space="0" w:color="ADD6EA"/>
                              <w:right w:val="nil"/>
                            </w:tcBorders>
                            <w:shd w:val="clear" w:color="000000" w:fill="D6E7F0"/>
                            <w:noWrap/>
                            <w:vAlign w:val="center"/>
                            <w:hideMark/>
                          </w:tcPr>
                          <w:p w14:paraId="79C55FA7"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550</w:t>
                            </w:r>
                          </w:p>
                        </w:tc>
                        <w:tc>
                          <w:tcPr>
                            <w:tcW w:w="720" w:type="dxa"/>
                            <w:tcBorders>
                              <w:top w:val="nil"/>
                              <w:left w:val="nil"/>
                              <w:bottom w:val="single" w:sz="4" w:space="0" w:color="ADD6EA"/>
                              <w:right w:val="nil"/>
                            </w:tcBorders>
                            <w:shd w:val="clear" w:color="000000" w:fill="D6E7F0"/>
                            <w:noWrap/>
                            <w:vAlign w:val="center"/>
                            <w:hideMark/>
                          </w:tcPr>
                          <w:p w14:paraId="23F37E69"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-414</w:t>
                            </w:r>
                          </w:p>
                        </w:tc>
                        <w:tc>
                          <w:tcPr>
                            <w:tcW w:w="720" w:type="dxa"/>
                            <w:tcBorders>
                              <w:top w:val="nil"/>
                              <w:left w:val="nil"/>
                              <w:bottom w:val="single" w:sz="4" w:space="0" w:color="ADD6EA"/>
                              <w:right w:val="nil"/>
                            </w:tcBorders>
                            <w:shd w:val="clear" w:color="000000" w:fill="D6E7F0"/>
                            <w:noWrap/>
                            <w:vAlign w:val="center"/>
                            <w:hideMark/>
                          </w:tcPr>
                          <w:p w14:paraId="4F45359F"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129</w:t>
                            </w:r>
                          </w:p>
                        </w:tc>
                        <w:tc>
                          <w:tcPr>
                            <w:tcW w:w="720" w:type="dxa"/>
                            <w:tcBorders>
                              <w:top w:val="nil"/>
                              <w:left w:val="nil"/>
                              <w:bottom w:val="single" w:sz="4" w:space="0" w:color="ADD6EA"/>
                              <w:right w:val="nil"/>
                            </w:tcBorders>
                            <w:shd w:val="clear" w:color="000000" w:fill="D6E7F0"/>
                            <w:noWrap/>
                            <w:vAlign w:val="center"/>
                            <w:hideMark/>
                          </w:tcPr>
                          <w:p w14:paraId="2D26E66F"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190</w:t>
                            </w:r>
                          </w:p>
                        </w:tc>
                        <w:tc>
                          <w:tcPr>
                            <w:tcW w:w="720" w:type="dxa"/>
                            <w:tcBorders>
                              <w:top w:val="nil"/>
                              <w:left w:val="nil"/>
                              <w:bottom w:val="single" w:sz="4" w:space="0" w:color="ADD6EA"/>
                              <w:right w:val="nil"/>
                            </w:tcBorders>
                            <w:shd w:val="clear" w:color="000000" w:fill="D6E7F0"/>
                            <w:noWrap/>
                            <w:vAlign w:val="center"/>
                            <w:hideMark/>
                          </w:tcPr>
                          <w:p w14:paraId="486309B7"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306</w:t>
                            </w:r>
                          </w:p>
                        </w:tc>
                        <w:tc>
                          <w:tcPr>
                            <w:tcW w:w="720" w:type="dxa"/>
                            <w:tcBorders>
                              <w:top w:val="nil"/>
                              <w:left w:val="nil"/>
                              <w:bottom w:val="single" w:sz="4" w:space="0" w:color="ADD6EA"/>
                              <w:right w:val="nil"/>
                            </w:tcBorders>
                            <w:shd w:val="clear" w:color="000000" w:fill="D6E7F0"/>
                            <w:noWrap/>
                            <w:vAlign w:val="center"/>
                            <w:hideMark/>
                          </w:tcPr>
                          <w:p w14:paraId="1A787FB5"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116</w:t>
                            </w:r>
                          </w:p>
                        </w:tc>
                        <w:tc>
                          <w:tcPr>
                            <w:tcW w:w="720" w:type="dxa"/>
                            <w:tcBorders>
                              <w:top w:val="nil"/>
                              <w:left w:val="nil"/>
                              <w:bottom w:val="single" w:sz="4" w:space="0" w:color="ADD6EA"/>
                              <w:right w:val="nil"/>
                            </w:tcBorders>
                            <w:shd w:val="clear" w:color="000000" w:fill="D6E7F0"/>
                            <w:noWrap/>
                            <w:vAlign w:val="center"/>
                            <w:hideMark/>
                          </w:tcPr>
                          <w:p w14:paraId="1BC80E82"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1,037</w:t>
                            </w:r>
                          </w:p>
                        </w:tc>
                        <w:tc>
                          <w:tcPr>
                            <w:tcW w:w="720" w:type="dxa"/>
                            <w:tcBorders>
                              <w:top w:val="nil"/>
                              <w:left w:val="nil"/>
                              <w:bottom w:val="single" w:sz="4" w:space="0" w:color="ADD6EA"/>
                              <w:right w:val="nil"/>
                            </w:tcBorders>
                            <w:shd w:val="clear" w:color="000000" w:fill="D6E7F0"/>
                            <w:noWrap/>
                            <w:vAlign w:val="center"/>
                            <w:hideMark/>
                          </w:tcPr>
                          <w:p w14:paraId="64E15D34" w14:textId="77777777" w:rsidR="001A4EBE" w:rsidRPr="001A4EBE" w:rsidRDefault="001A4EBE" w:rsidP="001A4EB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4EBE">
                              <w:rPr>
                                <w:rFonts w:ascii="Open Sans Semibold" w:eastAsia="Times New Roman" w:hAnsi="Open Sans Semibold" w:cs="Open Sans Semibold"/>
                                <w:color w:val="000000"/>
                                <w:sz w:val="16"/>
                                <w:szCs w:val="16"/>
                                <w:lang w:eastAsia="en-AU"/>
                              </w:rPr>
                              <w:t>148</w:t>
                            </w:r>
                          </w:p>
                        </w:tc>
                      </w:tr>
                    </w:tbl>
                    <w:p w14:paraId="3A6B0590" w14:textId="248A7773" w:rsidR="008F56EA" w:rsidRPr="002C0D38" w:rsidRDefault="008F56EA" w:rsidP="00A00D6A">
                      <w:pPr>
                        <w:pStyle w:val="CGC2025TableNote"/>
                        <w:rPr>
                          <w:color w:val="FF0000"/>
                        </w:rPr>
                      </w:pPr>
                      <w:r>
                        <w:t xml:space="preserve">Note: </w:t>
                      </w:r>
                      <w:r w:rsidR="00951195">
                        <w:t>Estimates s</w:t>
                      </w:r>
                      <w:r>
                        <w:t xml:space="preserve">ubject to changes in the GST pool and populations. </w:t>
                      </w:r>
                    </w:p>
                    <w:p w14:paraId="36C13DF4" w14:textId="77777777" w:rsidR="008F56EA" w:rsidRDefault="008F56EA" w:rsidP="008F56EA"/>
                  </w:txbxContent>
                </v:textbox>
                <w10:wrap type="square" anchorx="margin"/>
              </v:shape>
            </w:pict>
          </mc:Fallback>
        </mc:AlternateContent>
      </w:r>
      <w:r w:rsidR="009535D6">
        <w:br w:type="page"/>
      </w:r>
    </w:p>
    <w:p w14:paraId="74F0E2CF" w14:textId="47DBE7B9" w:rsidR="003A34E1" w:rsidRPr="00AB1E40" w:rsidRDefault="003E2431" w:rsidP="00B536C6">
      <w:pPr>
        <w:pStyle w:val="Heading2"/>
      </w:pPr>
      <w:r w:rsidRPr="00AB1E40">
        <w:lastRenderedPageBreak/>
        <w:t>Introduction</w:t>
      </w:r>
    </w:p>
    <w:p w14:paraId="54CB5226" w14:textId="3201A016" w:rsidR="00173DC5" w:rsidRDefault="00173DC5" w:rsidP="00FF5D8B">
      <w:r>
        <w:t xml:space="preserve">As part of the </w:t>
      </w:r>
      <w:r w:rsidRPr="00362DFB">
        <w:t>2025 Review</w:t>
      </w:r>
      <w:r>
        <w:t>, the Commonwealth Treasu</w:t>
      </w:r>
      <w:r w:rsidR="002428AF">
        <w:t>rer issue</w:t>
      </w:r>
      <w:r w:rsidR="0010343C">
        <w:t>d</w:t>
      </w:r>
      <w:r w:rsidR="002428AF">
        <w:t xml:space="preserve"> terms of reference asking the Commission to advi</w:t>
      </w:r>
      <w:r w:rsidR="0010343C">
        <w:t>s</w:t>
      </w:r>
      <w:r w:rsidR="002428AF">
        <w:t xml:space="preserve">e how the Goods and Services Tax (GST) revenue pool should be distributed to the states in </w:t>
      </w:r>
      <w:r w:rsidR="002428AF" w:rsidRPr="00362DFB">
        <w:t>2025</w:t>
      </w:r>
      <w:r w:rsidR="00E2555A">
        <w:t>–</w:t>
      </w:r>
      <w:r w:rsidR="002428AF" w:rsidRPr="00362DFB">
        <w:t>26</w:t>
      </w:r>
      <w:r w:rsidR="00751C61">
        <w:t>. The Commission’s recommended GS</w:t>
      </w:r>
      <w:r w:rsidR="00831A0C">
        <w:t>T</w:t>
      </w:r>
      <w:r w:rsidR="006F431E">
        <w:t> </w:t>
      </w:r>
      <w:r w:rsidR="00751C61">
        <w:t>relativities for 2025</w:t>
      </w:r>
      <w:r w:rsidR="00C87FD9">
        <w:t>–</w:t>
      </w:r>
      <w:r w:rsidR="00751C61">
        <w:t xml:space="preserve">26 incorporate </w:t>
      </w:r>
      <w:r w:rsidR="00831A0C">
        <w:t>assessment method changes from the 2025</w:t>
      </w:r>
      <w:r w:rsidR="006F431E">
        <w:t> </w:t>
      </w:r>
      <w:r w:rsidR="00C87FD9">
        <w:t>R</w:t>
      </w:r>
      <w:r w:rsidR="00831A0C">
        <w:t>eview.</w:t>
      </w:r>
    </w:p>
    <w:p w14:paraId="67122150" w14:textId="2B2C70C0" w:rsidR="00AD3D3C" w:rsidRDefault="00E92C75" w:rsidP="00AD3D3C">
      <w:pPr>
        <w:pStyle w:val="Heading3"/>
      </w:pPr>
      <w:r>
        <w:t xml:space="preserve">2025 </w:t>
      </w:r>
      <w:r w:rsidR="00EB5CEC">
        <w:t>Review</w:t>
      </w:r>
    </w:p>
    <w:p w14:paraId="7162C7D1" w14:textId="6E1C7755" w:rsidR="00AD3D3C" w:rsidRDefault="00AD3D3C" w:rsidP="00AD3D3C">
      <w:r>
        <w:t xml:space="preserve">On 9 February 2023, the Commission received </w:t>
      </w:r>
      <w:hyperlink r:id="rId21">
        <w:r w:rsidR="00725B97" w:rsidRPr="54746906">
          <w:rPr>
            <w:rStyle w:val="Hyperlink"/>
          </w:rPr>
          <w:t>terms of reference</w:t>
        </w:r>
      </w:hyperlink>
      <w:r w:rsidR="00725B97">
        <w:rPr>
          <w:rStyle w:val="Hyperlink"/>
        </w:rPr>
        <w:t xml:space="preserve"> </w:t>
      </w:r>
      <w:r>
        <w:t xml:space="preserve">requiring it to review the methodology used to calculate the relativities for distributing </w:t>
      </w:r>
      <w:r w:rsidR="00AF1347">
        <w:t>the</w:t>
      </w:r>
      <w:r>
        <w:t xml:space="preserve"> GST </w:t>
      </w:r>
      <w:r w:rsidR="00AF1347">
        <w:t>pool</w:t>
      </w:r>
      <w:r>
        <w:t>. Methodology</w:t>
      </w:r>
      <w:r w:rsidR="007F19F3">
        <w:t xml:space="preserve"> </w:t>
      </w:r>
      <w:r>
        <w:t>reviews, which occur around every 5 years, provide the opportunity for the Commission to ensure that the approach it uses to develop recommendations on GST</w:t>
      </w:r>
      <w:r w:rsidR="00240104">
        <w:t> </w:t>
      </w:r>
      <w:r>
        <w:t xml:space="preserve">distribution is </w:t>
      </w:r>
      <w:r w:rsidR="0053386F">
        <w:t>appropriate</w:t>
      </w:r>
      <w:r>
        <w:t xml:space="preserve"> and uses the latest fit-for-purpose data. </w:t>
      </w:r>
    </w:p>
    <w:p w14:paraId="1415F9A0" w14:textId="2C844754" w:rsidR="00AD3D3C" w:rsidRDefault="00AD3D3C" w:rsidP="00AD3D3C">
      <w:r>
        <w:t xml:space="preserve">The 2025 Review was undertaken over 2 years. It involved several rounds of consultation with the states across </w:t>
      </w:r>
      <w:r w:rsidR="009618AE">
        <w:t>all aspects</w:t>
      </w:r>
      <w:r>
        <w:t xml:space="preserve"> of </w:t>
      </w:r>
      <w:r w:rsidR="009618AE">
        <w:t>the Commission’s assessment methodology</w:t>
      </w:r>
      <w:r>
        <w:t>.</w:t>
      </w:r>
      <w:r w:rsidR="00334189">
        <w:t xml:space="preserve"> </w:t>
      </w:r>
      <w:r w:rsidR="003A3F7C">
        <w:t xml:space="preserve">The publication of </w:t>
      </w:r>
      <w:r w:rsidR="00077EBF">
        <w:t>consultation paper</w:t>
      </w:r>
      <w:r w:rsidR="005E6FFA">
        <w:t>s in</w:t>
      </w:r>
      <w:r w:rsidR="00F20650">
        <w:t xml:space="preserve"> June and October</w:t>
      </w:r>
      <w:r w:rsidR="005E6FFA">
        <w:t xml:space="preserve"> </w:t>
      </w:r>
      <w:r w:rsidR="00261C3E">
        <w:t>2023</w:t>
      </w:r>
      <w:r w:rsidR="00401E2D">
        <w:t>,</w:t>
      </w:r>
      <w:r w:rsidR="004E5A8A">
        <w:t xml:space="preserve"> and </w:t>
      </w:r>
      <w:r w:rsidR="000734B9">
        <w:t xml:space="preserve">a </w:t>
      </w:r>
      <w:r w:rsidR="005E6FFA">
        <w:t>Draft Re</w:t>
      </w:r>
      <w:r w:rsidR="00261C3E">
        <w:t>port in July</w:t>
      </w:r>
      <w:r w:rsidR="006F431E">
        <w:t> </w:t>
      </w:r>
      <w:r w:rsidR="00261C3E">
        <w:t xml:space="preserve">2024 were key </w:t>
      </w:r>
      <w:r w:rsidR="00CC0BEF">
        <w:t>steps</w:t>
      </w:r>
      <w:r w:rsidR="00261C3E">
        <w:t xml:space="preserve"> in the review process.</w:t>
      </w:r>
      <w:r w:rsidR="004E5A8A">
        <w:t xml:space="preserve"> </w:t>
      </w:r>
    </w:p>
    <w:p w14:paraId="4458A6FA" w14:textId="57CE7542" w:rsidR="00EB5CEC" w:rsidRDefault="00EB5CEC" w:rsidP="00AD3D3C">
      <w:r w:rsidRPr="00EB5CEC">
        <w:t>All review documents, including consultation papers, state submissions and the Draft</w:t>
      </w:r>
      <w:r w:rsidR="00240104">
        <w:t> </w:t>
      </w:r>
      <w:r w:rsidRPr="00EB5CEC">
        <w:t xml:space="preserve">Report, are available on the </w:t>
      </w:r>
      <w:hyperlink r:id="rId22" w:history="1">
        <w:r w:rsidRPr="007177B8">
          <w:rPr>
            <w:rStyle w:val="Hyperlink"/>
          </w:rPr>
          <w:t>Commission’s website</w:t>
        </w:r>
      </w:hyperlink>
      <w:r w:rsidRPr="00EB5CEC">
        <w:t>. For a description of review outcomes, including method changes, see</w:t>
      </w:r>
      <w:r w:rsidR="00F20650">
        <w:t xml:space="preserve"> the</w:t>
      </w:r>
      <w:r w:rsidRPr="00EB5CEC">
        <w:t xml:space="preserve"> </w:t>
      </w:r>
      <w:r w:rsidRPr="00F20650">
        <w:rPr>
          <w:i/>
          <w:iCs/>
        </w:rPr>
        <w:t>Review Outcomes</w:t>
      </w:r>
      <w:r w:rsidRPr="00EB5CEC">
        <w:t xml:space="preserve"> publication.</w:t>
      </w:r>
    </w:p>
    <w:p w14:paraId="7DE694B3" w14:textId="1E861115" w:rsidR="006509FD" w:rsidRDefault="002801D5" w:rsidP="0048110A">
      <w:pPr>
        <w:pStyle w:val="Heading3"/>
        <w:spacing w:before="120" w:after="0"/>
      </w:pPr>
      <w:r>
        <w:t xml:space="preserve">2018 </w:t>
      </w:r>
      <w:r w:rsidR="0048110A">
        <w:t xml:space="preserve">GST </w:t>
      </w:r>
      <w:r w:rsidR="00E549BF">
        <w:t>d</w:t>
      </w:r>
      <w:r w:rsidR="0048110A">
        <w:t>istri</w:t>
      </w:r>
      <w:r w:rsidR="00D212EE">
        <w:t>bution legislation</w:t>
      </w:r>
    </w:p>
    <w:p w14:paraId="6CB2A9DC" w14:textId="747E59A9" w:rsidR="00FF5D8B" w:rsidRDefault="00FF5D8B" w:rsidP="00AD3D3C">
      <w:r w:rsidRPr="00362DFB">
        <w:t xml:space="preserve">Under the </w:t>
      </w:r>
      <w:r w:rsidR="00B41BD8">
        <w:t xml:space="preserve">2018 </w:t>
      </w:r>
      <w:r w:rsidRPr="00C64CDE">
        <w:t xml:space="preserve">GST distribution </w:t>
      </w:r>
      <w:r w:rsidR="00E2555A">
        <w:t>legislation</w:t>
      </w:r>
      <w:r w:rsidR="00D26FCB">
        <w:t>,</w:t>
      </w:r>
      <w:r w:rsidRPr="00362DFB">
        <w:t xml:space="preserve"> 202</w:t>
      </w:r>
      <w:r w:rsidR="00B53C02" w:rsidRPr="00362DFB">
        <w:t>5</w:t>
      </w:r>
      <w:r w:rsidRPr="00362DFB">
        <w:t>–2</w:t>
      </w:r>
      <w:r w:rsidR="00B53C02" w:rsidRPr="00362DFB">
        <w:t>6</w:t>
      </w:r>
      <w:r w:rsidRPr="00362DFB">
        <w:t xml:space="preserve"> is the </w:t>
      </w:r>
      <w:r w:rsidR="00B53C02" w:rsidRPr="00362DFB">
        <w:t>fifth</w:t>
      </w:r>
      <w:r w:rsidRPr="00362DFB">
        <w:t xml:space="preserve"> year in a 6</w:t>
      </w:r>
      <w:r w:rsidRPr="00362DFB">
        <w:noBreakHyphen/>
        <w:t>year transition away from distributing the GST pool based solely on the Commission’s assessment of states’ relative fiscal capacities</w:t>
      </w:r>
      <w:r>
        <w:t>.</w:t>
      </w:r>
      <w:r w:rsidR="004A4FD0">
        <w:rPr>
          <w:rStyle w:val="FootnoteReference"/>
        </w:rPr>
        <w:footnoteReference w:id="2"/>
      </w:r>
      <w:r>
        <w:t xml:space="preserve"> </w:t>
      </w:r>
      <w:r w:rsidR="0092400C">
        <w:t>From</w:t>
      </w:r>
      <w:r>
        <w:t xml:space="preserve"> 2026–27, no state will </w:t>
      </w:r>
      <w:r w:rsidR="0092400C">
        <w:t xml:space="preserve">be able to </w:t>
      </w:r>
      <w:r>
        <w:t xml:space="preserve">have a GST relativity less than the lower of New South Wales or Victoria (referred to as the ‘standard state’). </w:t>
      </w:r>
      <w:r w:rsidR="00D0317F">
        <w:t>For GST relativities</w:t>
      </w:r>
      <w:r w:rsidR="001E510D">
        <w:t xml:space="preserve"> in </w:t>
      </w:r>
      <w:r w:rsidR="0016759F">
        <w:t>2025</w:t>
      </w:r>
      <w:r w:rsidR="00DA1888">
        <w:t>–</w:t>
      </w:r>
      <w:r w:rsidR="0016759F">
        <w:t>26</w:t>
      </w:r>
      <w:r w:rsidRPr="00362DFB">
        <w:t>,</w:t>
      </w:r>
      <w:r>
        <w:t xml:space="preserve"> </w:t>
      </w:r>
      <w:r w:rsidRPr="00362DFB">
        <w:t>New</w:t>
      </w:r>
      <w:r w:rsidR="00D0317F">
        <w:t> </w:t>
      </w:r>
      <w:r w:rsidRPr="00362DFB">
        <w:t xml:space="preserve">South Wales is the standard state for </w:t>
      </w:r>
      <w:r w:rsidR="00D45FB5" w:rsidRPr="00362DFB">
        <w:t>all</w:t>
      </w:r>
      <w:r w:rsidRPr="00362DFB">
        <w:t xml:space="preserve"> </w:t>
      </w:r>
      <w:r w:rsidR="00D45FB5" w:rsidRPr="00362DFB">
        <w:t>3</w:t>
      </w:r>
      <w:r w:rsidR="00F04102">
        <w:t> </w:t>
      </w:r>
      <w:r w:rsidRPr="00362DFB">
        <w:t>assessment years (2021–22</w:t>
      </w:r>
      <w:r w:rsidR="00D45FB5" w:rsidRPr="00362DFB">
        <w:t>,</w:t>
      </w:r>
      <w:r w:rsidRPr="00362DFB">
        <w:t xml:space="preserve"> 2022–23</w:t>
      </w:r>
      <w:r w:rsidR="00D45FB5" w:rsidRPr="00362DFB">
        <w:t xml:space="preserve"> and 2023–</w:t>
      </w:r>
      <w:r w:rsidR="00A14B2F">
        <w:rPr>
          <w:rFonts w:ascii="Times New Roman" w:hAnsi="Times New Roman" w:cs="Times New Roman" w:hint="eastAsia"/>
          <w:rtl/>
        </w:rPr>
        <w:t>‍</w:t>
      </w:r>
      <w:r w:rsidR="00727309" w:rsidRPr="00362DFB">
        <w:t>24</w:t>
      </w:r>
      <w:r w:rsidRPr="00362DFB">
        <w:t xml:space="preserve">). </w:t>
      </w:r>
      <w:r w:rsidR="00FB094F">
        <w:t xml:space="preserve">When a state’s relativity is </w:t>
      </w:r>
      <w:r w:rsidR="00DE2D1F">
        <w:t xml:space="preserve">raised to </w:t>
      </w:r>
      <w:r w:rsidR="00C217B3">
        <w:t xml:space="preserve">the relativity of the standard state, </w:t>
      </w:r>
      <w:r w:rsidR="003E2F7E">
        <w:t xml:space="preserve">the relativities of all states </w:t>
      </w:r>
      <w:r w:rsidR="003542F3">
        <w:t xml:space="preserve">are commensurately reduced on a population share basis. </w:t>
      </w:r>
      <w:r w:rsidR="00313FEA">
        <w:t>Under the transitional arrangements, t</w:t>
      </w:r>
      <w:r w:rsidR="00300BF5">
        <w:t xml:space="preserve">his standard state relativity is blended with </w:t>
      </w:r>
      <w:r w:rsidR="00F37067">
        <w:t xml:space="preserve">the relativity based on the previous </w:t>
      </w:r>
      <w:r w:rsidR="00015E24">
        <w:t>GST distribution arrangements</w:t>
      </w:r>
      <w:r w:rsidR="00F37067">
        <w:t>.</w:t>
      </w:r>
      <w:r w:rsidR="003542F3">
        <w:t xml:space="preserve"> </w:t>
      </w:r>
      <w:r w:rsidRPr="00362DFB">
        <w:t>For 202</w:t>
      </w:r>
      <w:r w:rsidR="00D33090" w:rsidRPr="00362DFB">
        <w:t>5</w:t>
      </w:r>
      <w:r w:rsidRPr="00362DFB">
        <w:t>–2</w:t>
      </w:r>
      <w:r w:rsidR="00D33090" w:rsidRPr="00362DFB">
        <w:t>6</w:t>
      </w:r>
      <w:r w:rsidRPr="00362DFB">
        <w:t xml:space="preserve">, blended relativities are calculated using </w:t>
      </w:r>
      <w:r w:rsidR="00E003FC" w:rsidRPr="00362DFB">
        <w:t>five-sixths</w:t>
      </w:r>
      <w:r w:rsidRPr="00362DFB">
        <w:t xml:space="preserve"> of the standard state approach and one-</w:t>
      </w:r>
      <w:r w:rsidR="00E003FC" w:rsidRPr="00362DFB">
        <w:t>sixth</w:t>
      </w:r>
      <w:r w:rsidRPr="00362DFB">
        <w:t xml:space="preserve"> of the previous approach (see</w:t>
      </w:r>
      <w:r w:rsidR="00A6055E" w:rsidRPr="00362DFB">
        <w:t xml:space="preserve"> </w:t>
      </w:r>
      <w:r w:rsidR="00683C78">
        <w:t>Attachment A</w:t>
      </w:r>
      <w:r w:rsidR="00015E24">
        <w:t xml:space="preserve"> for further detail</w:t>
      </w:r>
      <w:r w:rsidRPr="00362DFB">
        <w:t>).</w:t>
      </w:r>
      <w:r>
        <w:t xml:space="preserve"> </w:t>
      </w:r>
    </w:p>
    <w:p w14:paraId="1D2B3CD5" w14:textId="0CE48423" w:rsidR="00FF5D8B" w:rsidRDefault="00FF5D8B" w:rsidP="00FF5D8B">
      <w:r>
        <w:t>The</w:t>
      </w:r>
      <w:r w:rsidR="002D47C3">
        <w:t xml:space="preserve"> 201</w:t>
      </w:r>
      <w:r w:rsidR="00F661C2">
        <w:t>8</w:t>
      </w:r>
      <w:r>
        <w:t xml:space="preserve"> </w:t>
      </w:r>
      <w:r w:rsidR="00E2555A">
        <w:t>GST distribution legis</w:t>
      </w:r>
      <w:r w:rsidR="00846A68">
        <w:t>lation</w:t>
      </w:r>
      <w:r>
        <w:t xml:space="preserve"> also provide</w:t>
      </w:r>
      <w:r w:rsidR="00585BA9">
        <w:t>s</w:t>
      </w:r>
      <w:r>
        <w:t xml:space="preserve"> for a GST relativity floor</w:t>
      </w:r>
      <w:r w:rsidR="009B7FA1">
        <w:t xml:space="preserve"> of </w:t>
      </w:r>
      <w:r w:rsidR="00BF262C">
        <w:t>0.75</w:t>
      </w:r>
      <w:r>
        <w:t xml:space="preserve">. </w:t>
      </w:r>
      <w:r w:rsidR="004F1297">
        <w:t>A</w:t>
      </w:r>
      <w:r>
        <w:t xml:space="preserve">ny additional GST distributed to a state due to the operation of the floor </w:t>
      </w:r>
      <w:r w:rsidR="004F1297">
        <w:t>is</w:t>
      </w:r>
      <w:r>
        <w:t xml:space="preserve"> drawn from the GST pool. This means that when a state’s relativity is raised to the floor, the GST relativities (and GST distributions) of the other states are commensurately reduced on a population share basis. </w:t>
      </w:r>
      <w:r w:rsidRPr="00362DFB">
        <w:t>For 202</w:t>
      </w:r>
      <w:r w:rsidR="00BE2A93" w:rsidRPr="00362DFB">
        <w:t>5</w:t>
      </w:r>
      <w:r w:rsidRPr="00362DFB">
        <w:t>–2</w:t>
      </w:r>
      <w:r w:rsidR="00BE2A93" w:rsidRPr="00362DFB">
        <w:t>6</w:t>
      </w:r>
      <w:r w:rsidRPr="00362DFB">
        <w:t>,</w:t>
      </w:r>
      <w:r>
        <w:t xml:space="preserve"> the GST relativities reflect the application of blended relativities and the GST relativity floor.</w:t>
      </w:r>
    </w:p>
    <w:p w14:paraId="1EC97E0A" w14:textId="329652C2" w:rsidR="00FF5D8B" w:rsidRDefault="6930ABD6" w:rsidP="00FF5D8B">
      <w:r>
        <w:t xml:space="preserve">The </w:t>
      </w:r>
      <w:r w:rsidR="00F661C2">
        <w:t xml:space="preserve">2018 </w:t>
      </w:r>
      <w:r w:rsidR="31E32CE4">
        <w:t>GST distribution legislation</w:t>
      </w:r>
      <w:r>
        <w:t xml:space="preserve"> include</w:t>
      </w:r>
      <w:r w:rsidR="281C48D2">
        <w:t>s</w:t>
      </w:r>
      <w:r>
        <w:t xml:space="preserve"> a guarantee that no state will be worse off under the new</w:t>
      </w:r>
      <w:r w:rsidR="00CF354B">
        <w:t xml:space="preserve"> arrang</w:t>
      </w:r>
      <w:r w:rsidR="00705820">
        <w:t>ement</w:t>
      </w:r>
      <w:r w:rsidR="005117FE">
        <w:t>s</w:t>
      </w:r>
      <w:r>
        <w:t xml:space="preserve"> – that is, without GST pool top-up payments, a GST relativity floor</w:t>
      </w:r>
      <w:r w:rsidR="0005043D">
        <w:t>,</w:t>
      </w:r>
      <w:r>
        <w:t xml:space="preserve"> o</w:t>
      </w:r>
      <w:r w:rsidR="0040371A">
        <w:t>r</w:t>
      </w:r>
      <w:r>
        <w:t xml:space="preserve"> the phasing in of the new standard state </w:t>
      </w:r>
      <w:r w:rsidR="002114AD">
        <w:t>a</w:t>
      </w:r>
      <w:r w:rsidR="00466440">
        <w:t>pproach</w:t>
      </w:r>
      <w:r>
        <w:t>. The legislated no worse off guarantee operates from 2021–22 until 2026–27, with no worse off payments calculated and provided by the Commonwealth in accordance with the legislation. Under a</w:t>
      </w:r>
      <w:r w:rsidR="7969BB45">
        <w:t>n</w:t>
      </w:r>
      <w:r>
        <w:t xml:space="preserve"> agreement between the Commonwealth and the states, no worse off payments will continue until 2029–30.</w:t>
      </w:r>
      <w:r w:rsidR="00FF5D8B">
        <w:rPr>
          <w:vertAlign w:val="superscript"/>
        </w:rPr>
        <w:footnoteReference w:id="3"/>
      </w:r>
    </w:p>
    <w:p w14:paraId="51F57085" w14:textId="6DB9A1A5" w:rsidR="00D212EE" w:rsidRDefault="00D212EE" w:rsidP="00D212EE">
      <w:pPr>
        <w:pStyle w:val="Heading3"/>
      </w:pPr>
      <w:r>
        <w:lastRenderedPageBreak/>
        <w:t>Report structure</w:t>
      </w:r>
    </w:p>
    <w:p w14:paraId="0E62650F" w14:textId="3138B682" w:rsidR="00671CC3" w:rsidRDefault="00FF5D8B" w:rsidP="00FF5D8B">
      <w:r w:rsidRPr="00515441">
        <w:t>Chapter 1</w:t>
      </w:r>
      <w:r>
        <w:t xml:space="preserve"> sets out the Commission’s recommended GST revenue distribution for </w:t>
      </w:r>
      <w:r w:rsidRPr="00362DFB">
        <w:t>202</w:t>
      </w:r>
      <w:r w:rsidR="009E7D45" w:rsidRPr="00362DFB">
        <w:t>5</w:t>
      </w:r>
      <w:r w:rsidRPr="00362DFB">
        <w:t>–2</w:t>
      </w:r>
      <w:r w:rsidR="009E7D45" w:rsidRPr="00362DFB">
        <w:t>6</w:t>
      </w:r>
      <w:r>
        <w:t xml:space="preserve">. It also provides relativities for the Commonwealth Treasurer to use in calculating no worse off </w:t>
      </w:r>
      <w:r w:rsidR="00D23A12">
        <w:t>payments</w:t>
      </w:r>
      <w:r>
        <w:t xml:space="preserve">. </w:t>
      </w:r>
    </w:p>
    <w:p w14:paraId="5968727E" w14:textId="2F03AEDF" w:rsidR="006030C9" w:rsidRDefault="00FF5D8B" w:rsidP="00FF5D8B">
      <w:r w:rsidRPr="00515441">
        <w:t>Chapter 2</w:t>
      </w:r>
      <w:r>
        <w:t xml:space="preserve"> explains </w:t>
      </w:r>
      <w:r w:rsidR="00C86EBF">
        <w:t>the main changes in</w:t>
      </w:r>
      <w:r>
        <w:t xml:space="preserve"> the Commission’s assessment of each state’s GST</w:t>
      </w:r>
      <w:r w:rsidR="00C25220">
        <w:t> </w:t>
      </w:r>
      <w:r w:rsidR="00383F09">
        <w:t>needs</w:t>
      </w:r>
      <w:r>
        <w:t xml:space="preserve"> since the </w:t>
      </w:r>
      <w:r w:rsidRPr="00362DFB">
        <w:t>202</w:t>
      </w:r>
      <w:r w:rsidR="003256EE" w:rsidRPr="00362DFB">
        <w:t>4</w:t>
      </w:r>
      <w:r w:rsidRPr="00362DFB">
        <w:t xml:space="preserve"> Update</w:t>
      </w:r>
      <w:r>
        <w:t>.</w:t>
      </w:r>
    </w:p>
    <w:p w14:paraId="02576370" w14:textId="115C7548" w:rsidR="006030C9" w:rsidRDefault="00FF5D8B" w:rsidP="00FF5D8B">
      <w:r w:rsidRPr="00515441">
        <w:t>Chapter 3</w:t>
      </w:r>
      <w:r>
        <w:t xml:space="preserve"> provides a snapshot of the </w:t>
      </w:r>
      <w:r w:rsidR="00D1506B">
        <w:t xml:space="preserve">main </w:t>
      </w:r>
      <w:r>
        <w:t xml:space="preserve">factors impacting each state’s recommended GST distribution for </w:t>
      </w:r>
      <w:r w:rsidRPr="00DB386F">
        <w:t>202</w:t>
      </w:r>
      <w:r w:rsidR="003256EE" w:rsidRPr="00DB386F">
        <w:t>5</w:t>
      </w:r>
      <w:r w:rsidRPr="00DB386F">
        <w:t>–2</w:t>
      </w:r>
      <w:r w:rsidR="003256EE" w:rsidRPr="00DB386F">
        <w:t>6</w:t>
      </w:r>
      <w:r w:rsidRPr="00DB386F">
        <w:t>.</w:t>
      </w:r>
    </w:p>
    <w:p w14:paraId="4320D077" w14:textId="0D6C0397" w:rsidR="006030C9" w:rsidRDefault="004169E2" w:rsidP="00FF5D8B">
      <w:r w:rsidRPr="00DB386F">
        <w:t xml:space="preserve">Attachment </w:t>
      </w:r>
      <w:r w:rsidR="00812CD5" w:rsidRPr="00DB386F">
        <w:t>A</w:t>
      </w:r>
      <w:r w:rsidR="005041A7">
        <w:t xml:space="preserve"> </w:t>
      </w:r>
      <w:r w:rsidR="00E24AD3">
        <w:t>pro</w:t>
      </w:r>
      <w:r w:rsidR="004E4AFE">
        <w:t>vides</w:t>
      </w:r>
      <w:r w:rsidR="005041A7">
        <w:t xml:space="preserve"> </w:t>
      </w:r>
      <w:r w:rsidR="006030C9">
        <w:t>additional detail on how</w:t>
      </w:r>
      <w:r w:rsidR="00E37123">
        <w:t xml:space="preserve"> the </w:t>
      </w:r>
      <w:r w:rsidR="007A7F42">
        <w:t>GST</w:t>
      </w:r>
      <w:r w:rsidR="00CA19CB">
        <w:t xml:space="preserve"> relativities</w:t>
      </w:r>
      <w:r w:rsidR="006030C9">
        <w:t xml:space="preserve"> are calculated.</w:t>
      </w:r>
    </w:p>
    <w:p w14:paraId="7F086D66" w14:textId="25409A4E" w:rsidR="000C2E97" w:rsidRDefault="006A515B" w:rsidP="00FF5D8B">
      <w:r>
        <w:t>Attachment B</w:t>
      </w:r>
      <w:r w:rsidR="004169E2" w:rsidRPr="00DB386F">
        <w:t xml:space="preserve"> </w:t>
      </w:r>
      <w:r w:rsidR="00D927F3">
        <w:t>contains</w:t>
      </w:r>
      <w:r w:rsidR="00FF5D8B" w:rsidRPr="00DB386F">
        <w:t xml:space="preserve"> information on states’ GST shares since 2000–01.</w:t>
      </w:r>
    </w:p>
    <w:p w14:paraId="23CBB67A" w14:textId="031A663B" w:rsidR="00651C42" w:rsidRDefault="00FF5D8B" w:rsidP="00FF5D8B">
      <w:r w:rsidRPr="00DB386F">
        <w:t xml:space="preserve">The Commission consulted with states on new issues arising </w:t>
      </w:r>
      <w:r w:rsidR="0018457C">
        <w:t>for 2025–</w:t>
      </w:r>
      <w:r w:rsidR="0018457C">
        <w:rPr>
          <w:rFonts w:ascii="Times New Roman" w:hAnsi="Times New Roman" w:cs="Times New Roman" w:hint="eastAsia"/>
          <w:rtl/>
        </w:rPr>
        <w:t>‍</w:t>
      </w:r>
      <w:r w:rsidR="0018457C">
        <w:t>26</w:t>
      </w:r>
      <w:r w:rsidRPr="00DB386F">
        <w:t xml:space="preserve">. State views and Commission responses are outlined in </w:t>
      </w:r>
      <w:r w:rsidRPr="00E92BCD">
        <w:rPr>
          <w:i/>
        </w:rPr>
        <w:t xml:space="preserve">New Issues </w:t>
      </w:r>
      <w:r w:rsidR="00542173" w:rsidRPr="00E92BCD">
        <w:rPr>
          <w:i/>
        </w:rPr>
        <w:t>for</w:t>
      </w:r>
      <w:r w:rsidRPr="00E92BCD">
        <w:rPr>
          <w:i/>
        </w:rPr>
        <w:t xml:space="preserve"> the 202</w:t>
      </w:r>
      <w:r w:rsidR="00D30E2E" w:rsidRPr="00E92BCD">
        <w:rPr>
          <w:i/>
        </w:rPr>
        <w:t>5-26 GST relativities</w:t>
      </w:r>
      <w:r w:rsidRPr="00E92BCD">
        <w:t>.</w:t>
      </w:r>
      <w:r w:rsidR="00B3669F">
        <w:t xml:space="preserve"> </w:t>
      </w:r>
    </w:p>
    <w:p w14:paraId="32F50420" w14:textId="7534287F" w:rsidR="0012647F" w:rsidRDefault="00090C07" w:rsidP="00FF5D8B">
      <w:r>
        <w:rPr>
          <w:i/>
          <w:iCs/>
        </w:rPr>
        <w:t xml:space="preserve">Review Outcomes </w:t>
      </w:r>
      <w:r w:rsidR="003C268C">
        <w:t xml:space="preserve">and </w:t>
      </w:r>
      <w:r w:rsidR="000D693E">
        <w:rPr>
          <w:i/>
          <w:iCs/>
        </w:rPr>
        <w:t>Commission’s Assessment Methodology</w:t>
      </w:r>
      <w:r w:rsidR="00B21F04">
        <w:rPr>
          <w:i/>
          <w:iCs/>
        </w:rPr>
        <w:t xml:space="preserve"> </w:t>
      </w:r>
      <w:r w:rsidR="00B21F04">
        <w:t xml:space="preserve">provide </w:t>
      </w:r>
      <w:r w:rsidR="003619BB">
        <w:t xml:space="preserve">information on the </w:t>
      </w:r>
      <w:r w:rsidR="00CA28DE">
        <w:t xml:space="preserve">2025 </w:t>
      </w:r>
      <w:r w:rsidR="0039459F">
        <w:t>Review</w:t>
      </w:r>
      <w:r w:rsidR="0058027E">
        <w:t xml:space="preserve"> </w:t>
      </w:r>
      <w:r w:rsidR="00E24E36">
        <w:t xml:space="preserve">outcomes </w:t>
      </w:r>
      <w:r w:rsidR="0058027E">
        <w:t xml:space="preserve">and </w:t>
      </w:r>
      <w:r w:rsidR="0073168B">
        <w:t>a detailed description of the</w:t>
      </w:r>
      <w:r w:rsidR="0058027E">
        <w:t xml:space="preserve"> methodology </w:t>
      </w:r>
      <w:r w:rsidR="00B73270">
        <w:t>used to cal</w:t>
      </w:r>
      <w:r w:rsidR="001A0CFB">
        <w:t xml:space="preserve">culate </w:t>
      </w:r>
      <w:r w:rsidR="00507F2D">
        <w:t>GST relativities</w:t>
      </w:r>
      <w:r w:rsidR="004A3C43">
        <w:t>, respectively</w:t>
      </w:r>
      <w:r w:rsidR="00507F2D">
        <w:t>.</w:t>
      </w:r>
    </w:p>
    <w:p w14:paraId="717A0B98" w14:textId="14709E2F" w:rsidR="006120A4" w:rsidRPr="00DB386F" w:rsidRDefault="00456FE2" w:rsidP="00E33C70">
      <w:r>
        <w:t>Background</w:t>
      </w:r>
      <w:r w:rsidR="00BD4252">
        <w:t xml:space="preserve"> information</w:t>
      </w:r>
      <w:r>
        <w:t xml:space="preserve"> on the Commission’s role</w:t>
      </w:r>
      <w:r w:rsidR="009B7980">
        <w:t xml:space="preserve"> and </w:t>
      </w:r>
      <w:r w:rsidR="003C06DB">
        <w:t>horizontal fiscal equalisation</w:t>
      </w:r>
      <w:r w:rsidR="00BD4252">
        <w:t xml:space="preserve"> can be found in </w:t>
      </w:r>
      <w:r w:rsidR="00FF43AE">
        <w:t>the box below</w:t>
      </w:r>
      <w:r w:rsidR="007C5667">
        <w:t>.</w:t>
      </w:r>
      <w:bookmarkEnd w:id="78"/>
      <w:r w:rsidR="0012647F" w:rsidRPr="00DB386F">
        <w:br w:type="page"/>
      </w:r>
    </w:p>
    <w:p w14:paraId="20C7145E" w14:textId="280AB90E" w:rsidR="00BF1D37" w:rsidRDefault="00AC64B0" w:rsidP="00B90E07">
      <w:r w:rsidRPr="00AB1E40">
        <w:rPr>
          <w:noProof/>
        </w:rPr>
        <w:lastRenderedPageBreak/>
        <mc:AlternateContent>
          <mc:Choice Requires="wps">
            <w:drawing>
              <wp:anchor distT="45720" distB="45720" distL="114300" distR="114300" simplePos="0" relativeHeight="251658246" behindDoc="0" locked="0" layoutInCell="1" allowOverlap="1" wp14:anchorId="73125B42" wp14:editId="2B5FF144">
                <wp:simplePos x="0" y="0"/>
                <wp:positionH relativeFrom="margin">
                  <wp:align>left</wp:align>
                </wp:positionH>
                <wp:positionV relativeFrom="paragraph">
                  <wp:posOffset>0</wp:posOffset>
                </wp:positionV>
                <wp:extent cx="5853430" cy="8972550"/>
                <wp:effectExtent l="0" t="0" r="13970" b="19050"/>
                <wp:wrapSquare wrapText="bothSides"/>
                <wp:docPr id="153117373" name="Text Box 153117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430" cy="8972550"/>
                        </a:xfrm>
                        <a:prstGeom prst="rect">
                          <a:avLst/>
                        </a:prstGeom>
                        <a:solidFill>
                          <a:srgbClr val="E5F8FF"/>
                        </a:solidFill>
                        <a:ln w="9525">
                          <a:solidFill>
                            <a:sysClr val="window" lastClr="FFFFFF"/>
                          </a:solidFill>
                          <a:miter lim="800000"/>
                          <a:headEnd/>
                          <a:tailEnd/>
                        </a:ln>
                      </wps:spPr>
                      <wps:txbx>
                        <w:txbxContent>
                          <w:p w14:paraId="012AB129" w14:textId="5AA55D80" w:rsidR="00AC64B0" w:rsidRDefault="00A13C82" w:rsidP="00994767">
                            <w:pPr>
                              <w:pStyle w:val="HeadingBox-Level3"/>
                            </w:pPr>
                            <w:bookmarkStart w:id="83" w:name="_Toc190780925"/>
                            <w:bookmarkStart w:id="84" w:name="_Hlk187404442"/>
                            <w:r>
                              <w:t>T</w:t>
                            </w:r>
                            <w:r w:rsidR="00AC64B0">
                              <w:t>he Commission’s role</w:t>
                            </w:r>
                            <w:bookmarkEnd w:id="83"/>
                            <w:r w:rsidR="00EC65D8">
                              <w:t xml:space="preserve"> </w:t>
                            </w:r>
                          </w:p>
                          <w:bookmarkEnd w:id="84"/>
                          <w:p w14:paraId="7FFD1478" w14:textId="5CBCA81B" w:rsidR="00156ACE" w:rsidRDefault="00156ACE" w:rsidP="00421EA0">
                            <w:pPr>
                              <w:pStyle w:val="Heading4"/>
                            </w:pPr>
                            <w:r>
                              <w:t>H</w:t>
                            </w:r>
                            <w:r w:rsidR="00E20E5B">
                              <w:t>orizon</w:t>
                            </w:r>
                            <w:r w:rsidR="003E7710">
                              <w:t xml:space="preserve">tal </w:t>
                            </w:r>
                            <w:r w:rsidR="009A44B5">
                              <w:t>f</w:t>
                            </w:r>
                            <w:r w:rsidR="003E7710">
                              <w:t xml:space="preserve">iscal </w:t>
                            </w:r>
                            <w:r w:rsidR="009A44B5">
                              <w:t>e</w:t>
                            </w:r>
                            <w:r w:rsidR="003E7710">
                              <w:t>qualisation</w:t>
                            </w:r>
                          </w:p>
                          <w:p w14:paraId="502746DB" w14:textId="48743CA6" w:rsidR="00156ACE" w:rsidRDefault="00156ACE" w:rsidP="00156ACE">
                            <w:r>
                              <w:t>The Commission provide</w:t>
                            </w:r>
                            <w:r w:rsidR="00995800">
                              <w:t>s</w:t>
                            </w:r>
                            <w:r>
                              <w:t xml:space="preserve"> independent advice to the Australian Government on how GST</w:t>
                            </w:r>
                            <w:r w:rsidR="00C25220">
                              <w:t> </w:t>
                            </w:r>
                            <w:r>
                              <w:t>revenue should be distributed among the states. The distribution of GST revenue is governed by legislation and terms of reference issued by the Commonwealth Treasurer</w:t>
                            </w:r>
                            <w:r w:rsidR="001D21E4">
                              <w:t xml:space="preserve">, which </w:t>
                            </w:r>
                            <w:r>
                              <w:t xml:space="preserve">require the Commission’s advice to be based on the objective of horizontal fiscal equalisation. </w:t>
                            </w:r>
                            <w:r w:rsidR="002742E7">
                              <w:t>T</w:t>
                            </w:r>
                            <w:r>
                              <w:t>his objective</w:t>
                            </w:r>
                            <w:r w:rsidR="00D5225F">
                              <w:t xml:space="preserve"> </w:t>
                            </w:r>
                            <w:r>
                              <w:t>has been a feature of Australia’s federal financial arrangements for many decades</w:t>
                            </w:r>
                            <w:r w:rsidR="007C3B33">
                              <w:t xml:space="preserve">. It </w:t>
                            </w:r>
                            <w:r>
                              <w:t xml:space="preserve">seeks to </w:t>
                            </w:r>
                            <w:r w:rsidR="00486C0F">
                              <w:t xml:space="preserve">provide </w:t>
                            </w:r>
                            <w:r>
                              <w:t xml:space="preserve">each state </w:t>
                            </w:r>
                            <w:r w:rsidR="00DE5886">
                              <w:t>with</w:t>
                            </w:r>
                            <w:r>
                              <w:t xml:space="preserve"> the financial capacity to provide services at a comparable standard if each made the same effort to raise revenue. </w:t>
                            </w:r>
                            <w:r w:rsidR="00A97DF3" w:rsidRPr="0059672B">
                              <w:t>I</w:t>
                            </w:r>
                            <w:r w:rsidR="00E57EE4" w:rsidRPr="0059672B">
                              <w:t xml:space="preserve">n this way, all Australians have the opportunity to receive a </w:t>
                            </w:r>
                            <w:r w:rsidR="005922FF" w:rsidRPr="0059672B">
                              <w:t>comparable</w:t>
                            </w:r>
                            <w:r w:rsidR="00E57EE4" w:rsidRPr="0059672B">
                              <w:t xml:space="preserve"> standard of service.</w:t>
                            </w:r>
                            <w:r w:rsidR="00E57EE4">
                              <w:t xml:space="preserve">  </w:t>
                            </w:r>
                          </w:p>
                          <w:p w14:paraId="4544F58F" w14:textId="4C41108D" w:rsidR="00415753" w:rsidRDefault="00415753" w:rsidP="00415753">
                            <w:pPr>
                              <w:pStyle w:val="Heading4"/>
                            </w:pPr>
                            <w:r>
                              <w:t xml:space="preserve">The </w:t>
                            </w:r>
                            <w:r w:rsidR="003D727D">
                              <w:t>Commission’s approach</w:t>
                            </w:r>
                          </w:p>
                          <w:p w14:paraId="018D456C" w14:textId="1DD00958" w:rsidR="00415753" w:rsidRDefault="008E0026" w:rsidP="00415753">
                            <w:r>
                              <w:t>P</w:t>
                            </w:r>
                            <w:r w:rsidR="00415753">
                              <w:t xml:space="preserve">ursuing horizontal fiscal equalisation is not an exact science — it depends on the availability of appropriate data and requires the Commission to undertake estimates, make trade-offs and apply judgements. The Commission seeks to make its work as consistent, transparent and understandable as possible. </w:t>
                            </w:r>
                            <w:r w:rsidR="00CF30DD">
                              <w:t>Close c</w:t>
                            </w:r>
                            <w:r w:rsidR="00415753">
                              <w:t xml:space="preserve">onsultation with state </w:t>
                            </w:r>
                            <w:r w:rsidR="00EC6A14">
                              <w:t>t</w:t>
                            </w:r>
                            <w:r w:rsidR="00415753">
                              <w:t>reasuries is critical to the Commission’s deliberations.</w:t>
                            </w:r>
                          </w:p>
                          <w:p w14:paraId="23ACE4E0" w14:textId="1EFC893B" w:rsidR="00415753" w:rsidRDefault="00415753" w:rsidP="00415753">
                            <w:r w:rsidRPr="003E79E2">
                              <w:t xml:space="preserve">The Commission depends heavily on reliable and fit-for-purpose data. Around </w:t>
                            </w:r>
                            <w:r>
                              <w:t>every 5</w:t>
                            </w:r>
                            <w:r w:rsidR="000C3C42">
                              <w:t> </w:t>
                            </w:r>
                            <w:r>
                              <w:t xml:space="preserve">years, the Commission is asked to undertake a methodology review to ensure its </w:t>
                            </w:r>
                            <w:r w:rsidR="00831974">
                              <w:t>approach is</w:t>
                            </w:r>
                            <w:r>
                              <w:t xml:space="preserve"> appropriate and use</w:t>
                            </w:r>
                            <w:r w:rsidR="00831974">
                              <w:t>s</w:t>
                            </w:r>
                            <w:r>
                              <w:t xml:space="preserve"> the best available data. In between reviews, the Commission retains the same assessment methods, providing an </w:t>
                            </w:r>
                            <w:r w:rsidR="00DE4A03">
                              <w:t xml:space="preserve">annual </w:t>
                            </w:r>
                            <w:r>
                              <w:t>update incorporat</w:t>
                            </w:r>
                            <w:r w:rsidR="00E50B9E">
                              <w:t>ing</w:t>
                            </w:r>
                            <w:r>
                              <w:t xml:space="preserve"> the most recent </w:t>
                            </w:r>
                            <w:r w:rsidR="00AF5FBB">
                              <w:t xml:space="preserve">state financial and other </w:t>
                            </w:r>
                            <w:r>
                              <w:t>data.</w:t>
                            </w:r>
                          </w:p>
                          <w:p w14:paraId="3AD53866" w14:textId="10685F32" w:rsidR="00415753" w:rsidRDefault="00CB0657" w:rsidP="00415753">
                            <w:r>
                              <w:t>T</w:t>
                            </w:r>
                            <w:r w:rsidR="00415753">
                              <w:t>he Commission</w:t>
                            </w:r>
                            <w:r>
                              <w:t xml:space="preserve">’s recommendation for the distribution of GST </w:t>
                            </w:r>
                            <w:r w:rsidR="000626C1">
                              <w:t>is based on</w:t>
                            </w:r>
                            <w:r w:rsidR="00415753">
                              <w:t xml:space="preserve"> a 3-year lagged moving average of data. This balances the need for contemporaneity, predictability and smoothing the impacts of changes in circumstances. States have supported this approach through recent methodology reviews</w:t>
                            </w:r>
                            <w:r w:rsidR="004E4570">
                              <w:t>,</w:t>
                            </w:r>
                            <w:r w:rsidR="00415753">
                              <w:t xml:space="preserve"> including the 2025 Review.</w:t>
                            </w:r>
                          </w:p>
                          <w:p w14:paraId="2473FF87" w14:textId="7380D261" w:rsidR="009D5865" w:rsidRPr="00FC4BF2" w:rsidRDefault="00E246F4" w:rsidP="00FC4BF2">
                            <w:r w:rsidRPr="00FC4BF2">
                              <w:t>The Commission</w:t>
                            </w:r>
                            <w:r w:rsidR="00F856BC" w:rsidRPr="00FC4BF2">
                              <w:t>’s methods</w:t>
                            </w:r>
                            <w:r w:rsidRPr="00FC4BF2">
                              <w:t xml:space="preserve"> </w:t>
                            </w:r>
                            <w:r w:rsidR="005D243A" w:rsidRPr="00FC4BF2">
                              <w:t xml:space="preserve">aim </w:t>
                            </w:r>
                            <w:r w:rsidR="00BB23D2" w:rsidRPr="00FC4BF2">
                              <w:t xml:space="preserve">to ensure that </w:t>
                            </w:r>
                            <w:r w:rsidR="009F0A29" w:rsidRPr="00FC4BF2">
                              <w:t>the GST distribution</w:t>
                            </w:r>
                            <w:r w:rsidR="00DA0710" w:rsidRPr="00FC4BF2">
                              <w:t xml:space="preserve"> does not </w:t>
                            </w:r>
                            <w:r w:rsidR="005D243A" w:rsidRPr="00FC4BF2">
                              <w:t xml:space="preserve">reward or </w:t>
                            </w:r>
                            <w:r w:rsidR="00F856BC" w:rsidRPr="00FC4BF2">
                              <w:t>penalise</w:t>
                            </w:r>
                            <w:r w:rsidR="00DA0710" w:rsidRPr="00FC4BF2">
                              <w:t xml:space="preserve"> states</w:t>
                            </w:r>
                            <w:r w:rsidR="00F856BC" w:rsidRPr="00FC4BF2">
                              <w:t xml:space="preserve"> for their individual policy decisions. </w:t>
                            </w:r>
                            <w:r w:rsidR="00C47C72" w:rsidRPr="00FC4BF2">
                              <w:t xml:space="preserve">For example, </w:t>
                            </w:r>
                            <w:r w:rsidR="003120B0" w:rsidRPr="00FC4BF2">
                              <w:t>while states make different choices on how much they pay their employees, the Commission’s approach looks</w:t>
                            </w:r>
                            <w:r w:rsidR="009D5865" w:rsidRPr="00FC4BF2">
                              <w:t xml:space="preserve"> instead at </w:t>
                            </w:r>
                            <w:r w:rsidR="003A0366" w:rsidRPr="00FC4BF2">
                              <w:t>labour market circumstances to determine the underlying wage pressures states face</w:t>
                            </w:r>
                            <w:r w:rsidR="009D5865" w:rsidRPr="00FC4BF2">
                              <w:t>. In this way</w:t>
                            </w:r>
                            <w:r w:rsidR="00B05A04">
                              <w:t>,</w:t>
                            </w:r>
                            <w:r w:rsidR="009D5865" w:rsidRPr="00FC4BF2">
                              <w:t xml:space="preserve"> any state that chooses to pay higher wages is not compensated through </w:t>
                            </w:r>
                            <w:r w:rsidR="008F7689">
                              <w:t xml:space="preserve">a </w:t>
                            </w:r>
                            <w:r w:rsidR="009D5865" w:rsidRPr="00FC4BF2">
                              <w:t>higher GST</w:t>
                            </w:r>
                            <w:r w:rsidR="008F7689">
                              <w:t xml:space="preserve"> distribution</w:t>
                            </w:r>
                            <w:r w:rsidR="009D5865" w:rsidRPr="00FC4BF2">
                              <w:t xml:space="preserve">.  </w:t>
                            </w:r>
                          </w:p>
                          <w:p w14:paraId="20E169ED" w14:textId="5221DCAD" w:rsidR="00415753" w:rsidRPr="003268DC" w:rsidRDefault="00AC1E4A" w:rsidP="00FC4BF2">
                            <w:pPr>
                              <w:rPr>
                                <w:szCs w:val="20"/>
                              </w:rPr>
                            </w:pPr>
                            <w:r w:rsidRPr="00FC4BF2">
                              <w:rPr>
                                <w:szCs w:val="20"/>
                              </w:rPr>
                              <w:t>The Commission recognises</w:t>
                            </w:r>
                            <w:r w:rsidR="00B42470" w:rsidRPr="00FC4BF2">
                              <w:rPr>
                                <w:szCs w:val="20"/>
                              </w:rPr>
                              <w:t xml:space="preserve"> that in some instances its </w:t>
                            </w:r>
                            <w:r w:rsidR="0080017A" w:rsidRPr="00FC4BF2">
                              <w:rPr>
                                <w:szCs w:val="20"/>
                              </w:rPr>
                              <w:t xml:space="preserve">assessment methods </w:t>
                            </w:r>
                            <w:r w:rsidR="00B42470" w:rsidRPr="00FC4BF2">
                              <w:rPr>
                                <w:szCs w:val="20"/>
                              </w:rPr>
                              <w:t xml:space="preserve">are complex. Complexity </w:t>
                            </w:r>
                            <w:r w:rsidR="00E0221F" w:rsidRPr="00FC4BF2">
                              <w:rPr>
                                <w:szCs w:val="20"/>
                              </w:rPr>
                              <w:t xml:space="preserve">is often a result of ensuring the methods are </w:t>
                            </w:r>
                            <w:r w:rsidR="000B31D5" w:rsidRPr="00FC4BF2">
                              <w:rPr>
                                <w:szCs w:val="20"/>
                              </w:rPr>
                              <w:t>‘policy neutral’</w:t>
                            </w:r>
                            <w:r w:rsidR="00E0221F" w:rsidRPr="00FC4BF2">
                              <w:rPr>
                                <w:szCs w:val="20"/>
                              </w:rPr>
                              <w:t xml:space="preserve">. </w:t>
                            </w:r>
                            <w:r w:rsidR="00EF0807" w:rsidRPr="00FC4BF2">
                              <w:rPr>
                                <w:szCs w:val="20"/>
                              </w:rPr>
                              <w:t xml:space="preserve">Complexity can </w:t>
                            </w:r>
                            <w:r w:rsidR="000753BA" w:rsidRPr="00FC4BF2">
                              <w:rPr>
                                <w:szCs w:val="20"/>
                              </w:rPr>
                              <w:t xml:space="preserve">also </w:t>
                            </w:r>
                            <w:r w:rsidR="00EF0807" w:rsidRPr="00FC4BF2">
                              <w:rPr>
                                <w:szCs w:val="20"/>
                              </w:rPr>
                              <w:t xml:space="preserve">arise from adopting methods that seek to best </w:t>
                            </w:r>
                            <w:r w:rsidR="000753BA" w:rsidRPr="00FC4BF2">
                              <w:rPr>
                                <w:szCs w:val="20"/>
                              </w:rPr>
                              <w:t xml:space="preserve">reflect </w:t>
                            </w:r>
                            <w:r w:rsidR="00700950">
                              <w:rPr>
                                <w:szCs w:val="20"/>
                              </w:rPr>
                              <w:t xml:space="preserve">a </w:t>
                            </w:r>
                            <w:r w:rsidR="003324E1">
                              <w:rPr>
                                <w:szCs w:val="20"/>
                              </w:rPr>
                              <w:t>wide</w:t>
                            </w:r>
                            <w:r w:rsidR="003324E1" w:rsidRPr="00444E37">
                              <w:rPr>
                                <w:szCs w:val="20"/>
                              </w:rPr>
                              <w:t xml:space="preserve"> </w:t>
                            </w:r>
                            <w:r w:rsidR="00B32E70" w:rsidRPr="00444E37">
                              <w:rPr>
                                <w:szCs w:val="20"/>
                              </w:rPr>
                              <w:t>range of state expenditures and revenues</w:t>
                            </w:r>
                            <w:r w:rsidR="00E05DB6" w:rsidRPr="00FC4BF2">
                              <w:rPr>
                                <w:szCs w:val="20"/>
                              </w:rPr>
                              <w:t>.</w:t>
                            </w:r>
                            <w:r w:rsidR="00415753" w:rsidRPr="00FC4BF2">
                              <w:rPr>
                                <w:szCs w:val="20"/>
                              </w:rPr>
                              <w:t xml:space="preserve"> The Commission adopts a materiality threshold as a guardrail against undue complexity. States have generally supported this approach.</w:t>
                            </w:r>
                            <w:r w:rsidR="00415753" w:rsidRPr="003268DC">
                              <w:rPr>
                                <w:szCs w:val="20"/>
                              </w:rPr>
                              <w:t xml:space="preserve">  </w:t>
                            </w:r>
                          </w:p>
                          <w:p w14:paraId="02A96232" w14:textId="17A817ED" w:rsidR="00415753" w:rsidRDefault="00936A97" w:rsidP="00415753">
                            <w:r>
                              <w:t>The Commission values collaboration</w:t>
                            </w:r>
                            <w:r w:rsidR="007774BD">
                              <w:t xml:space="preserve"> and </w:t>
                            </w:r>
                            <w:r>
                              <w:t xml:space="preserve">consultation </w:t>
                            </w:r>
                            <w:r w:rsidR="007774BD">
                              <w:t xml:space="preserve">with </w:t>
                            </w:r>
                            <w:r>
                              <w:t xml:space="preserve">states to </w:t>
                            </w:r>
                            <w:r w:rsidR="00034D92">
                              <w:t>ensure</w:t>
                            </w:r>
                            <w:r>
                              <w:t xml:space="preserve"> the most </w:t>
                            </w:r>
                            <w:r w:rsidR="00A66226">
                              <w:t>reliable</w:t>
                            </w:r>
                            <w:r>
                              <w:t xml:space="preserve"> methods are </w:t>
                            </w:r>
                            <w:r w:rsidR="00A66226">
                              <w:t xml:space="preserve">put in place. </w:t>
                            </w:r>
                            <w:r w:rsidR="00415753" w:rsidRPr="00CF5B48">
                              <w:t xml:space="preserve">All the Commission’s calculations are made available to the states, except where states </w:t>
                            </w:r>
                            <w:r w:rsidR="00ED3487">
                              <w:t xml:space="preserve">or </w:t>
                            </w:r>
                            <w:r w:rsidR="00F7132F">
                              <w:t xml:space="preserve">other data </w:t>
                            </w:r>
                            <w:r w:rsidR="006F179B">
                              <w:t>custodians</w:t>
                            </w:r>
                            <w:r w:rsidR="00F7132F">
                              <w:t xml:space="preserve"> </w:t>
                            </w:r>
                            <w:r w:rsidR="00415753" w:rsidRPr="00CF5B48">
                              <w:t xml:space="preserve">have imposed confidentiality restrictions on underlying data. </w:t>
                            </w:r>
                            <w:r w:rsidR="004B4CF9" w:rsidRPr="00CF5B48">
                              <w:t>States have a good understanding of assessment methods</w:t>
                            </w:r>
                            <w:r w:rsidR="00C22833">
                              <w:t>.</w:t>
                            </w:r>
                            <w:r w:rsidR="004B4CF9" w:rsidRPr="00CF5B48">
                              <w:t xml:space="preserve"> </w:t>
                            </w:r>
                            <w:r w:rsidR="00C22833">
                              <w:t xml:space="preserve">Staff from the </w:t>
                            </w:r>
                            <w:r w:rsidR="004B4CF9" w:rsidRPr="00CF5B48">
                              <w:t xml:space="preserve">Commission </w:t>
                            </w:r>
                            <w:r w:rsidR="004B4CF9">
                              <w:t xml:space="preserve">and state </w:t>
                            </w:r>
                            <w:r w:rsidR="00C22833">
                              <w:t>treasuries</w:t>
                            </w:r>
                            <w:r w:rsidR="004B4CF9">
                              <w:t xml:space="preserve"> work together to </w:t>
                            </w:r>
                            <w:r w:rsidR="004B4CF9" w:rsidRPr="00CF5B48">
                              <w:t xml:space="preserve">support </w:t>
                            </w:r>
                            <w:r w:rsidR="00C22833">
                              <w:t>this understanding</w:t>
                            </w:r>
                            <w:r w:rsidR="004B4CF9" w:rsidRPr="00CF5B48">
                              <w:t xml:space="preserve"> through training</w:t>
                            </w:r>
                            <w:r w:rsidR="00AB2506">
                              <w:t xml:space="preserve"> and </w:t>
                            </w:r>
                            <w:r w:rsidR="00E97C05">
                              <w:t xml:space="preserve">ongoing </w:t>
                            </w:r>
                            <w:r w:rsidR="00AB2506">
                              <w:t>dialogue</w:t>
                            </w:r>
                            <w:r w:rsidR="004B4CF9" w:rsidRPr="00CF5B48">
                              <w:t xml:space="preserve">. </w:t>
                            </w:r>
                            <w:r w:rsidR="00415753" w:rsidRPr="00CF5B48">
                              <w:t>The Commission is always open to assisting states to improve their understanding of its assessments and the implications for the distribution of GST revenue.</w:t>
                            </w:r>
                          </w:p>
                          <w:p w14:paraId="5009600C" w14:textId="2092BEBC" w:rsidR="00C6537A" w:rsidRDefault="00415753" w:rsidP="00C6537A">
                            <w:r>
                              <w:t xml:space="preserve">To support public understanding, </w:t>
                            </w:r>
                            <w:r w:rsidRPr="007B0FEF">
                              <w:t xml:space="preserve">the Commission has introduced an Occasional and Research Paper series. These papers </w:t>
                            </w:r>
                            <w:r>
                              <w:t>(</w:t>
                            </w:r>
                            <w:r w:rsidRPr="007B0FEF">
                              <w:t>available on the website</w:t>
                            </w:r>
                            <w:r>
                              <w:t>)</w:t>
                            </w:r>
                            <w:r w:rsidRPr="007B0FEF">
                              <w:t xml:space="preserve"> explain in non-technical terms how </w:t>
                            </w:r>
                            <w:r>
                              <w:t xml:space="preserve">the Commission </w:t>
                            </w:r>
                            <w:r w:rsidRPr="007B0FEF">
                              <w:t>assess</w:t>
                            </w:r>
                            <w:r>
                              <w:t xml:space="preserve">es </w:t>
                            </w:r>
                            <w:r w:rsidRPr="007B0FEF">
                              <w:t xml:space="preserve">states’ relative fiscal </w:t>
                            </w:r>
                            <w:r>
                              <w:t>capacities.</w:t>
                            </w:r>
                          </w:p>
                          <w:p w14:paraId="0149AD0E" w14:textId="77777777" w:rsidR="00C6537A" w:rsidRDefault="00C6537A" w:rsidP="00C6537A"/>
                          <w:p w14:paraId="1AFAC6E5" w14:textId="77777777" w:rsidR="00C6537A" w:rsidRDefault="00C6537A" w:rsidP="00C6537A"/>
                          <w:p w14:paraId="05C7939F" w14:textId="77777777" w:rsidR="00C6537A" w:rsidRDefault="00C6537A" w:rsidP="00C6537A"/>
                          <w:p w14:paraId="7299F083" w14:textId="77777777" w:rsidR="00C6537A" w:rsidRDefault="00C6537A" w:rsidP="00C6537A"/>
                          <w:p w14:paraId="7F7A8498" w14:textId="77777777" w:rsidR="00C6537A" w:rsidRDefault="00C6537A" w:rsidP="00C6537A"/>
                          <w:p w14:paraId="4E2F05D7" w14:textId="77777777" w:rsidR="00C6537A" w:rsidRDefault="00C6537A" w:rsidP="00C6537A"/>
                          <w:p w14:paraId="7EEBD882" w14:textId="77777777" w:rsidR="00C6537A" w:rsidRDefault="00C6537A" w:rsidP="00C6537A"/>
                          <w:p w14:paraId="3260FC48" w14:textId="77777777" w:rsidR="00C6537A" w:rsidRDefault="00C6537A" w:rsidP="00C6537A"/>
                          <w:p w14:paraId="21697898" w14:textId="77777777" w:rsidR="00C6537A" w:rsidRDefault="00C6537A" w:rsidP="00C6537A"/>
                          <w:p w14:paraId="60C3F7D6" w14:textId="77777777" w:rsidR="00C6537A" w:rsidRDefault="00C6537A" w:rsidP="00C6537A"/>
                          <w:p w14:paraId="199C251E" w14:textId="77777777" w:rsidR="00C6537A" w:rsidRDefault="00C6537A" w:rsidP="00C6537A"/>
                          <w:p w14:paraId="7CE3FDB5" w14:textId="77777777" w:rsidR="00C6537A" w:rsidRDefault="00C6537A" w:rsidP="00C6537A"/>
                          <w:p w14:paraId="0E40F22D" w14:textId="77777777" w:rsidR="00C6537A" w:rsidRDefault="00C6537A" w:rsidP="00C6537A"/>
                          <w:p w14:paraId="0493ABDF" w14:textId="77777777" w:rsidR="00C6537A" w:rsidRDefault="00C6537A" w:rsidP="00C6537A"/>
                          <w:p w14:paraId="07E05AED" w14:textId="77777777" w:rsidR="00C6537A" w:rsidRDefault="00C6537A" w:rsidP="00C6537A"/>
                          <w:p w14:paraId="1DE1E1A0" w14:textId="77777777" w:rsidR="00C6537A" w:rsidRDefault="00C6537A" w:rsidP="00C6537A"/>
                          <w:p w14:paraId="03A69015" w14:textId="77777777" w:rsidR="00C6537A" w:rsidRDefault="00C6537A" w:rsidP="00C6537A"/>
                          <w:p w14:paraId="12A3A584" w14:textId="77777777" w:rsidR="00C6537A" w:rsidRDefault="00C6537A" w:rsidP="00C6537A"/>
                          <w:p w14:paraId="560C4E8C" w14:textId="77777777" w:rsidR="00C6537A" w:rsidRDefault="00C6537A" w:rsidP="00C6537A"/>
                          <w:p w14:paraId="5390620B" w14:textId="77777777" w:rsidR="00C6537A" w:rsidRDefault="00C6537A" w:rsidP="00C6537A"/>
                          <w:p w14:paraId="69B43065" w14:textId="77777777" w:rsidR="00C6537A" w:rsidRDefault="00C6537A" w:rsidP="00C6537A"/>
                          <w:p w14:paraId="73805959" w14:textId="77777777" w:rsidR="00C6537A" w:rsidRDefault="00C6537A" w:rsidP="00C6537A"/>
                          <w:p w14:paraId="349B3C66" w14:textId="77777777" w:rsidR="00C6537A" w:rsidRDefault="00C6537A" w:rsidP="00C6537A"/>
                          <w:p w14:paraId="4B23A115" w14:textId="77777777" w:rsidR="00C6537A" w:rsidRDefault="00C6537A" w:rsidP="00C6537A"/>
                          <w:p w14:paraId="3DE65F03" w14:textId="77777777" w:rsidR="00C6537A" w:rsidRDefault="00C6537A" w:rsidP="00C6537A"/>
                          <w:p w14:paraId="785C031A" w14:textId="77777777" w:rsidR="00C6537A" w:rsidRDefault="00C6537A" w:rsidP="00C6537A"/>
                          <w:p w14:paraId="1DB95E42" w14:textId="77777777" w:rsidR="00C6537A" w:rsidRDefault="00C6537A" w:rsidP="00C6537A"/>
                          <w:p w14:paraId="22543E4B" w14:textId="77777777" w:rsidR="00C6537A" w:rsidRDefault="00C6537A" w:rsidP="00C6537A"/>
                          <w:p w14:paraId="6C143E75" w14:textId="77777777" w:rsidR="00C6537A" w:rsidRDefault="00C6537A" w:rsidP="00C6537A"/>
                          <w:p w14:paraId="0BAFD7CD" w14:textId="77777777" w:rsidR="00C6537A" w:rsidRDefault="00C6537A" w:rsidP="00C6537A"/>
                          <w:p w14:paraId="51F1DD7A" w14:textId="77777777" w:rsidR="00C6537A" w:rsidRDefault="00C6537A" w:rsidP="00C6537A"/>
                          <w:p w14:paraId="5FB44799" w14:textId="77777777" w:rsidR="00C6537A" w:rsidRDefault="00C6537A" w:rsidP="00C6537A"/>
                          <w:p w14:paraId="7ED6314C" w14:textId="77777777" w:rsidR="00C6537A" w:rsidRPr="00C6537A" w:rsidRDefault="00C6537A" w:rsidP="00C6537A"/>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25B42" id="Text Box 153117373" o:spid="_x0000_s1033" type="#_x0000_t202" style="position:absolute;margin-left:0;margin-top:0;width:460.9pt;height:706.5pt;z-index:25165824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" fillcolor="#e5f8ff" strokecolor="window">
                <v:textbox>
                  <w:txbxContent>
                    <w:p w14:paraId="012AB129" w14:textId="5AA55D80" w:rsidR="00AC64B0" w:rsidRDefault="00A13C82" w:rsidP="00994767">
                      <w:pPr>
                        <w:pStyle w:val="HeadingBox-Level3"/>
                      </w:pPr>
                      <w:bookmarkStart w:id="92" w:name="_Toc190780925"/>
                      <w:bookmarkStart w:id="93" w:name="_Hlk187404442"/>
                      <w:r>
                        <w:t>T</w:t>
                      </w:r>
                      <w:r w:rsidR="00AC64B0">
                        <w:t>he Commission’s role</w:t>
                      </w:r>
                      <w:bookmarkEnd w:id="92"/>
                      <w:r w:rsidR="00EC65D8">
                        <w:t xml:space="preserve"> </w:t>
                      </w:r>
                    </w:p>
                    <w:bookmarkEnd w:id="93"/>
                    <w:p w14:paraId="7FFD1478" w14:textId="5CBCA81B" w:rsidR="00156ACE" w:rsidRDefault="00156ACE" w:rsidP="00421EA0">
                      <w:pPr>
                        <w:pStyle w:val="Heading4"/>
                      </w:pPr>
                      <w:r>
                        <w:t>H</w:t>
                      </w:r>
                      <w:r w:rsidR="00E20E5B">
                        <w:t>orizon</w:t>
                      </w:r>
                      <w:r w:rsidR="003E7710">
                        <w:t xml:space="preserve">tal </w:t>
                      </w:r>
                      <w:r w:rsidR="009A44B5">
                        <w:t>f</w:t>
                      </w:r>
                      <w:r w:rsidR="003E7710">
                        <w:t xml:space="preserve">iscal </w:t>
                      </w:r>
                      <w:r w:rsidR="009A44B5">
                        <w:t>e</w:t>
                      </w:r>
                      <w:r w:rsidR="003E7710">
                        <w:t>qualisation</w:t>
                      </w:r>
                    </w:p>
                    <w:p w14:paraId="502746DB" w14:textId="48743CA6" w:rsidR="00156ACE" w:rsidRDefault="00156ACE" w:rsidP="00156ACE">
                      <w:r>
                        <w:t>The Commission provide</w:t>
                      </w:r>
                      <w:r w:rsidR="00995800">
                        <w:t>s</w:t>
                      </w:r>
                      <w:r>
                        <w:t xml:space="preserve"> independent advice to the Australian Government on how GST</w:t>
                      </w:r>
                      <w:r w:rsidR="00C25220">
                        <w:t> </w:t>
                      </w:r>
                      <w:r>
                        <w:t>revenue should be distributed among the states. The distribution of GST revenue is governed by legislation and terms of reference issued by the Commonwealth Treasurer</w:t>
                      </w:r>
                      <w:r w:rsidR="001D21E4">
                        <w:t xml:space="preserve">, which </w:t>
                      </w:r>
                      <w:r>
                        <w:t xml:space="preserve">require the Commission’s advice to be based on the objective of horizontal fiscal equalisation. </w:t>
                      </w:r>
                      <w:r w:rsidR="002742E7">
                        <w:t>T</w:t>
                      </w:r>
                      <w:r>
                        <w:t>his objective</w:t>
                      </w:r>
                      <w:r w:rsidR="00D5225F">
                        <w:t xml:space="preserve"> </w:t>
                      </w:r>
                      <w:r>
                        <w:t>has been a feature of Australia’s federal financial arrangements for many decades</w:t>
                      </w:r>
                      <w:r w:rsidR="007C3B33">
                        <w:t xml:space="preserve">. It </w:t>
                      </w:r>
                      <w:r>
                        <w:t xml:space="preserve">seeks to </w:t>
                      </w:r>
                      <w:r w:rsidR="00486C0F">
                        <w:t xml:space="preserve">provide </w:t>
                      </w:r>
                      <w:r>
                        <w:t xml:space="preserve">each state </w:t>
                      </w:r>
                      <w:r w:rsidR="00DE5886">
                        <w:t>with</w:t>
                      </w:r>
                      <w:r>
                        <w:t xml:space="preserve"> the financial capacity to provide services at a comparable standard if each made the same effort to raise revenue. </w:t>
                      </w:r>
                      <w:r w:rsidR="00A97DF3" w:rsidRPr="0059672B">
                        <w:t>I</w:t>
                      </w:r>
                      <w:r w:rsidR="00E57EE4" w:rsidRPr="0059672B">
                        <w:t xml:space="preserve">n this way, all Australians have the opportunity to receive a </w:t>
                      </w:r>
                      <w:r w:rsidR="005922FF" w:rsidRPr="0059672B">
                        <w:t>comparable</w:t>
                      </w:r>
                      <w:r w:rsidR="00E57EE4" w:rsidRPr="0059672B">
                        <w:t xml:space="preserve"> standard of service.</w:t>
                      </w:r>
                      <w:r w:rsidR="00E57EE4">
                        <w:t xml:space="preserve">  </w:t>
                      </w:r>
                    </w:p>
                    <w:p w14:paraId="4544F58F" w14:textId="4C41108D" w:rsidR="00415753" w:rsidRDefault="00415753" w:rsidP="00415753">
                      <w:pPr>
                        <w:pStyle w:val="Heading4"/>
                      </w:pPr>
                      <w:r>
                        <w:t xml:space="preserve">The </w:t>
                      </w:r>
                      <w:r w:rsidR="003D727D">
                        <w:t>Commission’s approach</w:t>
                      </w:r>
                    </w:p>
                    <w:p w14:paraId="018D456C" w14:textId="1DD00958" w:rsidR="00415753" w:rsidRDefault="008E0026" w:rsidP="00415753">
                      <w:r>
                        <w:t>P</w:t>
                      </w:r>
                      <w:r w:rsidR="00415753">
                        <w:t xml:space="preserve">ursuing horizontal fiscal equalisation is not an exact science — it depends on the availability of appropriate data and requires the Commission to undertake estimates, make trade-offs and apply judgements. The Commission seeks to make its work as consistent, transparent and understandable as possible. </w:t>
                      </w:r>
                      <w:r w:rsidR="00CF30DD">
                        <w:t>Close c</w:t>
                      </w:r>
                      <w:r w:rsidR="00415753">
                        <w:t xml:space="preserve">onsultation with state </w:t>
                      </w:r>
                      <w:r w:rsidR="00EC6A14">
                        <w:t>t</w:t>
                      </w:r>
                      <w:r w:rsidR="00415753">
                        <w:t>reasuries is critical to the Commission’s deliberations.</w:t>
                      </w:r>
                    </w:p>
                    <w:p w14:paraId="23ACE4E0" w14:textId="1EFC893B" w:rsidR="00415753" w:rsidRDefault="00415753" w:rsidP="00415753">
                      <w:r w:rsidRPr="003E79E2">
                        <w:t xml:space="preserve">The Commission depends heavily on reliable and fit-for-purpose data. Around </w:t>
                      </w:r>
                      <w:r>
                        <w:t>every 5</w:t>
                      </w:r>
                      <w:r w:rsidR="000C3C42">
                        <w:t> </w:t>
                      </w:r>
                      <w:r>
                        <w:t xml:space="preserve">years, the Commission is asked to undertake a methodology review to ensure its </w:t>
                      </w:r>
                      <w:r w:rsidR="00831974">
                        <w:t>approach is</w:t>
                      </w:r>
                      <w:r>
                        <w:t xml:space="preserve"> appropriate and use</w:t>
                      </w:r>
                      <w:r w:rsidR="00831974">
                        <w:t>s</w:t>
                      </w:r>
                      <w:r>
                        <w:t xml:space="preserve"> the best available data. In between reviews, the Commission retains the same assessment methods, providing an </w:t>
                      </w:r>
                      <w:r w:rsidR="00DE4A03">
                        <w:t xml:space="preserve">annual </w:t>
                      </w:r>
                      <w:r>
                        <w:t>update incorporat</w:t>
                      </w:r>
                      <w:r w:rsidR="00E50B9E">
                        <w:t>ing</w:t>
                      </w:r>
                      <w:r>
                        <w:t xml:space="preserve"> the most recent </w:t>
                      </w:r>
                      <w:r w:rsidR="00AF5FBB">
                        <w:t xml:space="preserve">state financial and other </w:t>
                      </w:r>
                      <w:r>
                        <w:t>data.</w:t>
                      </w:r>
                    </w:p>
                    <w:p w14:paraId="3AD53866" w14:textId="10685F32" w:rsidR="00415753" w:rsidRDefault="00CB0657" w:rsidP="00415753">
                      <w:r>
                        <w:t>T</w:t>
                      </w:r>
                      <w:r w:rsidR="00415753">
                        <w:t>he Commission</w:t>
                      </w:r>
                      <w:r>
                        <w:t xml:space="preserve">’s recommendation for the distribution of GST </w:t>
                      </w:r>
                      <w:r w:rsidR="000626C1">
                        <w:t>is based on</w:t>
                      </w:r>
                      <w:r w:rsidR="00415753">
                        <w:t xml:space="preserve"> a 3-year lagged moving average of data. This balances the need for contemporaneity, predictability and smoothing the impacts of changes in circumstances. States have supported this approach through recent methodology reviews</w:t>
                      </w:r>
                      <w:r w:rsidR="004E4570">
                        <w:t>,</w:t>
                      </w:r>
                      <w:r w:rsidR="00415753">
                        <w:t xml:space="preserve"> including the 2025 Review.</w:t>
                      </w:r>
                    </w:p>
                    <w:p w14:paraId="2473FF87" w14:textId="7380D261" w:rsidR="009D5865" w:rsidRPr="00FC4BF2" w:rsidRDefault="00E246F4" w:rsidP="00FC4BF2">
                      <w:r w:rsidRPr="00FC4BF2">
                        <w:t>The Commission</w:t>
                      </w:r>
                      <w:r w:rsidR="00F856BC" w:rsidRPr="00FC4BF2">
                        <w:t>’s methods</w:t>
                      </w:r>
                      <w:r w:rsidRPr="00FC4BF2">
                        <w:t xml:space="preserve"> </w:t>
                      </w:r>
                      <w:r w:rsidR="005D243A" w:rsidRPr="00FC4BF2">
                        <w:t xml:space="preserve">aim </w:t>
                      </w:r>
                      <w:r w:rsidR="00BB23D2" w:rsidRPr="00FC4BF2">
                        <w:t xml:space="preserve">to ensure that </w:t>
                      </w:r>
                      <w:r w:rsidR="009F0A29" w:rsidRPr="00FC4BF2">
                        <w:t>the GST distribution</w:t>
                      </w:r>
                      <w:r w:rsidR="00DA0710" w:rsidRPr="00FC4BF2">
                        <w:t xml:space="preserve"> does not </w:t>
                      </w:r>
                      <w:r w:rsidR="005D243A" w:rsidRPr="00FC4BF2">
                        <w:t xml:space="preserve">reward or </w:t>
                      </w:r>
                      <w:r w:rsidR="00F856BC" w:rsidRPr="00FC4BF2">
                        <w:t>penalise</w:t>
                      </w:r>
                      <w:r w:rsidR="00DA0710" w:rsidRPr="00FC4BF2">
                        <w:t xml:space="preserve"> states</w:t>
                      </w:r>
                      <w:r w:rsidR="00F856BC" w:rsidRPr="00FC4BF2">
                        <w:t xml:space="preserve"> for their individual policy decisions. </w:t>
                      </w:r>
                      <w:r w:rsidR="00C47C72" w:rsidRPr="00FC4BF2">
                        <w:t xml:space="preserve">For example, </w:t>
                      </w:r>
                      <w:r w:rsidR="003120B0" w:rsidRPr="00FC4BF2">
                        <w:t>while states make different choices on how much they pay their employees, the Commission’s approach looks</w:t>
                      </w:r>
                      <w:r w:rsidR="009D5865" w:rsidRPr="00FC4BF2">
                        <w:t xml:space="preserve"> instead at </w:t>
                      </w:r>
                      <w:r w:rsidR="003A0366" w:rsidRPr="00FC4BF2">
                        <w:t>labour market circumstances to determine the underlying wage pressures states face</w:t>
                      </w:r>
                      <w:r w:rsidR="009D5865" w:rsidRPr="00FC4BF2">
                        <w:t>. In this way</w:t>
                      </w:r>
                      <w:r w:rsidR="00B05A04">
                        <w:t>,</w:t>
                      </w:r>
                      <w:r w:rsidR="009D5865" w:rsidRPr="00FC4BF2">
                        <w:t xml:space="preserve"> any state that chooses to pay higher wages is not compensated through </w:t>
                      </w:r>
                      <w:r w:rsidR="008F7689">
                        <w:t xml:space="preserve">a </w:t>
                      </w:r>
                      <w:r w:rsidR="009D5865" w:rsidRPr="00FC4BF2">
                        <w:t>higher GST</w:t>
                      </w:r>
                      <w:r w:rsidR="008F7689">
                        <w:t xml:space="preserve"> distribution</w:t>
                      </w:r>
                      <w:r w:rsidR="009D5865" w:rsidRPr="00FC4BF2">
                        <w:t xml:space="preserve">.  </w:t>
                      </w:r>
                    </w:p>
                    <w:p w14:paraId="20E169ED" w14:textId="5221DCAD" w:rsidR="00415753" w:rsidRPr="003268DC" w:rsidRDefault="00AC1E4A" w:rsidP="00FC4BF2">
                      <w:pPr>
                        <w:rPr>
                          <w:szCs w:val="20"/>
                        </w:rPr>
                      </w:pPr>
                      <w:r w:rsidRPr="00FC4BF2">
                        <w:rPr>
                          <w:szCs w:val="20"/>
                        </w:rPr>
                        <w:t>The Commission recognises</w:t>
                      </w:r>
                      <w:r w:rsidR="00B42470" w:rsidRPr="00FC4BF2">
                        <w:rPr>
                          <w:szCs w:val="20"/>
                        </w:rPr>
                        <w:t xml:space="preserve"> that in some instances its </w:t>
                      </w:r>
                      <w:r w:rsidR="0080017A" w:rsidRPr="00FC4BF2">
                        <w:rPr>
                          <w:szCs w:val="20"/>
                        </w:rPr>
                        <w:t xml:space="preserve">assessment methods </w:t>
                      </w:r>
                      <w:r w:rsidR="00B42470" w:rsidRPr="00FC4BF2">
                        <w:rPr>
                          <w:szCs w:val="20"/>
                        </w:rPr>
                        <w:t xml:space="preserve">are complex. Complexity </w:t>
                      </w:r>
                      <w:r w:rsidR="00E0221F" w:rsidRPr="00FC4BF2">
                        <w:rPr>
                          <w:szCs w:val="20"/>
                        </w:rPr>
                        <w:t xml:space="preserve">is often a result of ensuring the methods are </w:t>
                      </w:r>
                      <w:r w:rsidR="000B31D5" w:rsidRPr="00FC4BF2">
                        <w:rPr>
                          <w:szCs w:val="20"/>
                        </w:rPr>
                        <w:t>‘policy neutral’</w:t>
                      </w:r>
                      <w:r w:rsidR="00E0221F" w:rsidRPr="00FC4BF2">
                        <w:rPr>
                          <w:szCs w:val="20"/>
                        </w:rPr>
                        <w:t xml:space="preserve">. </w:t>
                      </w:r>
                      <w:r w:rsidR="00EF0807" w:rsidRPr="00FC4BF2">
                        <w:rPr>
                          <w:szCs w:val="20"/>
                        </w:rPr>
                        <w:t xml:space="preserve">Complexity can </w:t>
                      </w:r>
                      <w:r w:rsidR="000753BA" w:rsidRPr="00FC4BF2">
                        <w:rPr>
                          <w:szCs w:val="20"/>
                        </w:rPr>
                        <w:t xml:space="preserve">also </w:t>
                      </w:r>
                      <w:r w:rsidR="00EF0807" w:rsidRPr="00FC4BF2">
                        <w:rPr>
                          <w:szCs w:val="20"/>
                        </w:rPr>
                        <w:t xml:space="preserve">arise from adopting methods that seek to best </w:t>
                      </w:r>
                      <w:r w:rsidR="000753BA" w:rsidRPr="00FC4BF2">
                        <w:rPr>
                          <w:szCs w:val="20"/>
                        </w:rPr>
                        <w:t xml:space="preserve">reflect </w:t>
                      </w:r>
                      <w:r w:rsidR="00700950">
                        <w:rPr>
                          <w:szCs w:val="20"/>
                        </w:rPr>
                        <w:t xml:space="preserve">a </w:t>
                      </w:r>
                      <w:r w:rsidR="003324E1">
                        <w:rPr>
                          <w:szCs w:val="20"/>
                        </w:rPr>
                        <w:t>wide</w:t>
                      </w:r>
                      <w:r w:rsidR="003324E1" w:rsidRPr="00444E37">
                        <w:rPr>
                          <w:szCs w:val="20"/>
                        </w:rPr>
                        <w:t xml:space="preserve"> </w:t>
                      </w:r>
                      <w:r w:rsidR="00B32E70" w:rsidRPr="00444E37">
                        <w:rPr>
                          <w:szCs w:val="20"/>
                        </w:rPr>
                        <w:t>range of state expenditures and revenues</w:t>
                      </w:r>
                      <w:r w:rsidR="00E05DB6" w:rsidRPr="00FC4BF2">
                        <w:rPr>
                          <w:szCs w:val="20"/>
                        </w:rPr>
                        <w:t>.</w:t>
                      </w:r>
                      <w:r w:rsidR="00415753" w:rsidRPr="00FC4BF2">
                        <w:rPr>
                          <w:szCs w:val="20"/>
                        </w:rPr>
                        <w:t xml:space="preserve"> The Commission adopts a materiality threshold as a guardrail against undue complexity. States have generally supported this approach.</w:t>
                      </w:r>
                      <w:r w:rsidR="00415753" w:rsidRPr="003268DC">
                        <w:rPr>
                          <w:szCs w:val="20"/>
                        </w:rPr>
                        <w:t xml:space="preserve">  </w:t>
                      </w:r>
                    </w:p>
                    <w:p w14:paraId="02A96232" w14:textId="17A817ED" w:rsidR="00415753" w:rsidRDefault="00936A97" w:rsidP="00415753">
                      <w:r>
                        <w:t>The Commission values collaboration</w:t>
                      </w:r>
                      <w:r w:rsidR="007774BD">
                        <w:t xml:space="preserve"> and </w:t>
                      </w:r>
                      <w:r>
                        <w:t xml:space="preserve">consultation </w:t>
                      </w:r>
                      <w:r w:rsidR="007774BD">
                        <w:t xml:space="preserve">with </w:t>
                      </w:r>
                      <w:r>
                        <w:t xml:space="preserve">states to </w:t>
                      </w:r>
                      <w:r w:rsidR="00034D92">
                        <w:t>ensure</w:t>
                      </w:r>
                      <w:r>
                        <w:t xml:space="preserve"> the most </w:t>
                      </w:r>
                      <w:r w:rsidR="00A66226">
                        <w:t>reliable</w:t>
                      </w:r>
                      <w:r>
                        <w:t xml:space="preserve"> methods are </w:t>
                      </w:r>
                      <w:r w:rsidR="00A66226">
                        <w:t xml:space="preserve">put in place. </w:t>
                      </w:r>
                      <w:r w:rsidR="00415753" w:rsidRPr="00CF5B48">
                        <w:t xml:space="preserve">All the Commission’s calculations are made available to the states, except where states </w:t>
                      </w:r>
                      <w:r w:rsidR="00ED3487">
                        <w:t xml:space="preserve">or </w:t>
                      </w:r>
                      <w:r w:rsidR="00F7132F">
                        <w:t xml:space="preserve">other data </w:t>
                      </w:r>
                      <w:r w:rsidR="006F179B">
                        <w:t>custodians</w:t>
                      </w:r>
                      <w:r w:rsidR="00F7132F">
                        <w:t xml:space="preserve"> </w:t>
                      </w:r>
                      <w:r w:rsidR="00415753" w:rsidRPr="00CF5B48">
                        <w:t xml:space="preserve">have imposed confidentiality restrictions on underlying data. </w:t>
                      </w:r>
                      <w:r w:rsidR="004B4CF9" w:rsidRPr="00CF5B48">
                        <w:t>States have a good understanding of assessment methods</w:t>
                      </w:r>
                      <w:r w:rsidR="00C22833">
                        <w:t>.</w:t>
                      </w:r>
                      <w:r w:rsidR="004B4CF9" w:rsidRPr="00CF5B48">
                        <w:t xml:space="preserve"> </w:t>
                      </w:r>
                      <w:r w:rsidR="00C22833">
                        <w:t xml:space="preserve">Staff from the </w:t>
                      </w:r>
                      <w:r w:rsidR="004B4CF9" w:rsidRPr="00CF5B48">
                        <w:t xml:space="preserve">Commission </w:t>
                      </w:r>
                      <w:r w:rsidR="004B4CF9">
                        <w:t xml:space="preserve">and state </w:t>
                      </w:r>
                      <w:r w:rsidR="00C22833">
                        <w:t>treasuries</w:t>
                      </w:r>
                      <w:r w:rsidR="004B4CF9">
                        <w:t xml:space="preserve"> work together to </w:t>
                      </w:r>
                      <w:r w:rsidR="004B4CF9" w:rsidRPr="00CF5B48">
                        <w:t xml:space="preserve">support </w:t>
                      </w:r>
                      <w:r w:rsidR="00C22833">
                        <w:t>this understanding</w:t>
                      </w:r>
                      <w:r w:rsidR="004B4CF9" w:rsidRPr="00CF5B48">
                        <w:t xml:space="preserve"> through training</w:t>
                      </w:r>
                      <w:r w:rsidR="00AB2506">
                        <w:t xml:space="preserve"> and </w:t>
                      </w:r>
                      <w:r w:rsidR="00E97C05">
                        <w:t xml:space="preserve">ongoing </w:t>
                      </w:r>
                      <w:r w:rsidR="00AB2506">
                        <w:t>dialogue</w:t>
                      </w:r>
                      <w:r w:rsidR="004B4CF9" w:rsidRPr="00CF5B48">
                        <w:t xml:space="preserve">. </w:t>
                      </w:r>
                      <w:r w:rsidR="00415753" w:rsidRPr="00CF5B48">
                        <w:t>The Commission is always open to assisting states to improve their understanding of its assessments and the implications for the distribution of GST revenue.</w:t>
                      </w:r>
                    </w:p>
                    <w:p w14:paraId="5009600C" w14:textId="2092BEBC" w:rsidR="00C6537A" w:rsidRDefault="00415753" w:rsidP="00C6537A">
                      <w:r>
                        <w:t xml:space="preserve">To support public understanding, </w:t>
                      </w:r>
                      <w:r w:rsidRPr="007B0FEF">
                        <w:t xml:space="preserve">the Commission has introduced an Occasional and Research Paper series. These papers </w:t>
                      </w:r>
                      <w:r>
                        <w:t>(</w:t>
                      </w:r>
                      <w:r w:rsidRPr="007B0FEF">
                        <w:t>available on the website</w:t>
                      </w:r>
                      <w:r>
                        <w:t>)</w:t>
                      </w:r>
                      <w:r w:rsidRPr="007B0FEF">
                        <w:t xml:space="preserve"> explain in non-technical terms how </w:t>
                      </w:r>
                      <w:r>
                        <w:t xml:space="preserve">the Commission </w:t>
                      </w:r>
                      <w:r w:rsidRPr="007B0FEF">
                        <w:t>assess</w:t>
                      </w:r>
                      <w:r>
                        <w:t xml:space="preserve">es </w:t>
                      </w:r>
                      <w:r w:rsidRPr="007B0FEF">
                        <w:t xml:space="preserve">states’ relative fiscal </w:t>
                      </w:r>
                      <w:r>
                        <w:t>capacities.</w:t>
                      </w:r>
                    </w:p>
                    <w:p w14:paraId="0149AD0E" w14:textId="77777777" w:rsidR="00C6537A" w:rsidRDefault="00C6537A" w:rsidP="00C6537A"/>
                    <w:p w14:paraId="1AFAC6E5" w14:textId="77777777" w:rsidR="00C6537A" w:rsidRDefault="00C6537A" w:rsidP="00C6537A"/>
                    <w:p w14:paraId="05C7939F" w14:textId="77777777" w:rsidR="00C6537A" w:rsidRDefault="00C6537A" w:rsidP="00C6537A"/>
                    <w:p w14:paraId="7299F083" w14:textId="77777777" w:rsidR="00C6537A" w:rsidRDefault="00C6537A" w:rsidP="00C6537A"/>
                    <w:p w14:paraId="7F7A8498" w14:textId="77777777" w:rsidR="00C6537A" w:rsidRDefault="00C6537A" w:rsidP="00C6537A"/>
                    <w:p w14:paraId="4E2F05D7" w14:textId="77777777" w:rsidR="00C6537A" w:rsidRDefault="00C6537A" w:rsidP="00C6537A"/>
                    <w:p w14:paraId="7EEBD882" w14:textId="77777777" w:rsidR="00C6537A" w:rsidRDefault="00C6537A" w:rsidP="00C6537A"/>
                    <w:p w14:paraId="3260FC48" w14:textId="77777777" w:rsidR="00C6537A" w:rsidRDefault="00C6537A" w:rsidP="00C6537A"/>
                    <w:p w14:paraId="21697898" w14:textId="77777777" w:rsidR="00C6537A" w:rsidRDefault="00C6537A" w:rsidP="00C6537A"/>
                    <w:p w14:paraId="60C3F7D6" w14:textId="77777777" w:rsidR="00C6537A" w:rsidRDefault="00C6537A" w:rsidP="00C6537A"/>
                    <w:p w14:paraId="199C251E" w14:textId="77777777" w:rsidR="00C6537A" w:rsidRDefault="00C6537A" w:rsidP="00C6537A"/>
                    <w:p w14:paraId="7CE3FDB5" w14:textId="77777777" w:rsidR="00C6537A" w:rsidRDefault="00C6537A" w:rsidP="00C6537A"/>
                    <w:p w14:paraId="0E40F22D" w14:textId="77777777" w:rsidR="00C6537A" w:rsidRDefault="00C6537A" w:rsidP="00C6537A"/>
                    <w:p w14:paraId="0493ABDF" w14:textId="77777777" w:rsidR="00C6537A" w:rsidRDefault="00C6537A" w:rsidP="00C6537A"/>
                    <w:p w14:paraId="07E05AED" w14:textId="77777777" w:rsidR="00C6537A" w:rsidRDefault="00C6537A" w:rsidP="00C6537A"/>
                    <w:p w14:paraId="1DE1E1A0" w14:textId="77777777" w:rsidR="00C6537A" w:rsidRDefault="00C6537A" w:rsidP="00C6537A"/>
                    <w:p w14:paraId="03A69015" w14:textId="77777777" w:rsidR="00C6537A" w:rsidRDefault="00C6537A" w:rsidP="00C6537A"/>
                    <w:p w14:paraId="12A3A584" w14:textId="77777777" w:rsidR="00C6537A" w:rsidRDefault="00C6537A" w:rsidP="00C6537A"/>
                    <w:p w14:paraId="560C4E8C" w14:textId="77777777" w:rsidR="00C6537A" w:rsidRDefault="00C6537A" w:rsidP="00C6537A"/>
                    <w:p w14:paraId="5390620B" w14:textId="77777777" w:rsidR="00C6537A" w:rsidRDefault="00C6537A" w:rsidP="00C6537A"/>
                    <w:p w14:paraId="69B43065" w14:textId="77777777" w:rsidR="00C6537A" w:rsidRDefault="00C6537A" w:rsidP="00C6537A"/>
                    <w:p w14:paraId="73805959" w14:textId="77777777" w:rsidR="00C6537A" w:rsidRDefault="00C6537A" w:rsidP="00C6537A"/>
                    <w:p w14:paraId="349B3C66" w14:textId="77777777" w:rsidR="00C6537A" w:rsidRDefault="00C6537A" w:rsidP="00C6537A"/>
                    <w:p w14:paraId="4B23A115" w14:textId="77777777" w:rsidR="00C6537A" w:rsidRDefault="00C6537A" w:rsidP="00C6537A"/>
                    <w:p w14:paraId="3DE65F03" w14:textId="77777777" w:rsidR="00C6537A" w:rsidRDefault="00C6537A" w:rsidP="00C6537A"/>
                    <w:p w14:paraId="785C031A" w14:textId="77777777" w:rsidR="00C6537A" w:rsidRDefault="00C6537A" w:rsidP="00C6537A"/>
                    <w:p w14:paraId="1DB95E42" w14:textId="77777777" w:rsidR="00C6537A" w:rsidRDefault="00C6537A" w:rsidP="00C6537A"/>
                    <w:p w14:paraId="22543E4B" w14:textId="77777777" w:rsidR="00C6537A" w:rsidRDefault="00C6537A" w:rsidP="00C6537A"/>
                    <w:p w14:paraId="6C143E75" w14:textId="77777777" w:rsidR="00C6537A" w:rsidRDefault="00C6537A" w:rsidP="00C6537A"/>
                    <w:p w14:paraId="0BAFD7CD" w14:textId="77777777" w:rsidR="00C6537A" w:rsidRDefault="00C6537A" w:rsidP="00C6537A"/>
                    <w:p w14:paraId="51F1DD7A" w14:textId="77777777" w:rsidR="00C6537A" w:rsidRDefault="00C6537A" w:rsidP="00C6537A"/>
                    <w:p w14:paraId="5FB44799" w14:textId="77777777" w:rsidR="00C6537A" w:rsidRDefault="00C6537A" w:rsidP="00C6537A"/>
                    <w:p w14:paraId="7ED6314C" w14:textId="77777777" w:rsidR="00C6537A" w:rsidRPr="00C6537A" w:rsidRDefault="00C6537A" w:rsidP="00C6537A"/>
                  </w:txbxContent>
                </v:textbox>
                <w10:wrap type="square" anchorx="margin"/>
              </v:shape>
            </w:pict>
          </mc:Fallback>
        </mc:AlternateContent>
      </w:r>
      <w:bookmarkEnd w:id="0"/>
      <w:bookmarkEnd w:id="1"/>
      <w:bookmarkEnd w:id="2"/>
    </w:p>
    <w:p w14:paraId="720CAB9F" w14:textId="682B5E36" w:rsidR="008C0421" w:rsidRDefault="008C0421">
      <w:pPr>
        <w:tabs>
          <w:tab w:val="clear" w:pos="567"/>
        </w:tabs>
        <w:spacing w:before="0" w:after="200" w:line="276" w:lineRule="auto"/>
        <w:rPr>
          <w:rFonts w:eastAsia="Times New Roman" w:cs="Open Sans"/>
          <w:b/>
          <w:bCs/>
          <w:color w:val="006991"/>
          <w:sz w:val="28"/>
          <w:szCs w:val="28"/>
        </w:rPr>
      </w:pPr>
      <w:r w:rsidRPr="00C035F4">
        <w:rPr>
          <w:noProof/>
          <w:highlight w:val="yellow"/>
        </w:rPr>
        <w:lastRenderedPageBreak/>
        <mc:AlternateContent>
          <mc:Choice Requires="wps">
            <w:drawing>
              <wp:anchor distT="45720" distB="45720" distL="114300" distR="114300" simplePos="0" relativeHeight="251658248" behindDoc="0" locked="0" layoutInCell="1" allowOverlap="1" wp14:anchorId="62CA332E" wp14:editId="6204846E">
                <wp:simplePos x="0" y="0"/>
                <wp:positionH relativeFrom="margin">
                  <wp:align>left</wp:align>
                </wp:positionH>
                <wp:positionV relativeFrom="paragraph">
                  <wp:posOffset>0</wp:posOffset>
                </wp:positionV>
                <wp:extent cx="5853600" cy="8845200"/>
                <wp:effectExtent l="0" t="0" r="13970" b="13335"/>
                <wp:wrapSquare wrapText="bothSides"/>
                <wp:docPr id="1159578199" name="Text Box 1159578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600" cy="8845200"/>
                        </a:xfrm>
                        <a:prstGeom prst="rect">
                          <a:avLst/>
                        </a:prstGeom>
                        <a:solidFill>
                          <a:srgbClr val="E5F8FF"/>
                        </a:solidFill>
                        <a:ln w="9525">
                          <a:solidFill>
                            <a:sysClr val="window" lastClr="FFFFFF"/>
                          </a:solidFill>
                          <a:miter lim="800000"/>
                          <a:headEnd/>
                          <a:tailEnd/>
                        </a:ln>
                      </wps:spPr>
                      <wps:txbx>
                        <w:txbxContent>
                          <w:p w14:paraId="3B91A9C3" w14:textId="0AB2ECD8" w:rsidR="008C0421" w:rsidRDefault="008C0421" w:rsidP="00994767">
                            <w:pPr>
                              <w:pStyle w:val="HeadingBox-Level3"/>
                            </w:pPr>
                            <w:bookmarkStart w:id="85" w:name="_Toc190780926"/>
                            <w:r>
                              <w:t>The Commission’s role (continued)</w:t>
                            </w:r>
                            <w:bookmarkEnd w:id="85"/>
                          </w:p>
                          <w:p w14:paraId="5E2A6C70" w14:textId="77777777" w:rsidR="008C0421" w:rsidRDefault="008C0421" w:rsidP="008C0421">
                            <w:pPr>
                              <w:pStyle w:val="Heading4"/>
                            </w:pPr>
                            <w:r>
                              <w:t>Estimating states’ relative fiscal capacities</w:t>
                            </w:r>
                          </w:p>
                          <w:p w14:paraId="1C8EF349" w14:textId="7D15E373" w:rsidR="008C0421" w:rsidRDefault="008C0421" w:rsidP="008C0421">
                            <w:r>
                              <w:t xml:space="preserve">The Commission takes account of states’ different abilities to raise revenue and different costs of providing services. It is normal for each state’s GST relativity to change from year to year (see Figure 1). For example, a state could experience an </w:t>
                            </w:r>
                            <w:r w:rsidRPr="00A94C0D">
                              <w:t>increased share of property transfers</w:t>
                            </w:r>
                            <w:r>
                              <w:t>, a decline in its share of Commonwealth payments or an increased share of national population growth (‘changes in circumstances’). There could be ‘data</w:t>
                            </w:r>
                            <w:r w:rsidR="00A121DC">
                              <w:t xml:space="preserve"> </w:t>
                            </w:r>
                            <w:r>
                              <w:t>revisions’, such as updated data on the value of taxable payrolls for a year that has already been in the Commission’s calculations. Each state’s GST relativity is also affected by other states’ circumstances or data revisions. For 2025–26, states’ relativities are also impacted by ‘method changes’ introduced as part of the 2025 Review. The amount of GST</w:t>
                            </w:r>
                            <w:r w:rsidR="00ED7757">
                              <w:t> </w:t>
                            </w:r>
                            <w:r>
                              <w:t xml:space="preserve">each state receives also depends on the size of the </w:t>
                            </w:r>
                            <w:r w:rsidRPr="00B55860">
                              <w:t>GST</w:t>
                            </w:r>
                            <w:r>
                              <w:t xml:space="preserve"> pool and its share of the national population, as well as the 2018 GST distribution legislation. </w:t>
                            </w:r>
                          </w:p>
                          <w:p w14:paraId="3317EEE5" w14:textId="77777777" w:rsidR="008C0421" w:rsidRDefault="008C0421" w:rsidP="008C0421">
                            <w:r>
                              <w:t>The Commission only recommends GST distribution for the upcoming financial year. Forecasts of a state’s GST share beyond one year would be highly uncertain as they would depend on expectations about revenue and expenses, non-contemporaneous data and assumptions about the movements of all these factors across all 8 states.</w:t>
                            </w:r>
                          </w:p>
                          <w:p w14:paraId="38348396" w14:textId="77777777" w:rsidR="008C0421" w:rsidRPr="00F438B0" w:rsidRDefault="008C0421" w:rsidP="00F5039F">
                            <w:pPr>
                              <w:pStyle w:val="CGC2025Caption"/>
                              <w:spacing w:after="200"/>
                            </w:pPr>
                            <w:bookmarkStart w:id="86" w:name="_Hlk187420804"/>
                            <w:r w:rsidRPr="00F438B0">
                              <w:t>Figure 1</w:t>
                            </w:r>
                            <w:r w:rsidRPr="00F438B0">
                              <w:tab/>
                              <w:t>GST relativities, 2000–01 to 2025–26</w:t>
                            </w:r>
                            <w:bookmarkEnd w:id="86"/>
                          </w:p>
                          <w:p w14:paraId="51A8D467" w14:textId="79B2AAC3" w:rsidR="008C0421" w:rsidRPr="00C72F28" w:rsidRDefault="008C0421" w:rsidP="008C0421">
                            <w:pPr>
                              <w:rPr>
                                <w:sz w:val="16"/>
                                <w:szCs w:val="16"/>
                              </w:rPr>
                            </w:pPr>
                            <w:r>
                              <w:rPr>
                                <w:noProof/>
                              </w:rPr>
                              <w:drawing>
                                <wp:inline distT="0" distB="0" distL="0" distR="0" wp14:anchorId="54E95520" wp14:editId="16738112">
                                  <wp:extent cx="5657322" cy="4856509"/>
                                  <wp:effectExtent l="0" t="0" r="635" b="1270"/>
                                  <wp:docPr id="1581085118" name="Chart 1">
                                    <a:extLst xmlns:a="http://schemas.openxmlformats.org/drawingml/2006/main">
                                      <a:ext uri="{FF2B5EF4-FFF2-40B4-BE49-F238E27FC236}">
                                        <a16:creationId xmlns:a16="http://schemas.microsoft.com/office/drawing/2014/main" id="{1A313B02-2753-481A-A9EF-DE67EAEAFB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Pr>
                                <w:sz w:val="16"/>
                                <w:szCs w:val="16"/>
                                <w:highlight w:val="yellow"/>
                              </w:rPr>
                              <w:t xml:space="preserve"> </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CA332E" id="Text Box 1159578199" o:spid="_x0000_s1034" type="#_x0000_t202" style="position:absolute;margin-left:0;margin-top:0;width:460.9pt;height:696.45pt;z-index:2516582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" fillcolor="#e5f8ff" strokecolor="window">
                <v:textbox>
                  <w:txbxContent>
                    <w:p w14:paraId="3B91A9C3" w14:textId="0AB2ECD8" w:rsidR="008C0421" w:rsidRDefault="008C0421" w:rsidP="00994767">
                      <w:pPr>
                        <w:pStyle w:val="HeadingBox-Level3"/>
                      </w:pPr>
                      <w:bookmarkStart w:id="96" w:name="_Toc190780926"/>
                      <w:r>
                        <w:t>The Commission’s role (continued)</w:t>
                      </w:r>
                      <w:bookmarkEnd w:id="96"/>
                    </w:p>
                    <w:p w14:paraId="5E2A6C70" w14:textId="77777777" w:rsidR="008C0421" w:rsidRDefault="008C0421" w:rsidP="008C0421">
                      <w:pPr>
                        <w:pStyle w:val="Heading4"/>
                      </w:pPr>
                      <w:r>
                        <w:t>Estimating states’ relative fiscal capacities</w:t>
                      </w:r>
                    </w:p>
                    <w:p w14:paraId="1C8EF349" w14:textId="7D15E373" w:rsidR="008C0421" w:rsidRDefault="008C0421" w:rsidP="008C0421">
                      <w:r>
                        <w:t xml:space="preserve">The Commission takes account of states’ different abilities to raise revenue and different costs of providing services. It is normal for each state’s GST relativity to change from year to year (see Figure 1). For example, a state could experience an </w:t>
                      </w:r>
                      <w:r w:rsidRPr="00A94C0D">
                        <w:t>increased share of property transfers</w:t>
                      </w:r>
                      <w:r>
                        <w:t>, a decline in its share of Commonwealth payments or an increased share of national population growth (‘changes in circumstances’). There could be ‘data</w:t>
                      </w:r>
                      <w:r w:rsidR="00A121DC">
                        <w:t xml:space="preserve"> </w:t>
                      </w:r>
                      <w:r>
                        <w:t>revisions’, such as updated data on the value of taxable payrolls for a year that has already been in the Commission’s calculations. Each state’s GST relativity is also affected by other states’ circumstances or data revisions. For 2025–26, states’ relativities are also impacted by ‘method changes’ introduced as part of the 2025 Review. The amount of GST</w:t>
                      </w:r>
                      <w:r w:rsidR="00ED7757">
                        <w:t> </w:t>
                      </w:r>
                      <w:r>
                        <w:t xml:space="preserve">each state receives also depends on the size of the </w:t>
                      </w:r>
                      <w:r w:rsidRPr="00B55860">
                        <w:t>GST</w:t>
                      </w:r>
                      <w:r>
                        <w:t xml:space="preserve"> pool and its share of the national population, as well as the 2018 GST distribution legislation. </w:t>
                      </w:r>
                    </w:p>
                    <w:p w14:paraId="3317EEE5" w14:textId="77777777" w:rsidR="008C0421" w:rsidRDefault="008C0421" w:rsidP="008C0421">
                      <w:r>
                        <w:t>The Commission only recommends GST distribution for the upcoming financial year. Forecasts of a state’s GST share beyond one year would be highly uncertain as they would depend on expectations about revenue and expenses, non-contemporaneous data and assumptions about the movements of all these factors across all 8 states.</w:t>
                      </w:r>
                    </w:p>
                    <w:p w14:paraId="38348396" w14:textId="77777777" w:rsidR="008C0421" w:rsidRPr="00F438B0" w:rsidRDefault="008C0421" w:rsidP="00F5039F">
                      <w:pPr>
                        <w:pStyle w:val="CGC2025Caption"/>
                        <w:spacing w:after="200"/>
                      </w:pPr>
                      <w:bookmarkStart w:id="97" w:name="_Hlk187420804"/>
                      <w:r w:rsidRPr="00F438B0">
                        <w:t>Figure 1</w:t>
                      </w:r>
                      <w:r w:rsidRPr="00F438B0">
                        <w:tab/>
                        <w:t>GST relativities, 2000–01 to 2025–26</w:t>
                      </w:r>
                      <w:bookmarkEnd w:id="97"/>
                    </w:p>
                    <w:p w14:paraId="51A8D467" w14:textId="79B2AAC3" w:rsidR="008C0421" w:rsidRPr="00C72F28" w:rsidRDefault="008C0421" w:rsidP="008C0421">
                      <w:pPr>
                        <w:rPr>
                          <w:sz w:val="16"/>
                          <w:szCs w:val="16"/>
                        </w:rPr>
                      </w:pPr>
                      <w:r>
                        <w:rPr>
                          <w:noProof/>
                        </w:rPr>
                        <w:drawing>
                          <wp:inline distT="0" distB="0" distL="0" distR="0" wp14:anchorId="54E95520" wp14:editId="16738112">
                            <wp:extent cx="5657322" cy="4856509"/>
                            <wp:effectExtent l="0" t="0" r="635" b="1270"/>
                            <wp:docPr id="1581085118" name="Chart 1">
                              <a:extLst xmlns:a="http://schemas.openxmlformats.org/drawingml/2006/main">
                                <a:ext uri="{FF2B5EF4-FFF2-40B4-BE49-F238E27FC236}">
                                  <a16:creationId xmlns:a16="http://schemas.microsoft.com/office/drawing/2014/main" id="{1A313B02-2753-481A-A9EF-DE67EAEAFB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Pr>
                          <w:sz w:val="16"/>
                          <w:szCs w:val="16"/>
                          <w:highlight w:val="yellow"/>
                        </w:rPr>
                        <w:t xml:space="preserve"> </w:t>
                      </w:r>
                    </w:p>
                  </w:txbxContent>
                </v:textbox>
                <w10:wrap type="square" anchorx="margin"/>
              </v:shape>
            </w:pict>
          </mc:Fallback>
        </mc:AlternateContent>
      </w:r>
      <w:r>
        <w:rPr>
          <w:rFonts w:eastAsia="Times New Roman" w:cs="Open Sans"/>
          <w:b/>
          <w:bCs/>
          <w:color w:val="006991"/>
          <w:sz w:val="28"/>
          <w:szCs w:val="28"/>
        </w:rPr>
        <w:br w:type="page"/>
      </w:r>
    </w:p>
    <w:bookmarkStart w:id="87" w:name="_Toc190781290"/>
    <w:bookmarkStart w:id="88" w:name="_Toc190781846"/>
    <w:p w14:paraId="1750381D" w14:textId="7BD2ABF8" w:rsidR="00AE38A7" w:rsidRDefault="002E5AED" w:rsidP="002E5AED">
      <w:pPr>
        <w:pStyle w:val="Heading1"/>
      </w:pPr>
      <w:r w:rsidRPr="00CE1B0C">
        <w:rPr>
          <w:noProof/>
        </w:rPr>
        <w:lastRenderedPageBreak/>
        <mc:AlternateContent>
          <mc:Choice Requires="wps">
            <w:drawing>
              <wp:anchor distT="45720" distB="45720" distL="114300" distR="114300" simplePos="0" relativeHeight="251658249" behindDoc="0" locked="0" layoutInCell="1" allowOverlap="1" wp14:anchorId="038B9766" wp14:editId="3D77CC67">
                <wp:simplePos x="0" y="0"/>
                <wp:positionH relativeFrom="margin">
                  <wp:posOffset>0</wp:posOffset>
                </wp:positionH>
                <wp:positionV relativeFrom="topMargin">
                  <wp:posOffset>1343660</wp:posOffset>
                </wp:positionV>
                <wp:extent cx="5853600" cy="5335200"/>
                <wp:effectExtent l="0" t="0" r="13970" b="18415"/>
                <wp:wrapSquare wrapText="bothSides"/>
                <wp:docPr id="146869991" name="Text Box 146869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600" cy="5335200"/>
                        </a:xfrm>
                        <a:prstGeom prst="rect">
                          <a:avLst/>
                        </a:prstGeom>
                        <a:solidFill>
                          <a:srgbClr val="E5F8FF"/>
                        </a:solidFill>
                        <a:ln w="9525">
                          <a:solidFill>
                            <a:schemeClr val="bg1"/>
                          </a:solidFill>
                          <a:miter lim="800000"/>
                          <a:headEnd/>
                          <a:tailEnd/>
                        </a:ln>
                      </wps:spPr>
                      <wps:txbx>
                        <w:txbxContent>
                          <w:p w14:paraId="72B414BB" w14:textId="77777777" w:rsidR="002E5AED" w:rsidRPr="00607566" w:rsidRDefault="002E5AED" w:rsidP="001936C0">
                            <w:pPr>
                              <w:pStyle w:val="HeadingBox-Level2"/>
                            </w:pPr>
                            <w:r w:rsidRPr="00607566">
                              <w:t>Key points</w:t>
                            </w:r>
                          </w:p>
                          <w:p w14:paraId="018C4C63" w14:textId="1AE708EC" w:rsidR="002E5AED" w:rsidRDefault="002E5AED" w:rsidP="002E5AED">
                            <w:pPr>
                              <w:pStyle w:val="CGC2025Bullet1"/>
                            </w:pPr>
                            <w:r w:rsidRPr="00B26586">
                              <w:t>Changes in the estimated GST distribution between 2024</w:t>
                            </w:r>
                            <w:r>
                              <w:t>–</w:t>
                            </w:r>
                            <w:r w:rsidRPr="00B26586">
                              <w:t>25 and 2025</w:t>
                            </w:r>
                            <w:r>
                              <w:t>–</w:t>
                            </w:r>
                            <w:r w:rsidRPr="00B26586">
                              <w:t xml:space="preserve">26 </w:t>
                            </w:r>
                            <w:r>
                              <w:t>were</w:t>
                            </w:r>
                            <w:r w:rsidRPr="00B26586">
                              <w:t xml:space="preserve"> driven by </w:t>
                            </w:r>
                            <w:r w:rsidR="001F204A">
                              <w:t>the</w:t>
                            </w:r>
                            <w:r w:rsidR="001F204A" w:rsidRPr="00B26586">
                              <w:t xml:space="preserve"> </w:t>
                            </w:r>
                            <w:r w:rsidRPr="00B26586">
                              <w:t>combination of changes in state population shares, growth in the GST pool and changes in GST relativities.</w:t>
                            </w:r>
                          </w:p>
                          <w:p w14:paraId="7E5B2E94" w14:textId="0688F6AF" w:rsidR="002E5AED" w:rsidRPr="00E95564" w:rsidRDefault="002E5AED" w:rsidP="002E5AED">
                            <w:pPr>
                              <w:pStyle w:val="CGC2025Bullet1"/>
                            </w:pPr>
                            <w:r w:rsidRPr="00E95564">
                              <w:t>Changes in GST relativities were driven by changes in the relative fiscal capacities of states (assessed relativities), and the operation of the 2018</w:t>
                            </w:r>
                            <w:r w:rsidR="00ED7757">
                              <w:t> </w:t>
                            </w:r>
                            <w:r w:rsidRPr="00E95564">
                              <w:t>GST</w:t>
                            </w:r>
                            <w:r w:rsidR="00ED7757">
                              <w:t> </w:t>
                            </w:r>
                            <w:r w:rsidRPr="00E95564">
                              <w:t xml:space="preserve">distribution legislation. The main drivers of changes </w:t>
                            </w:r>
                            <w:r w:rsidR="00EA64AE" w:rsidRPr="00E95564">
                              <w:t>to</w:t>
                            </w:r>
                            <w:r w:rsidR="00006AFD" w:rsidRPr="00E95564">
                              <w:t xml:space="preserve"> </w:t>
                            </w:r>
                            <w:r w:rsidR="00FC1919" w:rsidRPr="00E95564">
                              <w:t xml:space="preserve">relative state fiscal capacities </w:t>
                            </w:r>
                            <w:r w:rsidRPr="00E95564">
                              <w:t>are detailed in Chapter 2.</w:t>
                            </w:r>
                          </w:p>
                          <w:p w14:paraId="0B16E1F3" w14:textId="77777777" w:rsidR="002E5AED" w:rsidRPr="000A7CD1" w:rsidRDefault="002E5AED" w:rsidP="002E5AED">
                            <w:pPr>
                              <w:pStyle w:val="CGC2025Bullet1"/>
                            </w:pPr>
                            <w:r w:rsidRPr="000A7CD1">
                              <w:t>All states are expected to benefit from the estimated increase in the GST pool from around $91 billion in 2024–25 to around $95 billion in 2025–26.</w:t>
                            </w:r>
                          </w:p>
                          <w:p w14:paraId="07E6E1CD" w14:textId="77777777" w:rsidR="002E5AED" w:rsidRPr="000A7CD1" w:rsidRDefault="002E5AED" w:rsidP="002E5AED">
                            <w:pPr>
                              <w:pStyle w:val="CGC2025Bullet1"/>
                            </w:pPr>
                            <w:r w:rsidRPr="000A7CD1">
                              <w:t>Based on the Commission’s 2025–26 recommended GST relativities, Victoria is estimated to receive a significant increase in its GST distribution ($3.7 billion). The Northern Territory is estimated to receive a significant increase in per capita terms ($966 per capita). Queensland is the only state estimated to receive a decrease in GST distribution ($1.2 billion).</w:t>
                            </w:r>
                          </w:p>
                          <w:p w14:paraId="3F7123A1" w14:textId="77777777" w:rsidR="002E5AED" w:rsidRPr="000A7CD1" w:rsidRDefault="002E5AED" w:rsidP="002E5AED">
                            <w:pPr>
                              <w:pStyle w:val="CGC2025Bullet1"/>
                            </w:pPr>
                            <w:r w:rsidRPr="000A7CD1">
                              <w:t xml:space="preserve">Under the 2018 GST distribution legislation, Western Australia’s GST relativity would be increased to the GST relativity floor of 0.75. Western Australia is estimated to receive an additional $6 billion in GST distribution in 2025–26 than under the previous GST distribution arrangements.   </w:t>
                            </w:r>
                          </w:p>
                          <w:p w14:paraId="7270AD21" w14:textId="3855A1C7" w:rsidR="002E5AED" w:rsidRPr="00E95564" w:rsidRDefault="00F560E6" w:rsidP="002E5AED">
                            <w:pPr>
                              <w:pStyle w:val="CGC2025Bullet1"/>
                            </w:pPr>
                            <w:r w:rsidRPr="00E95564">
                              <w:t xml:space="preserve">For 2025-26, </w:t>
                            </w:r>
                            <w:r w:rsidR="002E5AED" w:rsidRPr="00E95564">
                              <w:t xml:space="preserve">Queensland benefited from the standard state benchmark under the 2018 GST distribution legislation. However, this benefit was more than offset by the reduction in its relativity (along with other states) as a consequence of lifting Western Australia’s relativity, including to the GST relativity floor of 0.75. </w:t>
                            </w:r>
                          </w:p>
                          <w:p w14:paraId="67AEBC6D" w14:textId="77777777" w:rsidR="002E5AED" w:rsidRPr="00B26586" w:rsidRDefault="002E5AED" w:rsidP="002E5AED">
                            <w:pPr>
                              <w:pStyle w:val="CGC2025Bullet1"/>
                            </w:pPr>
                            <w:r w:rsidRPr="00B26586">
                              <w:t>The overall payments to the states will include no worse off payments</w:t>
                            </w:r>
                            <w:r>
                              <w:t xml:space="preserve"> under the 2018 GST distribution legislation</w:t>
                            </w:r>
                            <w:r w:rsidRPr="00B26586">
                              <w:t xml:space="preserve">. All states, </w:t>
                            </w:r>
                            <w:r>
                              <w:t xml:space="preserve">except </w:t>
                            </w:r>
                            <w:r w:rsidRPr="00B26586">
                              <w:t>Queensland, are estimated to receive more in GST distribution and no worse off payments than they received in 2024</w:t>
                            </w:r>
                            <w:r>
                              <w:t>–</w:t>
                            </w:r>
                            <w:r w:rsidRPr="00B26586">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B9766" id="Text Box 146869991" o:spid="_x0000_s1035" type="#_x0000_t202" style="position:absolute;margin-left:0;margin-top:105.8pt;width:460.9pt;height:420.1pt;z-index:25165824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" fillcolor="#e5f8ff" strokecolor="white [3212]">
                <v:textbox>
                  <w:txbxContent>
                    <w:p w14:paraId="72B414BB" w14:textId="77777777" w:rsidR="002E5AED" w:rsidRPr="00607566" w:rsidRDefault="002E5AED" w:rsidP="001936C0">
                      <w:pPr>
                        <w:pStyle w:val="HeadingBox-Level2"/>
                      </w:pPr>
                      <w:r w:rsidRPr="00607566">
                        <w:t>Key points</w:t>
                      </w:r>
                    </w:p>
                    <w:p w14:paraId="018C4C63" w14:textId="1AE708EC" w:rsidR="002E5AED" w:rsidRDefault="002E5AED" w:rsidP="002E5AED">
                      <w:pPr>
                        <w:pStyle w:val="CGC2025Bullet1"/>
                      </w:pPr>
                      <w:r w:rsidRPr="00B26586">
                        <w:t>Changes in the estimated GST distribution between 2024</w:t>
                      </w:r>
                      <w:r>
                        <w:t>–</w:t>
                      </w:r>
                      <w:r w:rsidRPr="00B26586">
                        <w:t>25 and 2025</w:t>
                      </w:r>
                      <w:r>
                        <w:t>–</w:t>
                      </w:r>
                      <w:r w:rsidRPr="00B26586">
                        <w:t xml:space="preserve">26 </w:t>
                      </w:r>
                      <w:r>
                        <w:t>were</w:t>
                      </w:r>
                      <w:r w:rsidRPr="00B26586">
                        <w:t xml:space="preserve"> driven by </w:t>
                      </w:r>
                      <w:r w:rsidR="001F204A">
                        <w:t>the</w:t>
                      </w:r>
                      <w:r w:rsidR="001F204A" w:rsidRPr="00B26586">
                        <w:t xml:space="preserve"> </w:t>
                      </w:r>
                      <w:r w:rsidRPr="00B26586">
                        <w:t>combination of changes in state population shares, growth in the GST pool and changes in GST relativities.</w:t>
                      </w:r>
                    </w:p>
                    <w:p w14:paraId="7E5B2E94" w14:textId="0688F6AF" w:rsidR="002E5AED" w:rsidRPr="00E95564" w:rsidRDefault="002E5AED" w:rsidP="002E5AED">
                      <w:pPr>
                        <w:pStyle w:val="CGC2025Bullet1"/>
                      </w:pPr>
                      <w:r w:rsidRPr="00E95564">
                        <w:t>Changes in GST relativities were driven by changes in the relative fiscal capacities of states (assessed relativities), and the operation of the 2018</w:t>
                      </w:r>
                      <w:r w:rsidR="00ED7757">
                        <w:t> </w:t>
                      </w:r>
                      <w:r w:rsidRPr="00E95564">
                        <w:t>GST</w:t>
                      </w:r>
                      <w:r w:rsidR="00ED7757">
                        <w:t> </w:t>
                      </w:r>
                      <w:r w:rsidRPr="00E95564">
                        <w:t xml:space="preserve">distribution legislation. The main drivers of changes </w:t>
                      </w:r>
                      <w:r w:rsidR="00EA64AE" w:rsidRPr="00E95564">
                        <w:t>to</w:t>
                      </w:r>
                      <w:r w:rsidR="00006AFD" w:rsidRPr="00E95564">
                        <w:t xml:space="preserve"> </w:t>
                      </w:r>
                      <w:r w:rsidR="00FC1919" w:rsidRPr="00E95564">
                        <w:t xml:space="preserve">relative state fiscal capacities </w:t>
                      </w:r>
                      <w:r w:rsidRPr="00E95564">
                        <w:t>are detailed in Chapter 2.</w:t>
                      </w:r>
                    </w:p>
                    <w:p w14:paraId="0B16E1F3" w14:textId="77777777" w:rsidR="002E5AED" w:rsidRPr="000A7CD1" w:rsidRDefault="002E5AED" w:rsidP="002E5AED">
                      <w:pPr>
                        <w:pStyle w:val="CGC2025Bullet1"/>
                      </w:pPr>
                      <w:r w:rsidRPr="000A7CD1">
                        <w:t>All states are expected to benefit from the estimated increase in the GST pool from around $91 billion in 2024–25 to around $95 billion in 2025–26.</w:t>
                      </w:r>
                    </w:p>
                    <w:p w14:paraId="07E6E1CD" w14:textId="77777777" w:rsidR="002E5AED" w:rsidRPr="000A7CD1" w:rsidRDefault="002E5AED" w:rsidP="002E5AED">
                      <w:pPr>
                        <w:pStyle w:val="CGC2025Bullet1"/>
                      </w:pPr>
                      <w:r w:rsidRPr="000A7CD1">
                        <w:t>Based on the Commission’s 2025–26 recommended GST relativities, Victoria is estimated to receive a significant increase in its GST distribution ($3.7 billion). The Northern Territory is estimated to receive a significant increase in per capita terms ($966 per capita). Queensland is the only state estimated to receive a decrease in GST distribution ($1.2 billion).</w:t>
                      </w:r>
                    </w:p>
                    <w:p w14:paraId="3F7123A1" w14:textId="77777777" w:rsidR="002E5AED" w:rsidRPr="000A7CD1" w:rsidRDefault="002E5AED" w:rsidP="002E5AED">
                      <w:pPr>
                        <w:pStyle w:val="CGC2025Bullet1"/>
                      </w:pPr>
                      <w:r w:rsidRPr="000A7CD1">
                        <w:t xml:space="preserve">Under the 2018 GST distribution legislation, Western Australia’s GST relativity would be increased to the GST relativity floor of 0.75. Western Australia is estimated to receive an additional $6 billion in GST distribution in 2025–26 than under the previous GST distribution arrangements.   </w:t>
                      </w:r>
                    </w:p>
                    <w:p w14:paraId="7270AD21" w14:textId="3855A1C7" w:rsidR="002E5AED" w:rsidRPr="00E95564" w:rsidRDefault="00F560E6" w:rsidP="002E5AED">
                      <w:pPr>
                        <w:pStyle w:val="CGC2025Bullet1"/>
                      </w:pPr>
                      <w:r w:rsidRPr="00E95564">
                        <w:t xml:space="preserve">For 2025-26, </w:t>
                      </w:r>
                      <w:r w:rsidR="002E5AED" w:rsidRPr="00E95564">
                        <w:t xml:space="preserve">Queensland benefited from the standard state benchmark under the 2018 GST distribution legislation. However, this benefit was more than offset by the reduction in its relativity (along with other states) as a consequence of lifting Western Australia’s relativity, including to the GST relativity floor of 0.75. </w:t>
                      </w:r>
                    </w:p>
                    <w:p w14:paraId="67AEBC6D" w14:textId="77777777" w:rsidR="002E5AED" w:rsidRPr="00B26586" w:rsidRDefault="002E5AED" w:rsidP="002E5AED">
                      <w:pPr>
                        <w:pStyle w:val="CGC2025Bullet1"/>
                      </w:pPr>
                      <w:r w:rsidRPr="00B26586">
                        <w:t>The overall payments to the states will include no worse off payments</w:t>
                      </w:r>
                      <w:r>
                        <w:t xml:space="preserve"> under the 2018 GST distribution legislation</w:t>
                      </w:r>
                      <w:r w:rsidRPr="00B26586">
                        <w:t xml:space="preserve">. All states, </w:t>
                      </w:r>
                      <w:r>
                        <w:t xml:space="preserve">except </w:t>
                      </w:r>
                      <w:r w:rsidRPr="00B26586">
                        <w:t>Queensland, are estimated to receive more in GST distribution and no worse off payments than they received in 2024</w:t>
                      </w:r>
                      <w:r>
                        <w:t>–</w:t>
                      </w:r>
                      <w:r w:rsidRPr="00B26586">
                        <w:t>25.</w:t>
                      </w:r>
                    </w:p>
                  </w:txbxContent>
                </v:textbox>
                <w10:wrap type="square" anchorx="margin" anchory="margin"/>
              </v:shape>
            </w:pict>
          </mc:Fallback>
        </mc:AlternateContent>
      </w:r>
      <w:r w:rsidR="02FC2812">
        <w:t>1.</w:t>
      </w:r>
      <w:r w:rsidR="46D18F94" w:rsidRPr="00CE1B0C">
        <w:t xml:space="preserve"> Recommended GST relativities</w:t>
      </w:r>
      <w:r w:rsidR="004D04A7">
        <w:t xml:space="preserve"> </w:t>
      </w:r>
      <w:bookmarkEnd w:id="87"/>
      <w:bookmarkEnd w:id="88"/>
      <w:r w:rsidR="00AE38A7">
        <w:br w:type="page"/>
      </w:r>
    </w:p>
    <w:p w14:paraId="070A6D90" w14:textId="77777777" w:rsidR="00BF651C" w:rsidRPr="00307453" w:rsidRDefault="00BF651C" w:rsidP="00BF651C">
      <w:pPr>
        <w:pStyle w:val="Heading2"/>
      </w:pPr>
      <w:r w:rsidRPr="00307453">
        <w:lastRenderedPageBreak/>
        <w:t xml:space="preserve">Recommended GST relativities </w:t>
      </w:r>
    </w:p>
    <w:p w14:paraId="3619D3E7" w14:textId="5BA3F0F8" w:rsidR="00BF651C" w:rsidRDefault="00BF651C" w:rsidP="00BF651C">
      <w:r w:rsidRPr="00273107">
        <w:t>The Commission’s recommended GST relativities for 2025</w:t>
      </w:r>
      <w:r>
        <w:t>–</w:t>
      </w:r>
      <w:r w:rsidRPr="00273107">
        <w:t>26 are</w:t>
      </w:r>
      <w:r w:rsidRPr="00607566">
        <w:t xml:space="preserve"> presented in </w:t>
      </w:r>
      <w:r>
        <w:t>Table 1</w:t>
      </w:r>
      <w:r>
        <w:noBreakHyphen/>
        <w:t>1</w:t>
      </w:r>
      <w:r w:rsidRPr="00607566">
        <w:t xml:space="preserve">. This table also includes the states’ shares of the GST pool and the estimated GST pool distribution, as well as comparisons </w:t>
      </w:r>
      <w:r w:rsidRPr="00057CC9">
        <w:t>with 202</w:t>
      </w:r>
      <w:r>
        <w:t>4</w:t>
      </w:r>
      <w:r w:rsidRPr="007E3E4D">
        <w:rPr>
          <w:rFonts w:cs="Times New Roman"/>
          <w:rtl/>
        </w:rPr>
        <w:t>‍</w:t>
      </w:r>
      <w:r w:rsidRPr="007E3E4D">
        <w:rPr>
          <w:rFonts w:ascii="Times New Roman" w:hAnsi="Times New Roman" w:cs="Times New Roman"/>
        </w:rPr>
        <w:t>‍‍‍‍</w:t>
      </w:r>
      <w:r w:rsidRPr="007E3E4D">
        <w:rPr>
          <w:rFonts w:cs="Times New Roman"/>
        </w:rPr>
        <w:t>–</w:t>
      </w:r>
      <w:r w:rsidRPr="00057CC9">
        <w:t xml:space="preserve">25. </w:t>
      </w:r>
      <w:r w:rsidR="000C2A66" w:rsidRPr="00E95564">
        <w:t xml:space="preserve">The estimated GST distribution for 2025–26 was calculated by applying 2025–26 GST relativities to </w:t>
      </w:r>
      <w:r w:rsidR="007C6A37" w:rsidRPr="00E95564">
        <w:t>forecast</w:t>
      </w:r>
      <w:r w:rsidR="000C2A66" w:rsidRPr="00E95564">
        <w:t xml:space="preserve"> state populations for 2025</w:t>
      </w:r>
      <w:r w:rsidR="003B09DA" w:rsidRPr="00E95564">
        <w:t>–</w:t>
      </w:r>
      <w:r w:rsidR="000C2A66" w:rsidRPr="00E95564">
        <w:t>26 and the estimated GST pool for 2025–26</w:t>
      </w:r>
      <w:r w:rsidR="000C2A66" w:rsidRPr="003F1E77">
        <w:t>.</w:t>
      </w:r>
      <w:r w:rsidR="008C73D8" w:rsidRPr="003F1E77">
        <w:t xml:space="preserve"> </w:t>
      </w:r>
      <w:r w:rsidR="002A5C79" w:rsidRPr="00E95564">
        <w:t xml:space="preserve">The actual GST </w:t>
      </w:r>
      <w:r w:rsidR="007C6A37" w:rsidRPr="00E95564">
        <w:t xml:space="preserve">distribution </w:t>
      </w:r>
      <w:r w:rsidR="002A5C79" w:rsidRPr="00E95564">
        <w:t>each state receives in 2025–26 will be based on state populations and the GST pool</w:t>
      </w:r>
      <w:r w:rsidR="003878AE">
        <w:t xml:space="preserve"> </w:t>
      </w:r>
      <w:r w:rsidR="00E01AB3">
        <w:t>determined after</w:t>
      </w:r>
      <w:r w:rsidR="002A5C79">
        <w:t xml:space="preserve"> the 202</w:t>
      </w:r>
      <w:r w:rsidR="00F14B3F">
        <w:t>5</w:t>
      </w:r>
      <w:r w:rsidR="009E4BB4">
        <w:t>–</w:t>
      </w:r>
      <w:r w:rsidR="002A5C79">
        <w:t>2</w:t>
      </w:r>
      <w:r w:rsidR="00F14B3F">
        <w:t>6</w:t>
      </w:r>
      <w:r w:rsidR="002A5C79">
        <w:t xml:space="preserve"> Final Budget Outcome</w:t>
      </w:r>
      <w:r w:rsidR="00367430">
        <w:t>.</w:t>
      </w:r>
      <w:r w:rsidR="003878AE">
        <w:rPr>
          <w:rStyle w:val="FootnoteReference"/>
        </w:rPr>
        <w:footnoteReference w:id="4"/>
      </w:r>
      <w:r w:rsidR="008C73D8">
        <w:t xml:space="preserve"> </w:t>
      </w:r>
      <w:r w:rsidRPr="00057CC9">
        <w:t>The table does not include no worse off payments.</w:t>
      </w:r>
    </w:p>
    <w:p w14:paraId="08572E2E" w14:textId="77777777" w:rsidR="00436A95" w:rsidRPr="00307453" w:rsidRDefault="00436A95" w:rsidP="00763C59">
      <w:pPr>
        <w:pStyle w:val="CGC2025Caption"/>
        <w:ind w:left="1440" w:hanging="1440"/>
      </w:pPr>
      <w:r w:rsidRPr="00307453">
        <w:t>Table 1-1</w:t>
      </w:r>
      <w:r w:rsidRPr="00307453">
        <w:tab/>
        <w:t>GST relativities, shares and estimated GST distribution, 2024–25 to 2025–</w:t>
      </w:r>
      <w:r w:rsidRPr="00307453">
        <w:rPr>
          <w:rFonts w:ascii="Times New Roman" w:hAnsi="Times New Roman" w:cs="Times New Roman"/>
        </w:rPr>
        <w:t>‍</w:t>
      </w:r>
      <w:r w:rsidRPr="00307453">
        <w:t>26 (excludes no worse off payments)</w:t>
      </w:r>
    </w:p>
    <w:tbl>
      <w:tblPr>
        <w:tblW w:w="8940" w:type="dxa"/>
        <w:tblLook w:val="04A0" w:firstRow="1" w:lastRow="0" w:firstColumn="1" w:lastColumn="0" w:noHBand="0" w:noVBand="1"/>
      </w:tblPr>
      <w:tblGrid>
        <w:gridCol w:w="1668"/>
        <w:gridCol w:w="808"/>
        <w:gridCol w:w="808"/>
        <w:gridCol w:w="808"/>
        <w:gridCol w:w="808"/>
        <w:gridCol w:w="808"/>
        <w:gridCol w:w="808"/>
        <w:gridCol w:w="808"/>
        <w:gridCol w:w="808"/>
        <w:gridCol w:w="808"/>
      </w:tblGrid>
      <w:tr w:rsidR="00B83519" w:rsidRPr="00B83519" w14:paraId="5E0CD875" w14:textId="77777777" w:rsidTr="00B83519">
        <w:trPr>
          <w:trHeight w:val="379"/>
        </w:trPr>
        <w:tc>
          <w:tcPr>
            <w:tcW w:w="2460" w:type="dxa"/>
            <w:tcBorders>
              <w:top w:val="nil"/>
              <w:left w:val="nil"/>
              <w:bottom w:val="nil"/>
              <w:right w:val="nil"/>
            </w:tcBorders>
            <w:shd w:val="clear" w:color="000000" w:fill="006991"/>
            <w:vAlign w:val="center"/>
            <w:hideMark/>
          </w:tcPr>
          <w:p w14:paraId="272AD695" w14:textId="77777777" w:rsidR="00B83519" w:rsidRPr="00B83519" w:rsidRDefault="00B83519" w:rsidP="00B83519">
            <w:pPr>
              <w:tabs>
                <w:tab w:val="clear" w:pos="567"/>
              </w:tabs>
              <w:spacing w:before="0" w:line="240" w:lineRule="auto"/>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 </w:t>
            </w:r>
          </w:p>
        </w:tc>
        <w:tc>
          <w:tcPr>
            <w:tcW w:w="720" w:type="dxa"/>
            <w:tcBorders>
              <w:top w:val="nil"/>
              <w:left w:val="nil"/>
              <w:bottom w:val="nil"/>
              <w:right w:val="nil"/>
            </w:tcBorders>
            <w:shd w:val="clear" w:color="000000" w:fill="006991"/>
            <w:vAlign w:val="center"/>
            <w:hideMark/>
          </w:tcPr>
          <w:p w14:paraId="3176E1DB"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NSW</w:t>
            </w:r>
          </w:p>
        </w:tc>
        <w:tc>
          <w:tcPr>
            <w:tcW w:w="720" w:type="dxa"/>
            <w:tcBorders>
              <w:top w:val="nil"/>
              <w:left w:val="nil"/>
              <w:bottom w:val="nil"/>
              <w:right w:val="nil"/>
            </w:tcBorders>
            <w:shd w:val="clear" w:color="000000" w:fill="006991"/>
            <w:vAlign w:val="center"/>
            <w:hideMark/>
          </w:tcPr>
          <w:p w14:paraId="38C34C3A"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Vic</w:t>
            </w:r>
          </w:p>
        </w:tc>
        <w:tc>
          <w:tcPr>
            <w:tcW w:w="720" w:type="dxa"/>
            <w:tcBorders>
              <w:top w:val="nil"/>
              <w:left w:val="nil"/>
              <w:bottom w:val="nil"/>
              <w:right w:val="nil"/>
            </w:tcBorders>
            <w:shd w:val="clear" w:color="000000" w:fill="006991"/>
            <w:vAlign w:val="center"/>
            <w:hideMark/>
          </w:tcPr>
          <w:p w14:paraId="3750135B"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Qld</w:t>
            </w:r>
          </w:p>
        </w:tc>
        <w:tc>
          <w:tcPr>
            <w:tcW w:w="720" w:type="dxa"/>
            <w:tcBorders>
              <w:top w:val="nil"/>
              <w:left w:val="nil"/>
              <w:bottom w:val="nil"/>
              <w:right w:val="nil"/>
            </w:tcBorders>
            <w:shd w:val="clear" w:color="000000" w:fill="006991"/>
            <w:vAlign w:val="center"/>
            <w:hideMark/>
          </w:tcPr>
          <w:p w14:paraId="16034C13"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WA</w:t>
            </w:r>
          </w:p>
        </w:tc>
        <w:tc>
          <w:tcPr>
            <w:tcW w:w="720" w:type="dxa"/>
            <w:tcBorders>
              <w:top w:val="nil"/>
              <w:left w:val="nil"/>
              <w:bottom w:val="nil"/>
              <w:right w:val="nil"/>
            </w:tcBorders>
            <w:shd w:val="clear" w:color="000000" w:fill="006991"/>
            <w:vAlign w:val="center"/>
            <w:hideMark/>
          </w:tcPr>
          <w:p w14:paraId="178A295B"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SA</w:t>
            </w:r>
          </w:p>
        </w:tc>
        <w:tc>
          <w:tcPr>
            <w:tcW w:w="720" w:type="dxa"/>
            <w:tcBorders>
              <w:top w:val="nil"/>
              <w:left w:val="nil"/>
              <w:bottom w:val="nil"/>
              <w:right w:val="nil"/>
            </w:tcBorders>
            <w:shd w:val="clear" w:color="000000" w:fill="006991"/>
            <w:vAlign w:val="center"/>
            <w:hideMark/>
          </w:tcPr>
          <w:p w14:paraId="2A61413B"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Tas</w:t>
            </w:r>
          </w:p>
        </w:tc>
        <w:tc>
          <w:tcPr>
            <w:tcW w:w="720" w:type="dxa"/>
            <w:tcBorders>
              <w:top w:val="nil"/>
              <w:left w:val="nil"/>
              <w:bottom w:val="nil"/>
              <w:right w:val="nil"/>
            </w:tcBorders>
            <w:shd w:val="clear" w:color="000000" w:fill="006991"/>
            <w:vAlign w:val="center"/>
            <w:hideMark/>
          </w:tcPr>
          <w:p w14:paraId="70103E9C"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ACT</w:t>
            </w:r>
          </w:p>
        </w:tc>
        <w:tc>
          <w:tcPr>
            <w:tcW w:w="720" w:type="dxa"/>
            <w:tcBorders>
              <w:top w:val="nil"/>
              <w:left w:val="nil"/>
              <w:bottom w:val="nil"/>
              <w:right w:val="nil"/>
            </w:tcBorders>
            <w:shd w:val="clear" w:color="000000" w:fill="006991"/>
            <w:vAlign w:val="center"/>
            <w:hideMark/>
          </w:tcPr>
          <w:p w14:paraId="3A3EE022"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NT</w:t>
            </w:r>
          </w:p>
        </w:tc>
        <w:tc>
          <w:tcPr>
            <w:tcW w:w="720" w:type="dxa"/>
            <w:tcBorders>
              <w:top w:val="nil"/>
              <w:left w:val="nil"/>
              <w:bottom w:val="nil"/>
              <w:right w:val="nil"/>
            </w:tcBorders>
            <w:shd w:val="clear" w:color="000000" w:fill="006991"/>
            <w:vAlign w:val="center"/>
            <w:hideMark/>
          </w:tcPr>
          <w:p w14:paraId="19293CC4"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Total</w:t>
            </w:r>
          </w:p>
        </w:tc>
      </w:tr>
      <w:tr w:rsidR="00B83519" w:rsidRPr="00B83519" w14:paraId="7956473C" w14:textId="77777777" w:rsidTr="00B83519">
        <w:trPr>
          <w:trHeight w:val="259"/>
        </w:trPr>
        <w:tc>
          <w:tcPr>
            <w:tcW w:w="2460" w:type="dxa"/>
            <w:tcBorders>
              <w:top w:val="single" w:sz="4" w:space="0" w:color="ADD6EA"/>
              <w:left w:val="nil"/>
              <w:bottom w:val="single" w:sz="4" w:space="0" w:color="ADD6EA"/>
              <w:right w:val="nil"/>
            </w:tcBorders>
            <w:shd w:val="clear" w:color="000000" w:fill="B6D5E4"/>
            <w:vAlign w:val="bottom"/>
            <w:hideMark/>
          </w:tcPr>
          <w:p w14:paraId="2DD8F59E" w14:textId="77777777" w:rsidR="00B83519" w:rsidRPr="00B83519" w:rsidRDefault="00B83519" w:rsidP="00B83519">
            <w:pPr>
              <w:tabs>
                <w:tab w:val="clear" w:pos="567"/>
              </w:tabs>
              <w:spacing w:before="0" w:line="240" w:lineRule="auto"/>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xml:space="preserve">GST relativities </w:t>
            </w:r>
          </w:p>
        </w:tc>
        <w:tc>
          <w:tcPr>
            <w:tcW w:w="720" w:type="dxa"/>
            <w:tcBorders>
              <w:top w:val="single" w:sz="4" w:space="0" w:color="ADD6EA"/>
              <w:left w:val="nil"/>
              <w:bottom w:val="single" w:sz="4" w:space="0" w:color="ADD6EA"/>
              <w:right w:val="nil"/>
            </w:tcBorders>
            <w:shd w:val="clear" w:color="000000" w:fill="B6D5E4"/>
            <w:vAlign w:val="bottom"/>
            <w:hideMark/>
          </w:tcPr>
          <w:p w14:paraId="77538490" w14:textId="77777777" w:rsidR="00B83519" w:rsidRPr="00B83519" w:rsidRDefault="00B83519" w:rsidP="00B83519">
            <w:pPr>
              <w:tabs>
                <w:tab w:val="clear" w:pos="567"/>
              </w:tabs>
              <w:spacing w:before="0" w:line="240" w:lineRule="auto"/>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5A11842B"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6D084933"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71ED12B9"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EF4444F"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6BED6356"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D08D5E1"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701C120"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95ABECC"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r>
      <w:tr w:rsidR="00B83519" w:rsidRPr="00B83519" w14:paraId="6C4C7B6D" w14:textId="77777777" w:rsidTr="00B83519">
        <w:trPr>
          <w:trHeight w:val="315"/>
        </w:trPr>
        <w:tc>
          <w:tcPr>
            <w:tcW w:w="2460" w:type="dxa"/>
            <w:tcBorders>
              <w:top w:val="nil"/>
              <w:left w:val="nil"/>
              <w:bottom w:val="nil"/>
              <w:right w:val="nil"/>
            </w:tcBorders>
            <w:shd w:val="clear" w:color="000000" w:fill="FFFFFF"/>
            <w:vAlign w:val="center"/>
            <w:hideMark/>
          </w:tcPr>
          <w:p w14:paraId="7DF7D2A9" w14:textId="77777777" w:rsidR="00B83519" w:rsidRPr="00B83519" w:rsidRDefault="00B83519" w:rsidP="00B83519">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2024-25</w:t>
            </w:r>
          </w:p>
        </w:tc>
        <w:tc>
          <w:tcPr>
            <w:tcW w:w="720" w:type="dxa"/>
            <w:tcBorders>
              <w:top w:val="nil"/>
              <w:left w:val="nil"/>
              <w:bottom w:val="nil"/>
              <w:right w:val="nil"/>
            </w:tcBorders>
            <w:shd w:val="clear" w:color="000000" w:fill="FFFFFF"/>
            <w:vAlign w:val="center"/>
            <w:hideMark/>
          </w:tcPr>
          <w:p w14:paraId="2759A5FE"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0.86736</w:t>
            </w:r>
          </w:p>
        </w:tc>
        <w:tc>
          <w:tcPr>
            <w:tcW w:w="720" w:type="dxa"/>
            <w:tcBorders>
              <w:top w:val="single" w:sz="4" w:space="0" w:color="ADD6EA"/>
              <w:left w:val="nil"/>
              <w:bottom w:val="single" w:sz="4" w:space="0" w:color="ADD6EA"/>
              <w:right w:val="nil"/>
            </w:tcBorders>
            <w:shd w:val="clear" w:color="000000" w:fill="FFFFFF"/>
            <w:vAlign w:val="center"/>
            <w:hideMark/>
          </w:tcPr>
          <w:p w14:paraId="3541B9D8"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0.96502</w:t>
            </w:r>
          </w:p>
        </w:tc>
        <w:tc>
          <w:tcPr>
            <w:tcW w:w="720" w:type="dxa"/>
            <w:tcBorders>
              <w:top w:val="single" w:sz="4" w:space="0" w:color="ADD6EA"/>
              <w:left w:val="nil"/>
              <w:bottom w:val="nil"/>
              <w:right w:val="nil"/>
            </w:tcBorders>
            <w:shd w:val="clear" w:color="000000" w:fill="FFFFFF"/>
            <w:vAlign w:val="center"/>
            <w:hideMark/>
          </w:tcPr>
          <w:p w14:paraId="358372A1"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0.95232</w:t>
            </w:r>
          </w:p>
        </w:tc>
        <w:tc>
          <w:tcPr>
            <w:tcW w:w="720" w:type="dxa"/>
            <w:tcBorders>
              <w:top w:val="single" w:sz="4" w:space="0" w:color="ADD6EA"/>
              <w:left w:val="nil"/>
              <w:bottom w:val="nil"/>
              <w:right w:val="nil"/>
            </w:tcBorders>
            <w:shd w:val="clear" w:color="000000" w:fill="FFFFFF"/>
            <w:vAlign w:val="center"/>
            <w:hideMark/>
          </w:tcPr>
          <w:p w14:paraId="0ED15831"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0.75000</w:t>
            </w:r>
          </w:p>
        </w:tc>
        <w:tc>
          <w:tcPr>
            <w:tcW w:w="720" w:type="dxa"/>
            <w:tcBorders>
              <w:top w:val="single" w:sz="4" w:space="0" w:color="ADD6EA"/>
              <w:left w:val="nil"/>
              <w:bottom w:val="nil"/>
              <w:right w:val="nil"/>
            </w:tcBorders>
            <w:shd w:val="clear" w:color="000000" w:fill="FFFFFF"/>
            <w:vAlign w:val="center"/>
            <w:hideMark/>
          </w:tcPr>
          <w:p w14:paraId="10311124"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1.40312</w:t>
            </w:r>
          </w:p>
        </w:tc>
        <w:tc>
          <w:tcPr>
            <w:tcW w:w="720" w:type="dxa"/>
            <w:tcBorders>
              <w:top w:val="single" w:sz="4" w:space="0" w:color="ADD6EA"/>
              <w:left w:val="nil"/>
              <w:bottom w:val="nil"/>
              <w:right w:val="nil"/>
            </w:tcBorders>
            <w:shd w:val="clear" w:color="000000" w:fill="FFFFFF"/>
            <w:vAlign w:val="center"/>
            <w:hideMark/>
          </w:tcPr>
          <w:p w14:paraId="456B548A"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1.82832</w:t>
            </w:r>
          </w:p>
        </w:tc>
        <w:tc>
          <w:tcPr>
            <w:tcW w:w="720" w:type="dxa"/>
            <w:tcBorders>
              <w:top w:val="single" w:sz="4" w:space="0" w:color="ADD6EA"/>
              <w:left w:val="nil"/>
              <w:bottom w:val="nil"/>
              <w:right w:val="nil"/>
            </w:tcBorders>
            <w:shd w:val="clear" w:color="000000" w:fill="FFFFFF"/>
            <w:vAlign w:val="center"/>
            <w:hideMark/>
          </w:tcPr>
          <w:p w14:paraId="41971065"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1.20419</w:t>
            </w:r>
          </w:p>
        </w:tc>
        <w:tc>
          <w:tcPr>
            <w:tcW w:w="720" w:type="dxa"/>
            <w:tcBorders>
              <w:top w:val="single" w:sz="4" w:space="0" w:color="ADD6EA"/>
              <w:left w:val="nil"/>
              <w:bottom w:val="nil"/>
              <w:right w:val="nil"/>
            </w:tcBorders>
            <w:shd w:val="clear" w:color="000000" w:fill="FFFFFF"/>
            <w:vAlign w:val="center"/>
            <w:hideMark/>
          </w:tcPr>
          <w:p w14:paraId="5B5CB97F"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5.06681</w:t>
            </w:r>
          </w:p>
        </w:tc>
        <w:tc>
          <w:tcPr>
            <w:tcW w:w="720" w:type="dxa"/>
            <w:tcBorders>
              <w:top w:val="single" w:sz="4" w:space="0" w:color="ADD6EA"/>
              <w:left w:val="nil"/>
              <w:bottom w:val="nil"/>
              <w:right w:val="nil"/>
            </w:tcBorders>
            <w:shd w:val="clear" w:color="000000" w:fill="FFFFFF"/>
            <w:vAlign w:val="center"/>
            <w:hideMark/>
          </w:tcPr>
          <w:p w14:paraId="0F452FEE"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1.00000</w:t>
            </w:r>
          </w:p>
        </w:tc>
      </w:tr>
      <w:tr w:rsidR="00B83519" w:rsidRPr="00B83519" w14:paraId="439D0768" w14:textId="77777777" w:rsidTr="00B83519">
        <w:trPr>
          <w:trHeight w:val="315"/>
        </w:trPr>
        <w:tc>
          <w:tcPr>
            <w:tcW w:w="2460" w:type="dxa"/>
            <w:tcBorders>
              <w:top w:val="single" w:sz="4" w:space="0" w:color="ADD6EA"/>
              <w:left w:val="nil"/>
              <w:bottom w:val="nil"/>
              <w:right w:val="nil"/>
            </w:tcBorders>
            <w:shd w:val="clear" w:color="000000" w:fill="FFFFFF"/>
            <w:vAlign w:val="center"/>
            <w:hideMark/>
          </w:tcPr>
          <w:p w14:paraId="4D27E6C1" w14:textId="77777777" w:rsidR="00B83519" w:rsidRPr="00B83519" w:rsidRDefault="00B83519" w:rsidP="00B83519">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2025-26</w:t>
            </w:r>
          </w:p>
        </w:tc>
        <w:tc>
          <w:tcPr>
            <w:tcW w:w="720" w:type="dxa"/>
            <w:tcBorders>
              <w:top w:val="single" w:sz="4" w:space="0" w:color="ADD6EA"/>
              <w:left w:val="nil"/>
              <w:bottom w:val="nil"/>
              <w:right w:val="nil"/>
            </w:tcBorders>
            <w:shd w:val="clear" w:color="000000" w:fill="FFFFFF"/>
            <w:vAlign w:val="center"/>
            <w:hideMark/>
          </w:tcPr>
          <w:p w14:paraId="0ECC5228"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0.86034</w:t>
            </w:r>
          </w:p>
        </w:tc>
        <w:tc>
          <w:tcPr>
            <w:tcW w:w="720" w:type="dxa"/>
            <w:tcBorders>
              <w:top w:val="nil"/>
              <w:left w:val="nil"/>
              <w:bottom w:val="nil"/>
              <w:right w:val="nil"/>
            </w:tcBorders>
            <w:shd w:val="clear" w:color="000000" w:fill="FFFFFF"/>
            <w:vAlign w:val="center"/>
            <w:hideMark/>
          </w:tcPr>
          <w:p w14:paraId="4F788C6A"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1.06722</w:t>
            </w:r>
          </w:p>
        </w:tc>
        <w:tc>
          <w:tcPr>
            <w:tcW w:w="720" w:type="dxa"/>
            <w:tcBorders>
              <w:top w:val="single" w:sz="4" w:space="0" w:color="ADD6EA"/>
              <w:left w:val="nil"/>
              <w:bottom w:val="nil"/>
              <w:right w:val="nil"/>
            </w:tcBorders>
            <w:shd w:val="clear" w:color="000000" w:fill="FFFFFF"/>
            <w:vAlign w:val="center"/>
            <w:hideMark/>
          </w:tcPr>
          <w:p w14:paraId="5EAFAE13"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0.84571</w:t>
            </w:r>
          </w:p>
        </w:tc>
        <w:tc>
          <w:tcPr>
            <w:tcW w:w="720" w:type="dxa"/>
            <w:tcBorders>
              <w:top w:val="single" w:sz="4" w:space="0" w:color="ADD6EA"/>
              <w:left w:val="nil"/>
              <w:bottom w:val="nil"/>
              <w:right w:val="nil"/>
            </w:tcBorders>
            <w:shd w:val="clear" w:color="000000" w:fill="FFFFFF"/>
            <w:vAlign w:val="center"/>
            <w:hideMark/>
          </w:tcPr>
          <w:p w14:paraId="14B5FA81"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0.75000</w:t>
            </w:r>
          </w:p>
        </w:tc>
        <w:tc>
          <w:tcPr>
            <w:tcW w:w="720" w:type="dxa"/>
            <w:tcBorders>
              <w:top w:val="single" w:sz="4" w:space="0" w:color="ADD6EA"/>
              <w:left w:val="nil"/>
              <w:bottom w:val="nil"/>
              <w:right w:val="nil"/>
            </w:tcBorders>
            <w:shd w:val="clear" w:color="000000" w:fill="FFFFFF"/>
            <w:vAlign w:val="center"/>
            <w:hideMark/>
          </w:tcPr>
          <w:p w14:paraId="2457D40C"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1.38876</w:t>
            </w:r>
          </w:p>
        </w:tc>
        <w:tc>
          <w:tcPr>
            <w:tcW w:w="720" w:type="dxa"/>
            <w:tcBorders>
              <w:top w:val="single" w:sz="4" w:space="0" w:color="ADD6EA"/>
              <w:left w:val="nil"/>
              <w:bottom w:val="nil"/>
              <w:right w:val="nil"/>
            </w:tcBorders>
            <w:shd w:val="clear" w:color="000000" w:fill="FFFFFF"/>
            <w:vAlign w:val="center"/>
            <w:hideMark/>
          </w:tcPr>
          <w:p w14:paraId="586E9824"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1.84053</w:t>
            </w:r>
          </w:p>
        </w:tc>
        <w:tc>
          <w:tcPr>
            <w:tcW w:w="720" w:type="dxa"/>
            <w:tcBorders>
              <w:top w:val="single" w:sz="4" w:space="0" w:color="ADD6EA"/>
              <w:left w:val="nil"/>
              <w:bottom w:val="nil"/>
              <w:right w:val="nil"/>
            </w:tcBorders>
            <w:shd w:val="clear" w:color="000000" w:fill="FFFFFF"/>
            <w:vAlign w:val="center"/>
            <w:hideMark/>
          </w:tcPr>
          <w:p w14:paraId="25CF775E"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1.17223</w:t>
            </w:r>
          </w:p>
        </w:tc>
        <w:tc>
          <w:tcPr>
            <w:tcW w:w="720" w:type="dxa"/>
            <w:tcBorders>
              <w:top w:val="single" w:sz="4" w:space="0" w:color="ADD6EA"/>
              <w:left w:val="nil"/>
              <w:bottom w:val="nil"/>
              <w:right w:val="nil"/>
            </w:tcBorders>
            <w:shd w:val="clear" w:color="000000" w:fill="FFFFFF"/>
            <w:vAlign w:val="center"/>
            <w:hideMark/>
          </w:tcPr>
          <w:p w14:paraId="23232645"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5.15112</w:t>
            </w:r>
          </w:p>
        </w:tc>
        <w:tc>
          <w:tcPr>
            <w:tcW w:w="720" w:type="dxa"/>
            <w:tcBorders>
              <w:top w:val="single" w:sz="4" w:space="0" w:color="ADD6EA"/>
              <w:left w:val="nil"/>
              <w:bottom w:val="nil"/>
              <w:right w:val="nil"/>
            </w:tcBorders>
            <w:shd w:val="clear" w:color="000000" w:fill="FFFFFF"/>
            <w:vAlign w:val="center"/>
            <w:hideMark/>
          </w:tcPr>
          <w:p w14:paraId="167FE5BB"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1.00000</w:t>
            </w:r>
          </w:p>
        </w:tc>
      </w:tr>
      <w:tr w:rsidR="00B83519" w:rsidRPr="00B83519" w14:paraId="1CEC4A3C" w14:textId="77777777" w:rsidTr="00B83519">
        <w:trPr>
          <w:trHeight w:val="255"/>
        </w:trPr>
        <w:tc>
          <w:tcPr>
            <w:tcW w:w="2460" w:type="dxa"/>
            <w:tcBorders>
              <w:top w:val="single" w:sz="4" w:space="0" w:color="ADD6EA"/>
              <w:left w:val="nil"/>
              <w:bottom w:val="single" w:sz="4" w:space="0" w:color="ADD6EA"/>
              <w:right w:val="nil"/>
            </w:tcBorders>
            <w:shd w:val="clear" w:color="000000" w:fill="B6D5E4"/>
            <w:vAlign w:val="bottom"/>
            <w:hideMark/>
          </w:tcPr>
          <w:p w14:paraId="7A31FDC4" w14:textId="77777777" w:rsidR="00B83519" w:rsidRPr="00B83519" w:rsidRDefault="00B83519" w:rsidP="00B83519">
            <w:pPr>
              <w:tabs>
                <w:tab w:val="clear" w:pos="567"/>
              </w:tabs>
              <w:spacing w:before="0" w:line="240" w:lineRule="auto"/>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GST shares (%)</w:t>
            </w:r>
          </w:p>
        </w:tc>
        <w:tc>
          <w:tcPr>
            <w:tcW w:w="720" w:type="dxa"/>
            <w:tcBorders>
              <w:top w:val="single" w:sz="4" w:space="0" w:color="ADD6EA"/>
              <w:left w:val="nil"/>
              <w:bottom w:val="single" w:sz="4" w:space="0" w:color="ADD6EA"/>
              <w:right w:val="nil"/>
            </w:tcBorders>
            <w:shd w:val="clear" w:color="000000" w:fill="B6D5E4"/>
            <w:vAlign w:val="bottom"/>
            <w:hideMark/>
          </w:tcPr>
          <w:p w14:paraId="6AE13200" w14:textId="77777777" w:rsidR="00B83519" w:rsidRPr="00B83519" w:rsidRDefault="00B83519" w:rsidP="00B83519">
            <w:pPr>
              <w:tabs>
                <w:tab w:val="clear" w:pos="567"/>
              </w:tabs>
              <w:spacing w:before="0" w:line="240" w:lineRule="auto"/>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5C48161F"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5485814C"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0BE18E1"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37CD222A"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53A48876"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6A140396"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1CDA80D7"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58D6870"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r>
      <w:tr w:rsidR="00B83519" w:rsidRPr="00B83519" w14:paraId="3E226907" w14:textId="77777777" w:rsidTr="00B83519">
        <w:trPr>
          <w:trHeight w:val="315"/>
        </w:trPr>
        <w:tc>
          <w:tcPr>
            <w:tcW w:w="2460" w:type="dxa"/>
            <w:tcBorders>
              <w:top w:val="nil"/>
              <w:left w:val="nil"/>
              <w:bottom w:val="nil"/>
              <w:right w:val="nil"/>
            </w:tcBorders>
            <w:shd w:val="clear" w:color="000000" w:fill="FFFFFF"/>
            <w:vAlign w:val="bottom"/>
            <w:hideMark/>
          </w:tcPr>
          <w:p w14:paraId="2FE8A675" w14:textId="77777777" w:rsidR="00B83519" w:rsidRPr="00B83519" w:rsidRDefault="00B83519" w:rsidP="00B83519">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2024-25</w:t>
            </w:r>
          </w:p>
        </w:tc>
        <w:tc>
          <w:tcPr>
            <w:tcW w:w="720" w:type="dxa"/>
            <w:tcBorders>
              <w:top w:val="nil"/>
              <w:left w:val="nil"/>
              <w:bottom w:val="nil"/>
              <w:right w:val="nil"/>
            </w:tcBorders>
            <w:shd w:val="clear" w:color="000000" w:fill="FFFFFF"/>
            <w:vAlign w:val="center"/>
            <w:hideMark/>
          </w:tcPr>
          <w:p w14:paraId="0B4694FF"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27.1</w:t>
            </w:r>
          </w:p>
        </w:tc>
        <w:tc>
          <w:tcPr>
            <w:tcW w:w="720" w:type="dxa"/>
            <w:tcBorders>
              <w:top w:val="single" w:sz="4" w:space="0" w:color="ADD6EA"/>
              <w:left w:val="nil"/>
              <w:bottom w:val="nil"/>
              <w:right w:val="nil"/>
            </w:tcBorders>
            <w:shd w:val="clear" w:color="000000" w:fill="FFFFFF"/>
            <w:vAlign w:val="center"/>
            <w:hideMark/>
          </w:tcPr>
          <w:p w14:paraId="2DCEC0D9"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24.8</w:t>
            </w:r>
          </w:p>
        </w:tc>
        <w:tc>
          <w:tcPr>
            <w:tcW w:w="720" w:type="dxa"/>
            <w:tcBorders>
              <w:top w:val="single" w:sz="4" w:space="0" w:color="ADD6EA"/>
              <w:left w:val="nil"/>
              <w:bottom w:val="nil"/>
              <w:right w:val="nil"/>
            </w:tcBorders>
            <w:shd w:val="clear" w:color="000000" w:fill="FFFFFF"/>
            <w:vAlign w:val="center"/>
            <w:hideMark/>
          </w:tcPr>
          <w:p w14:paraId="6FC8FFDF"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19.6</w:t>
            </w:r>
          </w:p>
        </w:tc>
        <w:tc>
          <w:tcPr>
            <w:tcW w:w="720" w:type="dxa"/>
            <w:tcBorders>
              <w:top w:val="single" w:sz="4" w:space="0" w:color="ADD6EA"/>
              <w:left w:val="nil"/>
              <w:bottom w:val="nil"/>
              <w:right w:val="nil"/>
            </w:tcBorders>
            <w:shd w:val="clear" w:color="000000" w:fill="FFFFFF"/>
            <w:vAlign w:val="center"/>
            <w:hideMark/>
          </w:tcPr>
          <w:p w14:paraId="0D0D1350"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8.2</w:t>
            </w:r>
          </w:p>
        </w:tc>
        <w:tc>
          <w:tcPr>
            <w:tcW w:w="720" w:type="dxa"/>
            <w:tcBorders>
              <w:top w:val="single" w:sz="4" w:space="0" w:color="ADD6EA"/>
              <w:left w:val="nil"/>
              <w:bottom w:val="nil"/>
              <w:right w:val="nil"/>
            </w:tcBorders>
            <w:shd w:val="clear" w:color="000000" w:fill="FFFFFF"/>
            <w:vAlign w:val="center"/>
            <w:hideMark/>
          </w:tcPr>
          <w:p w14:paraId="49AA9CEF"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9.7</w:t>
            </w:r>
          </w:p>
        </w:tc>
        <w:tc>
          <w:tcPr>
            <w:tcW w:w="720" w:type="dxa"/>
            <w:tcBorders>
              <w:top w:val="single" w:sz="4" w:space="0" w:color="ADD6EA"/>
              <w:left w:val="nil"/>
              <w:bottom w:val="nil"/>
              <w:right w:val="nil"/>
            </w:tcBorders>
            <w:shd w:val="clear" w:color="000000" w:fill="FFFFFF"/>
            <w:vAlign w:val="center"/>
            <w:hideMark/>
          </w:tcPr>
          <w:p w14:paraId="3153517F"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3.8</w:t>
            </w:r>
          </w:p>
        </w:tc>
        <w:tc>
          <w:tcPr>
            <w:tcW w:w="720" w:type="dxa"/>
            <w:tcBorders>
              <w:top w:val="single" w:sz="4" w:space="0" w:color="ADD6EA"/>
              <w:left w:val="nil"/>
              <w:bottom w:val="nil"/>
              <w:right w:val="nil"/>
            </w:tcBorders>
            <w:shd w:val="clear" w:color="000000" w:fill="FFFFFF"/>
            <w:vAlign w:val="center"/>
            <w:hideMark/>
          </w:tcPr>
          <w:p w14:paraId="646A325A"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2.1</w:t>
            </w:r>
          </w:p>
        </w:tc>
        <w:tc>
          <w:tcPr>
            <w:tcW w:w="720" w:type="dxa"/>
            <w:tcBorders>
              <w:top w:val="single" w:sz="4" w:space="0" w:color="ADD6EA"/>
              <w:left w:val="nil"/>
              <w:bottom w:val="nil"/>
              <w:right w:val="nil"/>
            </w:tcBorders>
            <w:shd w:val="clear" w:color="000000" w:fill="FFFFFF"/>
            <w:vAlign w:val="center"/>
            <w:hideMark/>
          </w:tcPr>
          <w:p w14:paraId="591A8FE5"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4.7</w:t>
            </w:r>
          </w:p>
        </w:tc>
        <w:tc>
          <w:tcPr>
            <w:tcW w:w="720" w:type="dxa"/>
            <w:tcBorders>
              <w:top w:val="single" w:sz="4" w:space="0" w:color="ADD6EA"/>
              <w:left w:val="nil"/>
              <w:bottom w:val="nil"/>
              <w:right w:val="nil"/>
            </w:tcBorders>
            <w:shd w:val="clear" w:color="000000" w:fill="FFFFFF"/>
            <w:vAlign w:val="center"/>
            <w:hideMark/>
          </w:tcPr>
          <w:p w14:paraId="6B0F1EED"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100</w:t>
            </w:r>
          </w:p>
        </w:tc>
      </w:tr>
      <w:tr w:rsidR="00B83519" w:rsidRPr="00B83519" w14:paraId="65536601" w14:textId="77777777" w:rsidTr="00B83519">
        <w:trPr>
          <w:trHeight w:val="315"/>
        </w:trPr>
        <w:tc>
          <w:tcPr>
            <w:tcW w:w="2460" w:type="dxa"/>
            <w:tcBorders>
              <w:top w:val="single" w:sz="4" w:space="0" w:color="ADD6EA"/>
              <w:left w:val="nil"/>
              <w:bottom w:val="nil"/>
              <w:right w:val="nil"/>
            </w:tcBorders>
            <w:shd w:val="clear" w:color="000000" w:fill="FFFFFF"/>
            <w:vAlign w:val="bottom"/>
            <w:hideMark/>
          </w:tcPr>
          <w:p w14:paraId="4923FFFE" w14:textId="77777777" w:rsidR="00B83519" w:rsidRPr="00B83519" w:rsidRDefault="00B83519" w:rsidP="00B83519">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2025-26</w:t>
            </w:r>
          </w:p>
        </w:tc>
        <w:tc>
          <w:tcPr>
            <w:tcW w:w="720" w:type="dxa"/>
            <w:tcBorders>
              <w:top w:val="single" w:sz="4" w:space="0" w:color="ADD6EA"/>
              <w:left w:val="nil"/>
              <w:bottom w:val="nil"/>
              <w:right w:val="nil"/>
            </w:tcBorders>
            <w:shd w:val="clear" w:color="000000" w:fill="FFFFFF"/>
            <w:vAlign w:val="center"/>
            <w:hideMark/>
          </w:tcPr>
          <w:p w14:paraId="052093EF"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26.8</w:t>
            </w:r>
          </w:p>
        </w:tc>
        <w:tc>
          <w:tcPr>
            <w:tcW w:w="720" w:type="dxa"/>
            <w:tcBorders>
              <w:top w:val="single" w:sz="4" w:space="0" w:color="ADD6EA"/>
              <w:left w:val="nil"/>
              <w:bottom w:val="nil"/>
              <w:right w:val="nil"/>
            </w:tcBorders>
            <w:shd w:val="clear" w:color="000000" w:fill="FFFFFF"/>
            <w:vAlign w:val="center"/>
            <w:hideMark/>
          </w:tcPr>
          <w:p w14:paraId="4DD7F770"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27.5</w:t>
            </w:r>
          </w:p>
        </w:tc>
        <w:tc>
          <w:tcPr>
            <w:tcW w:w="720" w:type="dxa"/>
            <w:tcBorders>
              <w:top w:val="single" w:sz="4" w:space="0" w:color="ADD6EA"/>
              <w:left w:val="nil"/>
              <w:bottom w:val="nil"/>
              <w:right w:val="nil"/>
            </w:tcBorders>
            <w:shd w:val="clear" w:color="000000" w:fill="FFFFFF"/>
            <w:vAlign w:val="center"/>
            <w:hideMark/>
          </w:tcPr>
          <w:p w14:paraId="713C65B1"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17.4</w:t>
            </w:r>
          </w:p>
        </w:tc>
        <w:tc>
          <w:tcPr>
            <w:tcW w:w="720" w:type="dxa"/>
            <w:tcBorders>
              <w:top w:val="single" w:sz="4" w:space="0" w:color="ADD6EA"/>
              <w:left w:val="nil"/>
              <w:bottom w:val="nil"/>
              <w:right w:val="nil"/>
            </w:tcBorders>
            <w:shd w:val="clear" w:color="000000" w:fill="FFFFFF"/>
            <w:vAlign w:val="center"/>
            <w:hideMark/>
          </w:tcPr>
          <w:p w14:paraId="3516279F"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8.2</w:t>
            </w:r>
          </w:p>
        </w:tc>
        <w:tc>
          <w:tcPr>
            <w:tcW w:w="720" w:type="dxa"/>
            <w:tcBorders>
              <w:top w:val="single" w:sz="4" w:space="0" w:color="ADD6EA"/>
              <w:left w:val="nil"/>
              <w:bottom w:val="nil"/>
              <w:right w:val="nil"/>
            </w:tcBorders>
            <w:shd w:val="clear" w:color="000000" w:fill="FFFFFF"/>
            <w:vAlign w:val="center"/>
            <w:hideMark/>
          </w:tcPr>
          <w:p w14:paraId="2DFABD07"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9.5</w:t>
            </w:r>
          </w:p>
        </w:tc>
        <w:tc>
          <w:tcPr>
            <w:tcW w:w="720" w:type="dxa"/>
            <w:tcBorders>
              <w:top w:val="single" w:sz="4" w:space="0" w:color="ADD6EA"/>
              <w:left w:val="nil"/>
              <w:bottom w:val="nil"/>
              <w:right w:val="nil"/>
            </w:tcBorders>
            <w:shd w:val="clear" w:color="000000" w:fill="FFFFFF"/>
            <w:vAlign w:val="center"/>
            <w:hideMark/>
          </w:tcPr>
          <w:p w14:paraId="07328D36"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3.8</w:t>
            </w:r>
          </w:p>
        </w:tc>
        <w:tc>
          <w:tcPr>
            <w:tcW w:w="720" w:type="dxa"/>
            <w:tcBorders>
              <w:top w:val="single" w:sz="4" w:space="0" w:color="ADD6EA"/>
              <w:left w:val="nil"/>
              <w:bottom w:val="nil"/>
              <w:right w:val="nil"/>
            </w:tcBorders>
            <w:shd w:val="clear" w:color="000000" w:fill="FFFFFF"/>
            <w:vAlign w:val="center"/>
            <w:hideMark/>
          </w:tcPr>
          <w:p w14:paraId="39601806"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2.0</w:t>
            </w:r>
          </w:p>
        </w:tc>
        <w:tc>
          <w:tcPr>
            <w:tcW w:w="720" w:type="dxa"/>
            <w:tcBorders>
              <w:top w:val="single" w:sz="4" w:space="0" w:color="ADD6EA"/>
              <w:left w:val="nil"/>
              <w:bottom w:val="nil"/>
              <w:right w:val="nil"/>
            </w:tcBorders>
            <w:shd w:val="clear" w:color="000000" w:fill="FFFFFF"/>
            <w:vAlign w:val="center"/>
            <w:hideMark/>
          </w:tcPr>
          <w:p w14:paraId="36867BFE"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4.8</w:t>
            </w:r>
          </w:p>
        </w:tc>
        <w:tc>
          <w:tcPr>
            <w:tcW w:w="720" w:type="dxa"/>
            <w:tcBorders>
              <w:top w:val="single" w:sz="4" w:space="0" w:color="ADD6EA"/>
              <w:left w:val="nil"/>
              <w:bottom w:val="nil"/>
              <w:right w:val="nil"/>
            </w:tcBorders>
            <w:shd w:val="clear" w:color="000000" w:fill="FFFFFF"/>
            <w:vAlign w:val="center"/>
            <w:hideMark/>
          </w:tcPr>
          <w:p w14:paraId="604F82A2"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100</w:t>
            </w:r>
          </w:p>
        </w:tc>
      </w:tr>
      <w:tr w:rsidR="00B83519" w:rsidRPr="00B83519" w14:paraId="1B17862D" w14:textId="77777777" w:rsidTr="00B83519">
        <w:trPr>
          <w:trHeight w:val="255"/>
        </w:trPr>
        <w:tc>
          <w:tcPr>
            <w:tcW w:w="3180" w:type="dxa"/>
            <w:gridSpan w:val="2"/>
            <w:tcBorders>
              <w:top w:val="single" w:sz="4" w:space="0" w:color="ADD6EA"/>
              <w:left w:val="nil"/>
              <w:bottom w:val="single" w:sz="4" w:space="0" w:color="ADD6EA"/>
              <w:right w:val="nil"/>
            </w:tcBorders>
            <w:shd w:val="clear" w:color="000000" w:fill="B6D5E4"/>
            <w:vAlign w:val="bottom"/>
            <w:hideMark/>
          </w:tcPr>
          <w:p w14:paraId="4B7D1672" w14:textId="77777777" w:rsidR="00B83519" w:rsidRPr="00B83519" w:rsidRDefault="00B83519" w:rsidP="00B83519">
            <w:pPr>
              <w:tabs>
                <w:tab w:val="clear" w:pos="567"/>
              </w:tabs>
              <w:spacing w:before="0" w:line="240" w:lineRule="auto"/>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GST distribution ($m)</w:t>
            </w:r>
          </w:p>
        </w:tc>
        <w:tc>
          <w:tcPr>
            <w:tcW w:w="720" w:type="dxa"/>
            <w:tcBorders>
              <w:top w:val="single" w:sz="4" w:space="0" w:color="ADD6EA"/>
              <w:left w:val="nil"/>
              <w:bottom w:val="nil"/>
              <w:right w:val="nil"/>
            </w:tcBorders>
            <w:shd w:val="clear" w:color="000000" w:fill="B6D5E4"/>
            <w:vAlign w:val="bottom"/>
            <w:hideMark/>
          </w:tcPr>
          <w:p w14:paraId="18D2E457"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6D8E97AC"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125D98EC"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BC05DE4"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DDECA99"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370F1019"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57E9519E"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CECFFA1"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r>
      <w:tr w:rsidR="00B83519" w:rsidRPr="00B83519" w14:paraId="043ED585" w14:textId="77777777" w:rsidTr="00B83519">
        <w:trPr>
          <w:trHeight w:val="315"/>
        </w:trPr>
        <w:tc>
          <w:tcPr>
            <w:tcW w:w="2460" w:type="dxa"/>
            <w:tcBorders>
              <w:top w:val="nil"/>
              <w:left w:val="nil"/>
              <w:bottom w:val="nil"/>
              <w:right w:val="nil"/>
            </w:tcBorders>
            <w:shd w:val="clear" w:color="000000" w:fill="FFFFFF"/>
            <w:vAlign w:val="bottom"/>
            <w:hideMark/>
          </w:tcPr>
          <w:p w14:paraId="70833926" w14:textId="77777777" w:rsidR="00B83519" w:rsidRPr="00B83519" w:rsidRDefault="00B83519" w:rsidP="00B83519">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2024-25</w:t>
            </w:r>
          </w:p>
        </w:tc>
        <w:tc>
          <w:tcPr>
            <w:tcW w:w="720" w:type="dxa"/>
            <w:tcBorders>
              <w:top w:val="nil"/>
              <w:left w:val="nil"/>
              <w:bottom w:val="nil"/>
              <w:right w:val="nil"/>
            </w:tcBorders>
            <w:shd w:val="clear" w:color="000000" w:fill="FFFFFF"/>
            <w:vAlign w:val="center"/>
            <w:hideMark/>
          </w:tcPr>
          <w:p w14:paraId="7534479C"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24,540</w:t>
            </w:r>
          </w:p>
        </w:tc>
        <w:tc>
          <w:tcPr>
            <w:tcW w:w="720" w:type="dxa"/>
            <w:tcBorders>
              <w:top w:val="single" w:sz="4" w:space="0" w:color="ADD6EA"/>
              <w:left w:val="nil"/>
              <w:bottom w:val="nil"/>
              <w:right w:val="nil"/>
            </w:tcBorders>
            <w:shd w:val="clear" w:color="000000" w:fill="FFFFFF"/>
            <w:vAlign w:val="center"/>
            <w:hideMark/>
          </w:tcPr>
          <w:p w14:paraId="71AC1F95"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22,491</w:t>
            </w:r>
          </w:p>
        </w:tc>
        <w:tc>
          <w:tcPr>
            <w:tcW w:w="720" w:type="dxa"/>
            <w:tcBorders>
              <w:top w:val="single" w:sz="4" w:space="0" w:color="ADD6EA"/>
              <w:left w:val="nil"/>
              <w:bottom w:val="nil"/>
              <w:right w:val="nil"/>
            </w:tcBorders>
            <w:shd w:val="clear" w:color="000000" w:fill="FFFFFF"/>
            <w:vAlign w:val="center"/>
            <w:hideMark/>
          </w:tcPr>
          <w:p w14:paraId="73449754"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17,751</w:t>
            </w:r>
          </w:p>
        </w:tc>
        <w:tc>
          <w:tcPr>
            <w:tcW w:w="720" w:type="dxa"/>
            <w:tcBorders>
              <w:top w:val="single" w:sz="4" w:space="0" w:color="ADD6EA"/>
              <w:left w:val="nil"/>
              <w:bottom w:val="nil"/>
              <w:right w:val="nil"/>
            </w:tcBorders>
            <w:shd w:val="clear" w:color="000000" w:fill="FFFFFF"/>
            <w:vAlign w:val="center"/>
            <w:hideMark/>
          </w:tcPr>
          <w:p w14:paraId="296E69A1"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7,435</w:t>
            </w:r>
          </w:p>
        </w:tc>
        <w:tc>
          <w:tcPr>
            <w:tcW w:w="720" w:type="dxa"/>
            <w:tcBorders>
              <w:top w:val="single" w:sz="4" w:space="0" w:color="ADD6EA"/>
              <w:left w:val="nil"/>
              <w:bottom w:val="nil"/>
              <w:right w:val="nil"/>
            </w:tcBorders>
            <w:shd w:val="clear" w:color="000000" w:fill="FFFFFF"/>
            <w:vAlign w:val="center"/>
            <w:hideMark/>
          </w:tcPr>
          <w:p w14:paraId="0BD6FF90"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8,753</w:t>
            </w:r>
          </w:p>
        </w:tc>
        <w:tc>
          <w:tcPr>
            <w:tcW w:w="720" w:type="dxa"/>
            <w:tcBorders>
              <w:top w:val="single" w:sz="4" w:space="0" w:color="ADD6EA"/>
              <w:left w:val="nil"/>
              <w:bottom w:val="nil"/>
              <w:right w:val="nil"/>
            </w:tcBorders>
            <w:shd w:val="clear" w:color="000000" w:fill="FFFFFF"/>
            <w:vAlign w:val="center"/>
            <w:hideMark/>
          </w:tcPr>
          <w:p w14:paraId="5216E205"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3,484</w:t>
            </w:r>
          </w:p>
        </w:tc>
        <w:tc>
          <w:tcPr>
            <w:tcW w:w="720" w:type="dxa"/>
            <w:tcBorders>
              <w:top w:val="single" w:sz="4" w:space="0" w:color="ADD6EA"/>
              <w:left w:val="nil"/>
              <w:bottom w:val="nil"/>
              <w:right w:val="nil"/>
            </w:tcBorders>
            <w:shd w:val="clear" w:color="000000" w:fill="FFFFFF"/>
            <w:vAlign w:val="center"/>
            <w:hideMark/>
          </w:tcPr>
          <w:p w14:paraId="52E9C82F"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1,899</w:t>
            </w:r>
          </w:p>
        </w:tc>
        <w:tc>
          <w:tcPr>
            <w:tcW w:w="720" w:type="dxa"/>
            <w:tcBorders>
              <w:top w:val="single" w:sz="4" w:space="0" w:color="ADD6EA"/>
              <w:left w:val="nil"/>
              <w:bottom w:val="nil"/>
              <w:right w:val="nil"/>
            </w:tcBorders>
            <w:shd w:val="clear" w:color="000000" w:fill="FFFFFF"/>
            <w:vAlign w:val="center"/>
            <w:hideMark/>
          </w:tcPr>
          <w:p w14:paraId="6DB1A244"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4,279</w:t>
            </w:r>
          </w:p>
        </w:tc>
        <w:tc>
          <w:tcPr>
            <w:tcW w:w="720" w:type="dxa"/>
            <w:tcBorders>
              <w:top w:val="single" w:sz="4" w:space="0" w:color="ADD6EA"/>
              <w:left w:val="nil"/>
              <w:bottom w:val="nil"/>
              <w:right w:val="nil"/>
            </w:tcBorders>
            <w:shd w:val="clear" w:color="000000" w:fill="FFFFFF"/>
            <w:vAlign w:val="center"/>
            <w:hideMark/>
          </w:tcPr>
          <w:p w14:paraId="52AAF9D2"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90,631</w:t>
            </w:r>
          </w:p>
        </w:tc>
      </w:tr>
      <w:tr w:rsidR="00B83519" w:rsidRPr="00B83519" w14:paraId="7D6E8DD4" w14:textId="77777777" w:rsidTr="00B83519">
        <w:trPr>
          <w:trHeight w:val="315"/>
        </w:trPr>
        <w:tc>
          <w:tcPr>
            <w:tcW w:w="2460" w:type="dxa"/>
            <w:tcBorders>
              <w:top w:val="single" w:sz="4" w:space="0" w:color="ADD6EA"/>
              <w:left w:val="nil"/>
              <w:bottom w:val="nil"/>
              <w:right w:val="nil"/>
            </w:tcBorders>
            <w:shd w:val="clear" w:color="000000" w:fill="FFFFFF"/>
            <w:vAlign w:val="bottom"/>
            <w:hideMark/>
          </w:tcPr>
          <w:p w14:paraId="7991F5D4" w14:textId="77777777" w:rsidR="00B83519" w:rsidRPr="00B83519" w:rsidRDefault="00B83519" w:rsidP="00B83519">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2025-26</w:t>
            </w:r>
          </w:p>
        </w:tc>
        <w:tc>
          <w:tcPr>
            <w:tcW w:w="720" w:type="dxa"/>
            <w:tcBorders>
              <w:top w:val="single" w:sz="4" w:space="0" w:color="ADD6EA"/>
              <w:left w:val="nil"/>
              <w:bottom w:val="nil"/>
              <w:right w:val="nil"/>
            </w:tcBorders>
            <w:shd w:val="clear" w:color="000000" w:fill="FFFFFF"/>
            <w:vAlign w:val="center"/>
            <w:hideMark/>
          </w:tcPr>
          <w:p w14:paraId="6F90ADCA"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25,482</w:t>
            </w:r>
          </w:p>
        </w:tc>
        <w:tc>
          <w:tcPr>
            <w:tcW w:w="720" w:type="dxa"/>
            <w:tcBorders>
              <w:top w:val="single" w:sz="4" w:space="0" w:color="ADD6EA"/>
              <w:left w:val="nil"/>
              <w:bottom w:val="nil"/>
              <w:right w:val="nil"/>
            </w:tcBorders>
            <w:shd w:val="clear" w:color="000000" w:fill="FFFFFF"/>
            <w:vAlign w:val="center"/>
            <w:hideMark/>
          </w:tcPr>
          <w:p w14:paraId="1C680E41"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26,147</w:t>
            </w:r>
          </w:p>
        </w:tc>
        <w:tc>
          <w:tcPr>
            <w:tcW w:w="720" w:type="dxa"/>
            <w:tcBorders>
              <w:top w:val="single" w:sz="4" w:space="0" w:color="ADD6EA"/>
              <w:left w:val="nil"/>
              <w:bottom w:val="nil"/>
              <w:right w:val="nil"/>
            </w:tcBorders>
            <w:shd w:val="clear" w:color="000000" w:fill="FFFFFF"/>
            <w:vAlign w:val="center"/>
            <w:hideMark/>
          </w:tcPr>
          <w:p w14:paraId="5EF78E6E"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16,562</w:t>
            </w:r>
          </w:p>
        </w:tc>
        <w:tc>
          <w:tcPr>
            <w:tcW w:w="720" w:type="dxa"/>
            <w:tcBorders>
              <w:top w:val="single" w:sz="4" w:space="0" w:color="ADD6EA"/>
              <w:left w:val="nil"/>
              <w:bottom w:val="nil"/>
              <w:right w:val="nil"/>
            </w:tcBorders>
            <w:shd w:val="clear" w:color="000000" w:fill="FFFFFF"/>
            <w:vAlign w:val="center"/>
            <w:hideMark/>
          </w:tcPr>
          <w:p w14:paraId="5A20025A"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7,830</w:t>
            </w:r>
          </w:p>
        </w:tc>
        <w:tc>
          <w:tcPr>
            <w:tcW w:w="720" w:type="dxa"/>
            <w:tcBorders>
              <w:top w:val="single" w:sz="4" w:space="0" w:color="ADD6EA"/>
              <w:left w:val="nil"/>
              <w:bottom w:val="nil"/>
              <w:right w:val="nil"/>
            </w:tcBorders>
            <w:shd w:val="clear" w:color="000000" w:fill="FFFFFF"/>
            <w:vAlign w:val="center"/>
            <w:hideMark/>
          </w:tcPr>
          <w:p w14:paraId="19072238"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9,032</w:t>
            </w:r>
          </w:p>
        </w:tc>
        <w:tc>
          <w:tcPr>
            <w:tcW w:w="720" w:type="dxa"/>
            <w:tcBorders>
              <w:top w:val="single" w:sz="4" w:space="0" w:color="ADD6EA"/>
              <w:left w:val="nil"/>
              <w:bottom w:val="nil"/>
              <w:right w:val="nil"/>
            </w:tcBorders>
            <w:shd w:val="clear" w:color="000000" w:fill="FFFFFF"/>
            <w:vAlign w:val="center"/>
            <w:hideMark/>
          </w:tcPr>
          <w:p w14:paraId="41B88AEC"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3,635</w:t>
            </w:r>
          </w:p>
        </w:tc>
        <w:tc>
          <w:tcPr>
            <w:tcW w:w="720" w:type="dxa"/>
            <w:tcBorders>
              <w:top w:val="single" w:sz="4" w:space="0" w:color="ADD6EA"/>
              <w:left w:val="nil"/>
              <w:bottom w:val="nil"/>
              <w:right w:val="nil"/>
            </w:tcBorders>
            <w:shd w:val="clear" w:color="000000" w:fill="FFFFFF"/>
            <w:vAlign w:val="center"/>
            <w:hideMark/>
          </w:tcPr>
          <w:p w14:paraId="5FB64BA3"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1,934</w:t>
            </w:r>
          </w:p>
        </w:tc>
        <w:tc>
          <w:tcPr>
            <w:tcW w:w="720" w:type="dxa"/>
            <w:tcBorders>
              <w:top w:val="single" w:sz="4" w:space="0" w:color="ADD6EA"/>
              <w:left w:val="nil"/>
              <w:bottom w:val="nil"/>
              <w:right w:val="nil"/>
            </w:tcBorders>
            <w:shd w:val="clear" w:color="000000" w:fill="FFFFFF"/>
            <w:vAlign w:val="center"/>
            <w:hideMark/>
          </w:tcPr>
          <w:p w14:paraId="6F808620"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4,527</w:t>
            </w:r>
          </w:p>
        </w:tc>
        <w:tc>
          <w:tcPr>
            <w:tcW w:w="720" w:type="dxa"/>
            <w:tcBorders>
              <w:top w:val="single" w:sz="4" w:space="0" w:color="ADD6EA"/>
              <w:left w:val="nil"/>
              <w:bottom w:val="nil"/>
              <w:right w:val="nil"/>
            </w:tcBorders>
            <w:shd w:val="clear" w:color="000000" w:fill="FFFFFF"/>
            <w:vAlign w:val="center"/>
            <w:hideMark/>
          </w:tcPr>
          <w:p w14:paraId="30A678A1"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95,150</w:t>
            </w:r>
          </w:p>
        </w:tc>
      </w:tr>
      <w:tr w:rsidR="00B83519" w:rsidRPr="00B83519" w14:paraId="37957947" w14:textId="77777777" w:rsidTr="00B83519">
        <w:trPr>
          <w:trHeight w:val="315"/>
        </w:trPr>
        <w:tc>
          <w:tcPr>
            <w:tcW w:w="2460" w:type="dxa"/>
            <w:tcBorders>
              <w:top w:val="single" w:sz="4" w:space="0" w:color="ADD6EA"/>
              <w:left w:val="nil"/>
              <w:bottom w:val="single" w:sz="4" w:space="0" w:color="ADD6EA"/>
              <w:right w:val="nil"/>
            </w:tcBorders>
            <w:shd w:val="clear" w:color="000000" w:fill="D6E7F0"/>
            <w:vAlign w:val="bottom"/>
            <w:hideMark/>
          </w:tcPr>
          <w:p w14:paraId="1543F9F3" w14:textId="77777777" w:rsidR="00B83519" w:rsidRPr="00B83519" w:rsidRDefault="00B83519" w:rsidP="00B83519">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Difference</w:t>
            </w:r>
          </w:p>
        </w:tc>
        <w:tc>
          <w:tcPr>
            <w:tcW w:w="720" w:type="dxa"/>
            <w:tcBorders>
              <w:top w:val="single" w:sz="4" w:space="0" w:color="ADD6EA"/>
              <w:left w:val="nil"/>
              <w:bottom w:val="single" w:sz="4" w:space="0" w:color="ADD6EA"/>
              <w:right w:val="nil"/>
            </w:tcBorders>
            <w:shd w:val="clear" w:color="000000" w:fill="D6E7F0"/>
            <w:vAlign w:val="center"/>
            <w:hideMark/>
          </w:tcPr>
          <w:p w14:paraId="6BD8A389"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942</w:t>
            </w:r>
          </w:p>
        </w:tc>
        <w:tc>
          <w:tcPr>
            <w:tcW w:w="720" w:type="dxa"/>
            <w:tcBorders>
              <w:top w:val="single" w:sz="4" w:space="0" w:color="ADD6EA"/>
              <w:left w:val="nil"/>
              <w:bottom w:val="single" w:sz="4" w:space="0" w:color="ADD6EA"/>
              <w:right w:val="nil"/>
            </w:tcBorders>
            <w:shd w:val="clear" w:color="000000" w:fill="D6E7F0"/>
            <w:vAlign w:val="center"/>
            <w:hideMark/>
          </w:tcPr>
          <w:p w14:paraId="7106AAD0"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3,657</w:t>
            </w:r>
          </w:p>
        </w:tc>
        <w:tc>
          <w:tcPr>
            <w:tcW w:w="720" w:type="dxa"/>
            <w:tcBorders>
              <w:top w:val="single" w:sz="4" w:space="0" w:color="ADD6EA"/>
              <w:left w:val="nil"/>
              <w:bottom w:val="single" w:sz="4" w:space="0" w:color="ADD6EA"/>
              <w:right w:val="nil"/>
            </w:tcBorders>
            <w:shd w:val="clear" w:color="000000" w:fill="D6E7F0"/>
            <w:vAlign w:val="center"/>
            <w:hideMark/>
          </w:tcPr>
          <w:p w14:paraId="27D3EB12"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-1,189</w:t>
            </w:r>
          </w:p>
        </w:tc>
        <w:tc>
          <w:tcPr>
            <w:tcW w:w="720" w:type="dxa"/>
            <w:tcBorders>
              <w:top w:val="single" w:sz="4" w:space="0" w:color="ADD6EA"/>
              <w:left w:val="nil"/>
              <w:bottom w:val="single" w:sz="4" w:space="0" w:color="ADD6EA"/>
              <w:right w:val="nil"/>
            </w:tcBorders>
            <w:shd w:val="clear" w:color="000000" w:fill="D6E7F0"/>
            <w:vAlign w:val="center"/>
            <w:hideMark/>
          </w:tcPr>
          <w:p w14:paraId="07EDCE9C"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395</w:t>
            </w:r>
          </w:p>
        </w:tc>
        <w:tc>
          <w:tcPr>
            <w:tcW w:w="720" w:type="dxa"/>
            <w:tcBorders>
              <w:top w:val="single" w:sz="4" w:space="0" w:color="ADD6EA"/>
              <w:left w:val="nil"/>
              <w:bottom w:val="single" w:sz="4" w:space="0" w:color="ADD6EA"/>
              <w:right w:val="nil"/>
            </w:tcBorders>
            <w:shd w:val="clear" w:color="000000" w:fill="D6E7F0"/>
            <w:vAlign w:val="center"/>
            <w:hideMark/>
          </w:tcPr>
          <w:p w14:paraId="491BEB92"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279</w:t>
            </w:r>
          </w:p>
        </w:tc>
        <w:tc>
          <w:tcPr>
            <w:tcW w:w="720" w:type="dxa"/>
            <w:tcBorders>
              <w:top w:val="single" w:sz="4" w:space="0" w:color="ADD6EA"/>
              <w:left w:val="nil"/>
              <w:bottom w:val="nil"/>
              <w:right w:val="nil"/>
            </w:tcBorders>
            <w:shd w:val="clear" w:color="000000" w:fill="D6E7F0"/>
            <w:vAlign w:val="center"/>
            <w:hideMark/>
          </w:tcPr>
          <w:p w14:paraId="4F292305"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151</w:t>
            </w:r>
          </w:p>
        </w:tc>
        <w:tc>
          <w:tcPr>
            <w:tcW w:w="720" w:type="dxa"/>
            <w:tcBorders>
              <w:top w:val="single" w:sz="4" w:space="0" w:color="ADD6EA"/>
              <w:left w:val="nil"/>
              <w:bottom w:val="single" w:sz="4" w:space="0" w:color="ADD6EA"/>
              <w:right w:val="nil"/>
            </w:tcBorders>
            <w:shd w:val="clear" w:color="000000" w:fill="D6E7F0"/>
            <w:vAlign w:val="center"/>
            <w:hideMark/>
          </w:tcPr>
          <w:p w14:paraId="78314EA1"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35</w:t>
            </w:r>
          </w:p>
        </w:tc>
        <w:tc>
          <w:tcPr>
            <w:tcW w:w="720" w:type="dxa"/>
            <w:tcBorders>
              <w:top w:val="single" w:sz="4" w:space="0" w:color="ADD6EA"/>
              <w:left w:val="nil"/>
              <w:bottom w:val="single" w:sz="4" w:space="0" w:color="ADD6EA"/>
              <w:right w:val="nil"/>
            </w:tcBorders>
            <w:shd w:val="clear" w:color="000000" w:fill="D6E7F0"/>
            <w:vAlign w:val="center"/>
            <w:hideMark/>
          </w:tcPr>
          <w:p w14:paraId="16A27233"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248</w:t>
            </w:r>
          </w:p>
        </w:tc>
        <w:tc>
          <w:tcPr>
            <w:tcW w:w="720" w:type="dxa"/>
            <w:tcBorders>
              <w:top w:val="single" w:sz="4" w:space="0" w:color="ADD6EA"/>
              <w:left w:val="nil"/>
              <w:bottom w:val="single" w:sz="4" w:space="0" w:color="ADD6EA"/>
              <w:right w:val="nil"/>
            </w:tcBorders>
            <w:shd w:val="clear" w:color="000000" w:fill="D6E7F0"/>
            <w:vAlign w:val="center"/>
            <w:hideMark/>
          </w:tcPr>
          <w:p w14:paraId="7103BDCE"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4,519</w:t>
            </w:r>
          </w:p>
        </w:tc>
      </w:tr>
      <w:tr w:rsidR="00B83519" w:rsidRPr="00B83519" w14:paraId="3862C958" w14:textId="77777777" w:rsidTr="00B83519">
        <w:trPr>
          <w:trHeight w:val="255"/>
        </w:trPr>
        <w:tc>
          <w:tcPr>
            <w:tcW w:w="3180" w:type="dxa"/>
            <w:gridSpan w:val="2"/>
            <w:tcBorders>
              <w:top w:val="single" w:sz="4" w:space="0" w:color="ADD6EA"/>
              <w:left w:val="nil"/>
              <w:bottom w:val="single" w:sz="4" w:space="0" w:color="ADD6EA"/>
              <w:right w:val="nil"/>
            </w:tcBorders>
            <w:shd w:val="clear" w:color="000000" w:fill="B6D5E4"/>
            <w:vAlign w:val="bottom"/>
            <w:hideMark/>
          </w:tcPr>
          <w:p w14:paraId="7C5A72EE" w14:textId="77777777" w:rsidR="00B83519" w:rsidRPr="00B83519" w:rsidRDefault="00B83519" w:rsidP="00B83519">
            <w:pPr>
              <w:tabs>
                <w:tab w:val="clear" w:pos="567"/>
              </w:tabs>
              <w:spacing w:before="0" w:line="240" w:lineRule="auto"/>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GST distribution ($pc)</w:t>
            </w:r>
          </w:p>
        </w:tc>
        <w:tc>
          <w:tcPr>
            <w:tcW w:w="720" w:type="dxa"/>
            <w:tcBorders>
              <w:top w:val="nil"/>
              <w:left w:val="nil"/>
              <w:bottom w:val="single" w:sz="4" w:space="0" w:color="ADD6EA"/>
              <w:right w:val="nil"/>
            </w:tcBorders>
            <w:shd w:val="clear" w:color="000000" w:fill="B6D5E4"/>
            <w:vAlign w:val="bottom"/>
            <w:hideMark/>
          </w:tcPr>
          <w:p w14:paraId="34F80202" w14:textId="77777777" w:rsidR="00B83519" w:rsidRPr="00B83519" w:rsidRDefault="00B83519" w:rsidP="00B83519">
            <w:pPr>
              <w:tabs>
                <w:tab w:val="clear" w:pos="567"/>
              </w:tabs>
              <w:spacing w:before="0" w:line="240" w:lineRule="auto"/>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2971CFC9"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0E3D0952"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569B4436"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single" w:sz="4" w:space="0" w:color="ADD6EA"/>
              <w:right w:val="nil"/>
            </w:tcBorders>
            <w:shd w:val="clear" w:color="000000" w:fill="B6D5E4"/>
            <w:vAlign w:val="bottom"/>
            <w:hideMark/>
          </w:tcPr>
          <w:p w14:paraId="1D94B904"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6D8A896B"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76C6CC32"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20" w:type="dxa"/>
            <w:tcBorders>
              <w:top w:val="nil"/>
              <w:left w:val="nil"/>
              <w:bottom w:val="single" w:sz="4" w:space="0" w:color="ADD6EA"/>
              <w:right w:val="nil"/>
            </w:tcBorders>
            <w:shd w:val="clear" w:color="000000" w:fill="B6D5E4"/>
            <w:vAlign w:val="bottom"/>
            <w:hideMark/>
          </w:tcPr>
          <w:p w14:paraId="4394A3F5"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r>
      <w:tr w:rsidR="00B83519" w:rsidRPr="00B83519" w14:paraId="024EB88F" w14:textId="77777777" w:rsidTr="00B83519">
        <w:trPr>
          <w:trHeight w:val="315"/>
        </w:trPr>
        <w:tc>
          <w:tcPr>
            <w:tcW w:w="2460" w:type="dxa"/>
            <w:tcBorders>
              <w:top w:val="nil"/>
              <w:left w:val="nil"/>
              <w:bottom w:val="nil"/>
              <w:right w:val="nil"/>
            </w:tcBorders>
            <w:shd w:val="clear" w:color="000000" w:fill="FFFFFF"/>
            <w:vAlign w:val="bottom"/>
            <w:hideMark/>
          </w:tcPr>
          <w:p w14:paraId="40D2F88E" w14:textId="77777777" w:rsidR="00B83519" w:rsidRPr="00B83519" w:rsidRDefault="00B83519" w:rsidP="00B83519">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2024-25</w:t>
            </w:r>
          </w:p>
        </w:tc>
        <w:tc>
          <w:tcPr>
            <w:tcW w:w="720" w:type="dxa"/>
            <w:tcBorders>
              <w:top w:val="nil"/>
              <w:left w:val="nil"/>
              <w:bottom w:val="single" w:sz="4" w:space="0" w:color="ADD6EA"/>
              <w:right w:val="nil"/>
            </w:tcBorders>
            <w:shd w:val="clear" w:color="000000" w:fill="FFFFFF"/>
            <w:vAlign w:val="center"/>
            <w:hideMark/>
          </w:tcPr>
          <w:p w14:paraId="78963347"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2,832</w:t>
            </w:r>
          </w:p>
        </w:tc>
        <w:tc>
          <w:tcPr>
            <w:tcW w:w="720" w:type="dxa"/>
            <w:tcBorders>
              <w:top w:val="nil"/>
              <w:left w:val="nil"/>
              <w:bottom w:val="single" w:sz="4" w:space="0" w:color="ADD6EA"/>
              <w:right w:val="nil"/>
            </w:tcBorders>
            <w:shd w:val="clear" w:color="000000" w:fill="FFFFFF"/>
            <w:vAlign w:val="center"/>
            <w:hideMark/>
          </w:tcPr>
          <w:p w14:paraId="353A26E0"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3,137</w:t>
            </w:r>
          </w:p>
        </w:tc>
        <w:tc>
          <w:tcPr>
            <w:tcW w:w="720" w:type="dxa"/>
            <w:tcBorders>
              <w:top w:val="nil"/>
              <w:left w:val="nil"/>
              <w:bottom w:val="single" w:sz="4" w:space="0" w:color="ADD6EA"/>
              <w:right w:val="nil"/>
            </w:tcBorders>
            <w:shd w:val="clear" w:color="000000" w:fill="FFFFFF"/>
            <w:vAlign w:val="center"/>
            <w:hideMark/>
          </w:tcPr>
          <w:p w14:paraId="12F2316D"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3,098</w:t>
            </w:r>
          </w:p>
        </w:tc>
        <w:tc>
          <w:tcPr>
            <w:tcW w:w="720" w:type="dxa"/>
            <w:tcBorders>
              <w:top w:val="nil"/>
              <w:left w:val="nil"/>
              <w:bottom w:val="single" w:sz="4" w:space="0" w:color="ADD6EA"/>
              <w:right w:val="nil"/>
            </w:tcBorders>
            <w:shd w:val="clear" w:color="000000" w:fill="FFFFFF"/>
            <w:vAlign w:val="center"/>
            <w:hideMark/>
          </w:tcPr>
          <w:p w14:paraId="705ED219"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2,434</w:t>
            </w:r>
          </w:p>
        </w:tc>
        <w:tc>
          <w:tcPr>
            <w:tcW w:w="720" w:type="dxa"/>
            <w:tcBorders>
              <w:top w:val="nil"/>
              <w:left w:val="nil"/>
              <w:bottom w:val="single" w:sz="4" w:space="0" w:color="ADD6EA"/>
              <w:right w:val="nil"/>
            </w:tcBorders>
            <w:shd w:val="clear" w:color="000000" w:fill="FFFFFF"/>
            <w:vAlign w:val="center"/>
            <w:hideMark/>
          </w:tcPr>
          <w:p w14:paraId="00AF0F6F"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4,599</w:t>
            </w:r>
          </w:p>
        </w:tc>
        <w:tc>
          <w:tcPr>
            <w:tcW w:w="720" w:type="dxa"/>
            <w:tcBorders>
              <w:top w:val="nil"/>
              <w:left w:val="nil"/>
              <w:bottom w:val="single" w:sz="4" w:space="0" w:color="ADD6EA"/>
              <w:right w:val="nil"/>
            </w:tcBorders>
            <w:shd w:val="clear" w:color="000000" w:fill="FFFFFF"/>
            <w:vAlign w:val="center"/>
            <w:hideMark/>
          </w:tcPr>
          <w:p w14:paraId="56EFBCA9"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6,030</w:t>
            </w:r>
          </w:p>
        </w:tc>
        <w:tc>
          <w:tcPr>
            <w:tcW w:w="720" w:type="dxa"/>
            <w:tcBorders>
              <w:top w:val="nil"/>
              <w:left w:val="nil"/>
              <w:bottom w:val="single" w:sz="4" w:space="0" w:color="ADD6EA"/>
              <w:right w:val="nil"/>
            </w:tcBorders>
            <w:shd w:val="clear" w:color="000000" w:fill="FFFFFF"/>
            <w:vAlign w:val="center"/>
            <w:hideMark/>
          </w:tcPr>
          <w:p w14:paraId="46258719"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3,933</w:t>
            </w:r>
          </w:p>
        </w:tc>
        <w:tc>
          <w:tcPr>
            <w:tcW w:w="720" w:type="dxa"/>
            <w:tcBorders>
              <w:top w:val="nil"/>
              <w:left w:val="nil"/>
              <w:bottom w:val="single" w:sz="4" w:space="0" w:color="ADD6EA"/>
              <w:right w:val="nil"/>
            </w:tcBorders>
            <w:shd w:val="clear" w:color="000000" w:fill="FFFFFF"/>
            <w:vAlign w:val="center"/>
            <w:hideMark/>
          </w:tcPr>
          <w:p w14:paraId="28BC9802"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16,639</w:t>
            </w:r>
          </w:p>
        </w:tc>
        <w:tc>
          <w:tcPr>
            <w:tcW w:w="720" w:type="dxa"/>
            <w:tcBorders>
              <w:top w:val="nil"/>
              <w:left w:val="nil"/>
              <w:bottom w:val="single" w:sz="4" w:space="0" w:color="ADD6EA"/>
              <w:right w:val="nil"/>
            </w:tcBorders>
            <w:shd w:val="clear" w:color="000000" w:fill="FFFFFF"/>
            <w:vAlign w:val="center"/>
            <w:hideMark/>
          </w:tcPr>
          <w:p w14:paraId="66205AF8"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3,255</w:t>
            </w:r>
          </w:p>
        </w:tc>
      </w:tr>
      <w:tr w:rsidR="00B83519" w:rsidRPr="00B83519" w14:paraId="5FF21E16" w14:textId="77777777" w:rsidTr="00B83519">
        <w:trPr>
          <w:trHeight w:val="315"/>
        </w:trPr>
        <w:tc>
          <w:tcPr>
            <w:tcW w:w="2460" w:type="dxa"/>
            <w:tcBorders>
              <w:top w:val="single" w:sz="4" w:space="0" w:color="ADD6EA"/>
              <w:left w:val="nil"/>
              <w:bottom w:val="nil"/>
              <w:right w:val="nil"/>
            </w:tcBorders>
            <w:shd w:val="clear" w:color="000000" w:fill="FFFFFF"/>
            <w:vAlign w:val="bottom"/>
            <w:hideMark/>
          </w:tcPr>
          <w:p w14:paraId="210AFEF9" w14:textId="77777777" w:rsidR="00B83519" w:rsidRPr="00B83519" w:rsidRDefault="00B83519" w:rsidP="00B83519">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2025-26</w:t>
            </w:r>
          </w:p>
        </w:tc>
        <w:tc>
          <w:tcPr>
            <w:tcW w:w="720" w:type="dxa"/>
            <w:tcBorders>
              <w:top w:val="nil"/>
              <w:left w:val="nil"/>
              <w:bottom w:val="single" w:sz="4" w:space="0" w:color="ADD6EA"/>
              <w:right w:val="nil"/>
            </w:tcBorders>
            <w:shd w:val="clear" w:color="000000" w:fill="FFFFFF"/>
            <w:vAlign w:val="center"/>
            <w:hideMark/>
          </w:tcPr>
          <w:p w14:paraId="3DE452B4"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2,940</w:t>
            </w:r>
          </w:p>
        </w:tc>
        <w:tc>
          <w:tcPr>
            <w:tcW w:w="720" w:type="dxa"/>
            <w:tcBorders>
              <w:top w:val="nil"/>
              <w:left w:val="nil"/>
              <w:bottom w:val="single" w:sz="4" w:space="0" w:color="ADD6EA"/>
              <w:right w:val="nil"/>
            </w:tcBorders>
            <w:shd w:val="clear" w:color="000000" w:fill="FFFFFF"/>
            <w:vAlign w:val="center"/>
            <w:hideMark/>
          </w:tcPr>
          <w:p w14:paraId="7B458F5D"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3,647</w:t>
            </w:r>
          </w:p>
        </w:tc>
        <w:tc>
          <w:tcPr>
            <w:tcW w:w="720" w:type="dxa"/>
            <w:tcBorders>
              <w:top w:val="nil"/>
              <w:left w:val="nil"/>
              <w:bottom w:val="single" w:sz="4" w:space="0" w:color="ADD6EA"/>
              <w:right w:val="nil"/>
            </w:tcBorders>
            <w:shd w:val="clear" w:color="000000" w:fill="FFFFFF"/>
            <w:vAlign w:val="center"/>
            <w:hideMark/>
          </w:tcPr>
          <w:p w14:paraId="3699EA08"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2,890</w:t>
            </w:r>
          </w:p>
        </w:tc>
        <w:tc>
          <w:tcPr>
            <w:tcW w:w="720" w:type="dxa"/>
            <w:tcBorders>
              <w:top w:val="nil"/>
              <w:left w:val="nil"/>
              <w:bottom w:val="single" w:sz="4" w:space="0" w:color="ADD6EA"/>
              <w:right w:val="nil"/>
            </w:tcBorders>
            <w:shd w:val="clear" w:color="000000" w:fill="FFFFFF"/>
            <w:vAlign w:val="center"/>
            <w:hideMark/>
          </w:tcPr>
          <w:p w14:paraId="49B40980"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2,563</w:t>
            </w:r>
          </w:p>
        </w:tc>
        <w:tc>
          <w:tcPr>
            <w:tcW w:w="720" w:type="dxa"/>
            <w:tcBorders>
              <w:top w:val="nil"/>
              <w:left w:val="nil"/>
              <w:bottom w:val="single" w:sz="4" w:space="0" w:color="ADD6EA"/>
              <w:right w:val="nil"/>
            </w:tcBorders>
            <w:shd w:val="clear" w:color="000000" w:fill="FFFFFF"/>
            <w:vAlign w:val="center"/>
            <w:hideMark/>
          </w:tcPr>
          <w:p w14:paraId="1ADD501D"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4,746</w:t>
            </w:r>
          </w:p>
        </w:tc>
        <w:tc>
          <w:tcPr>
            <w:tcW w:w="720" w:type="dxa"/>
            <w:tcBorders>
              <w:top w:val="nil"/>
              <w:left w:val="nil"/>
              <w:bottom w:val="single" w:sz="4" w:space="0" w:color="ADD6EA"/>
              <w:right w:val="nil"/>
            </w:tcBorders>
            <w:shd w:val="clear" w:color="000000" w:fill="FFFFFF"/>
            <w:vAlign w:val="center"/>
            <w:hideMark/>
          </w:tcPr>
          <w:p w14:paraId="37572F7E"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6,290</w:t>
            </w:r>
          </w:p>
        </w:tc>
        <w:tc>
          <w:tcPr>
            <w:tcW w:w="720" w:type="dxa"/>
            <w:tcBorders>
              <w:top w:val="nil"/>
              <w:left w:val="nil"/>
              <w:bottom w:val="single" w:sz="4" w:space="0" w:color="ADD6EA"/>
              <w:right w:val="nil"/>
            </w:tcBorders>
            <w:shd w:val="clear" w:color="000000" w:fill="FFFFFF"/>
            <w:vAlign w:val="center"/>
            <w:hideMark/>
          </w:tcPr>
          <w:p w14:paraId="26C5CF24"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4,006</w:t>
            </w:r>
          </w:p>
        </w:tc>
        <w:tc>
          <w:tcPr>
            <w:tcW w:w="720" w:type="dxa"/>
            <w:tcBorders>
              <w:top w:val="nil"/>
              <w:left w:val="nil"/>
              <w:bottom w:val="single" w:sz="4" w:space="0" w:color="ADD6EA"/>
              <w:right w:val="nil"/>
            </w:tcBorders>
            <w:shd w:val="clear" w:color="000000" w:fill="FFFFFF"/>
            <w:vAlign w:val="center"/>
            <w:hideMark/>
          </w:tcPr>
          <w:p w14:paraId="0DA84DCE"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17,605</w:t>
            </w:r>
          </w:p>
        </w:tc>
        <w:tc>
          <w:tcPr>
            <w:tcW w:w="720" w:type="dxa"/>
            <w:tcBorders>
              <w:top w:val="nil"/>
              <w:left w:val="nil"/>
              <w:bottom w:val="single" w:sz="4" w:space="0" w:color="ADD6EA"/>
              <w:right w:val="nil"/>
            </w:tcBorders>
            <w:shd w:val="clear" w:color="000000" w:fill="FFFFFF"/>
            <w:vAlign w:val="center"/>
            <w:hideMark/>
          </w:tcPr>
          <w:p w14:paraId="0CBD9462"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3,418</w:t>
            </w:r>
          </w:p>
        </w:tc>
      </w:tr>
      <w:tr w:rsidR="00B83519" w:rsidRPr="00B83519" w14:paraId="4B105779" w14:textId="77777777" w:rsidTr="00B83519">
        <w:trPr>
          <w:trHeight w:val="315"/>
        </w:trPr>
        <w:tc>
          <w:tcPr>
            <w:tcW w:w="2460" w:type="dxa"/>
            <w:tcBorders>
              <w:top w:val="single" w:sz="4" w:space="0" w:color="ADD6EA"/>
              <w:left w:val="nil"/>
              <w:bottom w:val="single" w:sz="4" w:space="0" w:color="ADD6EA"/>
              <w:right w:val="nil"/>
            </w:tcBorders>
            <w:shd w:val="clear" w:color="000000" w:fill="D6E7F0"/>
            <w:vAlign w:val="bottom"/>
            <w:hideMark/>
          </w:tcPr>
          <w:p w14:paraId="66790B74" w14:textId="77777777" w:rsidR="00B83519" w:rsidRPr="00B83519" w:rsidRDefault="00B83519" w:rsidP="00B83519">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Difference</w:t>
            </w:r>
          </w:p>
        </w:tc>
        <w:tc>
          <w:tcPr>
            <w:tcW w:w="720" w:type="dxa"/>
            <w:tcBorders>
              <w:top w:val="nil"/>
              <w:left w:val="nil"/>
              <w:bottom w:val="single" w:sz="4" w:space="0" w:color="ADD6EA"/>
              <w:right w:val="nil"/>
            </w:tcBorders>
            <w:shd w:val="clear" w:color="000000" w:fill="D6E7F0"/>
            <w:vAlign w:val="center"/>
            <w:hideMark/>
          </w:tcPr>
          <w:p w14:paraId="4CB95CB2"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109</w:t>
            </w:r>
          </w:p>
        </w:tc>
        <w:tc>
          <w:tcPr>
            <w:tcW w:w="720" w:type="dxa"/>
            <w:tcBorders>
              <w:top w:val="nil"/>
              <w:left w:val="nil"/>
              <w:bottom w:val="single" w:sz="4" w:space="0" w:color="ADD6EA"/>
              <w:right w:val="nil"/>
            </w:tcBorders>
            <w:shd w:val="clear" w:color="000000" w:fill="D6E7F0"/>
            <w:vAlign w:val="center"/>
            <w:hideMark/>
          </w:tcPr>
          <w:p w14:paraId="7E2606A8"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510</w:t>
            </w:r>
          </w:p>
        </w:tc>
        <w:tc>
          <w:tcPr>
            <w:tcW w:w="720" w:type="dxa"/>
            <w:tcBorders>
              <w:top w:val="nil"/>
              <w:left w:val="nil"/>
              <w:bottom w:val="single" w:sz="4" w:space="0" w:color="ADD6EA"/>
              <w:right w:val="nil"/>
            </w:tcBorders>
            <w:shd w:val="clear" w:color="000000" w:fill="D6E7F0"/>
            <w:vAlign w:val="center"/>
            <w:hideMark/>
          </w:tcPr>
          <w:p w14:paraId="13DA4DC0"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-208</w:t>
            </w:r>
          </w:p>
        </w:tc>
        <w:tc>
          <w:tcPr>
            <w:tcW w:w="720" w:type="dxa"/>
            <w:tcBorders>
              <w:top w:val="nil"/>
              <w:left w:val="nil"/>
              <w:bottom w:val="single" w:sz="4" w:space="0" w:color="ADD6EA"/>
              <w:right w:val="nil"/>
            </w:tcBorders>
            <w:shd w:val="clear" w:color="000000" w:fill="D6E7F0"/>
            <w:vAlign w:val="center"/>
            <w:hideMark/>
          </w:tcPr>
          <w:p w14:paraId="38E575D3"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129</w:t>
            </w:r>
          </w:p>
        </w:tc>
        <w:tc>
          <w:tcPr>
            <w:tcW w:w="720" w:type="dxa"/>
            <w:tcBorders>
              <w:top w:val="nil"/>
              <w:left w:val="nil"/>
              <w:bottom w:val="single" w:sz="4" w:space="0" w:color="ADD6EA"/>
              <w:right w:val="nil"/>
            </w:tcBorders>
            <w:shd w:val="clear" w:color="000000" w:fill="D6E7F0"/>
            <w:vAlign w:val="center"/>
            <w:hideMark/>
          </w:tcPr>
          <w:p w14:paraId="55E5E689"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147</w:t>
            </w:r>
          </w:p>
        </w:tc>
        <w:tc>
          <w:tcPr>
            <w:tcW w:w="720" w:type="dxa"/>
            <w:tcBorders>
              <w:top w:val="nil"/>
              <w:left w:val="nil"/>
              <w:bottom w:val="single" w:sz="4" w:space="0" w:color="ADD6EA"/>
              <w:right w:val="nil"/>
            </w:tcBorders>
            <w:shd w:val="clear" w:color="000000" w:fill="D6E7F0"/>
            <w:vAlign w:val="center"/>
            <w:hideMark/>
          </w:tcPr>
          <w:p w14:paraId="6FC9E92A"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261</w:t>
            </w:r>
          </w:p>
        </w:tc>
        <w:tc>
          <w:tcPr>
            <w:tcW w:w="720" w:type="dxa"/>
            <w:tcBorders>
              <w:top w:val="nil"/>
              <w:left w:val="nil"/>
              <w:bottom w:val="single" w:sz="4" w:space="0" w:color="ADD6EA"/>
              <w:right w:val="nil"/>
            </w:tcBorders>
            <w:shd w:val="clear" w:color="000000" w:fill="D6E7F0"/>
            <w:vAlign w:val="center"/>
            <w:hideMark/>
          </w:tcPr>
          <w:p w14:paraId="3002D078"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73</w:t>
            </w:r>
          </w:p>
        </w:tc>
        <w:tc>
          <w:tcPr>
            <w:tcW w:w="720" w:type="dxa"/>
            <w:tcBorders>
              <w:top w:val="nil"/>
              <w:left w:val="nil"/>
              <w:bottom w:val="single" w:sz="4" w:space="0" w:color="ADD6EA"/>
              <w:right w:val="nil"/>
            </w:tcBorders>
            <w:shd w:val="clear" w:color="000000" w:fill="D6E7F0"/>
            <w:vAlign w:val="center"/>
            <w:hideMark/>
          </w:tcPr>
          <w:p w14:paraId="770447C2"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966</w:t>
            </w:r>
          </w:p>
        </w:tc>
        <w:tc>
          <w:tcPr>
            <w:tcW w:w="720" w:type="dxa"/>
            <w:tcBorders>
              <w:top w:val="nil"/>
              <w:left w:val="nil"/>
              <w:bottom w:val="single" w:sz="4" w:space="0" w:color="ADD6EA"/>
              <w:right w:val="nil"/>
            </w:tcBorders>
            <w:shd w:val="clear" w:color="000000" w:fill="D6E7F0"/>
            <w:vAlign w:val="center"/>
            <w:hideMark/>
          </w:tcPr>
          <w:p w14:paraId="7A41D835"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162</w:t>
            </w:r>
          </w:p>
        </w:tc>
      </w:tr>
    </w:tbl>
    <w:p w14:paraId="4EB9C381" w14:textId="2871BBB5" w:rsidR="00B06E77" w:rsidRPr="00E95564" w:rsidRDefault="00B06E77" w:rsidP="00A80D85">
      <w:pPr>
        <w:pStyle w:val="CGC2025TableNote"/>
        <w:rPr>
          <w:color w:val="FF0000"/>
        </w:rPr>
      </w:pPr>
      <w:r w:rsidRPr="00E95564">
        <w:t>Note:</w:t>
      </w:r>
      <w:r w:rsidR="0066686F">
        <w:tab/>
      </w:r>
      <w:r w:rsidR="005D7292">
        <w:tab/>
      </w:r>
      <w:r w:rsidRPr="00E95564">
        <w:t xml:space="preserve">Estimates subject to </w:t>
      </w:r>
      <w:r w:rsidRPr="007E2836">
        <w:t>changes</w:t>
      </w:r>
      <w:r w:rsidRPr="00E95564">
        <w:t xml:space="preserve"> in the GST pool and populations. </w:t>
      </w:r>
    </w:p>
    <w:p w14:paraId="0012CAFC" w14:textId="04360BDC" w:rsidR="00920596" w:rsidRPr="002B0665" w:rsidRDefault="00920596" w:rsidP="005D7292">
      <w:pPr>
        <w:pStyle w:val="CGC2025TableNote"/>
        <w:ind w:left="680" w:hanging="567"/>
      </w:pPr>
      <w:r w:rsidRPr="00FD2225">
        <w:t>Source:</w:t>
      </w:r>
      <w:r w:rsidR="005D7292">
        <w:tab/>
      </w:r>
      <w:r w:rsidRPr="00A32992">
        <w:t xml:space="preserve">2024–25 and 2025–26 GST pool estimates and 2024–25 population estimates were taken from the </w:t>
      </w:r>
      <w:hyperlink r:id="rId25" w:history="1">
        <w:r w:rsidRPr="00A32992">
          <w:rPr>
            <w:rStyle w:val="Hyperlink"/>
            <w:i/>
          </w:rPr>
          <w:t>Mid</w:t>
        </w:r>
        <w:r w:rsidRPr="00A32992">
          <w:rPr>
            <w:rStyle w:val="Hyperlink"/>
            <w:i/>
          </w:rPr>
          <w:noBreakHyphen/>
          <w:t>Year Economic</w:t>
        </w:r>
        <w:r>
          <w:rPr>
            <w:rStyle w:val="Hyperlink"/>
            <w:i/>
          </w:rPr>
          <w:t> </w:t>
        </w:r>
        <w:r w:rsidRPr="00A32992">
          <w:rPr>
            <w:rStyle w:val="Hyperlink"/>
            <w:i/>
          </w:rPr>
          <w:t>and Fiscal Outlook 2024–25</w:t>
        </w:r>
      </w:hyperlink>
      <w:r w:rsidRPr="00A32992">
        <w:t>. 2025–26 population estimates were provided by the Commonwealth</w:t>
      </w:r>
      <w:r>
        <w:t> </w:t>
      </w:r>
      <w:r w:rsidRPr="00A32992">
        <w:t>Treasury.</w:t>
      </w:r>
    </w:p>
    <w:p w14:paraId="54033937" w14:textId="77777777" w:rsidR="00E53DF1" w:rsidRDefault="00E53DF1" w:rsidP="00E53DF1">
      <w:r w:rsidRPr="00FA7C1D">
        <w:t>Victoria is estimated to receive a significant increase in its GST distribution (</w:t>
      </w:r>
      <w:r w:rsidRPr="00FA7C1D" w:rsidDel="00B155DB">
        <w:t>$</w:t>
      </w:r>
      <w:r w:rsidRPr="00FA7C1D">
        <w:t>3.7 billion) in 2025–26, corresponding to a $510 per capita increase. The Northern Territory is estimated to receive a significant increase in per capita terms ($966 per capita). Queensland is the only state estimated to receive a decrease in GST distribution ($1.2 billion) compared with 2024–25, corresponding to a $208 per capita decrease.</w:t>
      </w:r>
      <w:r>
        <w:t xml:space="preserve"> </w:t>
      </w:r>
    </w:p>
    <w:p w14:paraId="1AB6C6C1" w14:textId="77777777" w:rsidR="00E53DF1" w:rsidRPr="00386E48" w:rsidRDefault="00E53DF1" w:rsidP="00E53DF1">
      <w:r w:rsidRPr="007648EF">
        <w:t>The overall payments to the states will include no worse off payments</w:t>
      </w:r>
      <w:r>
        <w:t>,</w:t>
      </w:r>
      <w:r w:rsidRPr="007648EF">
        <w:t xml:space="preserve"> which ensure no state is worse off than it would have been </w:t>
      </w:r>
      <w:r>
        <w:t>without</w:t>
      </w:r>
      <w:r w:rsidRPr="007648EF">
        <w:t xml:space="preserve"> the </w:t>
      </w:r>
      <w:r>
        <w:t xml:space="preserve">2018 </w:t>
      </w:r>
      <w:r w:rsidRPr="007648EF">
        <w:t xml:space="preserve">GST distribution legislation. </w:t>
      </w:r>
      <w:r>
        <w:t xml:space="preserve">This is discussed later in this chapter.  </w:t>
      </w:r>
    </w:p>
    <w:p w14:paraId="70F39E12" w14:textId="77777777" w:rsidR="00E53DF1" w:rsidRPr="00386E48" w:rsidRDefault="00E53DF1" w:rsidP="00E53DF1">
      <w:r w:rsidRPr="003949F6">
        <w:t>Attachment A</w:t>
      </w:r>
      <w:r>
        <w:t xml:space="preserve"> provides further details on how GST relativities are calculated.</w:t>
      </w:r>
    </w:p>
    <w:p w14:paraId="52834E94" w14:textId="77777777" w:rsidR="003651F5" w:rsidRPr="00307453" w:rsidRDefault="003651F5" w:rsidP="009F510E">
      <w:pPr>
        <w:pStyle w:val="Heading2"/>
      </w:pPr>
      <w:bookmarkStart w:id="89" w:name="_Toc127802167"/>
      <w:bookmarkStart w:id="90" w:name="_Toc127804790"/>
      <w:r w:rsidRPr="00307453">
        <w:t>Movements in the GST distribution</w:t>
      </w:r>
      <w:bookmarkEnd w:id="89"/>
      <w:bookmarkEnd w:id="90"/>
    </w:p>
    <w:p w14:paraId="6206C71E" w14:textId="77777777" w:rsidR="0050773A" w:rsidRDefault="0050773A" w:rsidP="0050773A">
      <w:r w:rsidRPr="009F34CE">
        <w:t>Table 1</w:t>
      </w:r>
      <w:r>
        <w:softHyphen/>
      </w:r>
      <w:r>
        <w:noBreakHyphen/>
        <w:t>2</w:t>
      </w:r>
      <w:r w:rsidRPr="009F34CE">
        <w:t xml:space="preserve"> shows</w:t>
      </w:r>
      <w:r>
        <w:t xml:space="preserve"> the estimated change in GST distribution from changes to population shares, the GST pool and GST relativities between 2024–25 and 2025–26.</w:t>
      </w:r>
    </w:p>
    <w:p w14:paraId="50BEFAD5" w14:textId="77777777" w:rsidR="006A5C5C" w:rsidRDefault="006A5C5C">
      <w:pPr>
        <w:tabs>
          <w:tab w:val="clear" w:pos="567"/>
        </w:tabs>
        <w:spacing w:before="0" w:after="200" w:line="276" w:lineRule="auto"/>
        <w:rPr>
          <w:b/>
        </w:rPr>
      </w:pPr>
      <w:r>
        <w:br w:type="page"/>
      </w:r>
    </w:p>
    <w:p w14:paraId="6AE9E26E" w14:textId="34197C36" w:rsidR="009F510E" w:rsidRPr="00307453" w:rsidRDefault="009F510E" w:rsidP="00763C59">
      <w:pPr>
        <w:pStyle w:val="CGC2025Caption"/>
        <w:ind w:left="1440" w:hanging="1440"/>
      </w:pPr>
      <w:r w:rsidRPr="00307453">
        <w:lastRenderedPageBreak/>
        <w:t>Table 1-2</w:t>
      </w:r>
      <w:r w:rsidRPr="00307453">
        <w:tab/>
        <w:t>Change in GST distribution, 2024–25 to 2025–26 (excludes no worse off payments)</w:t>
      </w:r>
    </w:p>
    <w:tbl>
      <w:tblPr>
        <w:tblW w:w="8940" w:type="dxa"/>
        <w:tblLook w:val="04A0" w:firstRow="1" w:lastRow="0" w:firstColumn="1" w:lastColumn="0" w:noHBand="0" w:noVBand="1"/>
      </w:tblPr>
      <w:tblGrid>
        <w:gridCol w:w="2608"/>
        <w:gridCol w:w="708"/>
        <w:gridCol w:w="708"/>
        <w:gridCol w:w="708"/>
        <w:gridCol w:w="700"/>
        <w:gridCol w:w="700"/>
        <w:gridCol w:w="700"/>
        <w:gridCol w:w="700"/>
        <w:gridCol w:w="700"/>
        <w:gridCol w:w="708"/>
      </w:tblGrid>
      <w:tr w:rsidR="00B83519" w:rsidRPr="00B83519" w14:paraId="4EAE7C1B" w14:textId="77777777" w:rsidTr="00B83519">
        <w:trPr>
          <w:trHeight w:val="379"/>
        </w:trPr>
        <w:tc>
          <w:tcPr>
            <w:tcW w:w="2640" w:type="dxa"/>
            <w:tcBorders>
              <w:top w:val="nil"/>
              <w:left w:val="nil"/>
              <w:bottom w:val="nil"/>
              <w:right w:val="nil"/>
            </w:tcBorders>
            <w:shd w:val="clear" w:color="000000" w:fill="006991"/>
            <w:vAlign w:val="center"/>
            <w:hideMark/>
          </w:tcPr>
          <w:p w14:paraId="665A8399" w14:textId="77777777" w:rsidR="00B83519" w:rsidRPr="00B83519" w:rsidRDefault="00B83519" w:rsidP="00B83519">
            <w:pPr>
              <w:tabs>
                <w:tab w:val="clear" w:pos="567"/>
              </w:tabs>
              <w:spacing w:before="0" w:line="240" w:lineRule="auto"/>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 </w:t>
            </w:r>
          </w:p>
        </w:tc>
        <w:tc>
          <w:tcPr>
            <w:tcW w:w="700" w:type="dxa"/>
            <w:tcBorders>
              <w:top w:val="nil"/>
              <w:left w:val="nil"/>
              <w:bottom w:val="nil"/>
              <w:right w:val="nil"/>
            </w:tcBorders>
            <w:shd w:val="clear" w:color="000000" w:fill="006991"/>
            <w:vAlign w:val="center"/>
            <w:hideMark/>
          </w:tcPr>
          <w:p w14:paraId="3977622B"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NSW</w:t>
            </w:r>
          </w:p>
        </w:tc>
        <w:tc>
          <w:tcPr>
            <w:tcW w:w="700" w:type="dxa"/>
            <w:tcBorders>
              <w:top w:val="nil"/>
              <w:left w:val="nil"/>
              <w:bottom w:val="nil"/>
              <w:right w:val="nil"/>
            </w:tcBorders>
            <w:shd w:val="clear" w:color="000000" w:fill="006991"/>
            <w:vAlign w:val="center"/>
            <w:hideMark/>
          </w:tcPr>
          <w:p w14:paraId="33FDE071"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Vic</w:t>
            </w:r>
          </w:p>
        </w:tc>
        <w:tc>
          <w:tcPr>
            <w:tcW w:w="700" w:type="dxa"/>
            <w:tcBorders>
              <w:top w:val="nil"/>
              <w:left w:val="nil"/>
              <w:bottom w:val="nil"/>
              <w:right w:val="nil"/>
            </w:tcBorders>
            <w:shd w:val="clear" w:color="000000" w:fill="006991"/>
            <w:vAlign w:val="center"/>
            <w:hideMark/>
          </w:tcPr>
          <w:p w14:paraId="2D981A35"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Qld</w:t>
            </w:r>
          </w:p>
        </w:tc>
        <w:tc>
          <w:tcPr>
            <w:tcW w:w="700" w:type="dxa"/>
            <w:tcBorders>
              <w:top w:val="nil"/>
              <w:left w:val="nil"/>
              <w:bottom w:val="nil"/>
              <w:right w:val="nil"/>
            </w:tcBorders>
            <w:shd w:val="clear" w:color="000000" w:fill="006991"/>
            <w:vAlign w:val="center"/>
            <w:hideMark/>
          </w:tcPr>
          <w:p w14:paraId="3F321DD9"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WA</w:t>
            </w:r>
          </w:p>
        </w:tc>
        <w:tc>
          <w:tcPr>
            <w:tcW w:w="700" w:type="dxa"/>
            <w:tcBorders>
              <w:top w:val="nil"/>
              <w:left w:val="nil"/>
              <w:bottom w:val="nil"/>
              <w:right w:val="nil"/>
            </w:tcBorders>
            <w:shd w:val="clear" w:color="000000" w:fill="006991"/>
            <w:vAlign w:val="center"/>
            <w:hideMark/>
          </w:tcPr>
          <w:p w14:paraId="00AFE953"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SA</w:t>
            </w:r>
          </w:p>
        </w:tc>
        <w:tc>
          <w:tcPr>
            <w:tcW w:w="700" w:type="dxa"/>
            <w:tcBorders>
              <w:top w:val="nil"/>
              <w:left w:val="nil"/>
              <w:bottom w:val="nil"/>
              <w:right w:val="nil"/>
            </w:tcBorders>
            <w:shd w:val="clear" w:color="000000" w:fill="006991"/>
            <w:vAlign w:val="center"/>
            <w:hideMark/>
          </w:tcPr>
          <w:p w14:paraId="7796C04F"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Tas</w:t>
            </w:r>
          </w:p>
        </w:tc>
        <w:tc>
          <w:tcPr>
            <w:tcW w:w="700" w:type="dxa"/>
            <w:tcBorders>
              <w:top w:val="nil"/>
              <w:left w:val="nil"/>
              <w:bottom w:val="nil"/>
              <w:right w:val="nil"/>
            </w:tcBorders>
            <w:shd w:val="clear" w:color="000000" w:fill="006991"/>
            <w:vAlign w:val="center"/>
            <w:hideMark/>
          </w:tcPr>
          <w:p w14:paraId="6D5C8884"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ACT</w:t>
            </w:r>
          </w:p>
        </w:tc>
        <w:tc>
          <w:tcPr>
            <w:tcW w:w="700" w:type="dxa"/>
            <w:tcBorders>
              <w:top w:val="nil"/>
              <w:left w:val="nil"/>
              <w:bottom w:val="nil"/>
              <w:right w:val="nil"/>
            </w:tcBorders>
            <w:shd w:val="clear" w:color="000000" w:fill="006991"/>
            <w:vAlign w:val="center"/>
            <w:hideMark/>
          </w:tcPr>
          <w:p w14:paraId="11EE120A"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NT</w:t>
            </w:r>
          </w:p>
        </w:tc>
        <w:tc>
          <w:tcPr>
            <w:tcW w:w="700" w:type="dxa"/>
            <w:tcBorders>
              <w:top w:val="nil"/>
              <w:left w:val="nil"/>
              <w:bottom w:val="nil"/>
              <w:right w:val="nil"/>
            </w:tcBorders>
            <w:shd w:val="clear" w:color="000000" w:fill="006991"/>
            <w:vAlign w:val="center"/>
            <w:hideMark/>
          </w:tcPr>
          <w:p w14:paraId="7536B444"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83519">
              <w:rPr>
                <w:rFonts w:ascii="Open Sans Semibold" w:eastAsia="Times New Roman" w:hAnsi="Open Sans Semibold" w:cs="Open Sans Semibold"/>
                <w:color w:val="FFFFFF"/>
                <w:sz w:val="16"/>
                <w:szCs w:val="16"/>
                <w:lang w:eastAsia="en-AU"/>
              </w:rPr>
              <w:t>Total</w:t>
            </w:r>
          </w:p>
        </w:tc>
      </w:tr>
      <w:tr w:rsidR="00B83519" w:rsidRPr="00B83519" w14:paraId="5E8BDB9A" w14:textId="77777777" w:rsidTr="00B83519">
        <w:trPr>
          <w:trHeight w:val="259"/>
        </w:trPr>
        <w:tc>
          <w:tcPr>
            <w:tcW w:w="2640" w:type="dxa"/>
            <w:tcBorders>
              <w:top w:val="single" w:sz="4" w:space="0" w:color="ADD6EA"/>
              <w:left w:val="nil"/>
              <w:bottom w:val="nil"/>
              <w:right w:val="nil"/>
            </w:tcBorders>
            <w:shd w:val="clear" w:color="000000" w:fill="B6D5E4"/>
            <w:vAlign w:val="center"/>
            <w:hideMark/>
          </w:tcPr>
          <w:p w14:paraId="16DBE4C3" w14:textId="77777777" w:rsidR="00B83519" w:rsidRPr="00B83519" w:rsidRDefault="00B83519" w:rsidP="00B83519">
            <w:pPr>
              <w:tabs>
                <w:tab w:val="clear" w:pos="567"/>
              </w:tabs>
              <w:spacing w:before="0" w:line="240" w:lineRule="auto"/>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noWrap/>
            <w:vAlign w:val="center"/>
            <w:hideMark/>
          </w:tcPr>
          <w:p w14:paraId="0CE3D539"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center"/>
            <w:hideMark/>
          </w:tcPr>
          <w:p w14:paraId="1B77B105"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center"/>
            <w:hideMark/>
          </w:tcPr>
          <w:p w14:paraId="59CEC0F7"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center"/>
            <w:hideMark/>
          </w:tcPr>
          <w:p w14:paraId="6BCDADC0"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center"/>
            <w:hideMark/>
          </w:tcPr>
          <w:p w14:paraId="4C8F9FC7"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center"/>
            <w:hideMark/>
          </w:tcPr>
          <w:p w14:paraId="3CF1670A"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center"/>
            <w:hideMark/>
          </w:tcPr>
          <w:p w14:paraId="140ACAFE"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center"/>
            <w:hideMark/>
          </w:tcPr>
          <w:p w14:paraId="7D1A3C60"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center"/>
            <w:hideMark/>
          </w:tcPr>
          <w:p w14:paraId="728B215D"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$m</w:t>
            </w:r>
          </w:p>
        </w:tc>
      </w:tr>
      <w:tr w:rsidR="00B83519" w:rsidRPr="00B83519" w14:paraId="2A32F53A" w14:textId="77777777" w:rsidTr="00B83519">
        <w:trPr>
          <w:trHeight w:val="315"/>
        </w:trPr>
        <w:tc>
          <w:tcPr>
            <w:tcW w:w="2640" w:type="dxa"/>
            <w:tcBorders>
              <w:top w:val="single" w:sz="4" w:space="0" w:color="ADD6EA"/>
              <w:left w:val="nil"/>
              <w:bottom w:val="nil"/>
              <w:right w:val="nil"/>
            </w:tcBorders>
            <w:shd w:val="clear" w:color="auto" w:fill="auto"/>
            <w:vAlign w:val="center"/>
            <w:hideMark/>
          </w:tcPr>
          <w:p w14:paraId="367495A9" w14:textId="77777777" w:rsidR="00B83519" w:rsidRPr="00B83519" w:rsidRDefault="00B83519" w:rsidP="00B83519">
            <w:pPr>
              <w:tabs>
                <w:tab w:val="clear" w:pos="567"/>
              </w:tabs>
              <w:spacing w:before="0" w:line="240" w:lineRule="auto"/>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Estimated 2024-25 distribution</w:t>
            </w:r>
          </w:p>
        </w:tc>
        <w:tc>
          <w:tcPr>
            <w:tcW w:w="700" w:type="dxa"/>
            <w:tcBorders>
              <w:top w:val="single" w:sz="4" w:space="0" w:color="ADD6EA"/>
              <w:left w:val="nil"/>
              <w:bottom w:val="nil"/>
              <w:right w:val="nil"/>
            </w:tcBorders>
            <w:shd w:val="clear" w:color="auto" w:fill="auto"/>
            <w:vAlign w:val="center"/>
            <w:hideMark/>
          </w:tcPr>
          <w:p w14:paraId="319E51C2"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24,540</w:t>
            </w:r>
          </w:p>
        </w:tc>
        <w:tc>
          <w:tcPr>
            <w:tcW w:w="700" w:type="dxa"/>
            <w:tcBorders>
              <w:top w:val="single" w:sz="4" w:space="0" w:color="ADD6EA"/>
              <w:left w:val="nil"/>
              <w:bottom w:val="nil"/>
              <w:right w:val="nil"/>
            </w:tcBorders>
            <w:shd w:val="clear" w:color="auto" w:fill="auto"/>
            <w:vAlign w:val="center"/>
            <w:hideMark/>
          </w:tcPr>
          <w:p w14:paraId="21B33F64"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22,491</w:t>
            </w:r>
          </w:p>
        </w:tc>
        <w:tc>
          <w:tcPr>
            <w:tcW w:w="700" w:type="dxa"/>
            <w:tcBorders>
              <w:top w:val="single" w:sz="4" w:space="0" w:color="ADD6EA"/>
              <w:left w:val="nil"/>
              <w:bottom w:val="nil"/>
              <w:right w:val="nil"/>
            </w:tcBorders>
            <w:shd w:val="clear" w:color="auto" w:fill="auto"/>
            <w:vAlign w:val="center"/>
            <w:hideMark/>
          </w:tcPr>
          <w:p w14:paraId="7493B6D7"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17,751</w:t>
            </w:r>
          </w:p>
        </w:tc>
        <w:tc>
          <w:tcPr>
            <w:tcW w:w="700" w:type="dxa"/>
            <w:tcBorders>
              <w:top w:val="single" w:sz="4" w:space="0" w:color="ADD6EA"/>
              <w:left w:val="nil"/>
              <w:bottom w:val="nil"/>
              <w:right w:val="nil"/>
            </w:tcBorders>
            <w:shd w:val="clear" w:color="auto" w:fill="auto"/>
            <w:vAlign w:val="center"/>
            <w:hideMark/>
          </w:tcPr>
          <w:p w14:paraId="61DA5C4D"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7,435</w:t>
            </w:r>
          </w:p>
        </w:tc>
        <w:tc>
          <w:tcPr>
            <w:tcW w:w="700" w:type="dxa"/>
            <w:tcBorders>
              <w:top w:val="single" w:sz="4" w:space="0" w:color="ADD6EA"/>
              <w:left w:val="nil"/>
              <w:bottom w:val="nil"/>
              <w:right w:val="nil"/>
            </w:tcBorders>
            <w:shd w:val="clear" w:color="auto" w:fill="auto"/>
            <w:vAlign w:val="center"/>
            <w:hideMark/>
          </w:tcPr>
          <w:p w14:paraId="1113DC1A"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8,753</w:t>
            </w:r>
          </w:p>
        </w:tc>
        <w:tc>
          <w:tcPr>
            <w:tcW w:w="700" w:type="dxa"/>
            <w:tcBorders>
              <w:top w:val="single" w:sz="4" w:space="0" w:color="ADD6EA"/>
              <w:left w:val="nil"/>
              <w:bottom w:val="nil"/>
              <w:right w:val="nil"/>
            </w:tcBorders>
            <w:shd w:val="clear" w:color="auto" w:fill="auto"/>
            <w:vAlign w:val="center"/>
            <w:hideMark/>
          </w:tcPr>
          <w:p w14:paraId="41EF9B06"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3,484</w:t>
            </w:r>
          </w:p>
        </w:tc>
        <w:tc>
          <w:tcPr>
            <w:tcW w:w="700" w:type="dxa"/>
            <w:tcBorders>
              <w:top w:val="single" w:sz="4" w:space="0" w:color="ADD6EA"/>
              <w:left w:val="nil"/>
              <w:bottom w:val="nil"/>
              <w:right w:val="nil"/>
            </w:tcBorders>
            <w:shd w:val="clear" w:color="auto" w:fill="auto"/>
            <w:vAlign w:val="center"/>
            <w:hideMark/>
          </w:tcPr>
          <w:p w14:paraId="201B1D42"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1,899</w:t>
            </w:r>
          </w:p>
        </w:tc>
        <w:tc>
          <w:tcPr>
            <w:tcW w:w="700" w:type="dxa"/>
            <w:tcBorders>
              <w:top w:val="single" w:sz="4" w:space="0" w:color="ADD6EA"/>
              <w:left w:val="nil"/>
              <w:bottom w:val="nil"/>
              <w:right w:val="nil"/>
            </w:tcBorders>
            <w:shd w:val="clear" w:color="auto" w:fill="auto"/>
            <w:vAlign w:val="center"/>
            <w:hideMark/>
          </w:tcPr>
          <w:p w14:paraId="4B3E2BEA"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4,279</w:t>
            </w:r>
          </w:p>
        </w:tc>
        <w:tc>
          <w:tcPr>
            <w:tcW w:w="700" w:type="dxa"/>
            <w:tcBorders>
              <w:top w:val="single" w:sz="4" w:space="0" w:color="ADD6EA"/>
              <w:left w:val="nil"/>
              <w:bottom w:val="nil"/>
              <w:right w:val="nil"/>
            </w:tcBorders>
            <w:shd w:val="clear" w:color="auto" w:fill="auto"/>
            <w:vAlign w:val="center"/>
            <w:hideMark/>
          </w:tcPr>
          <w:p w14:paraId="2B27A007"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90,631</w:t>
            </w:r>
          </w:p>
        </w:tc>
      </w:tr>
      <w:tr w:rsidR="00B83519" w:rsidRPr="00B83519" w14:paraId="12086852" w14:textId="77777777" w:rsidTr="00B83519">
        <w:trPr>
          <w:trHeight w:val="315"/>
        </w:trPr>
        <w:tc>
          <w:tcPr>
            <w:tcW w:w="2640" w:type="dxa"/>
            <w:tcBorders>
              <w:top w:val="single" w:sz="4" w:space="0" w:color="ADD6EA"/>
              <w:left w:val="nil"/>
              <w:bottom w:val="nil"/>
              <w:right w:val="nil"/>
            </w:tcBorders>
            <w:shd w:val="clear" w:color="auto" w:fill="auto"/>
            <w:vAlign w:val="center"/>
            <w:hideMark/>
          </w:tcPr>
          <w:p w14:paraId="7FF66CE3" w14:textId="77777777" w:rsidR="00B83519" w:rsidRPr="00B83519" w:rsidRDefault="00B83519" w:rsidP="00B83519">
            <w:pPr>
              <w:tabs>
                <w:tab w:val="clear" w:pos="567"/>
              </w:tabs>
              <w:spacing w:before="0" w:line="240" w:lineRule="auto"/>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Estimated 2025-26 distribution</w:t>
            </w:r>
          </w:p>
        </w:tc>
        <w:tc>
          <w:tcPr>
            <w:tcW w:w="700" w:type="dxa"/>
            <w:tcBorders>
              <w:top w:val="single" w:sz="4" w:space="0" w:color="ADD6EA"/>
              <w:left w:val="nil"/>
              <w:bottom w:val="nil"/>
              <w:right w:val="nil"/>
            </w:tcBorders>
            <w:shd w:val="clear" w:color="auto" w:fill="auto"/>
            <w:vAlign w:val="center"/>
            <w:hideMark/>
          </w:tcPr>
          <w:p w14:paraId="2BBC30DC"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25,482</w:t>
            </w:r>
          </w:p>
        </w:tc>
        <w:tc>
          <w:tcPr>
            <w:tcW w:w="700" w:type="dxa"/>
            <w:tcBorders>
              <w:top w:val="single" w:sz="4" w:space="0" w:color="ADD6EA"/>
              <w:left w:val="nil"/>
              <w:bottom w:val="nil"/>
              <w:right w:val="nil"/>
            </w:tcBorders>
            <w:shd w:val="clear" w:color="auto" w:fill="auto"/>
            <w:vAlign w:val="center"/>
            <w:hideMark/>
          </w:tcPr>
          <w:p w14:paraId="6DAB2D14"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26,147</w:t>
            </w:r>
          </w:p>
        </w:tc>
        <w:tc>
          <w:tcPr>
            <w:tcW w:w="700" w:type="dxa"/>
            <w:tcBorders>
              <w:top w:val="single" w:sz="4" w:space="0" w:color="ADD6EA"/>
              <w:left w:val="nil"/>
              <w:bottom w:val="nil"/>
              <w:right w:val="nil"/>
            </w:tcBorders>
            <w:shd w:val="clear" w:color="auto" w:fill="auto"/>
            <w:vAlign w:val="center"/>
            <w:hideMark/>
          </w:tcPr>
          <w:p w14:paraId="5AED4B34"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16,562</w:t>
            </w:r>
          </w:p>
        </w:tc>
        <w:tc>
          <w:tcPr>
            <w:tcW w:w="700" w:type="dxa"/>
            <w:tcBorders>
              <w:top w:val="single" w:sz="4" w:space="0" w:color="ADD6EA"/>
              <w:left w:val="nil"/>
              <w:bottom w:val="nil"/>
              <w:right w:val="nil"/>
            </w:tcBorders>
            <w:shd w:val="clear" w:color="auto" w:fill="auto"/>
            <w:vAlign w:val="center"/>
            <w:hideMark/>
          </w:tcPr>
          <w:p w14:paraId="5C6AFC4E"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7,830</w:t>
            </w:r>
          </w:p>
        </w:tc>
        <w:tc>
          <w:tcPr>
            <w:tcW w:w="700" w:type="dxa"/>
            <w:tcBorders>
              <w:top w:val="single" w:sz="4" w:space="0" w:color="ADD6EA"/>
              <w:left w:val="nil"/>
              <w:bottom w:val="nil"/>
              <w:right w:val="nil"/>
            </w:tcBorders>
            <w:shd w:val="clear" w:color="auto" w:fill="auto"/>
            <w:vAlign w:val="center"/>
            <w:hideMark/>
          </w:tcPr>
          <w:p w14:paraId="0F5E2431"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9,032</w:t>
            </w:r>
          </w:p>
        </w:tc>
        <w:tc>
          <w:tcPr>
            <w:tcW w:w="700" w:type="dxa"/>
            <w:tcBorders>
              <w:top w:val="single" w:sz="4" w:space="0" w:color="ADD6EA"/>
              <w:left w:val="nil"/>
              <w:bottom w:val="nil"/>
              <w:right w:val="nil"/>
            </w:tcBorders>
            <w:shd w:val="clear" w:color="auto" w:fill="auto"/>
            <w:vAlign w:val="center"/>
            <w:hideMark/>
          </w:tcPr>
          <w:p w14:paraId="299F15D6"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3,635</w:t>
            </w:r>
          </w:p>
        </w:tc>
        <w:tc>
          <w:tcPr>
            <w:tcW w:w="700" w:type="dxa"/>
            <w:tcBorders>
              <w:top w:val="single" w:sz="4" w:space="0" w:color="ADD6EA"/>
              <w:left w:val="nil"/>
              <w:bottom w:val="nil"/>
              <w:right w:val="nil"/>
            </w:tcBorders>
            <w:shd w:val="clear" w:color="auto" w:fill="auto"/>
            <w:vAlign w:val="center"/>
            <w:hideMark/>
          </w:tcPr>
          <w:p w14:paraId="571588C2"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1,934</w:t>
            </w:r>
          </w:p>
        </w:tc>
        <w:tc>
          <w:tcPr>
            <w:tcW w:w="700" w:type="dxa"/>
            <w:tcBorders>
              <w:top w:val="single" w:sz="4" w:space="0" w:color="ADD6EA"/>
              <w:left w:val="nil"/>
              <w:bottom w:val="nil"/>
              <w:right w:val="nil"/>
            </w:tcBorders>
            <w:shd w:val="clear" w:color="auto" w:fill="auto"/>
            <w:vAlign w:val="center"/>
            <w:hideMark/>
          </w:tcPr>
          <w:p w14:paraId="702C6865"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4,527</w:t>
            </w:r>
          </w:p>
        </w:tc>
        <w:tc>
          <w:tcPr>
            <w:tcW w:w="700" w:type="dxa"/>
            <w:tcBorders>
              <w:top w:val="single" w:sz="4" w:space="0" w:color="ADD6EA"/>
              <w:left w:val="nil"/>
              <w:bottom w:val="nil"/>
              <w:right w:val="nil"/>
            </w:tcBorders>
            <w:shd w:val="clear" w:color="auto" w:fill="auto"/>
            <w:vAlign w:val="center"/>
            <w:hideMark/>
          </w:tcPr>
          <w:p w14:paraId="72ADD66F"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95,150</w:t>
            </w:r>
          </w:p>
        </w:tc>
      </w:tr>
      <w:tr w:rsidR="00B83519" w:rsidRPr="00B83519" w14:paraId="7CE99DBB" w14:textId="77777777" w:rsidTr="00B83519">
        <w:trPr>
          <w:trHeight w:val="315"/>
        </w:trPr>
        <w:tc>
          <w:tcPr>
            <w:tcW w:w="2640" w:type="dxa"/>
            <w:tcBorders>
              <w:top w:val="single" w:sz="4" w:space="0" w:color="ADD6EA"/>
              <w:left w:val="nil"/>
              <w:bottom w:val="nil"/>
              <w:right w:val="nil"/>
            </w:tcBorders>
            <w:shd w:val="clear" w:color="auto" w:fill="auto"/>
            <w:vAlign w:val="center"/>
            <w:hideMark/>
          </w:tcPr>
          <w:p w14:paraId="6796DF56" w14:textId="77777777" w:rsidR="00B83519" w:rsidRPr="00B83519" w:rsidRDefault="00B83519" w:rsidP="00B83519">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Change caused by new:</w:t>
            </w:r>
          </w:p>
        </w:tc>
        <w:tc>
          <w:tcPr>
            <w:tcW w:w="700" w:type="dxa"/>
            <w:tcBorders>
              <w:top w:val="single" w:sz="4" w:space="0" w:color="ADD6EA"/>
              <w:left w:val="nil"/>
              <w:bottom w:val="nil"/>
              <w:right w:val="nil"/>
            </w:tcBorders>
            <w:shd w:val="clear" w:color="auto" w:fill="auto"/>
            <w:vAlign w:val="center"/>
            <w:hideMark/>
          </w:tcPr>
          <w:p w14:paraId="2202E65F"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 </w:t>
            </w:r>
          </w:p>
        </w:tc>
        <w:tc>
          <w:tcPr>
            <w:tcW w:w="700" w:type="dxa"/>
            <w:tcBorders>
              <w:top w:val="single" w:sz="4" w:space="0" w:color="ADD6EA"/>
              <w:left w:val="nil"/>
              <w:bottom w:val="nil"/>
              <w:right w:val="nil"/>
            </w:tcBorders>
            <w:shd w:val="clear" w:color="auto" w:fill="auto"/>
            <w:vAlign w:val="center"/>
            <w:hideMark/>
          </w:tcPr>
          <w:p w14:paraId="644C9537"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 </w:t>
            </w:r>
          </w:p>
        </w:tc>
        <w:tc>
          <w:tcPr>
            <w:tcW w:w="700" w:type="dxa"/>
            <w:tcBorders>
              <w:top w:val="single" w:sz="4" w:space="0" w:color="ADD6EA"/>
              <w:left w:val="nil"/>
              <w:bottom w:val="nil"/>
              <w:right w:val="nil"/>
            </w:tcBorders>
            <w:shd w:val="clear" w:color="auto" w:fill="auto"/>
            <w:vAlign w:val="center"/>
            <w:hideMark/>
          </w:tcPr>
          <w:p w14:paraId="69053C7D"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 </w:t>
            </w:r>
          </w:p>
        </w:tc>
        <w:tc>
          <w:tcPr>
            <w:tcW w:w="700" w:type="dxa"/>
            <w:tcBorders>
              <w:top w:val="single" w:sz="4" w:space="0" w:color="ADD6EA"/>
              <w:left w:val="nil"/>
              <w:bottom w:val="nil"/>
              <w:right w:val="nil"/>
            </w:tcBorders>
            <w:shd w:val="clear" w:color="auto" w:fill="auto"/>
            <w:vAlign w:val="center"/>
            <w:hideMark/>
          </w:tcPr>
          <w:p w14:paraId="08EE7BA1"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 </w:t>
            </w:r>
          </w:p>
        </w:tc>
        <w:tc>
          <w:tcPr>
            <w:tcW w:w="700" w:type="dxa"/>
            <w:tcBorders>
              <w:top w:val="single" w:sz="4" w:space="0" w:color="ADD6EA"/>
              <w:left w:val="nil"/>
              <w:bottom w:val="nil"/>
              <w:right w:val="nil"/>
            </w:tcBorders>
            <w:shd w:val="clear" w:color="auto" w:fill="auto"/>
            <w:vAlign w:val="center"/>
            <w:hideMark/>
          </w:tcPr>
          <w:p w14:paraId="40097866"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 </w:t>
            </w:r>
          </w:p>
        </w:tc>
        <w:tc>
          <w:tcPr>
            <w:tcW w:w="700" w:type="dxa"/>
            <w:tcBorders>
              <w:top w:val="single" w:sz="4" w:space="0" w:color="ADD6EA"/>
              <w:left w:val="nil"/>
              <w:bottom w:val="nil"/>
              <w:right w:val="nil"/>
            </w:tcBorders>
            <w:shd w:val="clear" w:color="auto" w:fill="auto"/>
            <w:vAlign w:val="center"/>
            <w:hideMark/>
          </w:tcPr>
          <w:p w14:paraId="465CC1A3"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 </w:t>
            </w:r>
          </w:p>
        </w:tc>
        <w:tc>
          <w:tcPr>
            <w:tcW w:w="700" w:type="dxa"/>
            <w:tcBorders>
              <w:top w:val="single" w:sz="4" w:space="0" w:color="ADD6EA"/>
              <w:left w:val="nil"/>
              <w:bottom w:val="nil"/>
              <w:right w:val="nil"/>
            </w:tcBorders>
            <w:shd w:val="clear" w:color="auto" w:fill="auto"/>
            <w:vAlign w:val="center"/>
            <w:hideMark/>
          </w:tcPr>
          <w:p w14:paraId="6F7D6939"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 </w:t>
            </w:r>
          </w:p>
        </w:tc>
        <w:tc>
          <w:tcPr>
            <w:tcW w:w="700" w:type="dxa"/>
            <w:tcBorders>
              <w:top w:val="single" w:sz="4" w:space="0" w:color="ADD6EA"/>
              <w:left w:val="nil"/>
              <w:bottom w:val="nil"/>
              <w:right w:val="nil"/>
            </w:tcBorders>
            <w:shd w:val="clear" w:color="auto" w:fill="auto"/>
            <w:vAlign w:val="center"/>
            <w:hideMark/>
          </w:tcPr>
          <w:p w14:paraId="393A95D6"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 </w:t>
            </w:r>
          </w:p>
        </w:tc>
        <w:tc>
          <w:tcPr>
            <w:tcW w:w="700" w:type="dxa"/>
            <w:tcBorders>
              <w:top w:val="single" w:sz="4" w:space="0" w:color="ADD6EA"/>
              <w:left w:val="nil"/>
              <w:bottom w:val="nil"/>
              <w:right w:val="nil"/>
            </w:tcBorders>
            <w:shd w:val="clear" w:color="auto" w:fill="auto"/>
            <w:vAlign w:val="center"/>
            <w:hideMark/>
          </w:tcPr>
          <w:p w14:paraId="1792FC66"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 </w:t>
            </w:r>
          </w:p>
        </w:tc>
      </w:tr>
      <w:tr w:rsidR="00B83519" w:rsidRPr="00B83519" w14:paraId="73A194B3" w14:textId="77777777" w:rsidTr="00B83519">
        <w:trPr>
          <w:trHeight w:val="315"/>
        </w:trPr>
        <w:tc>
          <w:tcPr>
            <w:tcW w:w="2640" w:type="dxa"/>
            <w:tcBorders>
              <w:top w:val="single" w:sz="4" w:space="0" w:color="ADD6EA"/>
              <w:left w:val="nil"/>
              <w:bottom w:val="nil"/>
              <w:right w:val="nil"/>
            </w:tcBorders>
            <w:shd w:val="clear" w:color="auto" w:fill="auto"/>
            <w:vAlign w:val="center"/>
            <w:hideMark/>
          </w:tcPr>
          <w:p w14:paraId="2955167B" w14:textId="77777777" w:rsidR="00B83519" w:rsidRPr="00B83519" w:rsidRDefault="00B83519" w:rsidP="00B83519">
            <w:pPr>
              <w:tabs>
                <w:tab w:val="clear" w:pos="567"/>
              </w:tabs>
              <w:spacing w:before="0" w:line="240" w:lineRule="auto"/>
              <w:ind w:firstLineChars="200" w:firstLine="320"/>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Population (a)</w:t>
            </w:r>
          </w:p>
        </w:tc>
        <w:tc>
          <w:tcPr>
            <w:tcW w:w="700" w:type="dxa"/>
            <w:tcBorders>
              <w:top w:val="single" w:sz="4" w:space="0" w:color="ADD6EA"/>
              <w:left w:val="nil"/>
              <w:bottom w:val="nil"/>
              <w:right w:val="nil"/>
            </w:tcBorders>
            <w:shd w:val="clear" w:color="auto" w:fill="auto"/>
            <w:noWrap/>
            <w:vAlign w:val="center"/>
            <w:hideMark/>
          </w:tcPr>
          <w:p w14:paraId="404C36CA"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-29</w:t>
            </w:r>
          </w:p>
        </w:tc>
        <w:tc>
          <w:tcPr>
            <w:tcW w:w="700" w:type="dxa"/>
            <w:tcBorders>
              <w:top w:val="single" w:sz="4" w:space="0" w:color="ADD6EA"/>
              <w:left w:val="nil"/>
              <w:bottom w:val="nil"/>
              <w:right w:val="nil"/>
            </w:tcBorders>
            <w:shd w:val="clear" w:color="auto" w:fill="auto"/>
            <w:noWrap/>
            <w:vAlign w:val="center"/>
            <w:hideMark/>
          </w:tcPr>
          <w:p w14:paraId="46DEAF83"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68</w:t>
            </w:r>
          </w:p>
        </w:tc>
        <w:tc>
          <w:tcPr>
            <w:tcW w:w="700" w:type="dxa"/>
            <w:tcBorders>
              <w:top w:val="single" w:sz="4" w:space="0" w:color="ADD6EA"/>
              <w:left w:val="nil"/>
              <w:bottom w:val="nil"/>
              <w:right w:val="nil"/>
            </w:tcBorders>
            <w:shd w:val="clear" w:color="auto" w:fill="auto"/>
            <w:noWrap/>
            <w:vAlign w:val="center"/>
            <w:hideMark/>
          </w:tcPr>
          <w:p w14:paraId="67FFFD0B"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43</w:t>
            </w:r>
          </w:p>
        </w:tc>
        <w:tc>
          <w:tcPr>
            <w:tcW w:w="700" w:type="dxa"/>
            <w:tcBorders>
              <w:top w:val="single" w:sz="4" w:space="0" w:color="ADD6EA"/>
              <w:left w:val="nil"/>
              <w:bottom w:val="nil"/>
              <w:right w:val="nil"/>
            </w:tcBorders>
            <w:shd w:val="clear" w:color="auto" w:fill="auto"/>
            <w:noWrap/>
            <w:vAlign w:val="center"/>
            <w:hideMark/>
          </w:tcPr>
          <w:p w14:paraId="629B81A2"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36</w:t>
            </w:r>
          </w:p>
        </w:tc>
        <w:tc>
          <w:tcPr>
            <w:tcW w:w="700" w:type="dxa"/>
            <w:tcBorders>
              <w:top w:val="single" w:sz="4" w:space="0" w:color="ADD6EA"/>
              <w:left w:val="nil"/>
              <w:bottom w:val="nil"/>
              <w:right w:val="nil"/>
            </w:tcBorders>
            <w:shd w:val="clear" w:color="auto" w:fill="auto"/>
            <w:noWrap/>
            <w:vAlign w:val="center"/>
            <w:hideMark/>
          </w:tcPr>
          <w:p w14:paraId="02C9209C"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-46</w:t>
            </w:r>
          </w:p>
        </w:tc>
        <w:tc>
          <w:tcPr>
            <w:tcW w:w="700" w:type="dxa"/>
            <w:tcBorders>
              <w:top w:val="single" w:sz="4" w:space="0" w:color="ADD6EA"/>
              <w:left w:val="nil"/>
              <w:bottom w:val="nil"/>
              <w:right w:val="nil"/>
            </w:tcBorders>
            <w:shd w:val="clear" w:color="auto" w:fill="auto"/>
            <w:noWrap/>
            <w:vAlign w:val="center"/>
            <w:hideMark/>
          </w:tcPr>
          <w:p w14:paraId="78F4C4B4"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-39</w:t>
            </w:r>
          </w:p>
        </w:tc>
        <w:tc>
          <w:tcPr>
            <w:tcW w:w="700" w:type="dxa"/>
            <w:tcBorders>
              <w:top w:val="single" w:sz="4" w:space="0" w:color="ADD6EA"/>
              <w:left w:val="nil"/>
              <w:bottom w:val="nil"/>
              <w:right w:val="nil"/>
            </w:tcBorders>
            <w:shd w:val="clear" w:color="auto" w:fill="auto"/>
            <w:noWrap/>
            <w:vAlign w:val="center"/>
            <w:hideMark/>
          </w:tcPr>
          <w:p w14:paraId="612B2AE5"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-3</w:t>
            </w:r>
          </w:p>
        </w:tc>
        <w:tc>
          <w:tcPr>
            <w:tcW w:w="700" w:type="dxa"/>
            <w:tcBorders>
              <w:top w:val="single" w:sz="4" w:space="0" w:color="ADD6EA"/>
              <w:left w:val="nil"/>
              <w:bottom w:val="nil"/>
              <w:right w:val="nil"/>
            </w:tcBorders>
            <w:shd w:val="clear" w:color="auto" w:fill="auto"/>
            <w:noWrap/>
            <w:vAlign w:val="center"/>
            <w:hideMark/>
          </w:tcPr>
          <w:p w14:paraId="50198D8C"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-30</w:t>
            </w:r>
          </w:p>
        </w:tc>
        <w:tc>
          <w:tcPr>
            <w:tcW w:w="700" w:type="dxa"/>
            <w:tcBorders>
              <w:top w:val="single" w:sz="4" w:space="0" w:color="ADD6EA"/>
              <w:left w:val="nil"/>
              <w:bottom w:val="nil"/>
              <w:right w:val="nil"/>
            </w:tcBorders>
            <w:shd w:val="clear" w:color="auto" w:fill="auto"/>
            <w:noWrap/>
            <w:vAlign w:val="center"/>
            <w:hideMark/>
          </w:tcPr>
          <w:p w14:paraId="7F582572"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0</w:t>
            </w:r>
          </w:p>
        </w:tc>
      </w:tr>
      <w:tr w:rsidR="00B83519" w:rsidRPr="00B83519" w14:paraId="1EC25008" w14:textId="77777777" w:rsidTr="00B83519">
        <w:trPr>
          <w:trHeight w:val="315"/>
        </w:trPr>
        <w:tc>
          <w:tcPr>
            <w:tcW w:w="2640" w:type="dxa"/>
            <w:tcBorders>
              <w:top w:val="single" w:sz="4" w:space="0" w:color="ADD6EA"/>
              <w:left w:val="nil"/>
              <w:bottom w:val="nil"/>
              <w:right w:val="nil"/>
            </w:tcBorders>
            <w:shd w:val="clear" w:color="auto" w:fill="auto"/>
            <w:vAlign w:val="center"/>
            <w:hideMark/>
          </w:tcPr>
          <w:p w14:paraId="18D294D6" w14:textId="77777777" w:rsidR="00B83519" w:rsidRPr="00B83519" w:rsidRDefault="00B83519" w:rsidP="00B83519">
            <w:pPr>
              <w:tabs>
                <w:tab w:val="clear" w:pos="567"/>
              </w:tabs>
              <w:spacing w:before="0" w:line="240" w:lineRule="auto"/>
              <w:ind w:firstLineChars="200" w:firstLine="320"/>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Pool (b)</w:t>
            </w:r>
          </w:p>
        </w:tc>
        <w:tc>
          <w:tcPr>
            <w:tcW w:w="700" w:type="dxa"/>
            <w:tcBorders>
              <w:top w:val="single" w:sz="4" w:space="0" w:color="ADD6EA"/>
              <w:left w:val="nil"/>
              <w:bottom w:val="nil"/>
              <w:right w:val="nil"/>
            </w:tcBorders>
            <w:shd w:val="clear" w:color="auto" w:fill="auto"/>
            <w:noWrap/>
            <w:vAlign w:val="center"/>
            <w:hideMark/>
          </w:tcPr>
          <w:p w14:paraId="61A48851"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1,222</w:t>
            </w:r>
          </w:p>
        </w:tc>
        <w:tc>
          <w:tcPr>
            <w:tcW w:w="700" w:type="dxa"/>
            <w:tcBorders>
              <w:top w:val="single" w:sz="4" w:space="0" w:color="ADD6EA"/>
              <w:left w:val="nil"/>
              <w:bottom w:val="nil"/>
              <w:right w:val="nil"/>
            </w:tcBorders>
            <w:shd w:val="clear" w:color="auto" w:fill="auto"/>
            <w:noWrap/>
            <w:vAlign w:val="center"/>
            <w:hideMark/>
          </w:tcPr>
          <w:p w14:paraId="000E7C92"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1,125</w:t>
            </w:r>
          </w:p>
        </w:tc>
        <w:tc>
          <w:tcPr>
            <w:tcW w:w="700" w:type="dxa"/>
            <w:tcBorders>
              <w:top w:val="single" w:sz="4" w:space="0" w:color="ADD6EA"/>
              <w:left w:val="nil"/>
              <w:bottom w:val="nil"/>
              <w:right w:val="nil"/>
            </w:tcBorders>
            <w:shd w:val="clear" w:color="auto" w:fill="auto"/>
            <w:noWrap/>
            <w:vAlign w:val="center"/>
            <w:hideMark/>
          </w:tcPr>
          <w:p w14:paraId="46CDAB28"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887</w:t>
            </w:r>
          </w:p>
        </w:tc>
        <w:tc>
          <w:tcPr>
            <w:tcW w:w="700" w:type="dxa"/>
            <w:tcBorders>
              <w:top w:val="single" w:sz="4" w:space="0" w:color="ADD6EA"/>
              <w:left w:val="nil"/>
              <w:bottom w:val="nil"/>
              <w:right w:val="nil"/>
            </w:tcBorders>
            <w:shd w:val="clear" w:color="auto" w:fill="auto"/>
            <w:noWrap/>
            <w:vAlign w:val="center"/>
            <w:hideMark/>
          </w:tcPr>
          <w:p w14:paraId="5B2BE743"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372</w:t>
            </w:r>
          </w:p>
        </w:tc>
        <w:tc>
          <w:tcPr>
            <w:tcW w:w="700" w:type="dxa"/>
            <w:tcBorders>
              <w:top w:val="single" w:sz="4" w:space="0" w:color="ADD6EA"/>
              <w:left w:val="nil"/>
              <w:bottom w:val="nil"/>
              <w:right w:val="nil"/>
            </w:tcBorders>
            <w:shd w:val="clear" w:color="auto" w:fill="auto"/>
            <w:noWrap/>
            <w:vAlign w:val="center"/>
            <w:hideMark/>
          </w:tcPr>
          <w:p w14:paraId="3E53D2A0"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434</w:t>
            </w:r>
          </w:p>
        </w:tc>
        <w:tc>
          <w:tcPr>
            <w:tcW w:w="700" w:type="dxa"/>
            <w:tcBorders>
              <w:top w:val="single" w:sz="4" w:space="0" w:color="ADD6EA"/>
              <w:left w:val="nil"/>
              <w:bottom w:val="nil"/>
              <w:right w:val="nil"/>
            </w:tcBorders>
            <w:shd w:val="clear" w:color="auto" w:fill="auto"/>
            <w:noWrap/>
            <w:vAlign w:val="center"/>
            <w:hideMark/>
          </w:tcPr>
          <w:p w14:paraId="30C4236F"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172</w:t>
            </w:r>
          </w:p>
        </w:tc>
        <w:tc>
          <w:tcPr>
            <w:tcW w:w="700" w:type="dxa"/>
            <w:tcBorders>
              <w:top w:val="single" w:sz="4" w:space="0" w:color="ADD6EA"/>
              <w:left w:val="nil"/>
              <w:bottom w:val="nil"/>
              <w:right w:val="nil"/>
            </w:tcBorders>
            <w:shd w:val="clear" w:color="auto" w:fill="auto"/>
            <w:noWrap/>
            <w:vAlign w:val="center"/>
            <w:hideMark/>
          </w:tcPr>
          <w:p w14:paraId="6F9034F5"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95</w:t>
            </w:r>
          </w:p>
        </w:tc>
        <w:tc>
          <w:tcPr>
            <w:tcW w:w="700" w:type="dxa"/>
            <w:tcBorders>
              <w:top w:val="single" w:sz="4" w:space="0" w:color="ADD6EA"/>
              <w:left w:val="nil"/>
              <w:bottom w:val="nil"/>
              <w:right w:val="nil"/>
            </w:tcBorders>
            <w:shd w:val="clear" w:color="auto" w:fill="auto"/>
            <w:noWrap/>
            <w:vAlign w:val="center"/>
            <w:hideMark/>
          </w:tcPr>
          <w:p w14:paraId="0A4CA0D4"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212</w:t>
            </w:r>
          </w:p>
        </w:tc>
        <w:tc>
          <w:tcPr>
            <w:tcW w:w="700" w:type="dxa"/>
            <w:tcBorders>
              <w:top w:val="single" w:sz="4" w:space="0" w:color="ADD6EA"/>
              <w:left w:val="nil"/>
              <w:bottom w:val="nil"/>
              <w:right w:val="nil"/>
            </w:tcBorders>
            <w:shd w:val="clear" w:color="auto" w:fill="auto"/>
            <w:noWrap/>
            <w:vAlign w:val="center"/>
            <w:hideMark/>
          </w:tcPr>
          <w:p w14:paraId="38C2A860"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4,519</w:t>
            </w:r>
          </w:p>
        </w:tc>
      </w:tr>
      <w:tr w:rsidR="00B83519" w:rsidRPr="00B83519" w14:paraId="304B9DB5" w14:textId="77777777" w:rsidTr="00B83519">
        <w:trPr>
          <w:trHeight w:val="315"/>
        </w:trPr>
        <w:tc>
          <w:tcPr>
            <w:tcW w:w="2640" w:type="dxa"/>
            <w:tcBorders>
              <w:top w:val="single" w:sz="4" w:space="0" w:color="ADD6EA"/>
              <w:left w:val="nil"/>
              <w:bottom w:val="nil"/>
              <w:right w:val="nil"/>
            </w:tcBorders>
            <w:shd w:val="clear" w:color="auto" w:fill="auto"/>
            <w:vAlign w:val="center"/>
            <w:hideMark/>
          </w:tcPr>
          <w:p w14:paraId="1F84FEA0" w14:textId="77777777" w:rsidR="00B83519" w:rsidRPr="00B83519" w:rsidRDefault="00B83519" w:rsidP="00B83519">
            <w:pPr>
              <w:tabs>
                <w:tab w:val="clear" w:pos="567"/>
              </w:tabs>
              <w:spacing w:before="0" w:line="240" w:lineRule="auto"/>
              <w:ind w:firstLineChars="200" w:firstLine="320"/>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GST relativities (c)</w:t>
            </w:r>
          </w:p>
        </w:tc>
        <w:tc>
          <w:tcPr>
            <w:tcW w:w="700" w:type="dxa"/>
            <w:tcBorders>
              <w:top w:val="single" w:sz="4" w:space="0" w:color="ADD6EA"/>
              <w:left w:val="nil"/>
              <w:bottom w:val="nil"/>
              <w:right w:val="nil"/>
            </w:tcBorders>
            <w:shd w:val="clear" w:color="auto" w:fill="auto"/>
            <w:noWrap/>
            <w:vAlign w:val="center"/>
            <w:hideMark/>
          </w:tcPr>
          <w:p w14:paraId="4C29110C"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-251</w:t>
            </w:r>
          </w:p>
        </w:tc>
        <w:tc>
          <w:tcPr>
            <w:tcW w:w="700" w:type="dxa"/>
            <w:tcBorders>
              <w:top w:val="single" w:sz="4" w:space="0" w:color="ADD6EA"/>
              <w:left w:val="nil"/>
              <w:bottom w:val="nil"/>
              <w:right w:val="nil"/>
            </w:tcBorders>
            <w:shd w:val="clear" w:color="auto" w:fill="auto"/>
            <w:noWrap/>
            <w:vAlign w:val="center"/>
            <w:hideMark/>
          </w:tcPr>
          <w:p w14:paraId="5E7FD9CA"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2,464</w:t>
            </w:r>
          </w:p>
        </w:tc>
        <w:tc>
          <w:tcPr>
            <w:tcW w:w="700" w:type="dxa"/>
            <w:tcBorders>
              <w:top w:val="single" w:sz="4" w:space="0" w:color="ADD6EA"/>
              <w:left w:val="nil"/>
              <w:bottom w:val="nil"/>
              <w:right w:val="nil"/>
            </w:tcBorders>
            <w:shd w:val="clear" w:color="auto" w:fill="auto"/>
            <w:noWrap/>
            <w:vAlign w:val="center"/>
            <w:hideMark/>
          </w:tcPr>
          <w:p w14:paraId="69D311D1"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-2,119</w:t>
            </w:r>
          </w:p>
        </w:tc>
        <w:tc>
          <w:tcPr>
            <w:tcW w:w="700" w:type="dxa"/>
            <w:tcBorders>
              <w:top w:val="single" w:sz="4" w:space="0" w:color="ADD6EA"/>
              <w:left w:val="nil"/>
              <w:bottom w:val="nil"/>
              <w:right w:val="nil"/>
            </w:tcBorders>
            <w:shd w:val="clear" w:color="auto" w:fill="auto"/>
            <w:noWrap/>
            <w:vAlign w:val="center"/>
            <w:hideMark/>
          </w:tcPr>
          <w:p w14:paraId="615F6D4B"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-13</w:t>
            </w:r>
          </w:p>
        </w:tc>
        <w:tc>
          <w:tcPr>
            <w:tcW w:w="700" w:type="dxa"/>
            <w:tcBorders>
              <w:top w:val="single" w:sz="4" w:space="0" w:color="ADD6EA"/>
              <w:left w:val="nil"/>
              <w:bottom w:val="nil"/>
              <w:right w:val="nil"/>
            </w:tcBorders>
            <w:shd w:val="clear" w:color="auto" w:fill="auto"/>
            <w:noWrap/>
            <w:vAlign w:val="center"/>
            <w:hideMark/>
          </w:tcPr>
          <w:p w14:paraId="24F0C571"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-109</w:t>
            </w:r>
          </w:p>
        </w:tc>
        <w:tc>
          <w:tcPr>
            <w:tcW w:w="700" w:type="dxa"/>
            <w:tcBorders>
              <w:top w:val="single" w:sz="4" w:space="0" w:color="ADD6EA"/>
              <w:left w:val="nil"/>
              <w:bottom w:val="nil"/>
              <w:right w:val="nil"/>
            </w:tcBorders>
            <w:shd w:val="clear" w:color="auto" w:fill="auto"/>
            <w:noWrap/>
            <w:vAlign w:val="center"/>
            <w:hideMark/>
          </w:tcPr>
          <w:p w14:paraId="43D348CE"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18</w:t>
            </w:r>
          </w:p>
        </w:tc>
        <w:tc>
          <w:tcPr>
            <w:tcW w:w="700" w:type="dxa"/>
            <w:tcBorders>
              <w:top w:val="single" w:sz="4" w:space="0" w:color="ADD6EA"/>
              <w:left w:val="nil"/>
              <w:bottom w:val="nil"/>
              <w:right w:val="nil"/>
            </w:tcBorders>
            <w:shd w:val="clear" w:color="auto" w:fill="auto"/>
            <w:noWrap/>
            <w:vAlign w:val="center"/>
            <w:hideMark/>
          </w:tcPr>
          <w:p w14:paraId="1B9CEEFD"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-56</w:t>
            </w:r>
          </w:p>
        </w:tc>
        <w:tc>
          <w:tcPr>
            <w:tcW w:w="700" w:type="dxa"/>
            <w:tcBorders>
              <w:top w:val="single" w:sz="4" w:space="0" w:color="ADD6EA"/>
              <w:left w:val="nil"/>
              <w:bottom w:val="nil"/>
              <w:right w:val="nil"/>
            </w:tcBorders>
            <w:shd w:val="clear" w:color="auto" w:fill="auto"/>
            <w:noWrap/>
            <w:vAlign w:val="center"/>
            <w:hideMark/>
          </w:tcPr>
          <w:p w14:paraId="6E8925D1"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67</w:t>
            </w:r>
          </w:p>
        </w:tc>
        <w:tc>
          <w:tcPr>
            <w:tcW w:w="700" w:type="dxa"/>
            <w:tcBorders>
              <w:top w:val="single" w:sz="4" w:space="0" w:color="ADD6EA"/>
              <w:left w:val="nil"/>
              <w:bottom w:val="nil"/>
              <w:right w:val="nil"/>
            </w:tcBorders>
            <w:shd w:val="clear" w:color="auto" w:fill="auto"/>
            <w:noWrap/>
            <w:vAlign w:val="center"/>
            <w:hideMark/>
          </w:tcPr>
          <w:p w14:paraId="1E7CAED3"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0</w:t>
            </w:r>
          </w:p>
        </w:tc>
      </w:tr>
      <w:tr w:rsidR="00B83519" w:rsidRPr="00B83519" w14:paraId="23335E7F" w14:textId="77777777" w:rsidTr="00B83519">
        <w:trPr>
          <w:trHeight w:val="315"/>
        </w:trPr>
        <w:tc>
          <w:tcPr>
            <w:tcW w:w="2640" w:type="dxa"/>
            <w:tcBorders>
              <w:top w:val="single" w:sz="4" w:space="0" w:color="ADD6EA"/>
              <w:left w:val="nil"/>
              <w:bottom w:val="nil"/>
              <w:right w:val="nil"/>
            </w:tcBorders>
            <w:shd w:val="clear" w:color="auto" w:fill="auto"/>
            <w:vAlign w:val="center"/>
            <w:hideMark/>
          </w:tcPr>
          <w:p w14:paraId="5FEE066A" w14:textId="77777777" w:rsidR="00B83519" w:rsidRPr="00B83519" w:rsidRDefault="00B83519" w:rsidP="00B83519">
            <w:pPr>
              <w:tabs>
                <w:tab w:val="clear" w:pos="567"/>
              </w:tabs>
              <w:spacing w:before="0" w:line="240" w:lineRule="auto"/>
              <w:ind w:firstLineChars="300" w:firstLine="480"/>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Assessed relativities (d)</w:t>
            </w:r>
          </w:p>
        </w:tc>
        <w:tc>
          <w:tcPr>
            <w:tcW w:w="700" w:type="dxa"/>
            <w:tcBorders>
              <w:top w:val="single" w:sz="4" w:space="0" w:color="ADD6EA"/>
              <w:left w:val="nil"/>
              <w:bottom w:val="nil"/>
              <w:right w:val="nil"/>
            </w:tcBorders>
            <w:shd w:val="clear" w:color="auto" w:fill="auto"/>
            <w:noWrap/>
            <w:vAlign w:val="center"/>
            <w:hideMark/>
          </w:tcPr>
          <w:p w14:paraId="4978EC4B"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0</w:t>
            </w:r>
          </w:p>
        </w:tc>
        <w:tc>
          <w:tcPr>
            <w:tcW w:w="700" w:type="dxa"/>
            <w:tcBorders>
              <w:top w:val="single" w:sz="4" w:space="0" w:color="ADD6EA"/>
              <w:left w:val="nil"/>
              <w:bottom w:val="nil"/>
              <w:right w:val="nil"/>
            </w:tcBorders>
            <w:shd w:val="clear" w:color="auto" w:fill="auto"/>
            <w:noWrap/>
            <w:vAlign w:val="center"/>
            <w:hideMark/>
          </w:tcPr>
          <w:p w14:paraId="3F0DE6A4"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2,675</w:t>
            </w:r>
          </w:p>
        </w:tc>
        <w:tc>
          <w:tcPr>
            <w:tcW w:w="700" w:type="dxa"/>
            <w:tcBorders>
              <w:top w:val="single" w:sz="4" w:space="0" w:color="ADD6EA"/>
              <w:left w:val="nil"/>
              <w:bottom w:val="nil"/>
              <w:right w:val="nil"/>
            </w:tcBorders>
            <w:shd w:val="clear" w:color="auto" w:fill="auto"/>
            <w:noWrap/>
            <w:vAlign w:val="center"/>
            <w:hideMark/>
          </w:tcPr>
          <w:p w14:paraId="135602EA"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-3,391</w:t>
            </w:r>
          </w:p>
        </w:tc>
        <w:tc>
          <w:tcPr>
            <w:tcW w:w="700" w:type="dxa"/>
            <w:tcBorders>
              <w:top w:val="single" w:sz="4" w:space="0" w:color="ADD6EA"/>
              <w:left w:val="nil"/>
              <w:bottom w:val="nil"/>
              <w:right w:val="nil"/>
            </w:tcBorders>
            <w:shd w:val="clear" w:color="auto" w:fill="auto"/>
            <w:noWrap/>
            <w:vAlign w:val="center"/>
            <w:hideMark/>
          </w:tcPr>
          <w:p w14:paraId="65BA7C9C"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706</w:t>
            </w:r>
          </w:p>
        </w:tc>
        <w:tc>
          <w:tcPr>
            <w:tcW w:w="700" w:type="dxa"/>
            <w:tcBorders>
              <w:top w:val="single" w:sz="4" w:space="0" w:color="ADD6EA"/>
              <w:left w:val="nil"/>
              <w:bottom w:val="nil"/>
              <w:right w:val="nil"/>
            </w:tcBorders>
            <w:shd w:val="clear" w:color="auto" w:fill="auto"/>
            <w:noWrap/>
            <w:vAlign w:val="center"/>
            <w:hideMark/>
          </w:tcPr>
          <w:p w14:paraId="3E4B4FF4"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-55</w:t>
            </w:r>
          </w:p>
        </w:tc>
        <w:tc>
          <w:tcPr>
            <w:tcW w:w="700" w:type="dxa"/>
            <w:tcBorders>
              <w:top w:val="single" w:sz="4" w:space="0" w:color="ADD6EA"/>
              <w:left w:val="nil"/>
              <w:bottom w:val="nil"/>
              <w:right w:val="nil"/>
            </w:tcBorders>
            <w:shd w:val="clear" w:color="auto" w:fill="auto"/>
            <w:noWrap/>
            <w:vAlign w:val="center"/>
            <w:hideMark/>
          </w:tcPr>
          <w:p w14:paraId="6A4710F7"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34</w:t>
            </w:r>
          </w:p>
        </w:tc>
        <w:tc>
          <w:tcPr>
            <w:tcW w:w="700" w:type="dxa"/>
            <w:tcBorders>
              <w:top w:val="single" w:sz="4" w:space="0" w:color="ADD6EA"/>
              <w:left w:val="nil"/>
              <w:bottom w:val="nil"/>
              <w:right w:val="nil"/>
            </w:tcBorders>
            <w:shd w:val="clear" w:color="auto" w:fill="auto"/>
            <w:noWrap/>
            <w:vAlign w:val="center"/>
            <w:hideMark/>
          </w:tcPr>
          <w:p w14:paraId="4362BEF4"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-42</w:t>
            </w:r>
          </w:p>
        </w:tc>
        <w:tc>
          <w:tcPr>
            <w:tcW w:w="700" w:type="dxa"/>
            <w:tcBorders>
              <w:top w:val="single" w:sz="4" w:space="0" w:color="ADD6EA"/>
              <w:left w:val="nil"/>
              <w:bottom w:val="nil"/>
              <w:right w:val="nil"/>
            </w:tcBorders>
            <w:shd w:val="clear" w:color="auto" w:fill="auto"/>
            <w:noWrap/>
            <w:vAlign w:val="center"/>
            <w:hideMark/>
          </w:tcPr>
          <w:p w14:paraId="3E446DB5"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73</w:t>
            </w:r>
          </w:p>
        </w:tc>
        <w:tc>
          <w:tcPr>
            <w:tcW w:w="700" w:type="dxa"/>
            <w:tcBorders>
              <w:top w:val="single" w:sz="4" w:space="0" w:color="ADD6EA"/>
              <w:left w:val="nil"/>
              <w:bottom w:val="nil"/>
              <w:right w:val="nil"/>
            </w:tcBorders>
            <w:shd w:val="clear" w:color="auto" w:fill="auto"/>
            <w:noWrap/>
            <w:vAlign w:val="center"/>
            <w:hideMark/>
          </w:tcPr>
          <w:p w14:paraId="62319524"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0</w:t>
            </w:r>
          </w:p>
        </w:tc>
      </w:tr>
      <w:tr w:rsidR="00B83519" w:rsidRPr="00B83519" w14:paraId="1EFBA84A" w14:textId="77777777" w:rsidTr="00B83519">
        <w:trPr>
          <w:trHeight w:val="315"/>
        </w:trPr>
        <w:tc>
          <w:tcPr>
            <w:tcW w:w="2640" w:type="dxa"/>
            <w:tcBorders>
              <w:top w:val="single" w:sz="4" w:space="0" w:color="ADD6EA"/>
              <w:left w:val="nil"/>
              <w:bottom w:val="nil"/>
              <w:right w:val="nil"/>
            </w:tcBorders>
            <w:shd w:val="clear" w:color="auto" w:fill="auto"/>
            <w:vAlign w:val="center"/>
            <w:hideMark/>
          </w:tcPr>
          <w:p w14:paraId="04BCEE81" w14:textId="77777777" w:rsidR="00B83519" w:rsidRPr="00B83519" w:rsidRDefault="00B83519" w:rsidP="00B83519">
            <w:pPr>
              <w:tabs>
                <w:tab w:val="clear" w:pos="567"/>
              </w:tabs>
              <w:spacing w:before="0" w:line="240" w:lineRule="auto"/>
              <w:ind w:firstLineChars="300" w:firstLine="480"/>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Blending and floor (e)</w:t>
            </w:r>
          </w:p>
        </w:tc>
        <w:tc>
          <w:tcPr>
            <w:tcW w:w="700" w:type="dxa"/>
            <w:tcBorders>
              <w:top w:val="single" w:sz="4" w:space="0" w:color="ADD6EA"/>
              <w:left w:val="nil"/>
              <w:bottom w:val="nil"/>
              <w:right w:val="nil"/>
            </w:tcBorders>
            <w:shd w:val="clear" w:color="auto" w:fill="auto"/>
            <w:noWrap/>
            <w:vAlign w:val="center"/>
            <w:hideMark/>
          </w:tcPr>
          <w:p w14:paraId="5F167F76"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-252</w:t>
            </w:r>
          </w:p>
        </w:tc>
        <w:tc>
          <w:tcPr>
            <w:tcW w:w="700" w:type="dxa"/>
            <w:tcBorders>
              <w:top w:val="single" w:sz="4" w:space="0" w:color="ADD6EA"/>
              <w:left w:val="nil"/>
              <w:bottom w:val="nil"/>
              <w:right w:val="nil"/>
            </w:tcBorders>
            <w:shd w:val="clear" w:color="auto" w:fill="auto"/>
            <w:noWrap/>
            <w:vAlign w:val="center"/>
            <w:hideMark/>
          </w:tcPr>
          <w:p w14:paraId="7D24BF56"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-211</w:t>
            </w:r>
          </w:p>
        </w:tc>
        <w:tc>
          <w:tcPr>
            <w:tcW w:w="700" w:type="dxa"/>
            <w:tcBorders>
              <w:top w:val="single" w:sz="4" w:space="0" w:color="ADD6EA"/>
              <w:left w:val="nil"/>
              <w:bottom w:val="nil"/>
              <w:right w:val="nil"/>
            </w:tcBorders>
            <w:shd w:val="clear" w:color="auto" w:fill="auto"/>
            <w:noWrap/>
            <w:vAlign w:val="center"/>
            <w:hideMark/>
          </w:tcPr>
          <w:p w14:paraId="05CD2E8C"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1,271</w:t>
            </w:r>
          </w:p>
        </w:tc>
        <w:tc>
          <w:tcPr>
            <w:tcW w:w="700" w:type="dxa"/>
            <w:tcBorders>
              <w:top w:val="single" w:sz="4" w:space="0" w:color="ADD6EA"/>
              <w:left w:val="nil"/>
              <w:bottom w:val="nil"/>
              <w:right w:val="nil"/>
            </w:tcBorders>
            <w:shd w:val="clear" w:color="auto" w:fill="auto"/>
            <w:noWrap/>
            <w:vAlign w:val="center"/>
            <w:hideMark/>
          </w:tcPr>
          <w:p w14:paraId="2B7F5E58"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-720</w:t>
            </w:r>
          </w:p>
        </w:tc>
        <w:tc>
          <w:tcPr>
            <w:tcW w:w="700" w:type="dxa"/>
            <w:tcBorders>
              <w:top w:val="single" w:sz="4" w:space="0" w:color="ADD6EA"/>
              <w:left w:val="nil"/>
              <w:bottom w:val="nil"/>
              <w:right w:val="nil"/>
            </w:tcBorders>
            <w:shd w:val="clear" w:color="auto" w:fill="auto"/>
            <w:noWrap/>
            <w:vAlign w:val="center"/>
            <w:hideMark/>
          </w:tcPr>
          <w:p w14:paraId="50531342"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-54</w:t>
            </w:r>
          </w:p>
        </w:tc>
        <w:tc>
          <w:tcPr>
            <w:tcW w:w="700" w:type="dxa"/>
            <w:tcBorders>
              <w:top w:val="single" w:sz="4" w:space="0" w:color="ADD6EA"/>
              <w:left w:val="nil"/>
              <w:bottom w:val="nil"/>
              <w:right w:val="nil"/>
            </w:tcBorders>
            <w:shd w:val="clear" w:color="auto" w:fill="auto"/>
            <w:noWrap/>
            <w:vAlign w:val="center"/>
            <w:hideMark/>
          </w:tcPr>
          <w:p w14:paraId="1E16BB26"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-16</w:t>
            </w:r>
          </w:p>
        </w:tc>
        <w:tc>
          <w:tcPr>
            <w:tcW w:w="700" w:type="dxa"/>
            <w:tcBorders>
              <w:top w:val="single" w:sz="4" w:space="0" w:color="ADD6EA"/>
              <w:left w:val="nil"/>
              <w:bottom w:val="nil"/>
              <w:right w:val="nil"/>
            </w:tcBorders>
            <w:shd w:val="clear" w:color="auto" w:fill="auto"/>
            <w:noWrap/>
            <w:vAlign w:val="center"/>
            <w:hideMark/>
          </w:tcPr>
          <w:p w14:paraId="6916510E"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-14</w:t>
            </w:r>
          </w:p>
        </w:tc>
        <w:tc>
          <w:tcPr>
            <w:tcW w:w="700" w:type="dxa"/>
            <w:tcBorders>
              <w:top w:val="single" w:sz="4" w:space="0" w:color="ADD6EA"/>
              <w:left w:val="nil"/>
              <w:bottom w:val="nil"/>
              <w:right w:val="nil"/>
            </w:tcBorders>
            <w:shd w:val="clear" w:color="auto" w:fill="auto"/>
            <w:noWrap/>
            <w:vAlign w:val="center"/>
            <w:hideMark/>
          </w:tcPr>
          <w:p w14:paraId="18308564"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-6</w:t>
            </w:r>
          </w:p>
        </w:tc>
        <w:tc>
          <w:tcPr>
            <w:tcW w:w="700" w:type="dxa"/>
            <w:tcBorders>
              <w:top w:val="single" w:sz="4" w:space="0" w:color="ADD6EA"/>
              <w:left w:val="nil"/>
              <w:bottom w:val="nil"/>
              <w:right w:val="nil"/>
            </w:tcBorders>
            <w:shd w:val="clear" w:color="auto" w:fill="auto"/>
            <w:noWrap/>
            <w:vAlign w:val="center"/>
            <w:hideMark/>
          </w:tcPr>
          <w:p w14:paraId="187A181C" w14:textId="77777777" w:rsidR="00B83519" w:rsidRPr="00B83519" w:rsidRDefault="00B83519" w:rsidP="00B8351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83519">
              <w:rPr>
                <w:rFonts w:ascii="Open Sans Light" w:eastAsia="Times New Roman" w:hAnsi="Open Sans Light" w:cs="Open Sans Light"/>
                <w:color w:val="000000"/>
                <w:sz w:val="16"/>
                <w:szCs w:val="16"/>
                <w:lang w:eastAsia="en-AU"/>
              </w:rPr>
              <w:t>0</w:t>
            </w:r>
          </w:p>
        </w:tc>
      </w:tr>
      <w:tr w:rsidR="00B83519" w:rsidRPr="00B83519" w14:paraId="5E88A975" w14:textId="77777777" w:rsidTr="00B83519">
        <w:trPr>
          <w:trHeight w:val="315"/>
        </w:trPr>
        <w:tc>
          <w:tcPr>
            <w:tcW w:w="2640" w:type="dxa"/>
            <w:tcBorders>
              <w:top w:val="single" w:sz="4" w:space="0" w:color="ADD6EA"/>
              <w:left w:val="nil"/>
              <w:bottom w:val="nil"/>
              <w:right w:val="nil"/>
            </w:tcBorders>
            <w:shd w:val="clear" w:color="000000" w:fill="D6E7F0"/>
            <w:vAlign w:val="center"/>
            <w:hideMark/>
          </w:tcPr>
          <w:p w14:paraId="3773E89D" w14:textId="77777777" w:rsidR="00B83519" w:rsidRPr="00B83519" w:rsidRDefault="00B83519" w:rsidP="00B83519">
            <w:pPr>
              <w:tabs>
                <w:tab w:val="clear" w:pos="567"/>
              </w:tabs>
              <w:spacing w:before="0" w:line="240" w:lineRule="auto"/>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Change ($m)</w:t>
            </w:r>
          </w:p>
        </w:tc>
        <w:tc>
          <w:tcPr>
            <w:tcW w:w="700" w:type="dxa"/>
            <w:tcBorders>
              <w:top w:val="single" w:sz="4" w:space="0" w:color="ADD6EA"/>
              <w:left w:val="nil"/>
              <w:bottom w:val="nil"/>
              <w:right w:val="nil"/>
            </w:tcBorders>
            <w:shd w:val="clear" w:color="000000" w:fill="D6E7F0"/>
            <w:noWrap/>
            <w:vAlign w:val="center"/>
            <w:hideMark/>
          </w:tcPr>
          <w:p w14:paraId="74AF9EAE"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942</w:t>
            </w:r>
          </w:p>
        </w:tc>
        <w:tc>
          <w:tcPr>
            <w:tcW w:w="700" w:type="dxa"/>
            <w:tcBorders>
              <w:top w:val="single" w:sz="4" w:space="0" w:color="ADD6EA"/>
              <w:left w:val="nil"/>
              <w:bottom w:val="nil"/>
              <w:right w:val="nil"/>
            </w:tcBorders>
            <w:shd w:val="clear" w:color="000000" w:fill="D6E7F0"/>
            <w:noWrap/>
            <w:vAlign w:val="center"/>
            <w:hideMark/>
          </w:tcPr>
          <w:p w14:paraId="10677CA3"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3,657</w:t>
            </w:r>
          </w:p>
        </w:tc>
        <w:tc>
          <w:tcPr>
            <w:tcW w:w="700" w:type="dxa"/>
            <w:tcBorders>
              <w:top w:val="single" w:sz="4" w:space="0" w:color="ADD6EA"/>
              <w:left w:val="nil"/>
              <w:bottom w:val="nil"/>
              <w:right w:val="nil"/>
            </w:tcBorders>
            <w:shd w:val="clear" w:color="000000" w:fill="D6E7F0"/>
            <w:noWrap/>
            <w:vAlign w:val="center"/>
            <w:hideMark/>
          </w:tcPr>
          <w:p w14:paraId="6D2543C4"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-1,189</w:t>
            </w:r>
          </w:p>
        </w:tc>
        <w:tc>
          <w:tcPr>
            <w:tcW w:w="700" w:type="dxa"/>
            <w:tcBorders>
              <w:top w:val="single" w:sz="4" w:space="0" w:color="ADD6EA"/>
              <w:left w:val="nil"/>
              <w:bottom w:val="nil"/>
              <w:right w:val="nil"/>
            </w:tcBorders>
            <w:shd w:val="clear" w:color="000000" w:fill="D6E7F0"/>
            <w:noWrap/>
            <w:vAlign w:val="center"/>
            <w:hideMark/>
          </w:tcPr>
          <w:p w14:paraId="49A5AC24"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395</w:t>
            </w:r>
          </w:p>
        </w:tc>
        <w:tc>
          <w:tcPr>
            <w:tcW w:w="700" w:type="dxa"/>
            <w:tcBorders>
              <w:top w:val="single" w:sz="4" w:space="0" w:color="ADD6EA"/>
              <w:left w:val="nil"/>
              <w:bottom w:val="nil"/>
              <w:right w:val="nil"/>
            </w:tcBorders>
            <w:shd w:val="clear" w:color="000000" w:fill="D6E7F0"/>
            <w:noWrap/>
            <w:vAlign w:val="center"/>
            <w:hideMark/>
          </w:tcPr>
          <w:p w14:paraId="73C9B751"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279</w:t>
            </w:r>
          </w:p>
        </w:tc>
        <w:tc>
          <w:tcPr>
            <w:tcW w:w="700" w:type="dxa"/>
            <w:tcBorders>
              <w:top w:val="single" w:sz="4" w:space="0" w:color="ADD6EA"/>
              <w:left w:val="nil"/>
              <w:bottom w:val="nil"/>
              <w:right w:val="nil"/>
            </w:tcBorders>
            <w:shd w:val="clear" w:color="000000" w:fill="D6E7F0"/>
            <w:noWrap/>
            <w:vAlign w:val="center"/>
            <w:hideMark/>
          </w:tcPr>
          <w:p w14:paraId="1C8AA141"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151</w:t>
            </w:r>
          </w:p>
        </w:tc>
        <w:tc>
          <w:tcPr>
            <w:tcW w:w="700" w:type="dxa"/>
            <w:tcBorders>
              <w:top w:val="single" w:sz="4" w:space="0" w:color="ADD6EA"/>
              <w:left w:val="nil"/>
              <w:bottom w:val="nil"/>
              <w:right w:val="nil"/>
            </w:tcBorders>
            <w:shd w:val="clear" w:color="000000" w:fill="D6E7F0"/>
            <w:noWrap/>
            <w:vAlign w:val="center"/>
            <w:hideMark/>
          </w:tcPr>
          <w:p w14:paraId="0D58F3C9"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35</w:t>
            </w:r>
          </w:p>
        </w:tc>
        <w:tc>
          <w:tcPr>
            <w:tcW w:w="700" w:type="dxa"/>
            <w:tcBorders>
              <w:top w:val="single" w:sz="4" w:space="0" w:color="ADD6EA"/>
              <w:left w:val="nil"/>
              <w:bottom w:val="nil"/>
              <w:right w:val="nil"/>
            </w:tcBorders>
            <w:shd w:val="clear" w:color="000000" w:fill="D6E7F0"/>
            <w:noWrap/>
            <w:vAlign w:val="center"/>
            <w:hideMark/>
          </w:tcPr>
          <w:p w14:paraId="288D3033"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248</w:t>
            </w:r>
          </w:p>
        </w:tc>
        <w:tc>
          <w:tcPr>
            <w:tcW w:w="700" w:type="dxa"/>
            <w:tcBorders>
              <w:top w:val="single" w:sz="4" w:space="0" w:color="ADD6EA"/>
              <w:left w:val="nil"/>
              <w:bottom w:val="nil"/>
              <w:right w:val="nil"/>
            </w:tcBorders>
            <w:shd w:val="clear" w:color="000000" w:fill="D6E7F0"/>
            <w:noWrap/>
            <w:vAlign w:val="center"/>
            <w:hideMark/>
          </w:tcPr>
          <w:p w14:paraId="4B7EE79F"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4,519</w:t>
            </w:r>
          </w:p>
        </w:tc>
      </w:tr>
      <w:tr w:rsidR="00B83519" w:rsidRPr="00B83519" w14:paraId="58D367FE" w14:textId="77777777" w:rsidTr="00B83519">
        <w:trPr>
          <w:trHeight w:val="255"/>
        </w:trPr>
        <w:tc>
          <w:tcPr>
            <w:tcW w:w="2640" w:type="dxa"/>
            <w:tcBorders>
              <w:top w:val="single" w:sz="4" w:space="0" w:color="ADD6EA"/>
              <w:left w:val="nil"/>
              <w:bottom w:val="single" w:sz="4" w:space="0" w:color="ADD6EA"/>
              <w:right w:val="nil"/>
            </w:tcBorders>
            <w:shd w:val="clear" w:color="000000" w:fill="D6E7F0"/>
            <w:vAlign w:val="center"/>
            <w:hideMark/>
          </w:tcPr>
          <w:p w14:paraId="3BD9E085" w14:textId="77777777" w:rsidR="00B83519" w:rsidRPr="00B83519" w:rsidRDefault="00B83519" w:rsidP="00B83519">
            <w:pPr>
              <w:tabs>
                <w:tab w:val="clear" w:pos="567"/>
              </w:tabs>
              <w:spacing w:before="0" w:line="240" w:lineRule="auto"/>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Change ($pc)</w:t>
            </w:r>
          </w:p>
        </w:tc>
        <w:tc>
          <w:tcPr>
            <w:tcW w:w="700" w:type="dxa"/>
            <w:tcBorders>
              <w:top w:val="single" w:sz="4" w:space="0" w:color="ADD6EA"/>
              <w:left w:val="nil"/>
              <w:bottom w:val="single" w:sz="4" w:space="0" w:color="ADD6EA"/>
              <w:right w:val="nil"/>
            </w:tcBorders>
            <w:shd w:val="clear" w:color="000000" w:fill="D6E7F0"/>
            <w:noWrap/>
            <w:vAlign w:val="center"/>
            <w:hideMark/>
          </w:tcPr>
          <w:p w14:paraId="30872130"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109</w:t>
            </w:r>
          </w:p>
        </w:tc>
        <w:tc>
          <w:tcPr>
            <w:tcW w:w="700" w:type="dxa"/>
            <w:tcBorders>
              <w:top w:val="single" w:sz="4" w:space="0" w:color="ADD6EA"/>
              <w:left w:val="nil"/>
              <w:bottom w:val="single" w:sz="4" w:space="0" w:color="ADD6EA"/>
              <w:right w:val="nil"/>
            </w:tcBorders>
            <w:shd w:val="clear" w:color="000000" w:fill="D6E7F0"/>
            <w:noWrap/>
            <w:vAlign w:val="center"/>
            <w:hideMark/>
          </w:tcPr>
          <w:p w14:paraId="4B11043B"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510</w:t>
            </w:r>
          </w:p>
        </w:tc>
        <w:tc>
          <w:tcPr>
            <w:tcW w:w="700" w:type="dxa"/>
            <w:tcBorders>
              <w:top w:val="single" w:sz="4" w:space="0" w:color="ADD6EA"/>
              <w:left w:val="nil"/>
              <w:bottom w:val="single" w:sz="4" w:space="0" w:color="ADD6EA"/>
              <w:right w:val="nil"/>
            </w:tcBorders>
            <w:shd w:val="clear" w:color="000000" w:fill="D6E7F0"/>
            <w:noWrap/>
            <w:vAlign w:val="center"/>
            <w:hideMark/>
          </w:tcPr>
          <w:p w14:paraId="66DC2472"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-208</w:t>
            </w:r>
          </w:p>
        </w:tc>
        <w:tc>
          <w:tcPr>
            <w:tcW w:w="700" w:type="dxa"/>
            <w:tcBorders>
              <w:top w:val="single" w:sz="4" w:space="0" w:color="ADD6EA"/>
              <w:left w:val="nil"/>
              <w:bottom w:val="single" w:sz="4" w:space="0" w:color="ADD6EA"/>
              <w:right w:val="nil"/>
            </w:tcBorders>
            <w:shd w:val="clear" w:color="000000" w:fill="D6E7F0"/>
            <w:noWrap/>
            <w:vAlign w:val="center"/>
            <w:hideMark/>
          </w:tcPr>
          <w:p w14:paraId="266F2187"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129</w:t>
            </w:r>
          </w:p>
        </w:tc>
        <w:tc>
          <w:tcPr>
            <w:tcW w:w="700" w:type="dxa"/>
            <w:tcBorders>
              <w:top w:val="single" w:sz="4" w:space="0" w:color="ADD6EA"/>
              <w:left w:val="nil"/>
              <w:bottom w:val="single" w:sz="4" w:space="0" w:color="ADD6EA"/>
              <w:right w:val="nil"/>
            </w:tcBorders>
            <w:shd w:val="clear" w:color="000000" w:fill="D6E7F0"/>
            <w:noWrap/>
            <w:vAlign w:val="center"/>
            <w:hideMark/>
          </w:tcPr>
          <w:p w14:paraId="1065F20A"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147</w:t>
            </w:r>
          </w:p>
        </w:tc>
        <w:tc>
          <w:tcPr>
            <w:tcW w:w="700" w:type="dxa"/>
            <w:tcBorders>
              <w:top w:val="single" w:sz="4" w:space="0" w:color="ADD6EA"/>
              <w:left w:val="nil"/>
              <w:bottom w:val="single" w:sz="4" w:space="0" w:color="ADD6EA"/>
              <w:right w:val="nil"/>
            </w:tcBorders>
            <w:shd w:val="clear" w:color="000000" w:fill="D6E7F0"/>
            <w:noWrap/>
            <w:vAlign w:val="center"/>
            <w:hideMark/>
          </w:tcPr>
          <w:p w14:paraId="320333BD"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261</w:t>
            </w:r>
          </w:p>
        </w:tc>
        <w:tc>
          <w:tcPr>
            <w:tcW w:w="700" w:type="dxa"/>
            <w:tcBorders>
              <w:top w:val="single" w:sz="4" w:space="0" w:color="ADD6EA"/>
              <w:left w:val="nil"/>
              <w:bottom w:val="single" w:sz="4" w:space="0" w:color="ADD6EA"/>
              <w:right w:val="nil"/>
            </w:tcBorders>
            <w:shd w:val="clear" w:color="000000" w:fill="D6E7F0"/>
            <w:noWrap/>
            <w:vAlign w:val="center"/>
            <w:hideMark/>
          </w:tcPr>
          <w:p w14:paraId="3FE4A5CA"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73</w:t>
            </w:r>
          </w:p>
        </w:tc>
        <w:tc>
          <w:tcPr>
            <w:tcW w:w="700" w:type="dxa"/>
            <w:tcBorders>
              <w:top w:val="single" w:sz="4" w:space="0" w:color="ADD6EA"/>
              <w:left w:val="nil"/>
              <w:bottom w:val="single" w:sz="4" w:space="0" w:color="ADD6EA"/>
              <w:right w:val="nil"/>
            </w:tcBorders>
            <w:shd w:val="clear" w:color="000000" w:fill="D6E7F0"/>
            <w:noWrap/>
            <w:vAlign w:val="center"/>
            <w:hideMark/>
          </w:tcPr>
          <w:p w14:paraId="41B8FED7"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966</w:t>
            </w:r>
          </w:p>
        </w:tc>
        <w:tc>
          <w:tcPr>
            <w:tcW w:w="700" w:type="dxa"/>
            <w:tcBorders>
              <w:top w:val="single" w:sz="4" w:space="0" w:color="ADD6EA"/>
              <w:left w:val="nil"/>
              <w:bottom w:val="single" w:sz="4" w:space="0" w:color="ADD6EA"/>
              <w:right w:val="nil"/>
            </w:tcBorders>
            <w:shd w:val="clear" w:color="000000" w:fill="D6E7F0"/>
            <w:noWrap/>
            <w:vAlign w:val="center"/>
            <w:hideMark/>
          </w:tcPr>
          <w:p w14:paraId="71154A61" w14:textId="77777777" w:rsidR="00B83519" w:rsidRPr="00B83519" w:rsidRDefault="00B83519" w:rsidP="00B8351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83519">
              <w:rPr>
                <w:rFonts w:ascii="Open Sans Semibold" w:eastAsia="Times New Roman" w:hAnsi="Open Sans Semibold" w:cs="Open Sans Semibold"/>
                <w:color w:val="000000"/>
                <w:sz w:val="16"/>
                <w:szCs w:val="16"/>
                <w:lang w:eastAsia="en-AU"/>
              </w:rPr>
              <w:t>162</w:t>
            </w:r>
          </w:p>
        </w:tc>
      </w:tr>
    </w:tbl>
    <w:p w14:paraId="2B840852" w14:textId="77777777" w:rsidR="00AC03C4" w:rsidRDefault="003E2D24" w:rsidP="00FE44F4">
      <w:pPr>
        <w:pStyle w:val="CGC2025TableNote"/>
        <w:numPr>
          <w:ilvl w:val="0"/>
          <w:numId w:val="31"/>
        </w:numPr>
        <w:ind w:left="567" w:hanging="454"/>
      </w:pPr>
      <w:r w:rsidRPr="00FA7C1D">
        <w:t xml:space="preserve">Effects on the distribution of the 2024–25 GST pool of using estimated state populations for 2025–26 instead of 2024–25, with 2024 relativities. </w:t>
      </w:r>
    </w:p>
    <w:p w14:paraId="71395EE7" w14:textId="11A61519" w:rsidR="00AC03C4" w:rsidRDefault="003E2D24">
      <w:pPr>
        <w:pStyle w:val="CGC2025TableNote"/>
        <w:numPr>
          <w:ilvl w:val="0"/>
          <w:numId w:val="31"/>
        </w:numPr>
        <w:ind w:left="113" w:firstLine="0"/>
      </w:pPr>
      <w:r w:rsidRPr="006E13EC">
        <w:t>Effects of applying the 2024 relativities to the estimated 2025–26 GST pool.</w:t>
      </w:r>
      <w:r w:rsidR="00AC03C4">
        <w:t xml:space="preserve"> </w:t>
      </w:r>
    </w:p>
    <w:p w14:paraId="6AB994BF" w14:textId="110B1535" w:rsidR="00606893" w:rsidRDefault="003E2D24">
      <w:pPr>
        <w:pStyle w:val="CGC2025TableNote"/>
        <w:numPr>
          <w:ilvl w:val="0"/>
          <w:numId w:val="31"/>
        </w:numPr>
        <w:ind w:left="113" w:firstLine="0"/>
      </w:pPr>
      <w:r w:rsidRPr="006E13EC">
        <w:t>Effects on the distribution of the 2025–26 GST pool of using 2025 GST relativities instead of 2024 GST relativities.</w:t>
      </w:r>
      <w:r w:rsidR="00606893">
        <w:t xml:space="preserve"> </w:t>
      </w:r>
    </w:p>
    <w:p w14:paraId="21206FDF" w14:textId="67DB7F90" w:rsidR="00394513" w:rsidRDefault="003E2D24" w:rsidP="00FE44F4">
      <w:pPr>
        <w:pStyle w:val="CGC2025TableNote"/>
        <w:numPr>
          <w:ilvl w:val="0"/>
          <w:numId w:val="31"/>
        </w:numPr>
        <w:ind w:left="567" w:hanging="454"/>
      </w:pPr>
      <w:r w:rsidRPr="006E13EC">
        <w:t>Effects on the distribution of the 2025–26 GST pool of using the 2025 assessed relativities instead of the 2024 assessed relativities.</w:t>
      </w:r>
      <w:r w:rsidR="00394513">
        <w:t xml:space="preserve"> </w:t>
      </w:r>
    </w:p>
    <w:p w14:paraId="1CC79DB7" w14:textId="74CE159F" w:rsidR="003E2D24" w:rsidRPr="00FD2225" w:rsidRDefault="003E2D24" w:rsidP="00FE44F4">
      <w:pPr>
        <w:pStyle w:val="CGC2025TableNote"/>
        <w:numPr>
          <w:ilvl w:val="0"/>
          <w:numId w:val="31"/>
        </w:numPr>
        <w:ind w:left="567" w:hanging="454"/>
      </w:pPr>
      <w:r w:rsidRPr="006E13EC">
        <w:t xml:space="preserve">Effects on </w:t>
      </w:r>
      <w:r w:rsidRPr="00FD2225">
        <w:t>the distribution of the 2025–26 GST pool of using the 2025 blended relativities and GST relativity floor instead of the 2024 blended relativities and GST relativity floor.</w:t>
      </w:r>
    </w:p>
    <w:p w14:paraId="07DF923B" w14:textId="1A13E94C" w:rsidR="003E2D24" w:rsidRPr="002B0665" w:rsidRDefault="003E2D24" w:rsidP="00FE44F4">
      <w:pPr>
        <w:pStyle w:val="CGC2025TableNote"/>
        <w:ind w:left="680" w:hanging="567"/>
      </w:pPr>
      <w:r w:rsidRPr="00FD2225">
        <w:t xml:space="preserve">Source: </w:t>
      </w:r>
      <w:r w:rsidRPr="00A32992">
        <w:t xml:space="preserve">2024–25 and 2025–26 GST pool estimates </w:t>
      </w:r>
      <w:r w:rsidR="00523A2E" w:rsidRPr="00A32992">
        <w:t xml:space="preserve">and 2024–25 </w:t>
      </w:r>
      <w:r w:rsidR="00A97A0B" w:rsidRPr="00A32992">
        <w:t xml:space="preserve">population estimates </w:t>
      </w:r>
      <w:r w:rsidRPr="00A32992">
        <w:t xml:space="preserve">were taken from the </w:t>
      </w:r>
      <w:hyperlink r:id="rId26" w:history="1">
        <w:r w:rsidRPr="00A32992">
          <w:rPr>
            <w:rStyle w:val="Hyperlink"/>
            <w:i/>
          </w:rPr>
          <w:t>Mid</w:t>
        </w:r>
        <w:r w:rsidRPr="00A32992">
          <w:rPr>
            <w:rStyle w:val="Hyperlink"/>
            <w:i/>
          </w:rPr>
          <w:noBreakHyphen/>
        </w:r>
        <w:r w:rsidR="00B460FB" w:rsidRPr="00A32992">
          <w:rPr>
            <w:rStyle w:val="Hyperlink"/>
            <w:i/>
          </w:rPr>
          <w:t>Y</w:t>
        </w:r>
        <w:r w:rsidRPr="00A32992">
          <w:rPr>
            <w:rStyle w:val="Hyperlink"/>
            <w:i/>
          </w:rPr>
          <w:t>ear Econom</w:t>
        </w:r>
        <w:bookmarkStart w:id="91" w:name="_Hlt188960915"/>
        <w:bookmarkStart w:id="92" w:name="_Hlt188960916"/>
        <w:r w:rsidRPr="00A32992">
          <w:rPr>
            <w:rStyle w:val="Hyperlink"/>
            <w:i/>
          </w:rPr>
          <w:t>i</w:t>
        </w:r>
        <w:bookmarkEnd w:id="91"/>
        <w:bookmarkEnd w:id="92"/>
        <w:r w:rsidRPr="00A32992">
          <w:rPr>
            <w:rStyle w:val="Hyperlink"/>
            <w:i/>
          </w:rPr>
          <w:t>c</w:t>
        </w:r>
        <w:r w:rsidR="00312AC5">
          <w:rPr>
            <w:rStyle w:val="Hyperlink"/>
            <w:i/>
          </w:rPr>
          <w:t> </w:t>
        </w:r>
        <w:r w:rsidRPr="00A32992">
          <w:rPr>
            <w:rStyle w:val="Hyperlink"/>
            <w:i/>
          </w:rPr>
          <w:t>and Fiscal Outlook 2024–25</w:t>
        </w:r>
      </w:hyperlink>
      <w:r w:rsidRPr="00A32992">
        <w:t>. 2025–26 population estimates were provided by the Commonwealth</w:t>
      </w:r>
      <w:r w:rsidR="00E37F23">
        <w:t> </w:t>
      </w:r>
      <w:r w:rsidRPr="00A32992">
        <w:t>Treasury.</w:t>
      </w:r>
    </w:p>
    <w:p w14:paraId="1E7C472B" w14:textId="77777777" w:rsidR="00214044" w:rsidRPr="00F71211" w:rsidRDefault="00214044" w:rsidP="00214044">
      <w:r w:rsidRPr="002B0665">
        <w:t>Changes in estimated GST payments</w:t>
      </w:r>
      <w:r w:rsidRPr="00F71211">
        <w:t xml:space="preserve"> between 2024–25 and 2025–26 are driven by the following. </w:t>
      </w:r>
    </w:p>
    <w:p w14:paraId="20C307A0" w14:textId="017C9BA7" w:rsidR="00214044" w:rsidRPr="006B7D29" w:rsidRDefault="00214044" w:rsidP="00C909D4">
      <w:pPr>
        <w:pStyle w:val="CGC2025Bullet1"/>
      </w:pPr>
      <w:r w:rsidRPr="006B7D29">
        <w:t>Changes to state populations – the GST distribution is determined by applying GST relativities to state populations</w:t>
      </w:r>
      <w:r w:rsidRPr="00E37F23">
        <w:t>.</w:t>
      </w:r>
      <w:r w:rsidR="00F01B70" w:rsidRPr="006B7D29">
        <w:rPr>
          <w:vertAlign w:val="superscript"/>
        </w:rPr>
        <w:footnoteReference w:id="5"/>
      </w:r>
      <w:r w:rsidRPr="00E37F23">
        <w:t xml:space="preserve"> The estimated 2025–26 GST distribution is based on Commonwealth estimates of state populations for 2025–26</w:t>
      </w:r>
      <w:r w:rsidR="003E2A84" w:rsidRPr="00E37F23">
        <w:t xml:space="preserve"> at the time of </w:t>
      </w:r>
      <w:hyperlink r:id="rId27">
        <w:r w:rsidR="003E2A84" w:rsidRPr="00E37F23">
          <w:rPr>
            <w:rStyle w:val="Hyperlink"/>
            <w:i/>
          </w:rPr>
          <w:t>Mid-Year Economic and Fiscal Outlook 2024–25</w:t>
        </w:r>
      </w:hyperlink>
      <w:r w:rsidRPr="00E37F23">
        <w:t>. Changes in forecast state populations between 2024–25 and 2025–26 impact the estimated GST</w:t>
      </w:r>
      <w:r w:rsidR="00ED68A8">
        <w:t xml:space="preserve"> </w:t>
      </w:r>
      <w:r w:rsidRPr="00E37F23">
        <w:t>distribution.</w:t>
      </w:r>
    </w:p>
    <w:p w14:paraId="75085825" w14:textId="77777777" w:rsidR="00214044" w:rsidRPr="00F71211" w:rsidRDefault="00214044" w:rsidP="00C909D4">
      <w:pPr>
        <w:pStyle w:val="CGC2025Bullet2"/>
      </w:pPr>
      <w:r w:rsidRPr="00F71211">
        <w:t>Slower forecast population growth between these years in New South Wales, South Australia, Tasmania, the ACT and the Northern Territory reduced their estimated GST distribution. Increased forecast population growth in Victoria, Queensland and Western Australia increased their estimated GST distribution.</w:t>
      </w:r>
    </w:p>
    <w:p w14:paraId="5C2A672B" w14:textId="77777777" w:rsidR="00214044" w:rsidRPr="00F71211" w:rsidRDefault="00214044" w:rsidP="00C909D4">
      <w:pPr>
        <w:pStyle w:val="CGC2025Bullet2"/>
      </w:pPr>
      <w:r w:rsidRPr="00F71211">
        <w:t xml:space="preserve">Changes to state populations also impact the Commission’s assessment of state GST needs. These impacts are separately captured in the changes to GST relativities (see below).  </w:t>
      </w:r>
    </w:p>
    <w:p w14:paraId="61C4D3D5" w14:textId="77777777" w:rsidR="00214044" w:rsidRPr="00F71211" w:rsidRDefault="00214044" w:rsidP="00C909D4">
      <w:pPr>
        <w:pStyle w:val="CGC2025Bullet1"/>
      </w:pPr>
      <w:r w:rsidRPr="00F71211">
        <w:t xml:space="preserve">Growth in the GST pool – in the </w:t>
      </w:r>
      <w:hyperlink r:id="rId28" w:history="1">
        <w:r w:rsidRPr="006A5C5C">
          <w:rPr>
            <w:rStyle w:val="Hyperlink"/>
            <w:i/>
            <w:iCs/>
          </w:rPr>
          <w:t>Mid-Year Economic and Fiscal Outlook 2024–25</w:t>
        </w:r>
      </w:hyperlink>
      <w:r w:rsidRPr="00F71211">
        <w:t>, the Australian Government estimates an increase in the GST pool from around $91 billion in 2024–25 to around $95 billion in 2025–26.</w:t>
      </w:r>
      <w:r w:rsidRPr="00F06346">
        <w:rPr>
          <w:vertAlign w:val="superscript"/>
        </w:rPr>
        <w:footnoteReference w:id="6"/>
      </w:r>
      <w:r w:rsidRPr="00F71211">
        <w:t xml:space="preserve"> Growth in the pool is distributed among states using their population shares, weighted by their GST relativity.</w:t>
      </w:r>
    </w:p>
    <w:p w14:paraId="56FF6BD8" w14:textId="77777777" w:rsidR="00214044" w:rsidRPr="00F71211" w:rsidRDefault="00214044" w:rsidP="00C909D4">
      <w:pPr>
        <w:pStyle w:val="CGC2025Bullet2"/>
      </w:pPr>
      <w:r w:rsidRPr="00F71211">
        <w:t xml:space="preserve">All states are expected to benefit from anticipated growth in the GST pool in 2025–26. States with a higher relativity, in particular the Northern Territory, </w:t>
      </w:r>
      <w:r w:rsidRPr="00F71211">
        <w:lastRenderedPageBreak/>
        <w:t>but also Tasmania and South Australia, are estimated to benefit more (on a per capita basis) than states with a lower relativity.</w:t>
      </w:r>
    </w:p>
    <w:p w14:paraId="1FD912AA" w14:textId="77777777" w:rsidR="00214044" w:rsidRPr="00F71211" w:rsidRDefault="00214044" w:rsidP="00C909D4">
      <w:pPr>
        <w:pStyle w:val="CGC2025Bullet1"/>
      </w:pPr>
      <w:r w:rsidRPr="00F71211">
        <w:t xml:space="preserve">Changes to the GST relativities – the change in relativities reflects changes in assessed relativities (influenced by method changes, data revisions and changes in state circumstances), as well as the application of the 2018 GST distribution legislation. </w:t>
      </w:r>
    </w:p>
    <w:p w14:paraId="65ADCB63" w14:textId="5C369F9F" w:rsidR="00214044" w:rsidRPr="00F71211" w:rsidRDefault="00214044" w:rsidP="00C909D4">
      <w:pPr>
        <w:pStyle w:val="CGC2025Bullet2"/>
      </w:pPr>
      <w:r w:rsidRPr="00F71211">
        <w:t>Compared with 2024–25, the recommended GST relativities for 2025–26 (excluding the impact of changes in populations and changes in GST pool mentioned above), would increase the GST distribution to Victoria, Tasmania</w:t>
      </w:r>
      <w:r w:rsidR="001D0A2B">
        <w:t> </w:t>
      </w:r>
      <w:r w:rsidRPr="00F71211">
        <w:t>and the Northern Territory, and decrease the GST distribution to</w:t>
      </w:r>
      <w:r w:rsidR="001D0A2B">
        <w:t> </w:t>
      </w:r>
      <w:r w:rsidRPr="00F71211">
        <w:t>New</w:t>
      </w:r>
      <w:r w:rsidR="00D027F0">
        <w:t> </w:t>
      </w:r>
      <w:r w:rsidRPr="00F71211">
        <w:t>South</w:t>
      </w:r>
      <w:r w:rsidR="00D027F0">
        <w:t> </w:t>
      </w:r>
      <w:r w:rsidRPr="00F71211">
        <w:t>Wales, Queensland, Western Australia, South Australia and the</w:t>
      </w:r>
      <w:r w:rsidR="001D0A2B">
        <w:t> </w:t>
      </w:r>
      <w:r w:rsidRPr="00F71211">
        <w:t xml:space="preserve">ACT. </w:t>
      </w:r>
    </w:p>
    <w:p w14:paraId="576087AE" w14:textId="77777777" w:rsidR="00214044" w:rsidRPr="00F71211" w:rsidRDefault="00214044" w:rsidP="00C909D4">
      <w:pPr>
        <w:pStyle w:val="CGC2025Bullet2"/>
      </w:pPr>
      <w:r w:rsidRPr="00F71211">
        <w:t xml:space="preserve">Chapter 2 provides details on the main drivers of the changes to GST relativities.  </w:t>
      </w:r>
    </w:p>
    <w:p w14:paraId="774F9B46" w14:textId="6FC22C6D" w:rsidR="00707E2A" w:rsidRPr="00307453" w:rsidRDefault="00214044" w:rsidP="00214044">
      <w:r w:rsidRPr="00BD2C8C">
        <w:t>Attachment B provides</w:t>
      </w:r>
      <w:r w:rsidRPr="00F71211">
        <w:t xml:space="preserve"> an analysis of how the GST distribution has changed since the introduction of the GST in 2000–01.</w:t>
      </w:r>
    </w:p>
    <w:p w14:paraId="404DC20C" w14:textId="77777777" w:rsidR="00E752B4" w:rsidRPr="00F71211" w:rsidRDefault="00E752B4" w:rsidP="00A03A43">
      <w:pPr>
        <w:pStyle w:val="Heading2"/>
      </w:pPr>
      <w:r w:rsidRPr="00F71211">
        <w:t>Relativities to determine no worse off payments</w:t>
      </w:r>
    </w:p>
    <w:p w14:paraId="0D8A11C7" w14:textId="77777777" w:rsidR="00A03A43" w:rsidRDefault="00A03A43" w:rsidP="00A03A43">
      <w:r w:rsidRPr="00C3118B">
        <w:t xml:space="preserve">The 2025 Methodology Review Terms of Reference asked the Commission to provide the relativities that would have applied had the </w:t>
      </w:r>
      <w:r>
        <w:t xml:space="preserve">2018 </w:t>
      </w:r>
      <w:r w:rsidRPr="00C3118B">
        <w:t>GST distribution legislation not been enacted. These relativities are used by the Commonwealth to determine whether to</w:t>
      </w:r>
      <w:r>
        <w:t xml:space="preserve"> </w:t>
      </w:r>
      <w:r w:rsidRPr="00C3118B">
        <w:t xml:space="preserve">make </w:t>
      </w:r>
      <w:r>
        <w:t xml:space="preserve">a </w:t>
      </w:r>
      <w:r w:rsidRPr="00C3118B">
        <w:t>no worse off payment to a state.</w:t>
      </w:r>
      <w:r>
        <w:t xml:space="preserve"> </w:t>
      </w:r>
      <w:r w:rsidRPr="00C3118B">
        <w:t>The</w:t>
      </w:r>
      <w:r>
        <w:t xml:space="preserve"> estimated</w:t>
      </w:r>
      <w:r w:rsidRPr="00C3118B">
        <w:t xml:space="preserve"> no worse off relativities for 2025–26 are shown in Table</w:t>
      </w:r>
      <w:r>
        <w:t> </w:t>
      </w:r>
      <w:r w:rsidRPr="00C3118B">
        <w:t>1</w:t>
      </w:r>
      <w:r>
        <w:softHyphen/>
      </w:r>
      <w:r>
        <w:softHyphen/>
      </w:r>
      <w:r>
        <w:noBreakHyphen/>
        <w:t>3</w:t>
      </w:r>
      <w:r w:rsidRPr="00C3118B">
        <w:t>.</w:t>
      </w:r>
      <w:r>
        <w:t xml:space="preserve"> </w:t>
      </w:r>
    </w:p>
    <w:p w14:paraId="174E06F6" w14:textId="77777777" w:rsidR="00975830" w:rsidRPr="00F71211" w:rsidRDefault="00975830" w:rsidP="00763C59">
      <w:pPr>
        <w:pStyle w:val="CGC2025Caption"/>
      </w:pPr>
      <w:bookmarkStart w:id="93" w:name="_Ref158838080"/>
      <w:r w:rsidRPr="00F71211">
        <w:t xml:space="preserve">Table </w:t>
      </w:r>
      <w:bookmarkEnd w:id="93"/>
      <w:r w:rsidRPr="00F71211">
        <w:t xml:space="preserve">1-3 </w:t>
      </w:r>
      <w:r w:rsidRPr="00F71211">
        <w:tab/>
        <w:t>No worse off relativities, 2025–26</w:t>
      </w:r>
    </w:p>
    <w:tbl>
      <w:tblPr>
        <w:tblW w:w="8940" w:type="dxa"/>
        <w:tblLook w:val="04A0" w:firstRow="1" w:lastRow="0" w:firstColumn="1" w:lastColumn="0" w:noHBand="0" w:noVBand="1"/>
      </w:tblPr>
      <w:tblGrid>
        <w:gridCol w:w="840"/>
        <w:gridCol w:w="900"/>
        <w:gridCol w:w="900"/>
        <w:gridCol w:w="900"/>
        <w:gridCol w:w="900"/>
        <w:gridCol w:w="900"/>
        <w:gridCol w:w="900"/>
        <w:gridCol w:w="900"/>
        <w:gridCol w:w="900"/>
        <w:gridCol w:w="900"/>
      </w:tblGrid>
      <w:tr w:rsidR="007C1D67" w:rsidRPr="00041BA2" w14:paraId="7A76D1B7" w14:textId="77777777">
        <w:trPr>
          <w:trHeight w:val="375"/>
        </w:trPr>
        <w:tc>
          <w:tcPr>
            <w:tcW w:w="840" w:type="dxa"/>
            <w:tcBorders>
              <w:top w:val="nil"/>
              <w:left w:val="nil"/>
              <w:bottom w:val="nil"/>
              <w:right w:val="nil"/>
            </w:tcBorders>
            <w:shd w:val="clear" w:color="000000" w:fill="006991"/>
            <w:vAlign w:val="center"/>
            <w:hideMark/>
          </w:tcPr>
          <w:p w14:paraId="5133D825" w14:textId="77777777" w:rsidR="007C1D67" w:rsidRPr="00041BA2" w:rsidRDefault="007C1D67">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94" w:name="RANGE!A4:J5"/>
            <w:r w:rsidRPr="00041BA2">
              <w:rPr>
                <w:rFonts w:ascii="Open Sans Semibold" w:eastAsia="Times New Roman" w:hAnsi="Open Sans Semibold" w:cs="Open Sans Semibold"/>
                <w:color w:val="FFFFFF"/>
                <w:sz w:val="16"/>
                <w:szCs w:val="16"/>
                <w:lang w:eastAsia="en-AU"/>
              </w:rPr>
              <w:t> </w:t>
            </w:r>
            <w:bookmarkEnd w:id="94"/>
          </w:p>
        </w:tc>
        <w:tc>
          <w:tcPr>
            <w:tcW w:w="900" w:type="dxa"/>
            <w:tcBorders>
              <w:top w:val="nil"/>
              <w:left w:val="nil"/>
              <w:bottom w:val="nil"/>
              <w:right w:val="nil"/>
            </w:tcBorders>
            <w:shd w:val="clear" w:color="000000" w:fill="006991"/>
            <w:vAlign w:val="center"/>
            <w:hideMark/>
          </w:tcPr>
          <w:p w14:paraId="4CF7E3B9" w14:textId="77777777" w:rsidR="007C1D67" w:rsidRPr="00041BA2" w:rsidRDefault="007C1D6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41BA2">
              <w:rPr>
                <w:rFonts w:ascii="Open Sans Semibold" w:eastAsia="Times New Roman" w:hAnsi="Open Sans Semibold" w:cs="Open Sans Semibold"/>
                <w:color w:val="FFFFFF"/>
                <w:sz w:val="16"/>
                <w:szCs w:val="16"/>
                <w:lang w:eastAsia="en-AU"/>
              </w:rPr>
              <w:t>NSW</w:t>
            </w:r>
          </w:p>
        </w:tc>
        <w:tc>
          <w:tcPr>
            <w:tcW w:w="900" w:type="dxa"/>
            <w:tcBorders>
              <w:top w:val="nil"/>
              <w:left w:val="nil"/>
              <w:bottom w:val="nil"/>
              <w:right w:val="nil"/>
            </w:tcBorders>
            <w:shd w:val="clear" w:color="000000" w:fill="006991"/>
            <w:vAlign w:val="center"/>
            <w:hideMark/>
          </w:tcPr>
          <w:p w14:paraId="5CE819B4" w14:textId="77777777" w:rsidR="007C1D67" w:rsidRPr="00041BA2" w:rsidRDefault="007C1D6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41BA2">
              <w:rPr>
                <w:rFonts w:ascii="Open Sans Semibold" w:eastAsia="Times New Roman" w:hAnsi="Open Sans Semibold" w:cs="Open Sans Semibold"/>
                <w:color w:val="FFFFFF"/>
                <w:sz w:val="16"/>
                <w:szCs w:val="16"/>
                <w:lang w:eastAsia="en-AU"/>
              </w:rPr>
              <w:t>Vic</w:t>
            </w:r>
          </w:p>
        </w:tc>
        <w:tc>
          <w:tcPr>
            <w:tcW w:w="900" w:type="dxa"/>
            <w:tcBorders>
              <w:top w:val="nil"/>
              <w:left w:val="nil"/>
              <w:bottom w:val="nil"/>
              <w:right w:val="nil"/>
            </w:tcBorders>
            <w:shd w:val="clear" w:color="000000" w:fill="006991"/>
            <w:vAlign w:val="center"/>
            <w:hideMark/>
          </w:tcPr>
          <w:p w14:paraId="4F2F0500" w14:textId="77777777" w:rsidR="007C1D67" w:rsidRPr="00041BA2" w:rsidRDefault="007C1D6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41BA2">
              <w:rPr>
                <w:rFonts w:ascii="Open Sans Semibold" w:eastAsia="Times New Roman" w:hAnsi="Open Sans Semibold" w:cs="Open Sans Semibold"/>
                <w:color w:val="FFFFFF"/>
                <w:sz w:val="16"/>
                <w:szCs w:val="16"/>
                <w:lang w:eastAsia="en-AU"/>
              </w:rPr>
              <w:t>Qld</w:t>
            </w:r>
          </w:p>
        </w:tc>
        <w:tc>
          <w:tcPr>
            <w:tcW w:w="900" w:type="dxa"/>
            <w:tcBorders>
              <w:top w:val="nil"/>
              <w:left w:val="nil"/>
              <w:bottom w:val="nil"/>
              <w:right w:val="nil"/>
            </w:tcBorders>
            <w:shd w:val="clear" w:color="000000" w:fill="006991"/>
            <w:vAlign w:val="center"/>
            <w:hideMark/>
          </w:tcPr>
          <w:p w14:paraId="59DFBF71" w14:textId="77777777" w:rsidR="007C1D67" w:rsidRPr="00041BA2" w:rsidRDefault="007C1D6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41BA2">
              <w:rPr>
                <w:rFonts w:ascii="Open Sans Semibold" w:eastAsia="Times New Roman" w:hAnsi="Open Sans Semibold" w:cs="Open Sans Semibold"/>
                <w:color w:val="FFFFFF"/>
                <w:sz w:val="16"/>
                <w:szCs w:val="16"/>
                <w:lang w:eastAsia="en-AU"/>
              </w:rPr>
              <w:t>WA</w:t>
            </w:r>
          </w:p>
        </w:tc>
        <w:tc>
          <w:tcPr>
            <w:tcW w:w="900" w:type="dxa"/>
            <w:tcBorders>
              <w:top w:val="nil"/>
              <w:left w:val="nil"/>
              <w:bottom w:val="nil"/>
              <w:right w:val="nil"/>
            </w:tcBorders>
            <w:shd w:val="clear" w:color="000000" w:fill="006991"/>
            <w:vAlign w:val="center"/>
            <w:hideMark/>
          </w:tcPr>
          <w:p w14:paraId="77C04836" w14:textId="77777777" w:rsidR="007C1D67" w:rsidRPr="00041BA2" w:rsidRDefault="007C1D6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41BA2">
              <w:rPr>
                <w:rFonts w:ascii="Open Sans Semibold" w:eastAsia="Times New Roman" w:hAnsi="Open Sans Semibold" w:cs="Open Sans Semibold"/>
                <w:color w:val="FFFFFF"/>
                <w:sz w:val="16"/>
                <w:szCs w:val="16"/>
                <w:lang w:eastAsia="en-AU"/>
              </w:rPr>
              <w:t>SA</w:t>
            </w:r>
          </w:p>
        </w:tc>
        <w:tc>
          <w:tcPr>
            <w:tcW w:w="900" w:type="dxa"/>
            <w:tcBorders>
              <w:top w:val="nil"/>
              <w:left w:val="nil"/>
              <w:bottom w:val="nil"/>
              <w:right w:val="nil"/>
            </w:tcBorders>
            <w:shd w:val="clear" w:color="000000" w:fill="006991"/>
            <w:vAlign w:val="center"/>
            <w:hideMark/>
          </w:tcPr>
          <w:p w14:paraId="269F2A9E" w14:textId="77777777" w:rsidR="007C1D67" w:rsidRPr="00041BA2" w:rsidRDefault="007C1D6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41BA2">
              <w:rPr>
                <w:rFonts w:ascii="Open Sans Semibold" w:eastAsia="Times New Roman" w:hAnsi="Open Sans Semibold" w:cs="Open Sans Semibold"/>
                <w:color w:val="FFFFFF"/>
                <w:sz w:val="16"/>
                <w:szCs w:val="16"/>
                <w:lang w:eastAsia="en-AU"/>
              </w:rPr>
              <w:t>Tas</w:t>
            </w:r>
          </w:p>
        </w:tc>
        <w:tc>
          <w:tcPr>
            <w:tcW w:w="900" w:type="dxa"/>
            <w:tcBorders>
              <w:top w:val="nil"/>
              <w:left w:val="nil"/>
              <w:bottom w:val="nil"/>
              <w:right w:val="nil"/>
            </w:tcBorders>
            <w:shd w:val="clear" w:color="000000" w:fill="006991"/>
            <w:vAlign w:val="center"/>
            <w:hideMark/>
          </w:tcPr>
          <w:p w14:paraId="4332B18F" w14:textId="77777777" w:rsidR="007C1D67" w:rsidRPr="00041BA2" w:rsidRDefault="007C1D6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41BA2">
              <w:rPr>
                <w:rFonts w:ascii="Open Sans Semibold" w:eastAsia="Times New Roman" w:hAnsi="Open Sans Semibold" w:cs="Open Sans Semibold"/>
                <w:color w:val="FFFFFF"/>
                <w:sz w:val="16"/>
                <w:szCs w:val="16"/>
                <w:lang w:eastAsia="en-AU"/>
              </w:rPr>
              <w:t>ACT</w:t>
            </w:r>
          </w:p>
        </w:tc>
        <w:tc>
          <w:tcPr>
            <w:tcW w:w="900" w:type="dxa"/>
            <w:tcBorders>
              <w:top w:val="nil"/>
              <w:left w:val="nil"/>
              <w:bottom w:val="nil"/>
              <w:right w:val="nil"/>
            </w:tcBorders>
            <w:shd w:val="clear" w:color="000000" w:fill="006991"/>
            <w:vAlign w:val="center"/>
            <w:hideMark/>
          </w:tcPr>
          <w:p w14:paraId="0AD2A3B4" w14:textId="77777777" w:rsidR="007C1D67" w:rsidRPr="00041BA2" w:rsidRDefault="007C1D6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41BA2">
              <w:rPr>
                <w:rFonts w:ascii="Open Sans Semibold" w:eastAsia="Times New Roman" w:hAnsi="Open Sans Semibold" w:cs="Open Sans Semibold"/>
                <w:color w:val="FFFFFF"/>
                <w:sz w:val="16"/>
                <w:szCs w:val="16"/>
                <w:lang w:eastAsia="en-AU"/>
              </w:rPr>
              <w:t>NT</w:t>
            </w:r>
          </w:p>
        </w:tc>
        <w:tc>
          <w:tcPr>
            <w:tcW w:w="900" w:type="dxa"/>
            <w:tcBorders>
              <w:top w:val="nil"/>
              <w:left w:val="nil"/>
              <w:bottom w:val="nil"/>
              <w:right w:val="nil"/>
            </w:tcBorders>
            <w:shd w:val="clear" w:color="000000" w:fill="006991"/>
            <w:vAlign w:val="center"/>
            <w:hideMark/>
          </w:tcPr>
          <w:p w14:paraId="4DDEE151" w14:textId="77777777" w:rsidR="007C1D67" w:rsidRPr="00041BA2" w:rsidRDefault="007C1D6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41BA2">
              <w:rPr>
                <w:rFonts w:ascii="Open Sans Semibold" w:eastAsia="Times New Roman" w:hAnsi="Open Sans Semibold" w:cs="Open Sans Semibold"/>
                <w:color w:val="FFFFFF"/>
                <w:sz w:val="16"/>
                <w:szCs w:val="16"/>
                <w:lang w:eastAsia="en-AU"/>
              </w:rPr>
              <w:t>Total</w:t>
            </w:r>
          </w:p>
        </w:tc>
      </w:tr>
      <w:tr w:rsidR="007C1D67" w:rsidRPr="00041BA2" w14:paraId="60DD0408" w14:textId="77777777">
        <w:trPr>
          <w:trHeight w:val="315"/>
        </w:trPr>
        <w:tc>
          <w:tcPr>
            <w:tcW w:w="840" w:type="dxa"/>
            <w:tcBorders>
              <w:top w:val="single" w:sz="4" w:space="0" w:color="ADD6EA"/>
              <w:left w:val="nil"/>
              <w:bottom w:val="single" w:sz="4" w:space="0" w:color="ADD6EA"/>
              <w:right w:val="nil"/>
            </w:tcBorders>
            <w:shd w:val="clear" w:color="auto" w:fill="auto"/>
            <w:vAlign w:val="center"/>
            <w:hideMark/>
          </w:tcPr>
          <w:p w14:paraId="3B584BE6" w14:textId="77777777" w:rsidR="007C1D67" w:rsidRPr="00041BA2" w:rsidRDefault="007C1D67">
            <w:pPr>
              <w:tabs>
                <w:tab w:val="clear" w:pos="567"/>
              </w:tabs>
              <w:spacing w:before="0" w:line="240" w:lineRule="auto"/>
              <w:rPr>
                <w:rFonts w:ascii="Open Sans Light" w:eastAsia="Times New Roman" w:hAnsi="Open Sans Light" w:cs="Open Sans Light"/>
                <w:color w:val="000000"/>
                <w:sz w:val="16"/>
                <w:szCs w:val="16"/>
                <w:lang w:eastAsia="en-AU"/>
              </w:rPr>
            </w:pPr>
            <w:r w:rsidRPr="00041BA2">
              <w:rPr>
                <w:rFonts w:ascii="Open Sans Light" w:eastAsia="Times New Roman" w:hAnsi="Open Sans Light" w:cs="Open Sans Light"/>
                <w:color w:val="000000"/>
                <w:sz w:val="16"/>
                <w:szCs w:val="16"/>
                <w:lang w:eastAsia="en-AU"/>
              </w:rPr>
              <w:t>2025-26</w:t>
            </w:r>
          </w:p>
        </w:tc>
        <w:tc>
          <w:tcPr>
            <w:tcW w:w="900" w:type="dxa"/>
            <w:tcBorders>
              <w:top w:val="single" w:sz="4" w:space="0" w:color="ADD6EA"/>
              <w:left w:val="nil"/>
              <w:bottom w:val="single" w:sz="4" w:space="0" w:color="ADD6EA"/>
              <w:right w:val="nil"/>
            </w:tcBorders>
            <w:shd w:val="clear" w:color="auto" w:fill="auto"/>
            <w:noWrap/>
            <w:vAlign w:val="center"/>
            <w:hideMark/>
          </w:tcPr>
          <w:p w14:paraId="4564781E" w14:textId="77777777" w:rsidR="007C1D67" w:rsidRPr="00041BA2" w:rsidRDefault="007C1D6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41BA2">
              <w:rPr>
                <w:rFonts w:ascii="Open Sans Light" w:eastAsia="Times New Roman" w:hAnsi="Open Sans Light" w:cs="Open Sans Light"/>
                <w:color w:val="000000"/>
                <w:sz w:val="16"/>
                <w:szCs w:val="16"/>
                <w:lang w:eastAsia="en-AU"/>
              </w:rPr>
              <w:t>0.94600</w:t>
            </w:r>
          </w:p>
        </w:tc>
        <w:tc>
          <w:tcPr>
            <w:tcW w:w="900" w:type="dxa"/>
            <w:tcBorders>
              <w:top w:val="single" w:sz="4" w:space="0" w:color="ADD6EA"/>
              <w:left w:val="nil"/>
              <w:bottom w:val="single" w:sz="4" w:space="0" w:color="ADD6EA"/>
              <w:right w:val="nil"/>
            </w:tcBorders>
            <w:shd w:val="clear" w:color="auto" w:fill="auto"/>
            <w:noWrap/>
            <w:vAlign w:val="center"/>
            <w:hideMark/>
          </w:tcPr>
          <w:p w14:paraId="3A60EE44" w14:textId="77777777" w:rsidR="007C1D67" w:rsidRPr="00041BA2" w:rsidRDefault="007C1D6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41BA2">
              <w:rPr>
                <w:rFonts w:ascii="Open Sans Light" w:eastAsia="Times New Roman" w:hAnsi="Open Sans Light" w:cs="Open Sans Light"/>
                <w:color w:val="000000"/>
                <w:sz w:val="16"/>
                <w:szCs w:val="16"/>
                <w:lang w:eastAsia="en-AU"/>
              </w:rPr>
              <w:t>1.15485</w:t>
            </w:r>
          </w:p>
        </w:tc>
        <w:tc>
          <w:tcPr>
            <w:tcW w:w="900" w:type="dxa"/>
            <w:tcBorders>
              <w:top w:val="single" w:sz="4" w:space="0" w:color="ADD6EA"/>
              <w:left w:val="nil"/>
              <w:bottom w:val="single" w:sz="4" w:space="0" w:color="ADD6EA"/>
              <w:right w:val="nil"/>
            </w:tcBorders>
            <w:shd w:val="clear" w:color="auto" w:fill="auto"/>
            <w:noWrap/>
            <w:vAlign w:val="center"/>
            <w:hideMark/>
          </w:tcPr>
          <w:p w14:paraId="33A1789A" w14:textId="77777777" w:rsidR="007C1D67" w:rsidRPr="00041BA2" w:rsidRDefault="007C1D6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41BA2">
              <w:rPr>
                <w:rFonts w:ascii="Open Sans Light" w:eastAsia="Times New Roman" w:hAnsi="Open Sans Light" w:cs="Open Sans Light"/>
                <w:color w:val="000000"/>
                <w:sz w:val="16"/>
                <w:szCs w:val="16"/>
                <w:lang w:eastAsia="en-AU"/>
              </w:rPr>
              <w:t>0.85738</w:t>
            </w:r>
          </w:p>
        </w:tc>
        <w:tc>
          <w:tcPr>
            <w:tcW w:w="900" w:type="dxa"/>
            <w:tcBorders>
              <w:top w:val="single" w:sz="4" w:space="0" w:color="ADD6EA"/>
              <w:left w:val="nil"/>
              <w:bottom w:val="single" w:sz="4" w:space="0" w:color="ADD6EA"/>
              <w:right w:val="nil"/>
            </w:tcBorders>
            <w:shd w:val="clear" w:color="auto" w:fill="auto"/>
            <w:noWrap/>
            <w:vAlign w:val="center"/>
            <w:hideMark/>
          </w:tcPr>
          <w:p w14:paraId="549C73E0" w14:textId="77777777" w:rsidR="007C1D67" w:rsidRPr="00041BA2" w:rsidRDefault="007C1D6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41BA2">
              <w:rPr>
                <w:rFonts w:ascii="Open Sans Light" w:eastAsia="Times New Roman" w:hAnsi="Open Sans Light" w:cs="Open Sans Light"/>
                <w:color w:val="000000"/>
                <w:sz w:val="16"/>
                <w:szCs w:val="16"/>
                <w:lang w:eastAsia="en-AU"/>
              </w:rPr>
              <w:t>0.18035</w:t>
            </w:r>
          </w:p>
        </w:tc>
        <w:tc>
          <w:tcPr>
            <w:tcW w:w="900" w:type="dxa"/>
            <w:tcBorders>
              <w:top w:val="single" w:sz="4" w:space="0" w:color="ADD6EA"/>
              <w:left w:val="nil"/>
              <w:bottom w:val="single" w:sz="4" w:space="0" w:color="ADD6EA"/>
              <w:right w:val="nil"/>
            </w:tcBorders>
            <w:shd w:val="clear" w:color="auto" w:fill="auto"/>
            <w:noWrap/>
            <w:vAlign w:val="center"/>
            <w:hideMark/>
          </w:tcPr>
          <w:p w14:paraId="1116409A" w14:textId="77777777" w:rsidR="007C1D67" w:rsidRPr="00041BA2" w:rsidRDefault="007C1D6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41BA2">
              <w:rPr>
                <w:rFonts w:ascii="Open Sans Light" w:eastAsia="Times New Roman" w:hAnsi="Open Sans Light" w:cs="Open Sans Light"/>
                <w:color w:val="000000"/>
                <w:sz w:val="16"/>
                <w:szCs w:val="16"/>
                <w:lang w:eastAsia="en-AU"/>
              </w:rPr>
              <w:t>1.47944</w:t>
            </w:r>
          </w:p>
        </w:tc>
        <w:tc>
          <w:tcPr>
            <w:tcW w:w="900" w:type="dxa"/>
            <w:tcBorders>
              <w:top w:val="single" w:sz="4" w:space="0" w:color="ADD6EA"/>
              <w:left w:val="nil"/>
              <w:bottom w:val="single" w:sz="4" w:space="0" w:color="ADD6EA"/>
              <w:right w:val="nil"/>
            </w:tcBorders>
            <w:shd w:val="clear" w:color="auto" w:fill="auto"/>
            <w:noWrap/>
            <w:vAlign w:val="center"/>
            <w:hideMark/>
          </w:tcPr>
          <w:p w14:paraId="1DB920D3" w14:textId="77777777" w:rsidR="007C1D67" w:rsidRPr="00041BA2" w:rsidRDefault="007C1D6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41BA2">
              <w:rPr>
                <w:rFonts w:ascii="Open Sans Light" w:eastAsia="Times New Roman" w:hAnsi="Open Sans Light" w:cs="Open Sans Light"/>
                <w:color w:val="000000"/>
                <w:sz w:val="16"/>
                <w:szCs w:val="16"/>
                <w:lang w:eastAsia="en-AU"/>
              </w:rPr>
              <w:t>1.93550</w:t>
            </w:r>
          </w:p>
        </w:tc>
        <w:tc>
          <w:tcPr>
            <w:tcW w:w="900" w:type="dxa"/>
            <w:tcBorders>
              <w:top w:val="single" w:sz="4" w:space="0" w:color="ADD6EA"/>
              <w:left w:val="nil"/>
              <w:bottom w:val="single" w:sz="4" w:space="0" w:color="ADD6EA"/>
              <w:right w:val="nil"/>
            </w:tcBorders>
            <w:shd w:val="clear" w:color="auto" w:fill="auto"/>
            <w:noWrap/>
            <w:vAlign w:val="center"/>
            <w:hideMark/>
          </w:tcPr>
          <w:p w14:paraId="622D0010" w14:textId="77777777" w:rsidR="007C1D67" w:rsidRPr="00041BA2" w:rsidRDefault="007C1D6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41BA2">
              <w:rPr>
                <w:rFonts w:ascii="Open Sans Light" w:eastAsia="Times New Roman" w:hAnsi="Open Sans Light" w:cs="Open Sans Light"/>
                <w:color w:val="000000"/>
                <w:sz w:val="16"/>
                <w:szCs w:val="16"/>
                <w:lang w:eastAsia="en-AU"/>
              </w:rPr>
              <w:t>1.26085</w:t>
            </w:r>
          </w:p>
        </w:tc>
        <w:tc>
          <w:tcPr>
            <w:tcW w:w="900" w:type="dxa"/>
            <w:tcBorders>
              <w:top w:val="single" w:sz="4" w:space="0" w:color="ADD6EA"/>
              <w:left w:val="nil"/>
              <w:bottom w:val="single" w:sz="4" w:space="0" w:color="ADD6EA"/>
              <w:right w:val="nil"/>
            </w:tcBorders>
            <w:shd w:val="clear" w:color="auto" w:fill="auto"/>
            <w:noWrap/>
            <w:vAlign w:val="center"/>
            <w:hideMark/>
          </w:tcPr>
          <w:p w14:paraId="7368559A" w14:textId="77777777" w:rsidR="007C1D67" w:rsidRPr="00041BA2" w:rsidRDefault="007C1D6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41BA2">
              <w:rPr>
                <w:rFonts w:ascii="Open Sans Light" w:eastAsia="Times New Roman" w:hAnsi="Open Sans Light" w:cs="Open Sans Light"/>
                <w:color w:val="000000"/>
                <w:sz w:val="16"/>
                <w:szCs w:val="16"/>
                <w:lang w:eastAsia="en-AU"/>
              </w:rPr>
              <w:t>5.27753</w:t>
            </w:r>
          </w:p>
        </w:tc>
        <w:tc>
          <w:tcPr>
            <w:tcW w:w="900" w:type="dxa"/>
            <w:tcBorders>
              <w:top w:val="single" w:sz="4" w:space="0" w:color="ADD6EA"/>
              <w:left w:val="nil"/>
              <w:bottom w:val="single" w:sz="4" w:space="0" w:color="ADD6EA"/>
              <w:right w:val="nil"/>
            </w:tcBorders>
            <w:shd w:val="clear" w:color="auto" w:fill="auto"/>
            <w:noWrap/>
            <w:vAlign w:val="center"/>
            <w:hideMark/>
          </w:tcPr>
          <w:p w14:paraId="04A8F574" w14:textId="77777777" w:rsidR="007C1D67" w:rsidRPr="00041BA2" w:rsidRDefault="007C1D6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41BA2">
              <w:rPr>
                <w:rFonts w:ascii="Open Sans Light" w:eastAsia="Times New Roman" w:hAnsi="Open Sans Light" w:cs="Open Sans Light"/>
                <w:color w:val="000000"/>
                <w:sz w:val="16"/>
                <w:szCs w:val="16"/>
                <w:lang w:eastAsia="en-AU"/>
              </w:rPr>
              <w:t>1.00000</w:t>
            </w:r>
          </w:p>
        </w:tc>
      </w:tr>
    </w:tbl>
    <w:p w14:paraId="1E33802B" w14:textId="6FED0BF6" w:rsidR="00782D9F" w:rsidRDefault="00012B5E">
      <w:pPr>
        <w:tabs>
          <w:tab w:val="clear" w:pos="567"/>
        </w:tabs>
        <w:spacing w:before="0" w:after="200" w:line="276" w:lineRule="auto"/>
      </w:pPr>
      <w:r>
        <w:br/>
      </w:r>
      <w:r w:rsidR="00782D9F" w:rsidRPr="00C3118B">
        <w:t xml:space="preserve">The 2025–26 no worse off relativities </w:t>
      </w:r>
      <w:r w:rsidR="00782D9F">
        <w:t xml:space="preserve">differ from assessed relativities because they </w:t>
      </w:r>
      <w:r w:rsidR="00782D9F" w:rsidRPr="00C3118B">
        <w:t>include adjustments to remove the impact of the Commonwealth’s legislated top-ups to the GST</w:t>
      </w:r>
      <w:r w:rsidR="008C0CAE">
        <w:t> </w:t>
      </w:r>
      <w:r w:rsidR="00782D9F" w:rsidRPr="00C3118B">
        <w:t>pool. The estimated top</w:t>
      </w:r>
      <w:r w:rsidR="00782D9F" w:rsidRPr="00C3118B">
        <w:noBreakHyphen/>
        <w:t>up payment for 2025</w:t>
      </w:r>
      <w:r w:rsidR="00782D9F">
        <w:t>–</w:t>
      </w:r>
      <w:r w:rsidR="00782D9F" w:rsidRPr="00C3118B">
        <w:t xml:space="preserve">26 </w:t>
      </w:r>
      <w:r w:rsidR="00782D9F">
        <w:t>is</w:t>
      </w:r>
      <w:r w:rsidR="00782D9F" w:rsidRPr="00C3118B">
        <w:t xml:space="preserve"> </w:t>
      </w:r>
      <w:r w:rsidR="00782D9F" w:rsidRPr="00BF3B63">
        <w:t>$1,030 </w:t>
      </w:r>
      <w:r w:rsidR="00782D9F" w:rsidRPr="00D07199">
        <w:t>million (see Table 1</w:t>
      </w:r>
      <w:r w:rsidR="00782D9F" w:rsidRPr="00D07199">
        <w:noBreakHyphen/>
        <w:t>4).</w:t>
      </w:r>
    </w:p>
    <w:p w14:paraId="64C83B63" w14:textId="77777777" w:rsidR="00FF2A49" w:rsidRPr="00F71211" w:rsidRDefault="00FF2A49" w:rsidP="00A802AA">
      <w:pPr>
        <w:pStyle w:val="Heading2"/>
      </w:pPr>
      <w:r w:rsidRPr="00F71211">
        <w:t>Impact of the 2018 GST distribution legislation</w:t>
      </w:r>
    </w:p>
    <w:p w14:paraId="58C55B8C" w14:textId="77777777" w:rsidR="00A802AA" w:rsidRPr="00BE5333" w:rsidRDefault="00A802AA" w:rsidP="00A802AA">
      <w:r w:rsidRPr="00C3118B">
        <w:t>This section compares the estimated distribution from the GST pool (including pool top</w:t>
      </w:r>
      <w:r w:rsidRPr="00C3118B">
        <w:noBreakHyphen/>
        <w:t xml:space="preserve">ups but excluding no worse off payments) in 2025–26 with the Commission’s estimate of what each state would have received if the </w:t>
      </w:r>
      <w:r>
        <w:t xml:space="preserve">2018 </w:t>
      </w:r>
      <w:r w:rsidRPr="00C3118B">
        <w:t xml:space="preserve">GST distribution legislation had not </w:t>
      </w:r>
      <w:r w:rsidRPr="00BE5333">
        <w:t xml:space="preserve">been enacted (see Table 1-4). </w:t>
      </w:r>
    </w:p>
    <w:p w14:paraId="2655F097" w14:textId="2EDDD433" w:rsidR="00A802AA" w:rsidRPr="00BE5333" w:rsidRDefault="00A802AA" w:rsidP="00A802AA">
      <w:r w:rsidRPr="006B7D29">
        <w:t>For 2025–26, Queensland benefited from the 2018 GST distribution legislation as its assessed relativity was lifted to the standard state. However, this benefit was more than offset by the reduction in its relativity (along with other states) as a consequence of lifting Western Australia’s relativity, including to the GST relativity floor of 0.75.</w:t>
      </w:r>
      <w:r w:rsidRPr="00BE5333">
        <w:t xml:space="preserve"> </w:t>
      </w:r>
    </w:p>
    <w:p w14:paraId="49FB8574" w14:textId="2D81BC0F" w:rsidR="00A802AA" w:rsidRDefault="59C2E613" w:rsidP="00A802AA">
      <w:r>
        <w:t>Western Australia is estimated to receive</w:t>
      </w:r>
      <w:r w:rsidR="4475B9D6">
        <w:t xml:space="preserve"> almost</w:t>
      </w:r>
      <w:r>
        <w:t xml:space="preserve"> $6 billion in additional GST payments in 2025–</w:t>
      </w:r>
      <w:r w:rsidRPr="0550B442">
        <w:rPr>
          <w:rFonts w:ascii="Times New Roman" w:hAnsi="Times New Roman" w:cs="Times New Roman"/>
        </w:rPr>
        <w:t>‍</w:t>
      </w:r>
      <w:r>
        <w:t xml:space="preserve">26 (and </w:t>
      </w:r>
      <w:r w:rsidRPr="00BD2C8C">
        <w:t xml:space="preserve">all others states less) than under the previous GST distribution arrangements. The difference between the estimated distribution in 2025–26 and the estimated distribution under the previous arrangements ($1,030 million) reflects the Commonwealth’s </w:t>
      </w:r>
      <w:r w:rsidR="008135FC" w:rsidRPr="00BD2C8C">
        <w:t xml:space="preserve">estimated </w:t>
      </w:r>
      <w:r w:rsidRPr="00BD2C8C">
        <w:t>top-up to the GST pool</w:t>
      </w:r>
      <w:r w:rsidR="008135FC" w:rsidRPr="00BD2C8C">
        <w:t xml:space="preserve"> in 2025</w:t>
      </w:r>
      <w:r w:rsidR="00C94F2B" w:rsidRPr="00BD2C8C">
        <w:t>–</w:t>
      </w:r>
      <w:r w:rsidR="008135FC" w:rsidRPr="00BD2C8C">
        <w:t>26</w:t>
      </w:r>
      <w:r w:rsidRPr="00BD2C8C">
        <w:t>.</w:t>
      </w:r>
    </w:p>
    <w:p w14:paraId="3FACF7BF" w14:textId="43A71E69" w:rsidR="005D5FDF" w:rsidRPr="00F71211" w:rsidRDefault="005D5FDF" w:rsidP="00F41124">
      <w:pPr>
        <w:pStyle w:val="CGC2025Caption"/>
        <w:keepNext/>
        <w:ind w:left="1440" w:hanging="1440"/>
      </w:pPr>
      <w:bookmarkStart w:id="95" w:name="_Ref158838116"/>
      <w:r w:rsidRPr="00F71211">
        <w:lastRenderedPageBreak/>
        <w:t xml:space="preserve">Table </w:t>
      </w:r>
      <w:bookmarkEnd w:id="95"/>
      <w:r w:rsidRPr="00F71211">
        <w:t xml:space="preserve">1-4 </w:t>
      </w:r>
      <w:r w:rsidRPr="00F71211">
        <w:tab/>
        <w:t>Impact of 2018 GST distribution legislation on the distribution of the GST</w:t>
      </w:r>
      <w:r w:rsidR="001D0A2B">
        <w:t> </w:t>
      </w:r>
      <w:r w:rsidRPr="00F71211">
        <w:t>pool, 2025–26 (excludes no worse off payments)</w:t>
      </w:r>
    </w:p>
    <w:tbl>
      <w:tblPr>
        <w:tblW w:w="8940" w:type="dxa"/>
        <w:tblLook w:val="04A0" w:firstRow="1" w:lastRow="0" w:firstColumn="1" w:lastColumn="0" w:noHBand="0" w:noVBand="1"/>
      </w:tblPr>
      <w:tblGrid>
        <w:gridCol w:w="2608"/>
        <w:gridCol w:w="708"/>
        <w:gridCol w:w="708"/>
        <w:gridCol w:w="708"/>
        <w:gridCol w:w="700"/>
        <w:gridCol w:w="700"/>
        <w:gridCol w:w="700"/>
        <w:gridCol w:w="700"/>
        <w:gridCol w:w="700"/>
        <w:gridCol w:w="708"/>
      </w:tblGrid>
      <w:tr w:rsidR="0094616E" w:rsidRPr="0094616E" w14:paraId="3B2DDA34" w14:textId="77777777" w:rsidTr="0094616E">
        <w:trPr>
          <w:trHeight w:val="375"/>
        </w:trPr>
        <w:tc>
          <w:tcPr>
            <w:tcW w:w="2640" w:type="dxa"/>
            <w:tcBorders>
              <w:top w:val="nil"/>
              <w:left w:val="nil"/>
              <w:bottom w:val="nil"/>
              <w:right w:val="nil"/>
            </w:tcBorders>
            <w:shd w:val="clear" w:color="000000" w:fill="006991"/>
            <w:vAlign w:val="bottom"/>
            <w:hideMark/>
          </w:tcPr>
          <w:p w14:paraId="7CC5A0C8" w14:textId="77777777" w:rsidR="0094616E" w:rsidRPr="0094616E" w:rsidRDefault="0094616E" w:rsidP="0094616E">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96" w:name="RANGE!A4:J8"/>
            <w:bookmarkStart w:id="97" w:name="RANGE!A4:J7"/>
            <w:bookmarkEnd w:id="96"/>
            <w:r w:rsidRPr="0094616E">
              <w:rPr>
                <w:rFonts w:ascii="Open Sans Semibold" w:eastAsia="Times New Roman" w:hAnsi="Open Sans Semibold" w:cs="Open Sans Semibold"/>
                <w:color w:val="FFFFFF"/>
                <w:sz w:val="16"/>
                <w:szCs w:val="16"/>
                <w:lang w:eastAsia="en-AU"/>
              </w:rPr>
              <w:t> </w:t>
            </w:r>
            <w:bookmarkEnd w:id="97"/>
          </w:p>
        </w:tc>
        <w:tc>
          <w:tcPr>
            <w:tcW w:w="700" w:type="dxa"/>
            <w:tcBorders>
              <w:top w:val="nil"/>
              <w:left w:val="nil"/>
              <w:bottom w:val="nil"/>
              <w:right w:val="nil"/>
            </w:tcBorders>
            <w:shd w:val="clear" w:color="000000" w:fill="006991"/>
            <w:vAlign w:val="center"/>
            <w:hideMark/>
          </w:tcPr>
          <w:p w14:paraId="44B60B12"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4616E">
              <w:rPr>
                <w:rFonts w:ascii="Open Sans Semibold" w:eastAsia="Times New Roman" w:hAnsi="Open Sans Semibold" w:cs="Open Sans Semibold"/>
                <w:color w:val="FFFFFF"/>
                <w:sz w:val="16"/>
                <w:szCs w:val="16"/>
                <w:lang w:eastAsia="en-AU"/>
              </w:rPr>
              <w:t>NSW</w:t>
            </w:r>
          </w:p>
        </w:tc>
        <w:tc>
          <w:tcPr>
            <w:tcW w:w="700" w:type="dxa"/>
            <w:tcBorders>
              <w:top w:val="nil"/>
              <w:left w:val="nil"/>
              <w:bottom w:val="nil"/>
              <w:right w:val="nil"/>
            </w:tcBorders>
            <w:shd w:val="clear" w:color="000000" w:fill="006991"/>
            <w:vAlign w:val="center"/>
            <w:hideMark/>
          </w:tcPr>
          <w:p w14:paraId="16D39978"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4616E">
              <w:rPr>
                <w:rFonts w:ascii="Open Sans Semibold" w:eastAsia="Times New Roman" w:hAnsi="Open Sans Semibold" w:cs="Open Sans Semibold"/>
                <w:color w:val="FFFFFF"/>
                <w:sz w:val="16"/>
                <w:szCs w:val="16"/>
                <w:lang w:eastAsia="en-AU"/>
              </w:rPr>
              <w:t>Vic</w:t>
            </w:r>
          </w:p>
        </w:tc>
        <w:tc>
          <w:tcPr>
            <w:tcW w:w="700" w:type="dxa"/>
            <w:tcBorders>
              <w:top w:val="nil"/>
              <w:left w:val="nil"/>
              <w:bottom w:val="nil"/>
              <w:right w:val="nil"/>
            </w:tcBorders>
            <w:shd w:val="clear" w:color="000000" w:fill="006991"/>
            <w:vAlign w:val="center"/>
            <w:hideMark/>
          </w:tcPr>
          <w:p w14:paraId="4EB34199"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4616E">
              <w:rPr>
                <w:rFonts w:ascii="Open Sans Semibold" w:eastAsia="Times New Roman" w:hAnsi="Open Sans Semibold" w:cs="Open Sans Semibold"/>
                <w:color w:val="FFFFFF"/>
                <w:sz w:val="16"/>
                <w:szCs w:val="16"/>
                <w:lang w:eastAsia="en-AU"/>
              </w:rPr>
              <w:t>Qld</w:t>
            </w:r>
          </w:p>
        </w:tc>
        <w:tc>
          <w:tcPr>
            <w:tcW w:w="700" w:type="dxa"/>
            <w:tcBorders>
              <w:top w:val="nil"/>
              <w:left w:val="nil"/>
              <w:bottom w:val="nil"/>
              <w:right w:val="nil"/>
            </w:tcBorders>
            <w:shd w:val="clear" w:color="000000" w:fill="006991"/>
            <w:vAlign w:val="center"/>
            <w:hideMark/>
          </w:tcPr>
          <w:p w14:paraId="4DE85C7A"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4616E">
              <w:rPr>
                <w:rFonts w:ascii="Open Sans Semibold" w:eastAsia="Times New Roman" w:hAnsi="Open Sans Semibold" w:cs="Open Sans Semibold"/>
                <w:color w:val="FFFFFF"/>
                <w:sz w:val="16"/>
                <w:szCs w:val="16"/>
                <w:lang w:eastAsia="en-AU"/>
              </w:rPr>
              <w:t>WA</w:t>
            </w:r>
          </w:p>
        </w:tc>
        <w:tc>
          <w:tcPr>
            <w:tcW w:w="700" w:type="dxa"/>
            <w:tcBorders>
              <w:top w:val="nil"/>
              <w:left w:val="nil"/>
              <w:bottom w:val="nil"/>
              <w:right w:val="nil"/>
            </w:tcBorders>
            <w:shd w:val="clear" w:color="000000" w:fill="006991"/>
            <w:vAlign w:val="center"/>
            <w:hideMark/>
          </w:tcPr>
          <w:p w14:paraId="6630A29D"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4616E">
              <w:rPr>
                <w:rFonts w:ascii="Open Sans Semibold" w:eastAsia="Times New Roman" w:hAnsi="Open Sans Semibold" w:cs="Open Sans Semibold"/>
                <w:color w:val="FFFFFF"/>
                <w:sz w:val="16"/>
                <w:szCs w:val="16"/>
                <w:lang w:eastAsia="en-AU"/>
              </w:rPr>
              <w:t>SA</w:t>
            </w:r>
          </w:p>
        </w:tc>
        <w:tc>
          <w:tcPr>
            <w:tcW w:w="700" w:type="dxa"/>
            <w:tcBorders>
              <w:top w:val="nil"/>
              <w:left w:val="nil"/>
              <w:bottom w:val="nil"/>
              <w:right w:val="nil"/>
            </w:tcBorders>
            <w:shd w:val="clear" w:color="000000" w:fill="006991"/>
            <w:vAlign w:val="center"/>
            <w:hideMark/>
          </w:tcPr>
          <w:p w14:paraId="72DB4942"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4616E">
              <w:rPr>
                <w:rFonts w:ascii="Open Sans Semibold" w:eastAsia="Times New Roman" w:hAnsi="Open Sans Semibold" w:cs="Open Sans Semibold"/>
                <w:color w:val="FFFFFF"/>
                <w:sz w:val="16"/>
                <w:szCs w:val="16"/>
                <w:lang w:eastAsia="en-AU"/>
              </w:rPr>
              <w:t>Tas</w:t>
            </w:r>
          </w:p>
        </w:tc>
        <w:tc>
          <w:tcPr>
            <w:tcW w:w="700" w:type="dxa"/>
            <w:tcBorders>
              <w:top w:val="nil"/>
              <w:left w:val="nil"/>
              <w:bottom w:val="nil"/>
              <w:right w:val="nil"/>
            </w:tcBorders>
            <w:shd w:val="clear" w:color="000000" w:fill="006991"/>
            <w:vAlign w:val="center"/>
            <w:hideMark/>
          </w:tcPr>
          <w:p w14:paraId="61965C37"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4616E">
              <w:rPr>
                <w:rFonts w:ascii="Open Sans Semibold" w:eastAsia="Times New Roman" w:hAnsi="Open Sans Semibold" w:cs="Open Sans Semibold"/>
                <w:color w:val="FFFFFF"/>
                <w:sz w:val="16"/>
                <w:szCs w:val="16"/>
                <w:lang w:eastAsia="en-AU"/>
              </w:rPr>
              <w:t>ACT</w:t>
            </w:r>
          </w:p>
        </w:tc>
        <w:tc>
          <w:tcPr>
            <w:tcW w:w="700" w:type="dxa"/>
            <w:tcBorders>
              <w:top w:val="nil"/>
              <w:left w:val="nil"/>
              <w:bottom w:val="nil"/>
              <w:right w:val="nil"/>
            </w:tcBorders>
            <w:shd w:val="clear" w:color="000000" w:fill="006991"/>
            <w:vAlign w:val="center"/>
            <w:hideMark/>
          </w:tcPr>
          <w:p w14:paraId="605C91E8"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4616E">
              <w:rPr>
                <w:rFonts w:ascii="Open Sans Semibold" w:eastAsia="Times New Roman" w:hAnsi="Open Sans Semibold" w:cs="Open Sans Semibold"/>
                <w:color w:val="FFFFFF"/>
                <w:sz w:val="16"/>
                <w:szCs w:val="16"/>
                <w:lang w:eastAsia="en-AU"/>
              </w:rPr>
              <w:t>NT</w:t>
            </w:r>
          </w:p>
        </w:tc>
        <w:tc>
          <w:tcPr>
            <w:tcW w:w="700" w:type="dxa"/>
            <w:tcBorders>
              <w:top w:val="nil"/>
              <w:left w:val="nil"/>
              <w:bottom w:val="nil"/>
              <w:right w:val="nil"/>
            </w:tcBorders>
            <w:shd w:val="clear" w:color="000000" w:fill="006991"/>
            <w:vAlign w:val="center"/>
            <w:hideMark/>
          </w:tcPr>
          <w:p w14:paraId="5A5648A5"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4616E">
              <w:rPr>
                <w:rFonts w:ascii="Open Sans Semibold" w:eastAsia="Times New Roman" w:hAnsi="Open Sans Semibold" w:cs="Open Sans Semibold"/>
                <w:color w:val="FFFFFF"/>
                <w:sz w:val="16"/>
                <w:szCs w:val="16"/>
                <w:lang w:eastAsia="en-AU"/>
              </w:rPr>
              <w:t>Total</w:t>
            </w:r>
          </w:p>
        </w:tc>
      </w:tr>
      <w:tr w:rsidR="0094616E" w:rsidRPr="0094616E" w14:paraId="4C4B7D18" w14:textId="77777777" w:rsidTr="0094616E">
        <w:trPr>
          <w:trHeight w:val="259"/>
        </w:trPr>
        <w:tc>
          <w:tcPr>
            <w:tcW w:w="2640" w:type="dxa"/>
            <w:tcBorders>
              <w:top w:val="single" w:sz="4" w:space="0" w:color="ADD6EA"/>
              <w:left w:val="nil"/>
              <w:bottom w:val="nil"/>
              <w:right w:val="nil"/>
            </w:tcBorders>
            <w:shd w:val="clear" w:color="000000" w:fill="B6D5E4"/>
            <w:vAlign w:val="bottom"/>
            <w:hideMark/>
          </w:tcPr>
          <w:p w14:paraId="6918C4D2" w14:textId="77777777" w:rsidR="0094616E" w:rsidRPr="0094616E" w:rsidRDefault="0094616E" w:rsidP="0094616E">
            <w:pPr>
              <w:tabs>
                <w:tab w:val="clear" w:pos="567"/>
              </w:tabs>
              <w:spacing w:before="0" w:line="240" w:lineRule="auto"/>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noWrap/>
            <w:vAlign w:val="bottom"/>
            <w:hideMark/>
          </w:tcPr>
          <w:p w14:paraId="76439483"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bottom"/>
            <w:hideMark/>
          </w:tcPr>
          <w:p w14:paraId="19A558D5"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bottom"/>
            <w:hideMark/>
          </w:tcPr>
          <w:p w14:paraId="774DA4F0"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bottom"/>
            <w:hideMark/>
          </w:tcPr>
          <w:p w14:paraId="78BD88EA"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bottom"/>
            <w:hideMark/>
          </w:tcPr>
          <w:p w14:paraId="1A3A716C"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bottom"/>
            <w:hideMark/>
          </w:tcPr>
          <w:p w14:paraId="4F1DEBD0"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bottom"/>
            <w:hideMark/>
          </w:tcPr>
          <w:p w14:paraId="49EC7184"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bottom"/>
            <w:hideMark/>
          </w:tcPr>
          <w:p w14:paraId="0ECB9E76"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bottom"/>
            <w:hideMark/>
          </w:tcPr>
          <w:p w14:paraId="348ACF9D"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$m</w:t>
            </w:r>
          </w:p>
        </w:tc>
      </w:tr>
      <w:tr w:rsidR="0094616E" w:rsidRPr="0094616E" w14:paraId="33C64247" w14:textId="77777777" w:rsidTr="0094616E">
        <w:trPr>
          <w:trHeight w:val="315"/>
        </w:trPr>
        <w:tc>
          <w:tcPr>
            <w:tcW w:w="2640" w:type="dxa"/>
            <w:tcBorders>
              <w:top w:val="single" w:sz="4" w:space="0" w:color="ADD6EA"/>
              <w:left w:val="nil"/>
              <w:bottom w:val="nil"/>
              <w:right w:val="nil"/>
            </w:tcBorders>
            <w:shd w:val="clear" w:color="auto" w:fill="auto"/>
            <w:vAlign w:val="center"/>
            <w:hideMark/>
          </w:tcPr>
          <w:p w14:paraId="070AF15E" w14:textId="77777777" w:rsidR="0094616E" w:rsidRPr="0094616E" w:rsidRDefault="0094616E" w:rsidP="0094616E">
            <w:pPr>
              <w:tabs>
                <w:tab w:val="clear" w:pos="567"/>
              </w:tabs>
              <w:spacing w:before="0" w:line="240" w:lineRule="auto"/>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Estimated GST pool distribution</w:t>
            </w:r>
          </w:p>
        </w:tc>
        <w:tc>
          <w:tcPr>
            <w:tcW w:w="700" w:type="dxa"/>
            <w:tcBorders>
              <w:top w:val="single" w:sz="4" w:space="0" w:color="ADD6EA"/>
              <w:left w:val="nil"/>
              <w:bottom w:val="nil"/>
              <w:right w:val="nil"/>
            </w:tcBorders>
            <w:shd w:val="clear" w:color="auto" w:fill="auto"/>
            <w:vAlign w:val="center"/>
            <w:hideMark/>
          </w:tcPr>
          <w:p w14:paraId="49DA48FD"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25,482</w:t>
            </w:r>
          </w:p>
        </w:tc>
        <w:tc>
          <w:tcPr>
            <w:tcW w:w="700" w:type="dxa"/>
            <w:tcBorders>
              <w:top w:val="single" w:sz="4" w:space="0" w:color="ADD6EA"/>
              <w:left w:val="nil"/>
              <w:bottom w:val="nil"/>
              <w:right w:val="nil"/>
            </w:tcBorders>
            <w:shd w:val="clear" w:color="auto" w:fill="auto"/>
            <w:vAlign w:val="center"/>
            <w:hideMark/>
          </w:tcPr>
          <w:p w14:paraId="562EE155"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26,147</w:t>
            </w:r>
          </w:p>
        </w:tc>
        <w:tc>
          <w:tcPr>
            <w:tcW w:w="700" w:type="dxa"/>
            <w:tcBorders>
              <w:top w:val="single" w:sz="4" w:space="0" w:color="ADD6EA"/>
              <w:left w:val="nil"/>
              <w:bottom w:val="nil"/>
              <w:right w:val="nil"/>
            </w:tcBorders>
            <w:shd w:val="clear" w:color="auto" w:fill="auto"/>
            <w:vAlign w:val="center"/>
            <w:hideMark/>
          </w:tcPr>
          <w:p w14:paraId="5F876866"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16,562</w:t>
            </w:r>
          </w:p>
        </w:tc>
        <w:tc>
          <w:tcPr>
            <w:tcW w:w="700" w:type="dxa"/>
            <w:tcBorders>
              <w:top w:val="single" w:sz="4" w:space="0" w:color="ADD6EA"/>
              <w:left w:val="nil"/>
              <w:bottom w:val="nil"/>
              <w:right w:val="nil"/>
            </w:tcBorders>
            <w:shd w:val="clear" w:color="auto" w:fill="auto"/>
            <w:vAlign w:val="center"/>
            <w:hideMark/>
          </w:tcPr>
          <w:p w14:paraId="68BCE7D2"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7,830</w:t>
            </w:r>
          </w:p>
        </w:tc>
        <w:tc>
          <w:tcPr>
            <w:tcW w:w="700" w:type="dxa"/>
            <w:tcBorders>
              <w:top w:val="single" w:sz="4" w:space="0" w:color="ADD6EA"/>
              <w:left w:val="nil"/>
              <w:bottom w:val="nil"/>
              <w:right w:val="nil"/>
            </w:tcBorders>
            <w:shd w:val="clear" w:color="auto" w:fill="auto"/>
            <w:vAlign w:val="center"/>
            <w:hideMark/>
          </w:tcPr>
          <w:p w14:paraId="32164A2B"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9,032</w:t>
            </w:r>
          </w:p>
        </w:tc>
        <w:tc>
          <w:tcPr>
            <w:tcW w:w="700" w:type="dxa"/>
            <w:tcBorders>
              <w:top w:val="single" w:sz="4" w:space="0" w:color="ADD6EA"/>
              <w:left w:val="nil"/>
              <w:bottom w:val="nil"/>
              <w:right w:val="nil"/>
            </w:tcBorders>
            <w:shd w:val="clear" w:color="auto" w:fill="auto"/>
            <w:vAlign w:val="center"/>
            <w:hideMark/>
          </w:tcPr>
          <w:p w14:paraId="1C281629"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3,635</w:t>
            </w:r>
          </w:p>
        </w:tc>
        <w:tc>
          <w:tcPr>
            <w:tcW w:w="700" w:type="dxa"/>
            <w:tcBorders>
              <w:top w:val="single" w:sz="4" w:space="0" w:color="ADD6EA"/>
              <w:left w:val="nil"/>
              <w:bottom w:val="nil"/>
              <w:right w:val="nil"/>
            </w:tcBorders>
            <w:shd w:val="clear" w:color="auto" w:fill="auto"/>
            <w:vAlign w:val="center"/>
            <w:hideMark/>
          </w:tcPr>
          <w:p w14:paraId="48E6E1C2"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1,934</w:t>
            </w:r>
          </w:p>
        </w:tc>
        <w:tc>
          <w:tcPr>
            <w:tcW w:w="700" w:type="dxa"/>
            <w:tcBorders>
              <w:top w:val="single" w:sz="4" w:space="0" w:color="ADD6EA"/>
              <w:left w:val="nil"/>
              <w:bottom w:val="nil"/>
              <w:right w:val="nil"/>
            </w:tcBorders>
            <w:shd w:val="clear" w:color="auto" w:fill="auto"/>
            <w:vAlign w:val="center"/>
            <w:hideMark/>
          </w:tcPr>
          <w:p w14:paraId="5C6FB886"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4,527</w:t>
            </w:r>
          </w:p>
        </w:tc>
        <w:tc>
          <w:tcPr>
            <w:tcW w:w="700" w:type="dxa"/>
            <w:tcBorders>
              <w:top w:val="single" w:sz="4" w:space="0" w:color="ADD6EA"/>
              <w:left w:val="nil"/>
              <w:bottom w:val="nil"/>
              <w:right w:val="nil"/>
            </w:tcBorders>
            <w:shd w:val="clear" w:color="auto" w:fill="auto"/>
            <w:vAlign w:val="center"/>
            <w:hideMark/>
          </w:tcPr>
          <w:p w14:paraId="4506DFD8"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95,150</w:t>
            </w:r>
          </w:p>
        </w:tc>
      </w:tr>
      <w:tr w:rsidR="0094616E" w:rsidRPr="0094616E" w14:paraId="3553CCCA" w14:textId="77777777" w:rsidTr="0094616E">
        <w:trPr>
          <w:trHeight w:val="555"/>
        </w:trPr>
        <w:tc>
          <w:tcPr>
            <w:tcW w:w="2640" w:type="dxa"/>
            <w:tcBorders>
              <w:top w:val="single" w:sz="4" w:space="0" w:color="ADD6EA"/>
              <w:left w:val="nil"/>
              <w:bottom w:val="nil"/>
              <w:right w:val="nil"/>
            </w:tcBorders>
            <w:shd w:val="clear" w:color="auto" w:fill="auto"/>
            <w:vAlign w:val="center"/>
            <w:hideMark/>
          </w:tcPr>
          <w:p w14:paraId="57E96B58" w14:textId="77777777" w:rsidR="0094616E" w:rsidRPr="0094616E" w:rsidRDefault="0094616E" w:rsidP="0094616E">
            <w:pPr>
              <w:tabs>
                <w:tab w:val="clear" w:pos="567"/>
              </w:tabs>
              <w:spacing w:before="0" w:line="240" w:lineRule="auto"/>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Distribution under previous arrangements</w:t>
            </w:r>
          </w:p>
        </w:tc>
        <w:tc>
          <w:tcPr>
            <w:tcW w:w="700" w:type="dxa"/>
            <w:tcBorders>
              <w:top w:val="single" w:sz="4" w:space="0" w:color="ADD6EA"/>
              <w:left w:val="nil"/>
              <w:bottom w:val="nil"/>
              <w:right w:val="nil"/>
            </w:tcBorders>
            <w:shd w:val="clear" w:color="auto" w:fill="auto"/>
            <w:vAlign w:val="center"/>
            <w:hideMark/>
          </w:tcPr>
          <w:p w14:paraId="30C7E8BC"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27,716</w:t>
            </w:r>
          </w:p>
        </w:tc>
        <w:tc>
          <w:tcPr>
            <w:tcW w:w="700" w:type="dxa"/>
            <w:tcBorders>
              <w:top w:val="single" w:sz="4" w:space="0" w:color="ADD6EA"/>
              <w:left w:val="nil"/>
              <w:bottom w:val="nil"/>
              <w:right w:val="nil"/>
            </w:tcBorders>
            <w:shd w:val="clear" w:color="auto" w:fill="auto"/>
            <w:vAlign w:val="center"/>
            <w:hideMark/>
          </w:tcPr>
          <w:p w14:paraId="00383F01"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27,988</w:t>
            </w:r>
          </w:p>
        </w:tc>
        <w:tc>
          <w:tcPr>
            <w:tcW w:w="700" w:type="dxa"/>
            <w:tcBorders>
              <w:top w:val="single" w:sz="4" w:space="0" w:color="ADD6EA"/>
              <w:left w:val="nil"/>
              <w:bottom w:val="nil"/>
              <w:right w:val="nil"/>
            </w:tcBorders>
            <w:shd w:val="clear" w:color="auto" w:fill="auto"/>
            <w:vAlign w:val="center"/>
            <w:hideMark/>
          </w:tcPr>
          <w:p w14:paraId="08D5C084"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16,608</w:t>
            </w:r>
          </w:p>
        </w:tc>
        <w:tc>
          <w:tcPr>
            <w:tcW w:w="700" w:type="dxa"/>
            <w:tcBorders>
              <w:top w:val="single" w:sz="4" w:space="0" w:color="ADD6EA"/>
              <w:left w:val="nil"/>
              <w:bottom w:val="nil"/>
              <w:right w:val="nil"/>
            </w:tcBorders>
            <w:shd w:val="clear" w:color="auto" w:fill="auto"/>
            <w:vAlign w:val="center"/>
            <w:hideMark/>
          </w:tcPr>
          <w:p w14:paraId="0B472F72"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1,863</w:t>
            </w:r>
          </w:p>
        </w:tc>
        <w:tc>
          <w:tcPr>
            <w:tcW w:w="700" w:type="dxa"/>
            <w:tcBorders>
              <w:top w:val="single" w:sz="4" w:space="0" w:color="ADD6EA"/>
              <w:left w:val="nil"/>
              <w:bottom w:val="nil"/>
              <w:right w:val="nil"/>
            </w:tcBorders>
            <w:shd w:val="clear" w:color="auto" w:fill="auto"/>
            <w:vAlign w:val="center"/>
            <w:hideMark/>
          </w:tcPr>
          <w:p w14:paraId="44F3DFB4"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9,518</w:t>
            </w:r>
          </w:p>
        </w:tc>
        <w:tc>
          <w:tcPr>
            <w:tcW w:w="700" w:type="dxa"/>
            <w:tcBorders>
              <w:top w:val="single" w:sz="4" w:space="0" w:color="ADD6EA"/>
              <w:left w:val="nil"/>
              <w:bottom w:val="nil"/>
              <w:right w:val="nil"/>
            </w:tcBorders>
            <w:shd w:val="clear" w:color="auto" w:fill="auto"/>
            <w:vAlign w:val="center"/>
            <w:hideMark/>
          </w:tcPr>
          <w:p w14:paraId="5AD9C8EB"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3,781</w:t>
            </w:r>
          </w:p>
        </w:tc>
        <w:tc>
          <w:tcPr>
            <w:tcW w:w="700" w:type="dxa"/>
            <w:tcBorders>
              <w:top w:val="single" w:sz="4" w:space="0" w:color="ADD6EA"/>
              <w:left w:val="nil"/>
              <w:bottom w:val="nil"/>
              <w:right w:val="nil"/>
            </w:tcBorders>
            <w:shd w:val="clear" w:color="auto" w:fill="auto"/>
            <w:vAlign w:val="center"/>
            <w:hideMark/>
          </w:tcPr>
          <w:p w14:paraId="6FFDD215"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2,058</w:t>
            </w:r>
          </w:p>
        </w:tc>
        <w:tc>
          <w:tcPr>
            <w:tcW w:w="700" w:type="dxa"/>
            <w:tcBorders>
              <w:top w:val="single" w:sz="4" w:space="0" w:color="ADD6EA"/>
              <w:left w:val="nil"/>
              <w:bottom w:val="nil"/>
              <w:right w:val="nil"/>
            </w:tcBorders>
            <w:shd w:val="clear" w:color="auto" w:fill="auto"/>
            <w:vAlign w:val="center"/>
            <w:hideMark/>
          </w:tcPr>
          <w:p w14:paraId="7771735A"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4,588</w:t>
            </w:r>
          </w:p>
        </w:tc>
        <w:tc>
          <w:tcPr>
            <w:tcW w:w="700" w:type="dxa"/>
            <w:tcBorders>
              <w:top w:val="single" w:sz="4" w:space="0" w:color="ADD6EA"/>
              <w:left w:val="nil"/>
              <w:bottom w:val="nil"/>
              <w:right w:val="nil"/>
            </w:tcBorders>
            <w:shd w:val="clear" w:color="auto" w:fill="auto"/>
            <w:vAlign w:val="center"/>
            <w:hideMark/>
          </w:tcPr>
          <w:p w14:paraId="56632A1F" w14:textId="77777777" w:rsidR="0094616E" w:rsidRPr="0094616E" w:rsidRDefault="0094616E" w:rsidP="0094616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4616E">
              <w:rPr>
                <w:rFonts w:ascii="Open Sans Light" w:eastAsia="Times New Roman" w:hAnsi="Open Sans Light" w:cs="Open Sans Light"/>
                <w:color w:val="000000"/>
                <w:sz w:val="16"/>
                <w:szCs w:val="16"/>
                <w:lang w:eastAsia="en-AU"/>
              </w:rPr>
              <w:t>94,120</w:t>
            </w:r>
          </w:p>
        </w:tc>
      </w:tr>
      <w:tr w:rsidR="0094616E" w:rsidRPr="0094616E" w14:paraId="029ACD9B" w14:textId="77777777" w:rsidTr="0094616E">
        <w:trPr>
          <w:trHeight w:val="315"/>
        </w:trPr>
        <w:tc>
          <w:tcPr>
            <w:tcW w:w="2640" w:type="dxa"/>
            <w:tcBorders>
              <w:top w:val="single" w:sz="4" w:space="0" w:color="ADD6EA"/>
              <w:left w:val="nil"/>
              <w:bottom w:val="single" w:sz="4" w:space="0" w:color="ADD6EA"/>
              <w:right w:val="nil"/>
            </w:tcBorders>
            <w:shd w:val="clear" w:color="000000" w:fill="D6E7F0"/>
            <w:vAlign w:val="center"/>
            <w:hideMark/>
          </w:tcPr>
          <w:p w14:paraId="6AE43FF1" w14:textId="77777777" w:rsidR="0094616E" w:rsidRPr="0094616E" w:rsidRDefault="0094616E" w:rsidP="0094616E">
            <w:pPr>
              <w:tabs>
                <w:tab w:val="clear" w:pos="567"/>
              </w:tabs>
              <w:spacing w:before="0" w:line="240" w:lineRule="auto"/>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Difference</w:t>
            </w:r>
          </w:p>
        </w:tc>
        <w:tc>
          <w:tcPr>
            <w:tcW w:w="700" w:type="dxa"/>
            <w:tcBorders>
              <w:top w:val="single" w:sz="4" w:space="0" w:color="ADD6EA"/>
              <w:left w:val="nil"/>
              <w:bottom w:val="single" w:sz="4" w:space="0" w:color="ADD6EA"/>
              <w:right w:val="nil"/>
            </w:tcBorders>
            <w:shd w:val="clear" w:color="000000" w:fill="D6E7F0"/>
            <w:noWrap/>
            <w:vAlign w:val="center"/>
            <w:hideMark/>
          </w:tcPr>
          <w:p w14:paraId="5175E33B"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-2,234</w:t>
            </w:r>
          </w:p>
        </w:tc>
        <w:tc>
          <w:tcPr>
            <w:tcW w:w="700" w:type="dxa"/>
            <w:tcBorders>
              <w:top w:val="single" w:sz="4" w:space="0" w:color="ADD6EA"/>
              <w:left w:val="nil"/>
              <w:bottom w:val="single" w:sz="4" w:space="0" w:color="ADD6EA"/>
              <w:right w:val="nil"/>
            </w:tcBorders>
            <w:shd w:val="clear" w:color="000000" w:fill="D6E7F0"/>
            <w:noWrap/>
            <w:vAlign w:val="center"/>
            <w:hideMark/>
          </w:tcPr>
          <w:p w14:paraId="329B30D1"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-1,841</w:t>
            </w:r>
          </w:p>
        </w:tc>
        <w:tc>
          <w:tcPr>
            <w:tcW w:w="700" w:type="dxa"/>
            <w:tcBorders>
              <w:top w:val="single" w:sz="4" w:space="0" w:color="ADD6EA"/>
              <w:left w:val="nil"/>
              <w:bottom w:val="single" w:sz="4" w:space="0" w:color="ADD6EA"/>
              <w:right w:val="nil"/>
            </w:tcBorders>
            <w:shd w:val="clear" w:color="000000" w:fill="D6E7F0"/>
            <w:noWrap/>
            <w:vAlign w:val="center"/>
            <w:hideMark/>
          </w:tcPr>
          <w:p w14:paraId="06AC885D"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-47</w:t>
            </w:r>
          </w:p>
        </w:tc>
        <w:tc>
          <w:tcPr>
            <w:tcW w:w="700" w:type="dxa"/>
            <w:tcBorders>
              <w:top w:val="single" w:sz="4" w:space="0" w:color="ADD6EA"/>
              <w:left w:val="nil"/>
              <w:bottom w:val="single" w:sz="4" w:space="0" w:color="ADD6EA"/>
              <w:right w:val="nil"/>
            </w:tcBorders>
            <w:shd w:val="clear" w:color="000000" w:fill="D6E7F0"/>
            <w:noWrap/>
            <w:vAlign w:val="center"/>
            <w:hideMark/>
          </w:tcPr>
          <w:p w14:paraId="23F8015F"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5,968</w:t>
            </w:r>
          </w:p>
        </w:tc>
        <w:tc>
          <w:tcPr>
            <w:tcW w:w="700" w:type="dxa"/>
            <w:tcBorders>
              <w:top w:val="single" w:sz="4" w:space="0" w:color="ADD6EA"/>
              <w:left w:val="nil"/>
              <w:bottom w:val="single" w:sz="4" w:space="0" w:color="ADD6EA"/>
              <w:right w:val="nil"/>
            </w:tcBorders>
            <w:shd w:val="clear" w:color="000000" w:fill="D6E7F0"/>
            <w:noWrap/>
            <w:vAlign w:val="center"/>
            <w:hideMark/>
          </w:tcPr>
          <w:p w14:paraId="7C596C14"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-486</w:t>
            </w:r>
          </w:p>
        </w:tc>
        <w:tc>
          <w:tcPr>
            <w:tcW w:w="700" w:type="dxa"/>
            <w:tcBorders>
              <w:top w:val="single" w:sz="4" w:space="0" w:color="ADD6EA"/>
              <w:left w:val="nil"/>
              <w:bottom w:val="single" w:sz="4" w:space="0" w:color="ADD6EA"/>
              <w:right w:val="nil"/>
            </w:tcBorders>
            <w:shd w:val="clear" w:color="000000" w:fill="D6E7F0"/>
            <w:noWrap/>
            <w:vAlign w:val="center"/>
            <w:hideMark/>
          </w:tcPr>
          <w:p w14:paraId="0D9441EA"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-146</w:t>
            </w:r>
          </w:p>
        </w:tc>
        <w:tc>
          <w:tcPr>
            <w:tcW w:w="700" w:type="dxa"/>
            <w:tcBorders>
              <w:top w:val="single" w:sz="4" w:space="0" w:color="ADD6EA"/>
              <w:left w:val="nil"/>
              <w:bottom w:val="single" w:sz="4" w:space="0" w:color="ADD6EA"/>
              <w:right w:val="nil"/>
            </w:tcBorders>
            <w:shd w:val="clear" w:color="000000" w:fill="D6E7F0"/>
            <w:noWrap/>
            <w:vAlign w:val="center"/>
            <w:hideMark/>
          </w:tcPr>
          <w:p w14:paraId="0BB17139"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-124</w:t>
            </w:r>
          </w:p>
        </w:tc>
        <w:tc>
          <w:tcPr>
            <w:tcW w:w="700" w:type="dxa"/>
            <w:tcBorders>
              <w:top w:val="single" w:sz="4" w:space="0" w:color="ADD6EA"/>
              <w:left w:val="nil"/>
              <w:bottom w:val="single" w:sz="4" w:space="0" w:color="ADD6EA"/>
              <w:right w:val="nil"/>
            </w:tcBorders>
            <w:shd w:val="clear" w:color="000000" w:fill="D6E7F0"/>
            <w:noWrap/>
            <w:vAlign w:val="center"/>
            <w:hideMark/>
          </w:tcPr>
          <w:p w14:paraId="31514890"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-61</w:t>
            </w:r>
          </w:p>
        </w:tc>
        <w:tc>
          <w:tcPr>
            <w:tcW w:w="700" w:type="dxa"/>
            <w:tcBorders>
              <w:top w:val="single" w:sz="4" w:space="0" w:color="ADD6EA"/>
              <w:left w:val="nil"/>
              <w:bottom w:val="single" w:sz="4" w:space="0" w:color="ADD6EA"/>
              <w:right w:val="nil"/>
            </w:tcBorders>
            <w:shd w:val="clear" w:color="000000" w:fill="D6E7F0"/>
            <w:noWrap/>
            <w:vAlign w:val="center"/>
            <w:hideMark/>
          </w:tcPr>
          <w:p w14:paraId="16598046" w14:textId="77777777" w:rsidR="0094616E" w:rsidRPr="0094616E" w:rsidRDefault="0094616E" w:rsidP="0094616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4616E">
              <w:rPr>
                <w:rFonts w:ascii="Open Sans Semibold" w:eastAsia="Times New Roman" w:hAnsi="Open Sans Semibold" w:cs="Open Sans Semibold"/>
                <w:color w:val="000000"/>
                <w:sz w:val="16"/>
                <w:szCs w:val="16"/>
                <w:lang w:eastAsia="en-AU"/>
              </w:rPr>
              <w:t>1,030</w:t>
            </w:r>
          </w:p>
        </w:tc>
      </w:tr>
    </w:tbl>
    <w:p w14:paraId="6E853645" w14:textId="0884A165" w:rsidR="00CA149E" w:rsidRPr="00C3118B" w:rsidRDefault="00012B5E" w:rsidP="00CA149E">
      <w:r>
        <w:br/>
      </w:r>
      <w:r w:rsidR="00CA149E" w:rsidRPr="00C3118B">
        <w:t>The Commission has provided indicative estimates of total payments from the GST pool and no worse off payments (see</w:t>
      </w:r>
      <w:r w:rsidR="00CA149E">
        <w:t xml:space="preserve"> Table 1-5</w:t>
      </w:r>
      <w:r w:rsidR="00CA149E" w:rsidRPr="00C3118B">
        <w:t>).</w:t>
      </w:r>
    </w:p>
    <w:p w14:paraId="077FE1DE" w14:textId="77777777" w:rsidR="00CA149E" w:rsidRDefault="00CA149E" w:rsidP="00CA149E">
      <w:r w:rsidRPr="00C3118B">
        <w:t>These estimates are illustrative. Actual no worse off payments for 2025–26 will be calculated by the Commonwealth and will be based on the actual GST pool, pool top</w:t>
      </w:r>
      <w:r w:rsidRPr="00C3118B">
        <w:noBreakHyphen/>
        <w:t>ups and population</w:t>
      </w:r>
      <w:r>
        <w:t>s</w:t>
      </w:r>
      <w:r w:rsidRPr="00C3118B">
        <w:t xml:space="preserve"> for 2025–26, which will be determined after the end of that year.</w:t>
      </w:r>
    </w:p>
    <w:p w14:paraId="5008AB3C" w14:textId="1F3B5EBA" w:rsidR="00CA149E" w:rsidRPr="00D65624" w:rsidRDefault="00CA149E" w:rsidP="00CA149E">
      <w:r w:rsidRPr="00D65624">
        <w:t>All states except Western Australia are estimated to receive a no worse off payment in 2025–26. All states except Queensland are estimated to receive more in total GST and no</w:t>
      </w:r>
      <w:r w:rsidR="004D5D24">
        <w:t> </w:t>
      </w:r>
      <w:r w:rsidRPr="00D65624">
        <w:t>worse off payments than they received in 2024–25.</w:t>
      </w:r>
    </w:p>
    <w:p w14:paraId="779DEF5D" w14:textId="332A6ED3" w:rsidR="00CA149E" w:rsidRPr="00C3118B" w:rsidRDefault="00CA149E" w:rsidP="00CA149E">
      <w:r w:rsidRPr="006D6591">
        <w:t>Queensland’s estimated no worse off payment for 2025–26 is significantly smaller than in 2024–25, reflecting that the difference between what it receives under the 2018</w:t>
      </w:r>
      <w:r w:rsidR="00523466">
        <w:t> </w:t>
      </w:r>
      <w:r w:rsidRPr="006D6591">
        <w:t>GST distribution legislation and what it would have received without the 2018 GST distribution legislation is smaller than in 2024–25. This is because, in 2025</w:t>
      </w:r>
      <w:r w:rsidR="00D1059A">
        <w:t>–</w:t>
      </w:r>
      <w:r w:rsidRPr="006D6591">
        <w:t xml:space="preserve">26, Queensland benefited from the 2018 legislation by having its relativity lifted to the standard state as part of calculating its GST relativity. </w:t>
      </w:r>
    </w:p>
    <w:p w14:paraId="0DA373FA" w14:textId="77777777" w:rsidR="00F87EC9" w:rsidRPr="00274CF2" w:rsidRDefault="00F87EC9" w:rsidP="008F431F">
      <w:pPr>
        <w:pStyle w:val="CGC2025Caption"/>
        <w:ind w:left="1440" w:hanging="1440"/>
      </w:pPr>
      <w:r w:rsidRPr="00274CF2">
        <w:t>Table 1-5</w:t>
      </w:r>
      <w:r w:rsidRPr="00274CF2">
        <w:tab/>
        <w:t>Estimated total payments to states from GST distribution and no worse off payments</w:t>
      </w:r>
    </w:p>
    <w:tbl>
      <w:tblPr>
        <w:tblW w:w="8940" w:type="dxa"/>
        <w:tblLook w:val="04A0" w:firstRow="1" w:lastRow="0" w:firstColumn="1" w:lastColumn="0" w:noHBand="0" w:noVBand="1"/>
      </w:tblPr>
      <w:tblGrid>
        <w:gridCol w:w="2373"/>
        <w:gridCol w:w="720"/>
        <w:gridCol w:w="720"/>
        <w:gridCol w:w="720"/>
        <w:gridCol w:w="720"/>
        <w:gridCol w:w="720"/>
        <w:gridCol w:w="720"/>
        <w:gridCol w:w="720"/>
        <w:gridCol w:w="720"/>
        <w:gridCol w:w="807"/>
      </w:tblGrid>
      <w:tr w:rsidR="002432AE" w:rsidRPr="002432AE" w14:paraId="6D5C7111" w14:textId="77777777" w:rsidTr="002432AE">
        <w:trPr>
          <w:trHeight w:val="379"/>
        </w:trPr>
        <w:tc>
          <w:tcPr>
            <w:tcW w:w="2460" w:type="dxa"/>
            <w:tcBorders>
              <w:top w:val="nil"/>
              <w:left w:val="nil"/>
              <w:bottom w:val="nil"/>
              <w:right w:val="nil"/>
            </w:tcBorders>
            <w:shd w:val="clear" w:color="000000" w:fill="006991"/>
            <w:vAlign w:val="bottom"/>
            <w:hideMark/>
          </w:tcPr>
          <w:p w14:paraId="647E94E1" w14:textId="77777777" w:rsidR="002432AE" w:rsidRPr="002432AE" w:rsidRDefault="002432AE" w:rsidP="002432AE">
            <w:pPr>
              <w:tabs>
                <w:tab w:val="clear" w:pos="567"/>
              </w:tabs>
              <w:spacing w:before="0" w:line="240" w:lineRule="auto"/>
              <w:rPr>
                <w:rFonts w:ascii="Open Sans Semibold" w:eastAsia="Times New Roman" w:hAnsi="Open Sans Semibold" w:cs="Open Sans Semibold"/>
                <w:color w:val="FFFFFF"/>
                <w:sz w:val="16"/>
                <w:szCs w:val="16"/>
                <w:lang w:eastAsia="en-AU"/>
              </w:rPr>
            </w:pPr>
            <w:r w:rsidRPr="002432AE">
              <w:rPr>
                <w:rFonts w:ascii="Open Sans Semibold" w:eastAsia="Times New Roman" w:hAnsi="Open Sans Semibold" w:cs="Open Sans Semibold"/>
                <w:color w:val="FFFFFF"/>
                <w:sz w:val="16"/>
                <w:szCs w:val="16"/>
                <w:lang w:eastAsia="en-AU"/>
              </w:rPr>
              <w:t> </w:t>
            </w:r>
          </w:p>
        </w:tc>
        <w:tc>
          <w:tcPr>
            <w:tcW w:w="720" w:type="dxa"/>
            <w:tcBorders>
              <w:top w:val="nil"/>
              <w:left w:val="nil"/>
              <w:bottom w:val="nil"/>
              <w:right w:val="nil"/>
            </w:tcBorders>
            <w:shd w:val="clear" w:color="000000" w:fill="006991"/>
            <w:vAlign w:val="center"/>
            <w:hideMark/>
          </w:tcPr>
          <w:p w14:paraId="67227319"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432AE">
              <w:rPr>
                <w:rFonts w:ascii="Open Sans Semibold" w:eastAsia="Times New Roman" w:hAnsi="Open Sans Semibold" w:cs="Open Sans Semibold"/>
                <w:color w:val="FFFFFF"/>
                <w:sz w:val="16"/>
                <w:szCs w:val="16"/>
                <w:lang w:eastAsia="en-AU"/>
              </w:rPr>
              <w:t>NSW</w:t>
            </w:r>
          </w:p>
        </w:tc>
        <w:tc>
          <w:tcPr>
            <w:tcW w:w="720" w:type="dxa"/>
            <w:tcBorders>
              <w:top w:val="nil"/>
              <w:left w:val="nil"/>
              <w:bottom w:val="nil"/>
              <w:right w:val="nil"/>
            </w:tcBorders>
            <w:shd w:val="clear" w:color="000000" w:fill="006991"/>
            <w:vAlign w:val="center"/>
            <w:hideMark/>
          </w:tcPr>
          <w:p w14:paraId="2FA66D7C"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432AE">
              <w:rPr>
                <w:rFonts w:ascii="Open Sans Semibold" w:eastAsia="Times New Roman" w:hAnsi="Open Sans Semibold" w:cs="Open Sans Semibold"/>
                <w:color w:val="FFFFFF"/>
                <w:sz w:val="16"/>
                <w:szCs w:val="16"/>
                <w:lang w:eastAsia="en-AU"/>
              </w:rPr>
              <w:t>Vic</w:t>
            </w:r>
          </w:p>
        </w:tc>
        <w:tc>
          <w:tcPr>
            <w:tcW w:w="720" w:type="dxa"/>
            <w:tcBorders>
              <w:top w:val="nil"/>
              <w:left w:val="nil"/>
              <w:bottom w:val="nil"/>
              <w:right w:val="nil"/>
            </w:tcBorders>
            <w:shd w:val="clear" w:color="000000" w:fill="006991"/>
            <w:vAlign w:val="center"/>
            <w:hideMark/>
          </w:tcPr>
          <w:p w14:paraId="1EC2FB00"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432AE">
              <w:rPr>
                <w:rFonts w:ascii="Open Sans Semibold" w:eastAsia="Times New Roman" w:hAnsi="Open Sans Semibold" w:cs="Open Sans Semibold"/>
                <w:color w:val="FFFFFF"/>
                <w:sz w:val="16"/>
                <w:szCs w:val="16"/>
                <w:lang w:eastAsia="en-AU"/>
              </w:rPr>
              <w:t>Qld</w:t>
            </w:r>
          </w:p>
        </w:tc>
        <w:tc>
          <w:tcPr>
            <w:tcW w:w="720" w:type="dxa"/>
            <w:tcBorders>
              <w:top w:val="nil"/>
              <w:left w:val="nil"/>
              <w:bottom w:val="nil"/>
              <w:right w:val="nil"/>
            </w:tcBorders>
            <w:shd w:val="clear" w:color="000000" w:fill="006991"/>
            <w:vAlign w:val="center"/>
            <w:hideMark/>
          </w:tcPr>
          <w:p w14:paraId="3923F762"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432AE">
              <w:rPr>
                <w:rFonts w:ascii="Open Sans Semibold" w:eastAsia="Times New Roman" w:hAnsi="Open Sans Semibold" w:cs="Open Sans Semibold"/>
                <w:color w:val="FFFFFF"/>
                <w:sz w:val="16"/>
                <w:szCs w:val="16"/>
                <w:lang w:eastAsia="en-AU"/>
              </w:rPr>
              <w:t>WA</w:t>
            </w:r>
          </w:p>
        </w:tc>
        <w:tc>
          <w:tcPr>
            <w:tcW w:w="720" w:type="dxa"/>
            <w:tcBorders>
              <w:top w:val="nil"/>
              <w:left w:val="nil"/>
              <w:bottom w:val="nil"/>
              <w:right w:val="nil"/>
            </w:tcBorders>
            <w:shd w:val="clear" w:color="000000" w:fill="006991"/>
            <w:vAlign w:val="center"/>
            <w:hideMark/>
          </w:tcPr>
          <w:p w14:paraId="33D62FE9"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432AE">
              <w:rPr>
                <w:rFonts w:ascii="Open Sans Semibold" w:eastAsia="Times New Roman" w:hAnsi="Open Sans Semibold" w:cs="Open Sans Semibold"/>
                <w:color w:val="FFFFFF"/>
                <w:sz w:val="16"/>
                <w:szCs w:val="16"/>
                <w:lang w:eastAsia="en-AU"/>
              </w:rPr>
              <w:t>SA</w:t>
            </w:r>
          </w:p>
        </w:tc>
        <w:tc>
          <w:tcPr>
            <w:tcW w:w="720" w:type="dxa"/>
            <w:tcBorders>
              <w:top w:val="nil"/>
              <w:left w:val="nil"/>
              <w:bottom w:val="nil"/>
              <w:right w:val="nil"/>
            </w:tcBorders>
            <w:shd w:val="clear" w:color="000000" w:fill="006991"/>
            <w:vAlign w:val="center"/>
            <w:hideMark/>
          </w:tcPr>
          <w:p w14:paraId="3AF8D829"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432AE">
              <w:rPr>
                <w:rFonts w:ascii="Open Sans Semibold" w:eastAsia="Times New Roman" w:hAnsi="Open Sans Semibold" w:cs="Open Sans Semibold"/>
                <w:color w:val="FFFFFF"/>
                <w:sz w:val="16"/>
                <w:szCs w:val="16"/>
                <w:lang w:eastAsia="en-AU"/>
              </w:rPr>
              <w:t>Tas</w:t>
            </w:r>
          </w:p>
        </w:tc>
        <w:tc>
          <w:tcPr>
            <w:tcW w:w="720" w:type="dxa"/>
            <w:tcBorders>
              <w:top w:val="nil"/>
              <w:left w:val="nil"/>
              <w:bottom w:val="nil"/>
              <w:right w:val="nil"/>
            </w:tcBorders>
            <w:shd w:val="clear" w:color="000000" w:fill="006991"/>
            <w:vAlign w:val="center"/>
            <w:hideMark/>
          </w:tcPr>
          <w:p w14:paraId="7789608D"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432AE">
              <w:rPr>
                <w:rFonts w:ascii="Open Sans Semibold" w:eastAsia="Times New Roman" w:hAnsi="Open Sans Semibold" w:cs="Open Sans Semibold"/>
                <w:color w:val="FFFFFF"/>
                <w:sz w:val="16"/>
                <w:szCs w:val="16"/>
                <w:lang w:eastAsia="en-AU"/>
              </w:rPr>
              <w:t>ACT</w:t>
            </w:r>
          </w:p>
        </w:tc>
        <w:tc>
          <w:tcPr>
            <w:tcW w:w="720" w:type="dxa"/>
            <w:tcBorders>
              <w:top w:val="nil"/>
              <w:left w:val="nil"/>
              <w:bottom w:val="nil"/>
              <w:right w:val="nil"/>
            </w:tcBorders>
            <w:shd w:val="clear" w:color="000000" w:fill="006991"/>
            <w:vAlign w:val="center"/>
            <w:hideMark/>
          </w:tcPr>
          <w:p w14:paraId="6C4A023F"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432AE">
              <w:rPr>
                <w:rFonts w:ascii="Open Sans Semibold" w:eastAsia="Times New Roman" w:hAnsi="Open Sans Semibold" w:cs="Open Sans Semibold"/>
                <w:color w:val="FFFFFF"/>
                <w:sz w:val="16"/>
                <w:szCs w:val="16"/>
                <w:lang w:eastAsia="en-AU"/>
              </w:rPr>
              <w:t>NT</w:t>
            </w:r>
          </w:p>
        </w:tc>
        <w:tc>
          <w:tcPr>
            <w:tcW w:w="720" w:type="dxa"/>
            <w:tcBorders>
              <w:top w:val="nil"/>
              <w:left w:val="nil"/>
              <w:bottom w:val="nil"/>
              <w:right w:val="nil"/>
            </w:tcBorders>
            <w:shd w:val="clear" w:color="000000" w:fill="006991"/>
            <w:vAlign w:val="center"/>
            <w:hideMark/>
          </w:tcPr>
          <w:p w14:paraId="6E4522FF"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432AE">
              <w:rPr>
                <w:rFonts w:ascii="Open Sans Semibold" w:eastAsia="Times New Roman" w:hAnsi="Open Sans Semibold" w:cs="Open Sans Semibold"/>
                <w:color w:val="FFFFFF"/>
                <w:sz w:val="16"/>
                <w:szCs w:val="16"/>
                <w:lang w:eastAsia="en-AU"/>
              </w:rPr>
              <w:t>Total</w:t>
            </w:r>
          </w:p>
        </w:tc>
      </w:tr>
      <w:tr w:rsidR="002432AE" w:rsidRPr="002432AE" w14:paraId="3F22BE63" w14:textId="77777777" w:rsidTr="002432AE">
        <w:trPr>
          <w:trHeight w:val="259"/>
        </w:trPr>
        <w:tc>
          <w:tcPr>
            <w:tcW w:w="2460" w:type="dxa"/>
            <w:tcBorders>
              <w:top w:val="single" w:sz="4" w:space="0" w:color="ADD6EA"/>
              <w:left w:val="nil"/>
              <w:bottom w:val="nil"/>
              <w:right w:val="nil"/>
            </w:tcBorders>
            <w:shd w:val="clear" w:color="000000" w:fill="B6D5E4"/>
            <w:vAlign w:val="bottom"/>
            <w:hideMark/>
          </w:tcPr>
          <w:p w14:paraId="0E6A90B1" w14:textId="77777777" w:rsidR="002432AE" w:rsidRPr="002432AE" w:rsidRDefault="002432AE" w:rsidP="002432AE">
            <w:pPr>
              <w:tabs>
                <w:tab w:val="clear" w:pos="567"/>
              </w:tabs>
              <w:spacing w:before="0" w:line="240" w:lineRule="auto"/>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noWrap/>
            <w:vAlign w:val="center"/>
            <w:hideMark/>
          </w:tcPr>
          <w:p w14:paraId="293D7EFD"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373D7B97"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4CBB14DD"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401C474A"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17E7B608"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2F3F03B6"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1F7E1671"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432F9ECE"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14EC0FB1"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$m</w:t>
            </w:r>
          </w:p>
        </w:tc>
      </w:tr>
      <w:tr w:rsidR="002432AE" w:rsidRPr="002432AE" w14:paraId="2972E6DA" w14:textId="77777777" w:rsidTr="002432AE">
        <w:trPr>
          <w:trHeight w:val="315"/>
        </w:trPr>
        <w:tc>
          <w:tcPr>
            <w:tcW w:w="2460" w:type="dxa"/>
            <w:tcBorders>
              <w:top w:val="single" w:sz="4" w:space="0" w:color="ADD6EA"/>
              <w:left w:val="nil"/>
              <w:bottom w:val="nil"/>
              <w:right w:val="nil"/>
            </w:tcBorders>
            <w:shd w:val="clear" w:color="000000" w:fill="FFFFFF"/>
            <w:vAlign w:val="center"/>
            <w:hideMark/>
          </w:tcPr>
          <w:p w14:paraId="32EEA193" w14:textId="77777777" w:rsidR="002432AE" w:rsidRPr="002432AE" w:rsidRDefault="002432AE" w:rsidP="002432AE">
            <w:pPr>
              <w:tabs>
                <w:tab w:val="clear" w:pos="567"/>
              </w:tabs>
              <w:spacing w:before="0" w:line="240" w:lineRule="auto"/>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2024-25</w:t>
            </w:r>
          </w:p>
        </w:tc>
        <w:tc>
          <w:tcPr>
            <w:tcW w:w="720" w:type="dxa"/>
            <w:tcBorders>
              <w:top w:val="single" w:sz="4" w:space="0" w:color="ADD6EA"/>
              <w:left w:val="nil"/>
              <w:bottom w:val="nil"/>
              <w:right w:val="nil"/>
            </w:tcBorders>
            <w:shd w:val="clear" w:color="000000" w:fill="FFFFFF"/>
            <w:noWrap/>
            <w:vAlign w:val="center"/>
            <w:hideMark/>
          </w:tcPr>
          <w:p w14:paraId="07B9546E"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6BE8B322"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592D21E0"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33797866"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560CBBB8"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418A5371"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72AFE878"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61763C4D"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0FF447CB"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r>
      <w:tr w:rsidR="002432AE" w:rsidRPr="002432AE" w14:paraId="1484D8C7" w14:textId="77777777" w:rsidTr="002432AE">
        <w:trPr>
          <w:trHeight w:val="315"/>
        </w:trPr>
        <w:tc>
          <w:tcPr>
            <w:tcW w:w="2460" w:type="dxa"/>
            <w:tcBorders>
              <w:top w:val="single" w:sz="4" w:space="0" w:color="ADD6EA"/>
              <w:left w:val="nil"/>
              <w:bottom w:val="nil"/>
              <w:right w:val="nil"/>
            </w:tcBorders>
            <w:shd w:val="clear" w:color="000000" w:fill="FFFFFF"/>
            <w:vAlign w:val="center"/>
            <w:hideMark/>
          </w:tcPr>
          <w:p w14:paraId="380F0433" w14:textId="77777777" w:rsidR="002432AE" w:rsidRPr="002432AE" w:rsidRDefault="002432AE" w:rsidP="002432A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Total GST distribution</w:t>
            </w:r>
          </w:p>
        </w:tc>
        <w:tc>
          <w:tcPr>
            <w:tcW w:w="720" w:type="dxa"/>
            <w:tcBorders>
              <w:top w:val="single" w:sz="4" w:space="0" w:color="ADD6EA"/>
              <w:left w:val="nil"/>
              <w:bottom w:val="nil"/>
              <w:right w:val="nil"/>
            </w:tcBorders>
            <w:shd w:val="clear" w:color="000000" w:fill="FFFFFF"/>
            <w:noWrap/>
            <w:vAlign w:val="center"/>
            <w:hideMark/>
          </w:tcPr>
          <w:p w14:paraId="3320EB8D"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24,540</w:t>
            </w:r>
          </w:p>
        </w:tc>
        <w:tc>
          <w:tcPr>
            <w:tcW w:w="720" w:type="dxa"/>
            <w:tcBorders>
              <w:top w:val="single" w:sz="4" w:space="0" w:color="ADD6EA"/>
              <w:left w:val="nil"/>
              <w:bottom w:val="nil"/>
              <w:right w:val="nil"/>
            </w:tcBorders>
            <w:shd w:val="clear" w:color="000000" w:fill="FFFFFF"/>
            <w:noWrap/>
            <w:vAlign w:val="center"/>
            <w:hideMark/>
          </w:tcPr>
          <w:p w14:paraId="10F93D98"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22,491</w:t>
            </w:r>
          </w:p>
        </w:tc>
        <w:tc>
          <w:tcPr>
            <w:tcW w:w="720" w:type="dxa"/>
            <w:tcBorders>
              <w:top w:val="single" w:sz="4" w:space="0" w:color="ADD6EA"/>
              <w:left w:val="nil"/>
              <w:bottom w:val="nil"/>
              <w:right w:val="nil"/>
            </w:tcBorders>
            <w:shd w:val="clear" w:color="000000" w:fill="FFFFFF"/>
            <w:noWrap/>
            <w:vAlign w:val="center"/>
            <w:hideMark/>
          </w:tcPr>
          <w:p w14:paraId="44BC9AA1"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17,751</w:t>
            </w:r>
          </w:p>
        </w:tc>
        <w:tc>
          <w:tcPr>
            <w:tcW w:w="720" w:type="dxa"/>
            <w:tcBorders>
              <w:top w:val="single" w:sz="4" w:space="0" w:color="ADD6EA"/>
              <w:left w:val="nil"/>
              <w:bottom w:val="nil"/>
              <w:right w:val="nil"/>
            </w:tcBorders>
            <w:shd w:val="clear" w:color="000000" w:fill="FFFFFF"/>
            <w:noWrap/>
            <w:vAlign w:val="center"/>
            <w:hideMark/>
          </w:tcPr>
          <w:p w14:paraId="1284E4FD"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7,435</w:t>
            </w:r>
          </w:p>
        </w:tc>
        <w:tc>
          <w:tcPr>
            <w:tcW w:w="720" w:type="dxa"/>
            <w:tcBorders>
              <w:top w:val="single" w:sz="4" w:space="0" w:color="ADD6EA"/>
              <w:left w:val="nil"/>
              <w:bottom w:val="nil"/>
              <w:right w:val="nil"/>
            </w:tcBorders>
            <w:shd w:val="clear" w:color="000000" w:fill="FFFFFF"/>
            <w:noWrap/>
            <w:vAlign w:val="center"/>
            <w:hideMark/>
          </w:tcPr>
          <w:p w14:paraId="0F5170DD"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8,753</w:t>
            </w:r>
          </w:p>
        </w:tc>
        <w:tc>
          <w:tcPr>
            <w:tcW w:w="720" w:type="dxa"/>
            <w:tcBorders>
              <w:top w:val="single" w:sz="4" w:space="0" w:color="ADD6EA"/>
              <w:left w:val="nil"/>
              <w:bottom w:val="nil"/>
              <w:right w:val="nil"/>
            </w:tcBorders>
            <w:shd w:val="clear" w:color="000000" w:fill="FFFFFF"/>
            <w:noWrap/>
            <w:vAlign w:val="center"/>
            <w:hideMark/>
          </w:tcPr>
          <w:p w14:paraId="4263958B"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3,484</w:t>
            </w:r>
          </w:p>
        </w:tc>
        <w:tc>
          <w:tcPr>
            <w:tcW w:w="720" w:type="dxa"/>
            <w:tcBorders>
              <w:top w:val="single" w:sz="4" w:space="0" w:color="ADD6EA"/>
              <w:left w:val="nil"/>
              <w:bottom w:val="nil"/>
              <w:right w:val="nil"/>
            </w:tcBorders>
            <w:shd w:val="clear" w:color="000000" w:fill="FFFFFF"/>
            <w:noWrap/>
            <w:vAlign w:val="center"/>
            <w:hideMark/>
          </w:tcPr>
          <w:p w14:paraId="016CC560"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1,899</w:t>
            </w:r>
          </w:p>
        </w:tc>
        <w:tc>
          <w:tcPr>
            <w:tcW w:w="720" w:type="dxa"/>
            <w:tcBorders>
              <w:top w:val="single" w:sz="4" w:space="0" w:color="ADD6EA"/>
              <w:left w:val="nil"/>
              <w:bottom w:val="nil"/>
              <w:right w:val="nil"/>
            </w:tcBorders>
            <w:shd w:val="clear" w:color="000000" w:fill="FFFFFF"/>
            <w:noWrap/>
            <w:vAlign w:val="center"/>
            <w:hideMark/>
          </w:tcPr>
          <w:p w14:paraId="44DC991D"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4,279</w:t>
            </w:r>
          </w:p>
        </w:tc>
        <w:tc>
          <w:tcPr>
            <w:tcW w:w="720" w:type="dxa"/>
            <w:tcBorders>
              <w:top w:val="single" w:sz="4" w:space="0" w:color="ADD6EA"/>
              <w:left w:val="nil"/>
              <w:bottom w:val="nil"/>
              <w:right w:val="nil"/>
            </w:tcBorders>
            <w:shd w:val="clear" w:color="000000" w:fill="FFFFFF"/>
            <w:noWrap/>
            <w:vAlign w:val="center"/>
            <w:hideMark/>
          </w:tcPr>
          <w:p w14:paraId="5DEAD1F0"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90,631</w:t>
            </w:r>
          </w:p>
        </w:tc>
      </w:tr>
      <w:tr w:rsidR="002432AE" w:rsidRPr="002432AE" w14:paraId="3FBCE8F1" w14:textId="77777777" w:rsidTr="002432AE">
        <w:trPr>
          <w:trHeight w:val="315"/>
        </w:trPr>
        <w:tc>
          <w:tcPr>
            <w:tcW w:w="2460" w:type="dxa"/>
            <w:tcBorders>
              <w:top w:val="single" w:sz="4" w:space="0" w:color="ADD6EA"/>
              <w:left w:val="nil"/>
              <w:bottom w:val="nil"/>
              <w:right w:val="nil"/>
            </w:tcBorders>
            <w:shd w:val="clear" w:color="000000" w:fill="FFFFFF"/>
            <w:vAlign w:val="center"/>
            <w:hideMark/>
          </w:tcPr>
          <w:p w14:paraId="477D160C" w14:textId="77777777" w:rsidR="002432AE" w:rsidRPr="002432AE" w:rsidRDefault="002432AE" w:rsidP="002432A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No worse off payments</w:t>
            </w:r>
          </w:p>
        </w:tc>
        <w:tc>
          <w:tcPr>
            <w:tcW w:w="720" w:type="dxa"/>
            <w:tcBorders>
              <w:top w:val="single" w:sz="4" w:space="0" w:color="ADD6EA"/>
              <w:left w:val="nil"/>
              <w:bottom w:val="nil"/>
              <w:right w:val="nil"/>
            </w:tcBorders>
            <w:shd w:val="clear" w:color="000000" w:fill="FFFFFF"/>
            <w:noWrap/>
            <w:vAlign w:val="center"/>
            <w:hideMark/>
          </w:tcPr>
          <w:p w14:paraId="24C39657"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1,879</w:t>
            </w:r>
          </w:p>
        </w:tc>
        <w:tc>
          <w:tcPr>
            <w:tcW w:w="720" w:type="dxa"/>
            <w:tcBorders>
              <w:top w:val="single" w:sz="4" w:space="0" w:color="ADD6EA"/>
              <w:left w:val="nil"/>
              <w:bottom w:val="nil"/>
              <w:right w:val="nil"/>
            </w:tcBorders>
            <w:shd w:val="clear" w:color="000000" w:fill="FFFFFF"/>
            <w:noWrap/>
            <w:vAlign w:val="center"/>
            <w:hideMark/>
          </w:tcPr>
          <w:p w14:paraId="7E6B421F"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1,551</w:t>
            </w:r>
          </w:p>
        </w:tc>
        <w:tc>
          <w:tcPr>
            <w:tcW w:w="720" w:type="dxa"/>
            <w:tcBorders>
              <w:top w:val="single" w:sz="4" w:space="0" w:color="ADD6EA"/>
              <w:left w:val="nil"/>
              <w:bottom w:val="nil"/>
              <w:right w:val="nil"/>
            </w:tcBorders>
            <w:shd w:val="clear" w:color="000000" w:fill="FFFFFF"/>
            <w:noWrap/>
            <w:vAlign w:val="center"/>
            <w:hideMark/>
          </w:tcPr>
          <w:p w14:paraId="73D49A24"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1,228</w:t>
            </w:r>
          </w:p>
        </w:tc>
        <w:tc>
          <w:tcPr>
            <w:tcW w:w="720" w:type="dxa"/>
            <w:tcBorders>
              <w:top w:val="single" w:sz="4" w:space="0" w:color="ADD6EA"/>
              <w:left w:val="nil"/>
              <w:bottom w:val="nil"/>
              <w:right w:val="nil"/>
            </w:tcBorders>
            <w:shd w:val="clear" w:color="000000" w:fill="FFFFFF"/>
            <w:noWrap/>
            <w:vAlign w:val="center"/>
            <w:hideMark/>
          </w:tcPr>
          <w:p w14:paraId="3E2A5316"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0</w:t>
            </w:r>
          </w:p>
        </w:tc>
        <w:tc>
          <w:tcPr>
            <w:tcW w:w="720" w:type="dxa"/>
            <w:tcBorders>
              <w:top w:val="single" w:sz="4" w:space="0" w:color="ADD6EA"/>
              <w:left w:val="nil"/>
              <w:bottom w:val="nil"/>
              <w:right w:val="nil"/>
            </w:tcBorders>
            <w:shd w:val="clear" w:color="000000" w:fill="FFFFFF"/>
            <w:noWrap/>
            <w:vAlign w:val="center"/>
            <w:hideMark/>
          </w:tcPr>
          <w:p w14:paraId="78C23E24"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404</w:t>
            </w:r>
          </w:p>
        </w:tc>
        <w:tc>
          <w:tcPr>
            <w:tcW w:w="720" w:type="dxa"/>
            <w:tcBorders>
              <w:top w:val="single" w:sz="4" w:space="0" w:color="ADD6EA"/>
              <w:left w:val="nil"/>
              <w:bottom w:val="nil"/>
              <w:right w:val="nil"/>
            </w:tcBorders>
            <w:shd w:val="clear" w:color="000000" w:fill="FFFFFF"/>
            <w:noWrap/>
            <w:vAlign w:val="center"/>
            <w:hideMark/>
          </w:tcPr>
          <w:p w14:paraId="4ED6F266"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120</w:t>
            </w:r>
          </w:p>
        </w:tc>
        <w:tc>
          <w:tcPr>
            <w:tcW w:w="720" w:type="dxa"/>
            <w:tcBorders>
              <w:top w:val="single" w:sz="4" w:space="0" w:color="ADD6EA"/>
              <w:left w:val="nil"/>
              <w:bottom w:val="nil"/>
              <w:right w:val="nil"/>
            </w:tcBorders>
            <w:shd w:val="clear" w:color="000000" w:fill="FFFFFF"/>
            <w:noWrap/>
            <w:vAlign w:val="center"/>
            <w:hideMark/>
          </w:tcPr>
          <w:p w14:paraId="271E0EB2"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103</w:t>
            </w:r>
          </w:p>
        </w:tc>
        <w:tc>
          <w:tcPr>
            <w:tcW w:w="720" w:type="dxa"/>
            <w:tcBorders>
              <w:top w:val="single" w:sz="4" w:space="0" w:color="ADD6EA"/>
              <w:left w:val="nil"/>
              <w:bottom w:val="nil"/>
              <w:right w:val="nil"/>
            </w:tcBorders>
            <w:shd w:val="clear" w:color="000000" w:fill="FFFFFF"/>
            <w:noWrap/>
            <w:vAlign w:val="center"/>
            <w:hideMark/>
          </w:tcPr>
          <w:p w14:paraId="47267BC2"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43</w:t>
            </w:r>
          </w:p>
        </w:tc>
        <w:tc>
          <w:tcPr>
            <w:tcW w:w="720" w:type="dxa"/>
            <w:tcBorders>
              <w:top w:val="single" w:sz="4" w:space="0" w:color="ADD6EA"/>
              <w:left w:val="nil"/>
              <w:bottom w:val="nil"/>
              <w:right w:val="nil"/>
            </w:tcBorders>
            <w:shd w:val="clear" w:color="000000" w:fill="FFFFFF"/>
            <w:noWrap/>
            <w:vAlign w:val="center"/>
            <w:hideMark/>
          </w:tcPr>
          <w:p w14:paraId="2A66AB0D"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5,328</w:t>
            </w:r>
          </w:p>
        </w:tc>
      </w:tr>
      <w:tr w:rsidR="002432AE" w:rsidRPr="002432AE" w14:paraId="1B0D5DDC" w14:textId="77777777" w:rsidTr="002432AE">
        <w:trPr>
          <w:trHeight w:val="315"/>
        </w:trPr>
        <w:tc>
          <w:tcPr>
            <w:tcW w:w="2460" w:type="dxa"/>
            <w:tcBorders>
              <w:top w:val="single" w:sz="4" w:space="0" w:color="ADD6EA"/>
              <w:left w:val="nil"/>
              <w:bottom w:val="nil"/>
              <w:right w:val="nil"/>
            </w:tcBorders>
            <w:shd w:val="clear" w:color="000000" w:fill="D6E7F0"/>
            <w:vAlign w:val="center"/>
            <w:hideMark/>
          </w:tcPr>
          <w:p w14:paraId="4D412983" w14:textId="77777777" w:rsidR="002432AE" w:rsidRPr="002432AE" w:rsidRDefault="002432AE" w:rsidP="002432AE">
            <w:pPr>
              <w:tabs>
                <w:tab w:val="clear" w:pos="567"/>
              </w:tabs>
              <w:spacing w:before="0" w:line="240" w:lineRule="auto"/>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 xml:space="preserve">    Total</w:t>
            </w:r>
          </w:p>
        </w:tc>
        <w:tc>
          <w:tcPr>
            <w:tcW w:w="720" w:type="dxa"/>
            <w:tcBorders>
              <w:top w:val="single" w:sz="4" w:space="0" w:color="ADD6EA"/>
              <w:left w:val="nil"/>
              <w:bottom w:val="nil"/>
              <w:right w:val="nil"/>
            </w:tcBorders>
            <w:shd w:val="clear" w:color="000000" w:fill="D6E7F0"/>
            <w:noWrap/>
            <w:vAlign w:val="center"/>
            <w:hideMark/>
          </w:tcPr>
          <w:p w14:paraId="57E256C3"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26,419</w:t>
            </w:r>
          </w:p>
        </w:tc>
        <w:tc>
          <w:tcPr>
            <w:tcW w:w="720" w:type="dxa"/>
            <w:tcBorders>
              <w:top w:val="single" w:sz="4" w:space="0" w:color="ADD6EA"/>
              <w:left w:val="nil"/>
              <w:bottom w:val="nil"/>
              <w:right w:val="nil"/>
            </w:tcBorders>
            <w:shd w:val="clear" w:color="000000" w:fill="D6E7F0"/>
            <w:noWrap/>
            <w:vAlign w:val="center"/>
            <w:hideMark/>
          </w:tcPr>
          <w:p w14:paraId="21275E51"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24,042</w:t>
            </w:r>
          </w:p>
        </w:tc>
        <w:tc>
          <w:tcPr>
            <w:tcW w:w="720" w:type="dxa"/>
            <w:tcBorders>
              <w:top w:val="single" w:sz="4" w:space="0" w:color="ADD6EA"/>
              <w:left w:val="nil"/>
              <w:bottom w:val="nil"/>
              <w:right w:val="nil"/>
            </w:tcBorders>
            <w:shd w:val="clear" w:color="000000" w:fill="D6E7F0"/>
            <w:noWrap/>
            <w:vAlign w:val="center"/>
            <w:hideMark/>
          </w:tcPr>
          <w:p w14:paraId="7E5A1D58"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18,979</w:t>
            </w:r>
          </w:p>
        </w:tc>
        <w:tc>
          <w:tcPr>
            <w:tcW w:w="720" w:type="dxa"/>
            <w:tcBorders>
              <w:top w:val="single" w:sz="4" w:space="0" w:color="ADD6EA"/>
              <w:left w:val="nil"/>
              <w:bottom w:val="nil"/>
              <w:right w:val="nil"/>
            </w:tcBorders>
            <w:shd w:val="clear" w:color="000000" w:fill="D6E7F0"/>
            <w:noWrap/>
            <w:vAlign w:val="center"/>
            <w:hideMark/>
          </w:tcPr>
          <w:p w14:paraId="6224A397"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7,435</w:t>
            </w:r>
          </w:p>
        </w:tc>
        <w:tc>
          <w:tcPr>
            <w:tcW w:w="720" w:type="dxa"/>
            <w:tcBorders>
              <w:top w:val="single" w:sz="4" w:space="0" w:color="ADD6EA"/>
              <w:left w:val="nil"/>
              <w:bottom w:val="nil"/>
              <w:right w:val="nil"/>
            </w:tcBorders>
            <w:shd w:val="clear" w:color="000000" w:fill="D6E7F0"/>
            <w:noWrap/>
            <w:vAlign w:val="center"/>
            <w:hideMark/>
          </w:tcPr>
          <w:p w14:paraId="32A4C3FA"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9,157</w:t>
            </w:r>
          </w:p>
        </w:tc>
        <w:tc>
          <w:tcPr>
            <w:tcW w:w="720" w:type="dxa"/>
            <w:tcBorders>
              <w:top w:val="single" w:sz="4" w:space="0" w:color="ADD6EA"/>
              <w:left w:val="nil"/>
              <w:bottom w:val="nil"/>
              <w:right w:val="nil"/>
            </w:tcBorders>
            <w:shd w:val="clear" w:color="000000" w:fill="D6E7F0"/>
            <w:noWrap/>
            <w:vAlign w:val="center"/>
            <w:hideMark/>
          </w:tcPr>
          <w:p w14:paraId="75FF2BC7"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3,604</w:t>
            </w:r>
          </w:p>
        </w:tc>
        <w:tc>
          <w:tcPr>
            <w:tcW w:w="720" w:type="dxa"/>
            <w:tcBorders>
              <w:top w:val="single" w:sz="4" w:space="0" w:color="ADD6EA"/>
              <w:left w:val="nil"/>
              <w:bottom w:val="nil"/>
              <w:right w:val="nil"/>
            </w:tcBorders>
            <w:shd w:val="clear" w:color="000000" w:fill="D6E7F0"/>
            <w:noWrap/>
            <w:vAlign w:val="center"/>
            <w:hideMark/>
          </w:tcPr>
          <w:p w14:paraId="593F68F4"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2,002</w:t>
            </w:r>
          </w:p>
        </w:tc>
        <w:tc>
          <w:tcPr>
            <w:tcW w:w="720" w:type="dxa"/>
            <w:tcBorders>
              <w:top w:val="single" w:sz="4" w:space="0" w:color="ADD6EA"/>
              <w:left w:val="nil"/>
              <w:bottom w:val="nil"/>
              <w:right w:val="nil"/>
            </w:tcBorders>
            <w:shd w:val="clear" w:color="000000" w:fill="D6E7F0"/>
            <w:noWrap/>
            <w:vAlign w:val="center"/>
            <w:hideMark/>
          </w:tcPr>
          <w:p w14:paraId="70AA35A0"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4,322</w:t>
            </w:r>
          </w:p>
        </w:tc>
        <w:tc>
          <w:tcPr>
            <w:tcW w:w="720" w:type="dxa"/>
            <w:tcBorders>
              <w:top w:val="single" w:sz="4" w:space="0" w:color="ADD6EA"/>
              <w:left w:val="nil"/>
              <w:bottom w:val="nil"/>
              <w:right w:val="nil"/>
            </w:tcBorders>
            <w:shd w:val="clear" w:color="000000" w:fill="D6E7F0"/>
            <w:noWrap/>
            <w:vAlign w:val="center"/>
            <w:hideMark/>
          </w:tcPr>
          <w:p w14:paraId="4CD824EC"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95,959</w:t>
            </w:r>
          </w:p>
        </w:tc>
      </w:tr>
      <w:tr w:rsidR="002432AE" w:rsidRPr="002432AE" w14:paraId="4A0ADFCF" w14:textId="77777777" w:rsidTr="002432AE">
        <w:trPr>
          <w:trHeight w:val="315"/>
        </w:trPr>
        <w:tc>
          <w:tcPr>
            <w:tcW w:w="2460" w:type="dxa"/>
            <w:tcBorders>
              <w:top w:val="single" w:sz="4" w:space="0" w:color="ADD6EA"/>
              <w:left w:val="nil"/>
              <w:bottom w:val="nil"/>
              <w:right w:val="nil"/>
            </w:tcBorders>
            <w:shd w:val="clear" w:color="000000" w:fill="FFFFFF"/>
            <w:vAlign w:val="center"/>
            <w:hideMark/>
          </w:tcPr>
          <w:p w14:paraId="6AD67884" w14:textId="77777777" w:rsidR="002432AE" w:rsidRPr="002432AE" w:rsidRDefault="002432AE" w:rsidP="002432AE">
            <w:pPr>
              <w:tabs>
                <w:tab w:val="clear" w:pos="567"/>
              </w:tabs>
              <w:spacing w:before="0" w:line="240" w:lineRule="auto"/>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2025-26</w:t>
            </w:r>
          </w:p>
        </w:tc>
        <w:tc>
          <w:tcPr>
            <w:tcW w:w="720" w:type="dxa"/>
            <w:tcBorders>
              <w:top w:val="single" w:sz="4" w:space="0" w:color="ADD6EA"/>
              <w:left w:val="nil"/>
              <w:bottom w:val="nil"/>
              <w:right w:val="nil"/>
            </w:tcBorders>
            <w:shd w:val="clear" w:color="000000" w:fill="FFFFFF"/>
            <w:noWrap/>
            <w:vAlign w:val="center"/>
            <w:hideMark/>
          </w:tcPr>
          <w:p w14:paraId="40DA579D"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135FFF06"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64C74C9D"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4CD30F28"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57F94F7D"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126B6613"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3D379D73"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19A0279C"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center"/>
            <w:hideMark/>
          </w:tcPr>
          <w:p w14:paraId="301C558D"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r>
      <w:tr w:rsidR="002432AE" w:rsidRPr="002432AE" w14:paraId="5A073386" w14:textId="77777777" w:rsidTr="002432AE">
        <w:trPr>
          <w:trHeight w:val="315"/>
        </w:trPr>
        <w:tc>
          <w:tcPr>
            <w:tcW w:w="2460" w:type="dxa"/>
            <w:tcBorders>
              <w:top w:val="single" w:sz="4" w:space="0" w:color="ADD6EA"/>
              <w:left w:val="nil"/>
              <w:bottom w:val="nil"/>
              <w:right w:val="nil"/>
            </w:tcBorders>
            <w:shd w:val="clear" w:color="000000" w:fill="FFFFFF"/>
            <w:vAlign w:val="center"/>
            <w:hideMark/>
          </w:tcPr>
          <w:p w14:paraId="1E38DD05" w14:textId="77777777" w:rsidR="002432AE" w:rsidRPr="002432AE" w:rsidRDefault="002432AE" w:rsidP="002432A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Total GST distribution</w:t>
            </w:r>
          </w:p>
        </w:tc>
        <w:tc>
          <w:tcPr>
            <w:tcW w:w="720" w:type="dxa"/>
            <w:tcBorders>
              <w:top w:val="single" w:sz="4" w:space="0" w:color="ADD6EA"/>
              <w:left w:val="nil"/>
              <w:bottom w:val="nil"/>
              <w:right w:val="nil"/>
            </w:tcBorders>
            <w:shd w:val="clear" w:color="000000" w:fill="FFFFFF"/>
            <w:noWrap/>
            <w:vAlign w:val="center"/>
            <w:hideMark/>
          </w:tcPr>
          <w:p w14:paraId="0683D3F9"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25,482</w:t>
            </w:r>
          </w:p>
        </w:tc>
        <w:tc>
          <w:tcPr>
            <w:tcW w:w="720" w:type="dxa"/>
            <w:tcBorders>
              <w:top w:val="single" w:sz="4" w:space="0" w:color="ADD6EA"/>
              <w:left w:val="nil"/>
              <w:bottom w:val="nil"/>
              <w:right w:val="nil"/>
            </w:tcBorders>
            <w:shd w:val="clear" w:color="000000" w:fill="FFFFFF"/>
            <w:noWrap/>
            <w:vAlign w:val="center"/>
            <w:hideMark/>
          </w:tcPr>
          <w:p w14:paraId="0A67B20E"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26,147</w:t>
            </w:r>
          </w:p>
        </w:tc>
        <w:tc>
          <w:tcPr>
            <w:tcW w:w="720" w:type="dxa"/>
            <w:tcBorders>
              <w:top w:val="single" w:sz="4" w:space="0" w:color="ADD6EA"/>
              <w:left w:val="nil"/>
              <w:bottom w:val="nil"/>
              <w:right w:val="nil"/>
            </w:tcBorders>
            <w:shd w:val="clear" w:color="000000" w:fill="FFFFFF"/>
            <w:noWrap/>
            <w:vAlign w:val="center"/>
            <w:hideMark/>
          </w:tcPr>
          <w:p w14:paraId="47267836"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16,562</w:t>
            </w:r>
          </w:p>
        </w:tc>
        <w:tc>
          <w:tcPr>
            <w:tcW w:w="720" w:type="dxa"/>
            <w:tcBorders>
              <w:top w:val="single" w:sz="4" w:space="0" w:color="ADD6EA"/>
              <w:left w:val="nil"/>
              <w:bottom w:val="nil"/>
              <w:right w:val="nil"/>
            </w:tcBorders>
            <w:shd w:val="clear" w:color="000000" w:fill="FFFFFF"/>
            <w:noWrap/>
            <w:vAlign w:val="center"/>
            <w:hideMark/>
          </w:tcPr>
          <w:p w14:paraId="29DE8124"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7,830</w:t>
            </w:r>
          </w:p>
        </w:tc>
        <w:tc>
          <w:tcPr>
            <w:tcW w:w="720" w:type="dxa"/>
            <w:tcBorders>
              <w:top w:val="single" w:sz="4" w:space="0" w:color="ADD6EA"/>
              <w:left w:val="nil"/>
              <w:bottom w:val="nil"/>
              <w:right w:val="nil"/>
            </w:tcBorders>
            <w:shd w:val="clear" w:color="000000" w:fill="FFFFFF"/>
            <w:noWrap/>
            <w:vAlign w:val="center"/>
            <w:hideMark/>
          </w:tcPr>
          <w:p w14:paraId="580D0D88"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9,032</w:t>
            </w:r>
          </w:p>
        </w:tc>
        <w:tc>
          <w:tcPr>
            <w:tcW w:w="720" w:type="dxa"/>
            <w:tcBorders>
              <w:top w:val="single" w:sz="4" w:space="0" w:color="ADD6EA"/>
              <w:left w:val="nil"/>
              <w:bottom w:val="nil"/>
              <w:right w:val="nil"/>
            </w:tcBorders>
            <w:shd w:val="clear" w:color="000000" w:fill="FFFFFF"/>
            <w:noWrap/>
            <w:vAlign w:val="center"/>
            <w:hideMark/>
          </w:tcPr>
          <w:p w14:paraId="07CCF0E1"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3,635</w:t>
            </w:r>
          </w:p>
        </w:tc>
        <w:tc>
          <w:tcPr>
            <w:tcW w:w="720" w:type="dxa"/>
            <w:tcBorders>
              <w:top w:val="single" w:sz="4" w:space="0" w:color="ADD6EA"/>
              <w:left w:val="nil"/>
              <w:bottom w:val="nil"/>
              <w:right w:val="nil"/>
            </w:tcBorders>
            <w:shd w:val="clear" w:color="000000" w:fill="FFFFFF"/>
            <w:noWrap/>
            <w:vAlign w:val="center"/>
            <w:hideMark/>
          </w:tcPr>
          <w:p w14:paraId="5C418C60"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1,934</w:t>
            </w:r>
          </w:p>
        </w:tc>
        <w:tc>
          <w:tcPr>
            <w:tcW w:w="720" w:type="dxa"/>
            <w:tcBorders>
              <w:top w:val="single" w:sz="4" w:space="0" w:color="ADD6EA"/>
              <w:left w:val="nil"/>
              <w:bottom w:val="nil"/>
              <w:right w:val="nil"/>
            </w:tcBorders>
            <w:shd w:val="clear" w:color="000000" w:fill="FFFFFF"/>
            <w:noWrap/>
            <w:vAlign w:val="center"/>
            <w:hideMark/>
          </w:tcPr>
          <w:p w14:paraId="59B33842"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4,527</w:t>
            </w:r>
          </w:p>
        </w:tc>
        <w:tc>
          <w:tcPr>
            <w:tcW w:w="720" w:type="dxa"/>
            <w:tcBorders>
              <w:top w:val="single" w:sz="4" w:space="0" w:color="ADD6EA"/>
              <w:left w:val="nil"/>
              <w:bottom w:val="nil"/>
              <w:right w:val="nil"/>
            </w:tcBorders>
            <w:shd w:val="clear" w:color="000000" w:fill="FFFFFF"/>
            <w:noWrap/>
            <w:vAlign w:val="center"/>
            <w:hideMark/>
          </w:tcPr>
          <w:p w14:paraId="4B821FB5"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95,150</w:t>
            </w:r>
          </w:p>
        </w:tc>
      </w:tr>
      <w:tr w:rsidR="002432AE" w:rsidRPr="002432AE" w14:paraId="30425ADB" w14:textId="77777777" w:rsidTr="002432AE">
        <w:trPr>
          <w:trHeight w:val="315"/>
        </w:trPr>
        <w:tc>
          <w:tcPr>
            <w:tcW w:w="2460" w:type="dxa"/>
            <w:tcBorders>
              <w:top w:val="single" w:sz="4" w:space="0" w:color="ADD6EA"/>
              <w:left w:val="nil"/>
              <w:bottom w:val="nil"/>
              <w:right w:val="nil"/>
            </w:tcBorders>
            <w:shd w:val="clear" w:color="000000" w:fill="FFFFFF"/>
            <w:vAlign w:val="center"/>
            <w:hideMark/>
          </w:tcPr>
          <w:p w14:paraId="6150948A" w14:textId="77777777" w:rsidR="002432AE" w:rsidRPr="002432AE" w:rsidRDefault="002432AE" w:rsidP="002432A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No worse off payments</w:t>
            </w:r>
          </w:p>
        </w:tc>
        <w:tc>
          <w:tcPr>
            <w:tcW w:w="720" w:type="dxa"/>
            <w:tcBorders>
              <w:top w:val="single" w:sz="4" w:space="0" w:color="ADD6EA"/>
              <w:left w:val="nil"/>
              <w:bottom w:val="nil"/>
              <w:right w:val="nil"/>
            </w:tcBorders>
            <w:shd w:val="clear" w:color="000000" w:fill="FFFFFF"/>
            <w:noWrap/>
            <w:vAlign w:val="center"/>
            <w:hideMark/>
          </w:tcPr>
          <w:p w14:paraId="6B5F4B72"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2,234</w:t>
            </w:r>
          </w:p>
        </w:tc>
        <w:tc>
          <w:tcPr>
            <w:tcW w:w="720" w:type="dxa"/>
            <w:tcBorders>
              <w:top w:val="single" w:sz="4" w:space="0" w:color="ADD6EA"/>
              <w:left w:val="nil"/>
              <w:bottom w:val="nil"/>
              <w:right w:val="nil"/>
            </w:tcBorders>
            <w:shd w:val="clear" w:color="000000" w:fill="FFFFFF"/>
            <w:noWrap/>
            <w:vAlign w:val="center"/>
            <w:hideMark/>
          </w:tcPr>
          <w:p w14:paraId="41DE4209"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1,841</w:t>
            </w:r>
          </w:p>
        </w:tc>
        <w:tc>
          <w:tcPr>
            <w:tcW w:w="720" w:type="dxa"/>
            <w:tcBorders>
              <w:top w:val="single" w:sz="4" w:space="0" w:color="ADD6EA"/>
              <w:left w:val="nil"/>
              <w:bottom w:val="nil"/>
              <w:right w:val="nil"/>
            </w:tcBorders>
            <w:shd w:val="clear" w:color="000000" w:fill="FFFFFF"/>
            <w:noWrap/>
            <w:vAlign w:val="center"/>
            <w:hideMark/>
          </w:tcPr>
          <w:p w14:paraId="06982339"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47</w:t>
            </w:r>
          </w:p>
        </w:tc>
        <w:tc>
          <w:tcPr>
            <w:tcW w:w="720" w:type="dxa"/>
            <w:tcBorders>
              <w:top w:val="single" w:sz="4" w:space="0" w:color="ADD6EA"/>
              <w:left w:val="nil"/>
              <w:bottom w:val="nil"/>
              <w:right w:val="nil"/>
            </w:tcBorders>
            <w:shd w:val="clear" w:color="000000" w:fill="FFFFFF"/>
            <w:noWrap/>
            <w:vAlign w:val="center"/>
            <w:hideMark/>
          </w:tcPr>
          <w:p w14:paraId="158BEDEB"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0</w:t>
            </w:r>
          </w:p>
        </w:tc>
        <w:tc>
          <w:tcPr>
            <w:tcW w:w="720" w:type="dxa"/>
            <w:tcBorders>
              <w:top w:val="single" w:sz="4" w:space="0" w:color="ADD6EA"/>
              <w:left w:val="nil"/>
              <w:bottom w:val="nil"/>
              <w:right w:val="nil"/>
            </w:tcBorders>
            <w:shd w:val="clear" w:color="000000" w:fill="FFFFFF"/>
            <w:noWrap/>
            <w:vAlign w:val="center"/>
            <w:hideMark/>
          </w:tcPr>
          <w:p w14:paraId="34330A4B"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486</w:t>
            </w:r>
          </w:p>
        </w:tc>
        <w:tc>
          <w:tcPr>
            <w:tcW w:w="720" w:type="dxa"/>
            <w:tcBorders>
              <w:top w:val="single" w:sz="4" w:space="0" w:color="ADD6EA"/>
              <w:left w:val="nil"/>
              <w:bottom w:val="nil"/>
              <w:right w:val="nil"/>
            </w:tcBorders>
            <w:shd w:val="clear" w:color="000000" w:fill="FFFFFF"/>
            <w:noWrap/>
            <w:vAlign w:val="center"/>
            <w:hideMark/>
          </w:tcPr>
          <w:p w14:paraId="251EA262"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146</w:t>
            </w:r>
          </w:p>
        </w:tc>
        <w:tc>
          <w:tcPr>
            <w:tcW w:w="720" w:type="dxa"/>
            <w:tcBorders>
              <w:top w:val="single" w:sz="4" w:space="0" w:color="ADD6EA"/>
              <w:left w:val="nil"/>
              <w:bottom w:val="nil"/>
              <w:right w:val="nil"/>
            </w:tcBorders>
            <w:shd w:val="clear" w:color="000000" w:fill="FFFFFF"/>
            <w:noWrap/>
            <w:vAlign w:val="center"/>
            <w:hideMark/>
          </w:tcPr>
          <w:p w14:paraId="234859DA"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124</w:t>
            </w:r>
          </w:p>
        </w:tc>
        <w:tc>
          <w:tcPr>
            <w:tcW w:w="720" w:type="dxa"/>
            <w:tcBorders>
              <w:top w:val="single" w:sz="4" w:space="0" w:color="ADD6EA"/>
              <w:left w:val="nil"/>
              <w:bottom w:val="nil"/>
              <w:right w:val="nil"/>
            </w:tcBorders>
            <w:shd w:val="clear" w:color="000000" w:fill="FFFFFF"/>
            <w:noWrap/>
            <w:vAlign w:val="center"/>
            <w:hideMark/>
          </w:tcPr>
          <w:p w14:paraId="29ABC847"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61</w:t>
            </w:r>
          </w:p>
        </w:tc>
        <w:tc>
          <w:tcPr>
            <w:tcW w:w="720" w:type="dxa"/>
            <w:tcBorders>
              <w:top w:val="single" w:sz="4" w:space="0" w:color="ADD6EA"/>
              <w:left w:val="nil"/>
              <w:bottom w:val="nil"/>
              <w:right w:val="nil"/>
            </w:tcBorders>
            <w:shd w:val="clear" w:color="000000" w:fill="FFFFFF"/>
            <w:noWrap/>
            <w:vAlign w:val="center"/>
            <w:hideMark/>
          </w:tcPr>
          <w:p w14:paraId="3E2F1B98"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4,938</w:t>
            </w:r>
          </w:p>
        </w:tc>
      </w:tr>
      <w:tr w:rsidR="002432AE" w:rsidRPr="002432AE" w14:paraId="2FE9A988" w14:textId="77777777" w:rsidTr="002432AE">
        <w:trPr>
          <w:trHeight w:val="315"/>
        </w:trPr>
        <w:tc>
          <w:tcPr>
            <w:tcW w:w="2460" w:type="dxa"/>
            <w:tcBorders>
              <w:top w:val="single" w:sz="4" w:space="0" w:color="ADD6EA"/>
              <w:left w:val="nil"/>
              <w:bottom w:val="nil"/>
              <w:right w:val="nil"/>
            </w:tcBorders>
            <w:shd w:val="clear" w:color="000000" w:fill="D6E7F0"/>
            <w:vAlign w:val="center"/>
            <w:hideMark/>
          </w:tcPr>
          <w:p w14:paraId="7CA445B8" w14:textId="77777777" w:rsidR="002432AE" w:rsidRPr="002432AE" w:rsidRDefault="002432AE" w:rsidP="002432AE">
            <w:pPr>
              <w:tabs>
                <w:tab w:val="clear" w:pos="567"/>
              </w:tabs>
              <w:spacing w:before="0" w:line="240" w:lineRule="auto"/>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 xml:space="preserve">    Total</w:t>
            </w:r>
          </w:p>
        </w:tc>
        <w:tc>
          <w:tcPr>
            <w:tcW w:w="720" w:type="dxa"/>
            <w:tcBorders>
              <w:top w:val="single" w:sz="4" w:space="0" w:color="ADD6EA"/>
              <w:left w:val="nil"/>
              <w:bottom w:val="nil"/>
              <w:right w:val="nil"/>
            </w:tcBorders>
            <w:shd w:val="clear" w:color="000000" w:fill="D6E7F0"/>
            <w:noWrap/>
            <w:vAlign w:val="center"/>
            <w:hideMark/>
          </w:tcPr>
          <w:p w14:paraId="45138C98"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27,716</w:t>
            </w:r>
          </w:p>
        </w:tc>
        <w:tc>
          <w:tcPr>
            <w:tcW w:w="720" w:type="dxa"/>
            <w:tcBorders>
              <w:top w:val="single" w:sz="4" w:space="0" w:color="ADD6EA"/>
              <w:left w:val="nil"/>
              <w:bottom w:val="nil"/>
              <w:right w:val="nil"/>
            </w:tcBorders>
            <w:shd w:val="clear" w:color="000000" w:fill="D6E7F0"/>
            <w:noWrap/>
            <w:vAlign w:val="center"/>
            <w:hideMark/>
          </w:tcPr>
          <w:p w14:paraId="1A057AAA"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27,988</w:t>
            </w:r>
          </w:p>
        </w:tc>
        <w:tc>
          <w:tcPr>
            <w:tcW w:w="720" w:type="dxa"/>
            <w:tcBorders>
              <w:top w:val="single" w:sz="4" w:space="0" w:color="ADD6EA"/>
              <w:left w:val="nil"/>
              <w:bottom w:val="nil"/>
              <w:right w:val="nil"/>
            </w:tcBorders>
            <w:shd w:val="clear" w:color="000000" w:fill="D6E7F0"/>
            <w:noWrap/>
            <w:vAlign w:val="center"/>
            <w:hideMark/>
          </w:tcPr>
          <w:p w14:paraId="5F3F7E42"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16,608</w:t>
            </w:r>
          </w:p>
        </w:tc>
        <w:tc>
          <w:tcPr>
            <w:tcW w:w="720" w:type="dxa"/>
            <w:tcBorders>
              <w:top w:val="single" w:sz="4" w:space="0" w:color="ADD6EA"/>
              <w:left w:val="nil"/>
              <w:bottom w:val="nil"/>
              <w:right w:val="nil"/>
            </w:tcBorders>
            <w:shd w:val="clear" w:color="000000" w:fill="D6E7F0"/>
            <w:noWrap/>
            <w:vAlign w:val="center"/>
            <w:hideMark/>
          </w:tcPr>
          <w:p w14:paraId="21DB9427"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7,830</w:t>
            </w:r>
          </w:p>
        </w:tc>
        <w:tc>
          <w:tcPr>
            <w:tcW w:w="720" w:type="dxa"/>
            <w:tcBorders>
              <w:top w:val="single" w:sz="4" w:space="0" w:color="ADD6EA"/>
              <w:left w:val="nil"/>
              <w:bottom w:val="nil"/>
              <w:right w:val="nil"/>
            </w:tcBorders>
            <w:shd w:val="clear" w:color="000000" w:fill="D6E7F0"/>
            <w:noWrap/>
            <w:vAlign w:val="center"/>
            <w:hideMark/>
          </w:tcPr>
          <w:p w14:paraId="7FCF5E67"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9,518</w:t>
            </w:r>
          </w:p>
        </w:tc>
        <w:tc>
          <w:tcPr>
            <w:tcW w:w="720" w:type="dxa"/>
            <w:tcBorders>
              <w:top w:val="single" w:sz="4" w:space="0" w:color="ADD6EA"/>
              <w:left w:val="nil"/>
              <w:bottom w:val="nil"/>
              <w:right w:val="nil"/>
            </w:tcBorders>
            <w:shd w:val="clear" w:color="000000" w:fill="D6E7F0"/>
            <w:noWrap/>
            <w:vAlign w:val="center"/>
            <w:hideMark/>
          </w:tcPr>
          <w:p w14:paraId="51658523"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3,781</w:t>
            </w:r>
          </w:p>
        </w:tc>
        <w:tc>
          <w:tcPr>
            <w:tcW w:w="720" w:type="dxa"/>
            <w:tcBorders>
              <w:top w:val="single" w:sz="4" w:space="0" w:color="ADD6EA"/>
              <w:left w:val="nil"/>
              <w:bottom w:val="nil"/>
              <w:right w:val="nil"/>
            </w:tcBorders>
            <w:shd w:val="clear" w:color="000000" w:fill="D6E7F0"/>
            <w:noWrap/>
            <w:vAlign w:val="center"/>
            <w:hideMark/>
          </w:tcPr>
          <w:p w14:paraId="3EB162F6"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2,058</w:t>
            </w:r>
          </w:p>
        </w:tc>
        <w:tc>
          <w:tcPr>
            <w:tcW w:w="720" w:type="dxa"/>
            <w:tcBorders>
              <w:top w:val="single" w:sz="4" w:space="0" w:color="ADD6EA"/>
              <w:left w:val="nil"/>
              <w:bottom w:val="nil"/>
              <w:right w:val="nil"/>
            </w:tcBorders>
            <w:shd w:val="clear" w:color="000000" w:fill="D6E7F0"/>
            <w:noWrap/>
            <w:vAlign w:val="center"/>
            <w:hideMark/>
          </w:tcPr>
          <w:p w14:paraId="362E49A4"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4,588</w:t>
            </w:r>
          </w:p>
        </w:tc>
        <w:tc>
          <w:tcPr>
            <w:tcW w:w="720" w:type="dxa"/>
            <w:tcBorders>
              <w:top w:val="single" w:sz="4" w:space="0" w:color="ADD6EA"/>
              <w:left w:val="nil"/>
              <w:bottom w:val="nil"/>
              <w:right w:val="nil"/>
            </w:tcBorders>
            <w:shd w:val="clear" w:color="000000" w:fill="D6E7F0"/>
            <w:noWrap/>
            <w:vAlign w:val="center"/>
            <w:hideMark/>
          </w:tcPr>
          <w:p w14:paraId="28CBDCFD"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100,088</w:t>
            </w:r>
          </w:p>
        </w:tc>
      </w:tr>
      <w:tr w:rsidR="002432AE" w:rsidRPr="002432AE" w14:paraId="09609FAD" w14:textId="77777777" w:rsidTr="002432AE">
        <w:trPr>
          <w:trHeight w:val="315"/>
        </w:trPr>
        <w:tc>
          <w:tcPr>
            <w:tcW w:w="2460" w:type="dxa"/>
            <w:tcBorders>
              <w:top w:val="single" w:sz="4" w:space="0" w:color="ADD6EA"/>
              <w:left w:val="nil"/>
              <w:bottom w:val="nil"/>
              <w:right w:val="nil"/>
            </w:tcBorders>
            <w:shd w:val="clear" w:color="000000" w:fill="FFFFFF"/>
            <w:vAlign w:val="center"/>
            <w:hideMark/>
          </w:tcPr>
          <w:p w14:paraId="32199528" w14:textId="77777777" w:rsidR="002432AE" w:rsidRPr="002432AE" w:rsidRDefault="002432AE" w:rsidP="002432AE">
            <w:pPr>
              <w:tabs>
                <w:tab w:val="clear" w:pos="567"/>
              </w:tabs>
              <w:spacing w:before="0" w:line="240" w:lineRule="auto"/>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xml:space="preserve">Difference </w:t>
            </w:r>
          </w:p>
        </w:tc>
        <w:tc>
          <w:tcPr>
            <w:tcW w:w="720" w:type="dxa"/>
            <w:tcBorders>
              <w:top w:val="single" w:sz="4" w:space="0" w:color="ADD6EA"/>
              <w:left w:val="nil"/>
              <w:bottom w:val="nil"/>
              <w:right w:val="nil"/>
            </w:tcBorders>
            <w:shd w:val="clear" w:color="000000" w:fill="FFFFFF"/>
            <w:vAlign w:val="center"/>
            <w:hideMark/>
          </w:tcPr>
          <w:p w14:paraId="1A7BF5B4"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208DA986"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75AD36D1"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111CF886"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1F76E541"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2F45A769"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1E3434D9"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53DC2A2B"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center"/>
            <w:hideMark/>
          </w:tcPr>
          <w:p w14:paraId="404A9C72"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 </w:t>
            </w:r>
          </w:p>
        </w:tc>
      </w:tr>
      <w:tr w:rsidR="002432AE" w:rsidRPr="002432AE" w14:paraId="3C858477" w14:textId="77777777" w:rsidTr="002432AE">
        <w:trPr>
          <w:trHeight w:val="315"/>
        </w:trPr>
        <w:tc>
          <w:tcPr>
            <w:tcW w:w="2460" w:type="dxa"/>
            <w:tcBorders>
              <w:top w:val="single" w:sz="4" w:space="0" w:color="ADD6EA"/>
              <w:left w:val="nil"/>
              <w:bottom w:val="nil"/>
              <w:right w:val="nil"/>
            </w:tcBorders>
            <w:shd w:val="clear" w:color="000000" w:fill="FFFFFF"/>
            <w:vAlign w:val="center"/>
            <w:hideMark/>
          </w:tcPr>
          <w:p w14:paraId="5ADA76A7" w14:textId="77777777" w:rsidR="002432AE" w:rsidRPr="002432AE" w:rsidRDefault="002432AE" w:rsidP="002432A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GST distribution</w:t>
            </w:r>
          </w:p>
        </w:tc>
        <w:tc>
          <w:tcPr>
            <w:tcW w:w="720" w:type="dxa"/>
            <w:tcBorders>
              <w:top w:val="single" w:sz="4" w:space="0" w:color="ADD6EA"/>
              <w:left w:val="nil"/>
              <w:bottom w:val="nil"/>
              <w:right w:val="nil"/>
            </w:tcBorders>
            <w:shd w:val="clear" w:color="000000" w:fill="FFFFFF"/>
            <w:noWrap/>
            <w:vAlign w:val="center"/>
            <w:hideMark/>
          </w:tcPr>
          <w:p w14:paraId="0A06D776"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942</w:t>
            </w:r>
          </w:p>
        </w:tc>
        <w:tc>
          <w:tcPr>
            <w:tcW w:w="720" w:type="dxa"/>
            <w:tcBorders>
              <w:top w:val="single" w:sz="4" w:space="0" w:color="ADD6EA"/>
              <w:left w:val="nil"/>
              <w:bottom w:val="nil"/>
              <w:right w:val="nil"/>
            </w:tcBorders>
            <w:shd w:val="clear" w:color="000000" w:fill="FFFFFF"/>
            <w:noWrap/>
            <w:vAlign w:val="center"/>
            <w:hideMark/>
          </w:tcPr>
          <w:p w14:paraId="438487D5"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3,657</w:t>
            </w:r>
          </w:p>
        </w:tc>
        <w:tc>
          <w:tcPr>
            <w:tcW w:w="720" w:type="dxa"/>
            <w:tcBorders>
              <w:top w:val="single" w:sz="4" w:space="0" w:color="ADD6EA"/>
              <w:left w:val="nil"/>
              <w:bottom w:val="nil"/>
              <w:right w:val="nil"/>
            </w:tcBorders>
            <w:shd w:val="clear" w:color="000000" w:fill="FFFFFF"/>
            <w:noWrap/>
            <w:vAlign w:val="center"/>
            <w:hideMark/>
          </w:tcPr>
          <w:p w14:paraId="4E5BD889"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-1,189</w:t>
            </w:r>
          </w:p>
        </w:tc>
        <w:tc>
          <w:tcPr>
            <w:tcW w:w="720" w:type="dxa"/>
            <w:tcBorders>
              <w:top w:val="single" w:sz="4" w:space="0" w:color="ADD6EA"/>
              <w:left w:val="nil"/>
              <w:bottom w:val="nil"/>
              <w:right w:val="nil"/>
            </w:tcBorders>
            <w:shd w:val="clear" w:color="000000" w:fill="FFFFFF"/>
            <w:noWrap/>
            <w:vAlign w:val="center"/>
            <w:hideMark/>
          </w:tcPr>
          <w:p w14:paraId="348ED7A9"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395</w:t>
            </w:r>
          </w:p>
        </w:tc>
        <w:tc>
          <w:tcPr>
            <w:tcW w:w="720" w:type="dxa"/>
            <w:tcBorders>
              <w:top w:val="single" w:sz="4" w:space="0" w:color="ADD6EA"/>
              <w:left w:val="nil"/>
              <w:bottom w:val="nil"/>
              <w:right w:val="nil"/>
            </w:tcBorders>
            <w:shd w:val="clear" w:color="000000" w:fill="FFFFFF"/>
            <w:noWrap/>
            <w:vAlign w:val="center"/>
            <w:hideMark/>
          </w:tcPr>
          <w:p w14:paraId="66F44AB4"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279</w:t>
            </w:r>
          </w:p>
        </w:tc>
        <w:tc>
          <w:tcPr>
            <w:tcW w:w="720" w:type="dxa"/>
            <w:tcBorders>
              <w:top w:val="single" w:sz="4" w:space="0" w:color="ADD6EA"/>
              <w:left w:val="nil"/>
              <w:bottom w:val="nil"/>
              <w:right w:val="nil"/>
            </w:tcBorders>
            <w:shd w:val="clear" w:color="000000" w:fill="FFFFFF"/>
            <w:noWrap/>
            <w:vAlign w:val="center"/>
            <w:hideMark/>
          </w:tcPr>
          <w:p w14:paraId="44E2D333"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151</w:t>
            </w:r>
          </w:p>
        </w:tc>
        <w:tc>
          <w:tcPr>
            <w:tcW w:w="720" w:type="dxa"/>
            <w:tcBorders>
              <w:top w:val="single" w:sz="4" w:space="0" w:color="ADD6EA"/>
              <w:left w:val="nil"/>
              <w:bottom w:val="nil"/>
              <w:right w:val="nil"/>
            </w:tcBorders>
            <w:shd w:val="clear" w:color="000000" w:fill="FFFFFF"/>
            <w:noWrap/>
            <w:vAlign w:val="center"/>
            <w:hideMark/>
          </w:tcPr>
          <w:p w14:paraId="4CCD3660"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35</w:t>
            </w:r>
          </w:p>
        </w:tc>
        <w:tc>
          <w:tcPr>
            <w:tcW w:w="720" w:type="dxa"/>
            <w:tcBorders>
              <w:top w:val="single" w:sz="4" w:space="0" w:color="ADD6EA"/>
              <w:left w:val="nil"/>
              <w:bottom w:val="nil"/>
              <w:right w:val="nil"/>
            </w:tcBorders>
            <w:shd w:val="clear" w:color="000000" w:fill="FFFFFF"/>
            <w:noWrap/>
            <w:vAlign w:val="center"/>
            <w:hideMark/>
          </w:tcPr>
          <w:p w14:paraId="77ABDB76"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248</w:t>
            </w:r>
          </w:p>
        </w:tc>
        <w:tc>
          <w:tcPr>
            <w:tcW w:w="720" w:type="dxa"/>
            <w:tcBorders>
              <w:top w:val="single" w:sz="4" w:space="0" w:color="ADD6EA"/>
              <w:left w:val="nil"/>
              <w:bottom w:val="nil"/>
              <w:right w:val="nil"/>
            </w:tcBorders>
            <w:shd w:val="clear" w:color="000000" w:fill="FFFFFF"/>
            <w:noWrap/>
            <w:vAlign w:val="center"/>
            <w:hideMark/>
          </w:tcPr>
          <w:p w14:paraId="170F2EDD"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4,519</w:t>
            </w:r>
          </w:p>
        </w:tc>
      </w:tr>
      <w:tr w:rsidR="002432AE" w:rsidRPr="002432AE" w14:paraId="70DFC1A6" w14:textId="77777777" w:rsidTr="002432AE">
        <w:trPr>
          <w:trHeight w:val="315"/>
        </w:trPr>
        <w:tc>
          <w:tcPr>
            <w:tcW w:w="2460" w:type="dxa"/>
            <w:tcBorders>
              <w:top w:val="single" w:sz="4" w:space="0" w:color="ADD6EA"/>
              <w:left w:val="nil"/>
              <w:bottom w:val="nil"/>
              <w:right w:val="nil"/>
            </w:tcBorders>
            <w:shd w:val="clear" w:color="000000" w:fill="FFFFFF"/>
            <w:vAlign w:val="center"/>
            <w:hideMark/>
          </w:tcPr>
          <w:p w14:paraId="69379B33" w14:textId="77777777" w:rsidR="002432AE" w:rsidRPr="002432AE" w:rsidRDefault="002432AE" w:rsidP="002432AE">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No worse off payments</w:t>
            </w:r>
          </w:p>
        </w:tc>
        <w:tc>
          <w:tcPr>
            <w:tcW w:w="720" w:type="dxa"/>
            <w:tcBorders>
              <w:top w:val="single" w:sz="4" w:space="0" w:color="ADD6EA"/>
              <w:left w:val="nil"/>
              <w:bottom w:val="nil"/>
              <w:right w:val="nil"/>
            </w:tcBorders>
            <w:shd w:val="clear" w:color="000000" w:fill="FFFFFF"/>
            <w:noWrap/>
            <w:vAlign w:val="center"/>
            <w:hideMark/>
          </w:tcPr>
          <w:p w14:paraId="1549E8CB"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355</w:t>
            </w:r>
          </w:p>
        </w:tc>
        <w:tc>
          <w:tcPr>
            <w:tcW w:w="720" w:type="dxa"/>
            <w:tcBorders>
              <w:top w:val="single" w:sz="4" w:space="0" w:color="ADD6EA"/>
              <w:left w:val="nil"/>
              <w:bottom w:val="nil"/>
              <w:right w:val="nil"/>
            </w:tcBorders>
            <w:shd w:val="clear" w:color="000000" w:fill="FFFFFF"/>
            <w:noWrap/>
            <w:vAlign w:val="center"/>
            <w:hideMark/>
          </w:tcPr>
          <w:p w14:paraId="4F74717D"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290</w:t>
            </w:r>
          </w:p>
        </w:tc>
        <w:tc>
          <w:tcPr>
            <w:tcW w:w="720" w:type="dxa"/>
            <w:tcBorders>
              <w:top w:val="single" w:sz="4" w:space="0" w:color="ADD6EA"/>
              <w:left w:val="nil"/>
              <w:bottom w:val="nil"/>
              <w:right w:val="nil"/>
            </w:tcBorders>
            <w:shd w:val="clear" w:color="000000" w:fill="FFFFFF"/>
            <w:noWrap/>
            <w:vAlign w:val="center"/>
            <w:hideMark/>
          </w:tcPr>
          <w:p w14:paraId="413295A9"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-1,181</w:t>
            </w:r>
          </w:p>
        </w:tc>
        <w:tc>
          <w:tcPr>
            <w:tcW w:w="720" w:type="dxa"/>
            <w:tcBorders>
              <w:top w:val="single" w:sz="4" w:space="0" w:color="ADD6EA"/>
              <w:left w:val="nil"/>
              <w:bottom w:val="nil"/>
              <w:right w:val="nil"/>
            </w:tcBorders>
            <w:shd w:val="clear" w:color="000000" w:fill="FFFFFF"/>
            <w:noWrap/>
            <w:vAlign w:val="center"/>
            <w:hideMark/>
          </w:tcPr>
          <w:p w14:paraId="4CA458A6"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0</w:t>
            </w:r>
          </w:p>
        </w:tc>
        <w:tc>
          <w:tcPr>
            <w:tcW w:w="720" w:type="dxa"/>
            <w:tcBorders>
              <w:top w:val="single" w:sz="4" w:space="0" w:color="ADD6EA"/>
              <w:left w:val="nil"/>
              <w:bottom w:val="nil"/>
              <w:right w:val="nil"/>
            </w:tcBorders>
            <w:shd w:val="clear" w:color="000000" w:fill="FFFFFF"/>
            <w:noWrap/>
            <w:vAlign w:val="center"/>
            <w:hideMark/>
          </w:tcPr>
          <w:p w14:paraId="57E9B37E"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81</w:t>
            </w:r>
          </w:p>
        </w:tc>
        <w:tc>
          <w:tcPr>
            <w:tcW w:w="720" w:type="dxa"/>
            <w:tcBorders>
              <w:top w:val="single" w:sz="4" w:space="0" w:color="ADD6EA"/>
              <w:left w:val="nil"/>
              <w:bottom w:val="nil"/>
              <w:right w:val="nil"/>
            </w:tcBorders>
            <w:shd w:val="clear" w:color="000000" w:fill="FFFFFF"/>
            <w:noWrap/>
            <w:vAlign w:val="center"/>
            <w:hideMark/>
          </w:tcPr>
          <w:p w14:paraId="3B97C4C9"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26</w:t>
            </w:r>
          </w:p>
        </w:tc>
        <w:tc>
          <w:tcPr>
            <w:tcW w:w="720" w:type="dxa"/>
            <w:tcBorders>
              <w:top w:val="single" w:sz="4" w:space="0" w:color="ADD6EA"/>
              <w:left w:val="nil"/>
              <w:bottom w:val="nil"/>
              <w:right w:val="nil"/>
            </w:tcBorders>
            <w:shd w:val="clear" w:color="000000" w:fill="FFFFFF"/>
            <w:noWrap/>
            <w:vAlign w:val="center"/>
            <w:hideMark/>
          </w:tcPr>
          <w:p w14:paraId="48652EF5"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21</w:t>
            </w:r>
          </w:p>
        </w:tc>
        <w:tc>
          <w:tcPr>
            <w:tcW w:w="720" w:type="dxa"/>
            <w:tcBorders>
              <w:top w:val="single" w:sz="4" w:space="0" w:color="ADD6EA"/>
              <w:left w:val="nil"/>
              <w:bottom w:val="nil"/>
              <w:right w:val="nil"/>
            </w:tcBorders>
            <w:shd w:val="clear" w:color="000000" w:fill="FFFFFF"/>
            <w:noWrap/>
            <w:vAlign w:val="center"/>
            <w:hideMark/>
          </w:tcPr>
          <w:p w14:paraId="6CC741F8"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18</w:t>
            </w:r>
          </w:p>
        </w:tc>
        <w:tc>
          <w:tcPr>
            <w:tcW w:w="720" w:type="dxa"/>
            <w:tcBorders>
              <w:top w:val="single" w:sz="4" w:space="0" w:color="ADD6EA"/>
              <w:left w:val="nil"/>
              <w:bottom w:val="nil"/>
              <w:right w:val="nil"/>
            </w:tcBorders>
            <w:shd w:val="clear" w:color="000000" w:fill="FFFFFF"/>
            <w:noWrap/>
            <w:vAlign w:val="center"/>
            <w:hideMark/>
          </w:tcPr>
          <w:p w14:paraId="333AC68C" w14:textId="77777777" w:rsidR="002432AE" w:rsidRPr="002432AE" w:rsidRDefault="002432AE" w:rsidP="002432AE">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2432AE">
              <w:rPr>
                <w:rFonts w:ascii="Open Sans Light" w:eastAsia="Times New Roman" w:hAnsi="Open Sans Light" w:cs="Open Sans Light"/>
                <w:color w:val="000000"/>
                <w:sz w:val="16"/>
                <w:szCs w:val="16"/>
                <w:lang w:eastAsia="en-AU"/>
              </w:rPr>
              <w:t>-391</w:t>
            </w:r>
          </w:p>
        </w:tc>
      </w:tr>
      <w:tr w:rsidR="002432AE" w:rsidRPr="002432AE" w14:paraId="01F64C2F" w14:textId="77777777" w:rsidTr="002432AE">
        <w:trPr>
          <w:trHeight w:val="315"/>
        </w:trPr>
        <w:tc>
          <w:tcPr>
            <w:tcW w:w="2460" w:type="dxa"/>
            <w:tcBorders>
              <w:top w:val="single" w:sz="4" w:space="0" w:color="ADD6EA"/>
              <w:left w:val="nil"/>
              <w:bottom w:val="single" w:sz="4" w:space="0" w:color="ADD6EA"/>
              <w:right w:val="nil"/>
            </w:tcBorders>
            <w:shd w:val="clear" w:color="000000" w:fill="D6E7F0"/>
            <w:vAlign w:val="center"/>
            <w:hideMark/>
          </w:tcPr>
          <w:p w14:paraId="5314E082" w14:textId="77777777" w:rsidR="002432AE" w:rsidRPr="002432AE" w:rsidRDefault="002432AE" w:rsidP="002432AE">
            <w:pPr>
              <w:tabs>
                <w:tab w:val="clear" w:pos="567"/>
              </w:tabs>
              <w:spacing w:before="0" w:line="240" w:lineRule="auto"/>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 xml:space="preserve">    Total ($m)</w:t>
            </w:r>
          </w:p>
        </w:tc>
        <w:tc>
          <w:tcPr>
            <w:tcW w:w="720" w:type="dxa"/>
            <w:tcBorders>
              <w:top w:val="single" w:sz="4" w:space="0" w:color="ADD6EA"/>
              <w:left w:val="nil"/>
              <w:bottom w:val="single" w:sz="4" w:space="0" w:color="ADD6EA"/>
              <w:right w:val="nil"/>
            </w:tcBorders>
            <w:shd w:val="clear" w:color="000000" w:fill="D6E7F0"/>
            <w:noWrap/>
            <w:vAlign w:val="center"/>
            <w:hideMark/>
          </w:tcPr>
          <w:p w14:paraId="62F5C7F2"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1,297</w:t>
            </w:r>
          </w:p>
        </w:tc>
        <w:tc>
          <w:tcPr>
            <w:tcW w:w="720" w:type="dxa"/>
            <w:tcBorders>
              <w:top w:val="single" w:sz="4" w:space="0" w:color="ADD6EA"/>
              <w:left w:val="nil"/>
              <w:bottom w:val="single" w:sz="4" w:space="0" w:color="ADD6EA"/>
              <w:right w:val="nil"/>
            </w:tcBorders>
            <w:shd w:val="clear" w:color="000000" w:fill="D6E7F0"/>
            <w:noWrap/>
            <w:vAlign w:val="center"/>
            <w:hideMark/>
          </w:tcPr>
          <w:p w14:paraId="0A047E43"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3,946</w:t>
            </w:r>
          </w:p>
        </w:tc>
        <w:tc>
          <w:tcPr>
            <w:tcW w:w="720" w:type="dxa"/>
            <w:tcBorders>
              <w:top w:val="single" w:sz="4" w:space="0" w:color="ADD6EA"/>
              <w:left w:val="nil"/>
              <w:bottom w:val="single" w:sz="4" w:space="0" w:color="ADD6EA"/>
              <w:right w:val="nil"/>
            </w:tcBorders>
            <w:shd w:val="clear" w:color="000000" w:fill="D6E7F0"/>
            <w:noWrap/>
            <w:vAlign w:val="center"/>
            <w:hideMark/>
          </w:tcPr>
          <w:p w14:paraId="696C80AB"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-2,371</w:t>
            </w:r>
          </w:p>
        </w:tc>
        <w:tc>
          <w:tcPr>
            <w:tcW w:w="720" w:type="dxa"/>
            <w:tcBorders>
              <w:top w:val="single" w:sz="4" w:space="0" w:color="ADD6EA"/>
              <w:left w:val="nil"/>
              <w:bottom w:val="single" w:sz="4" w:space="0" w:color="ADD6EA"/>
              <w:right w:val="nil"/>
            </w:tcBorders>
            <w:shd w:val="clear" w:color="000000" w:fill="D6E7F0"/>
            <w:noWrap/>
            <w:vAlign w:val="center"/>
            <w:hideMark/>
          </w:tcPr>
          <w:p w14:paraId="02910009"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395</w:t>
            </w:r>
          </w:p>
        </w:tc>
        <w:tc>
          <w:tcPr>
            <w:tcW w:w="720" w:type="dxa"/>
            <w:tcBorders>
              <w:top w:val="single" w:sz="4" w:space="0" w:color="ADD6EA"/>
              <w:left w:val="nil"/>
              <w:bottom w:val="single" w:sz="4" w:space="0" w:color="ADD6EA"/>
              <w:right w:val="nil"/>
            </w:tcBorders>
            <w:shd w:val="clear" w:color="000000" w:fill="D6E7F0"/>
            <w:noWrap/>
            <w:vAlign w:val="center"/>
            <w:hideMark/>
          </w:tcPr>
          <w:p w14:paraId="0FBAF991"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361</w:t>
            </w:r>
          </w:p>
        </w:tc>
        <w:tc>
          <w:tcPr>
            <w:tcW w:w="720" w:type="dxa"/>
            <w:tcBorders>
              <w:top w:val="single" w:sz="4" w:space="0" w:color="ADD6EA"/>
              <w:left w:val="nil"/>
              <w:bottom w:val="single" w:sz="4" w:space="0" w:color="ADD6EA"/>
              <w:right w:val="nil"/>
            </w:tcBorders>
            <w:shd w:val="clear" w:color="000000" w:fill="D6E7F0"/>
            <w:noWrap/>
            <w:vAlign w:val="center"/>
            <w:hideMark/>
          </w:tcPr>
          <w:p w14:paraId="1304EE2C"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177</w:t>
            </w:r>
          </w:p>
        </w:tc>
        <w:tc>
          <w:tcPr>
            <w:tcW w:w="720" w:type="dxa"/>
            <w:tcBorders>
              <w:top w:val="single" w:sz="4" w:space="0" w:color="ADD6EA"/>
              <w:left w:val="nil"/>
              <w:bottom w:val="single" w:sz="4" w:space="0" w:color="ADD6EA"/>
              <w:right w:val="nil"/>
            </w:tcBorders>
            <w:shd w:val="clear" w:color="000000" w:fill="D6E7F0"/>
            <w:noWrap/>
            <w:vAlign w:val="center"/>
            <w:hideMark/>
          </w:tcPr>
          <w:p w14:paraId="3F31C4D5"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56</w:t>
            </w:r>
          </w:p>
        </w:tc>
        <w:tc>
          <w:tcPr>
            <w:tcW w:w="720" w:type="dxa"/>
            <w:tcBorders>
              <w:top w:val="single" w:sz="4" w:space="0" w:color="ADD6EA"/>
              <w:left w:val="nil"/>
              <w:bottom w:val="single" w:sz="4" w:space="0" w:color="ADD6EA"/>
              <w:right w:val="nil"/>
            </w:tcBorders>
            <w:shd w:val="clear" w:color="000000" w:fill="D6E7F0"/>
            <w:noWrap/>
            <w:vAlign w:val="center"/>
            <w:hideMark/>
          </w:tcPr>
          <w:p w14:paraId="7358F7B7"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267</w:t>
            </w:r>
          </w:p>
        </w:tc>
        <w:tc>
          <w:tcPr>
            <w:tcW w:w="720" w:type="dxa"/>
            <w:tcBorders>
              <w:top w:val="single" w:sz="4" w:space="0" w:color="ADD6EA"/>
              <w:left w:val="nil"/>
              <w:bottom w:val="single" w:sz="4" w:space="0" w:color="ADD6EA"/>
              <w:right w:val="nil"/>
            </w:tcBorders>
            <w:shd w:val="clear" w:color="000000" w:fill="D6E7F0"/>
            <w:noWrap/>
            <w:vAlign w:val="center"/>
            <w:hideMark/>
          </w:tcPr>
          <w:p w14:paraId="37242D9A"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4,128</w:t>
            </w:r>
          </w:p>
        </w:tc>
      </w:tr>
      <w:tr w:rsidR="002432AE" w:rsidRPr="002432AE" w14:paraId="14864942" w14:textId="77777777" w:rsidTr="002432AE">
        <w:trPr>
          <w:trHeight w:val="315"/>
        </w:trPr>
        <w:tc>
          <w:tcPr>
            <w:tcW w:w="2460" w:type="dxa"/>
            <w:tcBorders>
              <w:top w:val="nil"/>
              <w:left w:val="nil"/>
              <w:bottom w:val="single" w:sz="4" w:space="0" w:color="ADD6EA"/>
              <w:right w:val="nil"/>
            </w:tcBorders>
            <w:shd w:val="clear" w:color="000000" w:fill="D6E7F0"/>
            <w:vAlign w:val="center"/>
            <w:hideMark/>
          </w:tcPr>
          <w:p w14:paraId="60D55561" w14:textId="77777777" w:rsidR="002432AE" w:rsidRPr="002432AE" w:rsidRDefault="002432AE" w:rsidP="002432AE">
            <w:pPr>
              <w:tabs>
                <w:tab w:val="clear" w:pos="567"/>
              </w:tabs>
              <w:spacing w:before="0" w:line="240" w:lineRule="auto"/>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 xml:space="preserve">    Total ($pc)</w:t>
            </w:r>
          </w:p>
        </w:tc>
        <w:tc>
          <w:tcPr>
            <w:tcW w:w="720" w:type="dxa"/>
            <w:tcBorders>
              <w:top w:val="nil"/>
              <w:left w:val="nil"/>
              <w:bottom w:val="single" w:sz="4" w:space="0" w:color="ADD6EA"/>
              <w:right w:val="nil"/>
            </w:tcBorders>
            <w:shd w:val="clear" w:color="000000" w:fill="D6E7F0"/>
            <w:noWrap/>
            <w:vAlign w:val="center"/>
            <w:hideMark/>
          </w:tcPr>
          <w:p w14:paraId="73394DD1"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150</w:t>
            </w:r>
          </w:p>
        </w:tc>
        <w:tc>
          <w:tcPr>
            <w:tcW w:w="720" w:type="dxa"/>
            <w:tcBorders>
              <w:top w:val="nil"/>
              <w:left w:val="nil"/>
              <w:bottom w:val="single" w:sz="4" w:space="0" w:color="ADD6EA"/>
              <w:right w:val="nil"/>
            </w:tcBorders>
            <w:shd w:val="clear" w:color="000000" w:fill="D6E7F0"/>
            <w:noWrap/>
            <w:vAlign w:val="center"/>
            <w:hideMark/>
          </w:tcPr>
          <w:p w14:paraId="786B4B20"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550</w:t>
            </w:r>
          </w:p>
        </w:tc>
        <w:tc>
          <w:tcPr>
            <w:tcW w:w="720" w:type="dxa"/>
            <w:tcBorders>
              <w:top w:val="nil"/>
              <w:left w:val="nil"/>
              <w:bottom w:val="single" w:sz="4" w:space="0" w:color="ADD6EA"/>
              <w:right w:val="nil"/>
            </w:tcBorders>
            <w:shd w:val="clear" w:color="000000" w:fill="D6E7F0"/>
            <w:noWrap/>
            <w:vAlign w:val="center"/>
            <w:hideMark/>
          </w:tcPr>
          <w:p w14:paraId="472E02BC"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-414</w:t>
            </w:r>
          </w:p>
        </w:tc>
        <w:tc>
          <w:tcPr>
            <w:tcW w:w="720" w:type="dxa"/>
            <w:tcBorders>
              <w:top w:val="nil"/>
              <w:left w:val="nil"/>
              <w:bottom w:val="single" w:sz="4" w:space="0" w:color="ADD6EA"/>
              <w:right w:val="nil"/>
            </w:tcBorders>
            <w:shd w:val="clear" w:color="000000" w:fill="D6E7F0"/>
            <w:noWrap/>
            <w:vAlign w:val="center"/>
            <w:hideMark/>
          </w:tcPr>
          <w:p w14:paraId="4B2BC6BB"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129</w:t>
            </w:r>
          </w:p>
        </w:tc>
        <w:tc>
          <w:tcPr>
            <w:tcW w:w="720" w:type="dxa"/>
            <w:tcBorders>
              <w:top w:val="nil"/>
              <w:left w:val="nil"/>
              <w:bottom w:val="single" w:sz="4" w:space="0" w:color="ADD6EA"/>
              <w:right w:val="nil"/>
            </w:tcBorders>
            <w:shd w:val="clear" w:color="000000" w:fill="D6E7F0"/>
            <w:noWrap/>
            <w:vAlign w:val="center"/>
            <w:hideMark/>
          </w:tcPr>
          <w:p w14:paraId="6973C501"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190</w:t>
            </w:r>
          </w:p>
        </w:tc>
        <w:tc>
          <w:tcPr>
            <w:tcW w:w="720" w:type="dxa"/>
            <w:tcBorders>
              <w:top w:val="nil"/>
              <w:left w:val="nil"/>
              <w:bottom w:val="single" w:sz="4" w:space="0" w:color="ADD6EA"/>
              <w:right w:val="nil"/>
            </w:tcBorders>
            <w:shd w:val="clear" w:color="000000" w:fill="D6E7F0"/>
            <w:noWrap/>
            <w:vAlign w:val="center"/>
            <w:hideMark/>
          </w:tcPr>
          <w:p w14:paraId="1959A5BC"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306</w:t>
            </w:r>
          </w:p>
        </w:tc>
        <w:tc>
          <w:tcPr>
            <w:tcW w:w="720" w:type="dxa"/>
            <w:tcBorders>
              <w:top w:val="nil"/>
              <w:left w:val="nil"/>
              <w:bottom w:val="single" w:sz="4" w:space="0" w:color="ADD6EA"/>
              <w:right w:val="nil"/>
            </w:tcBorders>
            <w:shd w:val="clear" w:color="000000" w:fill="D6E7F0"/>
            <w:noWrap/>
            <w:vAlign w:val="center"/>
            <w:hideMark/>
          </w:tcPr>
          <w:p w14:paraId="1F37E621"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116</w:t>
            </w:r>
          </w:p>
        </w:tc>
        <w:tc>
          <w:tcPr>
            <w:tcW w:w="720" w:type="dxa"/>
            <w:tcBorders>
              <w:top w:val="nil"/>
              <w:left w:val="nil"/>
              <w:bottom w:val="single" w:sz="4" w:space="0" w:color="ADD6EA"/>
              <w:right w:val="nil"/>
            </w:tcBorders>
            <w:shd w:val="clear" w:color="000000" w:fill="D6E7F0"/>
            <w:noWrap/>
            <w:vAlign w:val="center"/>
            <w:hideMark/>
          </w:tcPr>
          <w:p w14:paraId="3E8448BE"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1,037</w:t>
            </w:r>
          </w:p>
        </w:tc>
        <w:tc>
          <w:tcPr>
            <w:tcW w:w="720" w:type="dxa"/>
            <w:tcBorders>
              <w:top w:val="nil"/>
              <w:left w:val="nil"/>
              <w:bottom w:val="single" w:sz="4" w:space="0" w:color="ADD6EA"/>
              <w:right w:val="nil"/>
            </w:tcBorders>
            <w:shd w:val="clear" w:color="000000" w:fill="D6E7F0"/>
            <w:noWrap/>
            <w:vAlign w:val="center"/>
            <w:hideMark/>
          </w:tcPr>
          <w:p w14:paraId="73E7892C" w14:textId="77777777" w:rsidR="002432AE" w:rsidRPr="002432AE" w:rsidRDefault="002432AE" w:rsidP="002432AE">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432AE">
              <w:rPr>
                <w:rFonts w:ascii="Open Sans Semibold" w:eastAsia="Times New Roman" w:hAnsi="Open Sans Semibold" w:cs="Open Sans Semibold"/>
                <w:color w:val="000000"/>
                <w:sz w:val="16"/>
                <w:szCs w:val="16"/>
                <w:lang w:eastAsia="en-AU"/>
              </w:rPr>
              <w:t>148</w:t>
            </w:r>
          </w:p>
        </w:tc>
      </w:tr>
    </w:tbl>
    <w:p w14:paraId="617D1DC8" w14:textId="7D7F7835" w:rsidR="00536F15" w:rsidRDefault="00536F15">
      <w:pPr>
        <w:tabs>
          <w:tab w:val="clear" w:pos="567"/>
        </w:tabs>
        <w:spacing w:before="0" w:after="200" w:line="276" w:lineRule="auto"/>
      </w:pPr>
      <w:r>
        <w:br w:type="page"/>
      </w:r>
    </w:p>
    <w:p w14:paraId="28BA8763" w14:textId="3667D673" w:rsidR="00AC4BC9" w:rsidRPr="00CB4080" w:rsidRDefault="00AC4BC9" w:rsidP="00AC4BC9">
      <w:pPr>
        <w:pStyle w:val="Heading1"/>
      </w:pPr>
      <w:bookmarkStart w:id="98" w:name="_Toc190781291"/>
      <w:bookmarkStart w:id="99" w:name="_Toc190781847"/>
      <w:r>
        <w:lastRenderedPageBreak/>
        <w:t>2.</w:t>
      </w:r>
      <w:r w:rsidRPr="00CB4080">
        <w:t xml:space="preserve"> Drivers of GST distribution</w:t>
      </w:r>
      <w:bookmarkEnd w:id="98"/>
      <w:bookmarkEnd w:id="99"/>
      <w:r w:rsidRPr="00CB4080">
        <w:t xml:space="preserve"> </w:t>
      </w:r>
    </w:p>
    <w:p w14:paraId="1343F776" w14:textId="489ADB42" w:rsidR="008648C5" w:rsidRDefault="00AC4BC9">
      <w:pPr>
        <w:tabs>
          <w:tab w:val="clear" w:pos="567"/>
        </w:tabs>
        <w:spacing w:before="0" w:after="200" w:line="276" w:lineRule="auto"/>
      </w:pPr>
      <w:r w:rsidRPr="00CB4080">
        <w:rPr>
          <w:noProof/>
        </w:rPr>
        <mc:AlternateContent>
          <mc:Choice Requires="wps">
            <w:drawing>
              <wp:anchor distT="45720" distB="45720" distL="114300" distR="114300" simplePos="0" relativeHeight="251658254" behindDoc="1" locked="0" layoutInCell="1" allowOverlap="1" wp14:anchorId="16E89AE3" wp14:editId="2AA0DE5E">
                <wp:simplePos x="0" y="0"/>
                <wp:positionH relativeFrom="margin">
                  <wp:align>left</wp:align>
                </wp:positionH>
                <wp:positionV relativeFrom="topMargin">
                  <wp:posOffset>1336040</wp:posOffset>
                </wp:positionV>
                <wp:extent cx="5853600" cy="4561200"/>
                <wp:effectExtent l="0" t="0" r="13970" b="11430"/>
                <wp:wrapNone/>
                <wp:docPr id="1759370897" name="Text Box 1759370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600" cy="4561200"/>
                        </a:xfrm>
                        <a:prstGeom prst="rect">
                          <a:avLst/>
                        </a:prstGeom>
                        <a:solidFill>
                          <a:srgbClr val="E5F8FF"/>
                        </a:solidFill>
                        <a:ln w="9525">
                          <a:solidFill>
                            <a:schemeClr val="bg1"/>
                          </a:solidFill>
                          <a:miter lim="800000"/>
                          <a:headEnd/>
                          <a:tailEnd/>
                        </a:ln>
                      </wps:spPr>
                      <wps:txbx>
                        <w:txbxContent>
                          <w:p w14:paraId="4146D595" w14:textId="77777777" w:rsidR="00AC4BC9" w:rsidRPr="00922E6A" w:rsidRDefault="00AC4BC9" w:rsidP="00F41124">
                            <w:pPr>
                              <w:pStyle w:val="HeadingBox-Level2"/>
                            </w:pPr>
                            <w:bookmarkStart w:id="100" w:name="_Toc190780934"/>
                            <w:r w:rsidRPr="00922E6A">
                              <w:t>Key points</w:t>
                            </w:r>
                            <w:bookmarkEnd w:id="100"/>
                          </w:p>
                          <w:p w14:paraId="557C9CC1" w14:textId="59AD5766" w:rsidR="00AC4BC9" w:rsidRPr="0063544E" w:rsidRDefault="00AC4BC9" w:rsidP="00AC4BC9">
                            <w:pPr>
                              <w:pStyle w:val="CGC2025Bullet1"/>
                            </w:pPr>
                            <w:r w:rsidRPr="00922E6A">
                              <w:t xml:space="preserve">Changes in states’ circumstances, particularly revenue raising capacities, had </w:t>
                            </w:r>
                            <w:r w:rsidRPr="0063544E">
                              <w:t>the largest impact on assessed GST needs in 2025–26 compared with 2024–25. An increase in coal prices and the national average coal royalty rate between 2020–21 and 2023–24 reduced the assessed GST needs of New South Wales, and particularly Queensland, and increased those of the other states. A decline in the value of iron ore production over the same period increased Western</w:t>
                            </w:r>
                            <w:r w:rsidR="005A4AA9">
                              <w:t> </w:t>
                            </w:r>
                            <w:r w:rsidRPr="0063544E">
                              <w:t xml:space="preserve">Australia’s assessed GST needs, reducing those of the other states. Changes in states’ shares of taxable land values, taxable payrolls, and property transfers also had large impacts on GST distribution. </w:t>
                            </w:r>
                          </w:p>
                          <w:p w14:paraId="289679F9" w14:textId="69FB6D44" w:rsidR="00AC4BC9" w:rsidRPr="0063544E" w:rsidRDefault="00AC4BC9" w:rsidP="00AC4BC9">
                            <w:pPr>
                              <w:pStyle w:val="CGC2025Bullet1"/>
                            </w:pPr>
                            <w:r w:rsidRPr="0063544E">
                              <w:t xml:space="preserve">Changes to the Commission’s </w:t>
                            </w:r>
                            <w:r w:rsidR="007D1010" w:rsidRPr="0063544E">
                              <w:t xml:space="preserve">assessment </w:t>
                            </w:r>
                            <w:r w:rsidRPr="0063544E">
                              <w:t xml:space="preserve">methods, as part of </w:t>
                            </w:r>
                            <w:r w:rsidR="00423721" w:rsidRPr="0063544E">
                              <w:t xml:space="preserve">the </w:t>
                            </w:r>
                            <w:r w:rsidRPr="0063544E">
                              <w:t>2025 Review, also had significant impacts on states’ assessed GST needs compared with 2024</w:t>
                            </w:r>
                            <w:r w:rsidR="0015687C">
                              <w:t>–</w:t>
                            </w:r>
                            <w:r w:rsidRPr="0063544E">
                              <w:t>25. In particular, the Commission introduced actual per capita assessments of COVID</w:t>
                            </w:r>
                            <w:r w:rsidRPr="0063544E">
                              <w:noBreakHyphen/>
                              <w:t xml:space="preserve">19 health and business support expenses. </w:t>
                            </w:r>
                            <w:r w:rsidRPr="0063544E" w:rsidDel="00B47793">
                              <w:t>This increased the assessed GST needs of New South Wales</w:t>
                            </w:r>
                            <w:r w:rsidRPr="0063544E">
                              <w:t xml:space="preserve">, </w:t>
                            </w:r>
                            <w:r w:rsidRPr="0063544E" w:rsidDel="00B47793">
                              <w:t>Victoria</w:t>
                            </w:r>
                            <w:r w:rsidRPr="0063544E">
                              <w:t xml:space="preserve"> and the ACT. Changes to the Commission’s assessments of wage costs and transport needs also had large impacts on assessed GST needs. </w:t>
                            </w:r>
                          </w:p>
                          <w:p w14:paraId="2FD2017A" w14:textId="0CC3A96C" w:rsidR="00AC4BC9" w:rsidRPr="0063544E" w:rsidRDefault="00AC4BC9" w:rsidP="00AC4BC9">
                            <w:pPr>
                              <w:pStyle w:val="CGC2025Bullet1"/>
                            </w:pPr>
                            <w:r w:rsidRPr="0063544E">
                              <w:t xml:space="preserve">Upward revisions </w:t>
                            </w:r>
                            <w:r w:rsidR="00693E01" w:rsidRPr="0063544E">
                              <w:t>by</w:t>
                            </w:r>
                            <w:r w:rsidR="0063544E" w:rsidRPr="0063544E">
                              <w:t xml:space="preserve"> </w:t>
                            </w:r>
                            <w:r w:rsidR="00B2765E" w:rsidRPr="0063544E">
                              <w:t>New South Wales’</w:t>
                            </w:r>
                            <w:r w:rsidRPr="0063544E">
                              <w:t xml:space="preserve"> </w:t>
                            </w:r>
                            <w:r w:rsidR="00693E01" w:rsidRPr="0063544E">
                              <w:t xml:space="preserve">to its </w:t>
                            </w:r>
                            <w:r w:rsidRPr="0063544E">
                              <w:t xml:space="preserve">data on natural disaster relief expenses increased </w:t>
                            </w:r>
                            <w:r w:rsidR="00347456" w:rsidRPr="0063544E">
                              <w:t>its</w:t>
                            </w:r>
                            <w:r w:rsidRPr="0063544E">
                              <w:t xml:space="preserve"> assessed GST needs. </w:t>
                            </w:r>
                          </w:p>
                          <w:p w14:paraId="268F6BC1" w14:textId="5324CB90" w:rsidR="00AC4BC9" w:rsidRPr="00922E6A" w:rsidRDefault="00AC4BC9" w:rsidP="00AC4BC9">
                            <w:pPr>
                              <w:pStyle w:val="CGC2025Bullet1"/>
                            </w:pPr>
                            <w:r w:rsidRPr="00922E6A">
                              <w:t>Under the 2018 GST distribution legislation, this is the fifth year in which the blending of assessed and standard state relativities is used to calculate GST</w:t>
                            </w:r>
                            <w:r w:rsidR="00954A89">
                              <w:t> </w:t>
                            </w:r>
                            <w:r w:rsidRPr="00922E6A">
                              <w:t>relativities. The blending of relativities from the previous and current arrangements, together with the floor of 0.75, had a significant impact on GST</w:t>
                            </w:r>
                            <w:r w:rsidR="00954A89">
                              <w:t> </w:t>
                            </w:r>
                            <w:r w:rsidRPr="00922E6A">
                              <w:t>distribution.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89AE3" id="Text Box 1759370897" o:spid="_x0000_s1036" type="#_x0000_t202" style="position:absolute;margin-left:0;margin-top:105.2pt;width:460.9pt;height:359.15pt;z-index:-251658226;visibility:visible;mso-wrap-style:square;mso-width-percent:0;mso-height-percent:0;mso-wrap-distance-left:9pt;mso-wrap-distance-top:3.6pt;mso-wrap-distance-right:9pt;mso-wrap-distance-bottom:3.6pt;mso-position-horizontal:lef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" fillcolor="#e5f8ff" strokecolor="white [3212]">
                <v:textbox>
                  <w:txbxContent>
                    <w:p w14:paraId="4146D595" w14:textId="77777777" w:rsidR="00AC4BC9" w:rsidRPr="00922E6A" w:rsidRDefault="00AC4BC9" w:rsidP="00F41124">
                      <w:pPr>
                        <w:pStyle w:val="HeadingBox-Level2"/>
                      </w:pPr>
                      <w:bookmarkStart w:id="112" w:name="_Toc190780934"/>
                      <w:r w:rsidRPr="00922E6A">
                        <w:t>Key points</w:t>
                      </w:r>
                      <w:bookmarkEnd w:id="112"/>
                    </w:p>
                    <w:p w14:paraId="557C9CC1" w14:textId="59AD5766" w:rsidR="00AC4BC9" w:rsidRPr="0063544E" w:rsidRDefault="00AC4BC9" w:rsidP="00AC4BC9">
                      <w:pPr>
                        <w:pStyle w:val="CGC2025Bullet1"/>
                      </w:pPr>
                      <w:r w:rsidRPr="00922E6A">
                        <w:t xml:space="preserve">Changes in states’ circumstances, particularly revenue raising capacities, had </w:t>
                      </w:r>
                      <w:r w:rsidRPr="0063544E">
                        <w:t>the largest impact on assessed GST needs in 2025–26 compared with 2024–25. An increase in coal prices and the national average coal royalty rate between 2020–21 and 2023–24 reduced the assessed GST needs of New South Wales, and particularly Queensland, and increased those of the other states. A decline in the value of iron ore production over the same period increased Western</w:t>
                      </w:r>
                      <w:r w:rsidR="005A4AA9">
                        <w:t> </w:t>
                      </w:r>
                      <w:r w:rsidRPr="0063544E">
                        <w:t xml:space="preserve">Australia’s assessed GST needs, reducing those of the other states. Changes in states’ shares of taxable land values, taxable payrolls, and property transfers also had large impacts on GST distribution. </w:t>
                      </w:r>
                    </w:p>
                    <w:p w14:paraId="289679F9" w14:textId="69FB6D44" w:rsidR="00AC4BC9" w:rsidRPr="0063544E" w:rsidRDefault="00AC4BC9" w:rsidP="00AC4BC9">
                      <w:pPr>
                        <w:pStyle w:val="CGC2025Bullet1"/>
                      </w:pPr>
                      <w:r w:rsidRPr="0063544E">
                        <w:t xml:space="preserve">Changes to the Commission’s </w:t>
                      </w:r>
                      <w:r w:rsidR="007D1010" w:rsidRPr="0063544E">
                        <w:t xml:space="preserve">assessment </w:t>
                      </w:r>
                      <w:r w:rsidRPr="0063544E">
                        <w:t xml:space="preserve">methods, as part of </w:t>
                      </w:r>
                      <w:r w:rsidR="00423721" w:rsidRPr="0063544E">
                        <w:t xml:space="preserve">the </w:t>
                      </w:r>
                      <w:r w:rsidRPr="0063544E">
                        <w:t>2025 Review, also had significant impacts on states’ assessed GST needs compared with 2024</w:t>
                      </w:r>
                      <w:r w:rsidR="0015687C">
                        <w:t>–</w:t>
                      </w:r>
                      <w:r w:rsidRPr="0063544E">
                        <w:t>25. In particular, the Commission introduced actual per capita assessments of COVID</w:t>
                      </w:r>
                      <w:r w:rsidRPr="0063544E">
                        <w:noBreakHyphen/>
                        <w:t xml:space="preserve">19 health and business support expenses. </w:t>
                      </w:r>
                      <w:r w:rsidRPr="0063544E" w:rsidDel="00B47793">
                        <w:t>This increased the assessed GST needs of New South Wales</w:t>
                      </w:r>
                      <w:r w:rsidRPr="0063544E">
                        <w:t xml:space="preserve">, </w:t>
                      </w:r>
                      <w:r w:rsidRPr="0063544E" w:rsidDel="00B47793">
                        <w:t>Victoria</w:t>
                      </w:r>
                      <w:r w:rsidRPr="0063544E">
                        <w:t xml:space="preserve"> and the ACT. Changes to the Commission’s assessments of wage costs and transport needs also had large impacts on assessed GST needs. </w:t>
                      </w:r>
                    </w:p>
                    <w:p w14:paraId="2FD2017A" w14:textId="0CC3A96C" w:rsidR="00AC4BC9" w:rsidRPr="0063544E" w:rsidRDefault="00AC4BC9" w:rsidP="00AC4BC9">
                      <w:pPr>
                        <w:pStyle w:val="CGC2025Bullet1"/>
                      </w:pPr>
                      <w:r w:rsidRPr="0063544E">
                        <w:t xml:space="preserve">Upward revisions </w:t>
                      </w:r>
                      <w:r w:rsidR="00693E01" w:rsidRPr="0063544E">
                        <w:t>by</w:t>
                      </w:r>
                      <w:r w:rsidR="0063544E" w:rsidRPr="0063544E">
                        <w:t xml:space="preserve"> </w:t>
                      </w:r>
                      <w:r w:rsidR="00B2765E" w:rsidRPr="0063544E">
                        <w:t xml:space="preserve">New South </w:t>
                      </w:r>
                      <w:proofErr w:type="spellStart"/>
                      <w:r w:rsidR="00B2765E" w:rsidRPr="0063544E">
                        <w:t>Wales’</w:t>
                      </w:r>
                      <w:proofErr w:type="spellEnd"/>
                      <w:r w:rsidRPr="0063544E">
                        <w:t xml:space="preserve"> </w:t>
                      </w:r>
                      <w:r w:rsidR="00693E01" w:rsidRPr="0063544E">
                        <w:t xml:space="preserve">to its </w:t>
                      </w:r>
                      <w:r w:rsidRPr="0063544E">
                        <w:t xml:space="preserve">data on natural disaster relief expenses increased </w:t>
                      </w:r>
                      <w:r w:rsidR="00347456" w:rsidRPr="0063544E">
                        <w:t>its</w:t>
                      </w:r>
                      <w:r w:rsidRPr="0063544E">
                        <w:t xml:space="preserve"> assessed GST needs. </w:t>
                      </w:r>
                    </w:p>
                    <w:p w14:paraId="268F6BC1" w14:textId="5324CB90" w:rsidR="00AC4BC9" w:rsidRPr="00922E6A" w:rsidRDefault="00AC4BC9" w:rsidP="00AC4BC9">
                      <w:pPr>
                        <w:pStyle w:val="CGC2025Bullet1"/>
                      </w:pPr>
                      <w:r w:rsidRPr="00922E6A">
                        <w:t>Under the 2018 GST distribution legislation, this is the fifth year in which the blending of assessed and standard state relativities is used to calculate GST</w:t>
                      </w:r>
                      <w:r w:rsidR="00954A89">
                        <w:t> </w:t>
                      </w:r>
                      <w:r w:rsidRPr="00922E6A">
                        <w:t>relativities. The blending of relativities from the previous and current arrangements, together with the floor of 0.75, had a significant impact on GST</w:t>
                      </w:r>
                      <w:r w:rsidR="00954A89">
                        <w:t> </w:t>
                      </w:r>
                      <w:r w:rsidRPr="00922E6A">
                        <w:t>distribution.</w:t>
                      </w:r>
                    </w:p>
                  </w:txbxContent>
                </v:textbox>
                <w10:wrap anchorx="margin" anchory="margin"/>
              </v:shape>
            </w:pict>
          </mc:Fallback>
        </mc:AlternateContent>
      </w:r>
      <w:r w:rsidR="008648C5">
        <w:br w:type="page"/>
      </w:r>
    </w:p>
    <w:p w14:paraId="73394619" w14:textId="77777777" w:rsidR="00851C37" w:rsidRPr="00CB4080" w:rsidRDefault="00851C37" w:rsidP="00851C37">
      <w:pPr>
        <w:pStyle w:val="Heading2"/>
      </w:pPr>
      <w:r w:rsidRPr="00CB4080">
        <w:lastRenderedPageBreak/>
        <w:t>Why GST shares have changed</w:t>
      </w:r>
    </w:p>
    <w:p w14:paraId="77432603" w14:textId="77777777" w:rsidR="00851C37" w:rsidRPr="00CB4080" w:rsidRDefault="00851C37" w:rsidP="00851C37">
      <w:r w:rsidRPr="00CB4080">
        <w:t xml:space="preserve">Chapter 1, which outlines the Commission’s recommended GST relativities for 2025–26, noted that the changes in GST distribution since 2024–25 are driven by changes to population, the GST pool and GST relativities. Changes in GST relativities are driven by changes in the Commission’s assessment of GST needs (assessed relativities) and the operation of the 2018 GST distribution legislation.  </w:t>
      </w:r>
    </w:p>
    <w:p w14:paraId="661647E2" w14:textId="77777777" w:rsidR="00851C37" w:rsidRPr="00CB4080" w:rsidRDefault="00851C37" w:rsidP="00851C37">
      <w:r w:rsidRPr="00CB4080">
        <w:t xml:space="preserve">This chapter focusses on the main drivers of changes to assessed GST needs, which are the focus of the Commission’s work (see Table 2-1). Changes occurred for 3 reasons. </w:t>
      </w:r>
    </w:p>
    <w:p w14:paraId="7FD0A09C" w14:textId="77777777" w:rsidR="00851C37" w:rsidRPr="00CB4080" w:rsidRDefault="00851C37" w:rsidP="00DB1DD6">
      <w:pPr>
        <w:pStyle w:val="CGC2025Bullet1"/>
      </w:pPr>
      <w:r w:rsidRPr="00CB4080">
        <w:t xml:space="preserve">Method changes – as part of the 2025 Review, the Commission reviewed and revised some of the methods it uses to assess relative state fiscal capacities. </w:t>
      </w:r>
    </w:p>
    <w:p w14:paraId="01AE7604" w14:textId="77777777" w:rsidR="00851C37" w:rsidRPr="00CB4080" w:rsidRDefault="00851C37" w:rsidP="00DB1DD6">
      <w:pPr>
        <w:pStyle w:val="CGC2025Bullet1"/>
      </w:pPr>
      <w:r w:rsidRPr="00CB4080">
        <w:t xml:space="preserve">Revisions – since the 2024 Update, data </w:t>
      </w:r>
      <w:r w:rsidRPr="00D209CC">
        <w:t>providers have</w:t>
      </w:r>
      <w:r w:rsidRPr="00CB4080">
        <w:t xml:space="preserve"> released updated data for 2020–21 to 2022–23, which have been incorporated.</w:t>
      </w:r>
    </w:p>
    <w:p w14:paraId="1CF215F4" w14:textId="0301AA53" w:rsidR="00851C37" w:rsidRPr="00CB4080" w:rsidRDefault="00851C37" w:rsidP="00DB1DD6">
      <w:pPr>
        <w:pStyle w:val="CGC2025Bullet1"/>
      </w:pPr>
      <w:r w:rsidRPr="00CB4080">
        <w:t>Changes in state circumstances – states’ economic and socio-demographic circumstances change over time. For the 2025-26 GST relativities, states’ GST</w:t>
      </w:r>
      <w:r w:rsidR="008C1C43">
        <w:t> </w:t>
      </w:r>
      <w:r w:rsidRPr="00CB4080">
        <w:t>needs were assessed using an average of data for the 3 years 2021–22 to 2023–24. The 2024 Update used an average of data for the 3 years 2020–21 to 2022–23. Differences in state circumstances between the year brought into the 3-year average (2023–24) and the year removed (2020–21) changed states’ relative GST needs.</w:t>
      </w:r>
    </w:p>
    <w:p w14:paraId="0E40E25A" w14:textId="7FD4B9A5" w:rsidR="00851C37" w:rsidRPr="00CB4080" w:rsidRDefault="00851C37" w:rsidP="00DB1DD6">
      <w:pPr>
        <w:pStyle w:val="CGC2025Caption"/>
      </w:pPr>
      <w:r w:rsidRPr="00CB4080">
        <w:t xml:space="preserve">Table 2-1 </w:t>
      </w:r>
      <w:r w:rsidRPr="00CB4080">
        <w:tab/>
        <w:t>Change in assessed GST needs by source of change, 202</w:t>
      </w:r>
      <w:r w:rsidR="001712F9">
        <w:t>4</w:t>
      </w:r>
      <w:r w:rsidRPr="00CB4080">
        <w:t>–2</w:t>
      </w:r>
      <w:r w:rsidR="001712F9">
        <w:t>5</w:t>
      </w:r>
      <w:r w:rsidRPr="00CB4080">
        <w:t xml:space="preserve"> to 202</w:t>
      </w:r>
      <w:r w:rsidR="001712F9">
        <w:t>5</w:t>
      </w:r>
      <w:r w:rsidRPr="00CB4080">
        <w:t>–2</w:t>
      </w:r>
      <w:r w:rsidR="001712F9">
        <w:t>6</w:t>
      </w:r>
    </w:p>
    <w:tbl>
      <w:tblPr>
        <w:tblW w:w="8940" w:type="dxa"/>
        <w:tblLook w:val="04A0" w:firstRow="1" w:lastRow="0" w:firstColumn="1" w:lastColumn="0" w:noHBand="0" w:noVBand="1"/>
      </w:tblPr>
      <w:tblGrid>
        <w:gridCol w:w="2820"/>
        <w:gridCol w:w="680"/>
        <w:gridCol w:w="680"/>
        <w:gridCol w:w="680"/>
        <w:gridCol w:w="680"/>
        <w:gridCol w:w="680"/>
        <w:gridCol w:w="680"/>
        <w:gridCol w:w="680"/>
        <w:gridCol w:w="680"/>
        <w:gridCol w:w="680"/>
      </w:tblGrid>
      <w:tr w:rsidR="00907ECD" w:rsidRPr="00907ECD" w14:paraId="47F55496" w14:textId="77777777" w:rsidTr="00907ECD">
        <w:trPr>
          <w:trHeight w:val="555"/>
        </w:trPr>
        <w:tc>
          <w:tcPr>
            <w:tcW w:w="2820" w:type="dxa"/>
            <w:tcBorders>
              <w:top w:val="nil"/>
              <w:left w:val="nil"/>
              <w:bottom w:val="nil"/>
              <w:right w:val="nil"/>
            </w:tcBorders>
            <w:shd w:val="clear" w:color="000000" w:fill="006991"/>
            <w:vAlign w:val="center"/>
            <w:hideMark/>
          </w:tcPr>
          <w:p w14:paraId="2AC1DE0A" w14:textId="77777777" w:rsidR="00907ECD" w:rsidRPr="00907ECD" w:rsidRDefault="00907ECD" w:rsidP="00907ECD">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101" w:name="RANGE!A4:J9"/>
            <w:r w:rsidRPr="00907ECD">
              <w:rPr>
                <w:rFonts w:ascii="Open Sans Semibold" w:eastAsia="Times New Roman" w:hAnsi="Open Sans Semibold" w:cs="Open Sans Semibold"/>
                <w:color w:val="FFFFFF"/>
                <w:sz w:val="16"/>
                <w:szCs w:val="16"/>
                <w:lang w:eastAsia="en-AU"/>
              </w:rPr>
              <w:t> </w:t>
            </w:r>
            <w:bookmarkEnd w:id="101"/>
          </w:p>
        </w:tc>
        <w:tc>
          <w:tcPr>
            <w:tcW w:w="680" w:type="dxa"/>
            <w:tcBorders>
              <w:top w:val="nil"/>
              <w:left w:val="nil"/>
              <w:bottom w:val="nil"/>
              <w:right w:val="nil"/>
            </w:tcBorders>
            <w:shd w:val="clear" w:color="000000" w:fill="006991"/>
            <w:vAlign w:val="center"/>
            <w:hideMark/>
          </w:tcPr>
          <w:p w14:paraId="6A70011E"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NSW</w:t>
            </w:r>
          </w:p>
        </w:tc>
        <w:tc>
          <w:tcPr>
            <w:tcW w:w="680" w:type="dxa"/>
            <w:tcBorders>
              <w:top w:val="nil"/>
              <w:left w:val="nil"/>
              <w:bottom w:val="nil"/>
              <w:right w:val="nil"/>
            </w:tcBorders>
            <w:shd w:val="clear" w:color="000000" w:fill="006991"/>
            <w:vAlign w:val="center"/>
            <w:hideMark/>
          </w:tcPr>
          <w:p w14:paraId="65E7D3C8"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Vic</w:t>
            </w:r>
          </w:p>
        </w:tc>
        <w:tc>
          <w:tcPr>
            <w:tcW w:w="680" w:type="dxa"/>
            <w:tcBorders>
              <w:top w:val="nil"/>
              <w:left w:val="nil"/>
              <w:bottom w:val="nil"/>
              <w:right w:val="nil"/>
            </w:tcBorders>
            <w:shd w:val="clear" w:color="000000" w:fill="006991"/>
            <w:vAlign w:val="center"/>
            <w:hideMark/>
          </w:tcPr>
          <w:p w14:paraId="09B4917A"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Qld</w:t>
            </w:r>
          </w:p>
        </w:tc>
        <w:tc>
          <w:tcPr>
            <w:tcW w:w="680" w:type="dxa"/>
            <w:tcBorders>
              <w:top w:val="nil"/>
              <w:left w:val="nil"/>
              <w:bottom w:val="nil"/>
              <w:right w:val="nil"/>
            </w:tcBorders>
            <w:shd w:val="clear" w:color="000000" w:fill="006991"/>
            <w:vAlign w:val="center"/>
            <w:hideMark/>
          </w:tcPr>
          <w:p w14:paraId="6F3DA56C"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WA</w:t>
            </w:r>
          </w:p>
        </w:tc>
        <w:tc>
          <w:tcPr>
            <w:tcW w:w="680" w:type="dxa"/>
            <w:tcBorders>
              <w:top w:val="nil"/>
              <w:left w:val="nil"/>
              <w:bottom w:val="nil"/>
              <w:right w:val="nil"/>
            </w:tcBorders>
            <w:shd w:val="clear" w:color="000000" w:fill="006991"/>
            <w:vAlign w:val="center"/>
            <w:hideMark/>
          </w:tcPr>
          <w:p w14:paraId="2B00119A"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SA</w:t>
            </w:r>
          </w:p>
        </w:tc>
        <w:tc>
          <w:tcPr>
            <w:tcW w:w="680" w:type="dxa"/>
            <w:tcBorders>
              <w:top w:val="nil"/>
              <w:left w:val="nil"/>
              <w:bottom w:val="nil"/>
              <w:right w:val="nil"/>
            </w:tcBorders>
            <w:shd w:val="clear" w:color="000000" w:fill="006991"/>
            <w:vAlign w:val="center"/>
            <w:hideMark/>
          </w:tcPr>
          <w:p w14:paraId="3CB0140B"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Tas</w:t>
            </w:r>
          </w:p>
        </w:tc>
        <w:tc>
          <w:tcPr>
            <w:tcW w:w="680" w:type="dxa"/>
            <w:tcBorders>
              <w:top w:val="nil"/>
              <w:left w:val="nil"/>
              <w:bottom w:val="nil"/>
              <w:right w:val="nil"/>
            </w:tcBorders>
            <w:shd w:val="clear" w:color="000000" w:fill="006991"/>
            <w:vAlign w:val="center"/>
            <w:hideMark/>
          </w:tcPr>
          <w:p w14:paraId="49FDAE55"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ACT</w:t>
            </w:r>
          </w:p>
        </w:tc>
        <w:tc>
          <w:tcPr>
            <w:tcW w:w="680" w:type="dxa"/>
            <w:tcBorders>
              <w:top w:val="nil"/>
              <w:left w:val="nil"/>
              <w:bottom w:val="nil"/>
              <w:right w:val="nil"/>
            </w:tcBorders>
            <w:shd w:val="clear" w:color="000000" w:fill="006991"/>
            <w:vAlign w:val="center"/>
            <w:hideMark/>
          </w:tcPr>
          <w:p w14:paraId="2415BF88"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NT</w:t>
            </w:r>
          </w:p>
        </w:tc>
        <w:tc>
          <w:tcPr>
            <w:tcW w:w="680" w:type="dxa"/>
            <w:tcBorders>
              <w:top w:val="nil"/>
              <w:left w:val="nil"/>
              <w:bottom w:val="nil"/>
              <w:right w:val="nil"/>
            </w:tcBorders>
            <w:shd w:val="clear" w:color="000000" w:fill="006991"/>
            <w:vAlign w:val="center"/>
            <w:hideMark/>
          </w:tcPr>
          <w:p w14:paraId="71619746"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Total effect</w:t>
            </w:r>
          </w:p>
        </w:tc>
      </w:tr>
      <w:tr w:rsidR="00907ECD" w:rsidRPr="00907ECD" w14:paraId="4E24E790" w14:textId="77777777" w:rsidTr="00907ECD">
        <w:trPr>
          <w:trHeight w:val="259"/>
        </w:trPr>
        <w:tc>
          <w:tcPr>
            <w:tcW w:w="2820" w:type="dxa"/>
            <w:tcBorders>
              <w:top w:val="single" w:sz="4" w:space="0" w:color="ADD6EA"/>
              <w:left w:val="nil"/>
              <w:bottom w:val="nil"/>
              <w:right w:val="nil"/>
            </w:tcBorders>
            <w:shd w:val="clear" w:color="000000" w:fill="B6D5E4"/>
            <w:vAlign w:val="bottom"/>
            <w:hideMark/>
          </w:tcPr>
          <w:p w14:paraId="29BAD795" w14:textId="77777777" w:rsidR="00907ECD" w:rsidRPr="00907ECD" w:rsidRDefault="00907ECD" w:rsidP="00907ECD">
            <w:pPr>
              <w:tabs>
                <w:tab w:val="clear" w:pos="567"/>
              </w:tabs>
              <w:spacing w:before="0" w:line="240" w:lineRule="auto"/>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 </w:t>
            </w:r>
          </w:p>
        </w:tc>
        <w:tc>
          <w:tcPr>
            <w:tcW w:w="680" w:type="dxa"/>
            <w:tcBorders>
              <w:top w:val="single" w:sz="4" w:space="0" w:color="ADD6EA"/>
              <w:left w:val="nil"/>
              <w:bottom w:val="nil"/>
              <w:right w:val="nil"/>
            </w:tcBorders>
            <w:shd w:val="clear" w:color="000000" w:fill="B6D5E4"/>
            <w:vAlign w:val="center"/>
            <w:hideMark/>
          </w:tcPr>
          <w:p w14:paraId="7FED47D7"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4CEA05B4"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48E9BB4F"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49C39546"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6F427485"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637D0734"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4E8A3D84"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2866D2D0"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0BB23195"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r>
      <w:tr w:rsidR="00907ECD" w:rsidRPr="00907ECD" w14:paraId="23537B46" w14:textId="77777777" w:rsidTr="00907ECD">
        <w:trPr>
          <w:trHeight w:val="319"/>
        </w:trPr>
        <w:tc>
          <w:tcPr>
            <w:tcW w:w="2820" w:type="dxa"/>
            <w:tcBorders>
              <w:top w:val="single" w:sz="4" w:space="0" w:color="ADD6EA"/>
              <w:left w:val="nil"/>
              <w:bottom w:val="nil"/>
              <w:right w:val="nil"/>
            </w:tcBorders>
            <w:shd w:val="clear" w:color="000000" w:fill="FFFFFF"/>
            <w:vAlign w:val="center"/>
            <w:hideMark/>
          </w:tcPr>
          <w:p w14:paraId="78D44F42" w14:textId="77777777" w:rsidR="00907ECD" w:rsidRPr="00907ECD" w:rsidRDefault="00907ECD" w:rsidP="00907ECD">
            <w:pPr>
              <w:tabs>
                <w:tab w:val="clear" w:pos="567"/>
              </w:tabs>
              <w:spacing w:before="0" w:line="240" w:lineRule="auto"/>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Method changes</w:t>
            </w:r>
          </w:p>
        </w:tc>
        <w:tc>
          <w:tcPr>
            <w:tcW w:w="680" w:type="dxa"/>
            <w:tcBorders>
              <w:top w:val="single" w:sz="4" w:space="0" w:color="ADD6EA"/>
              <w:left w:val="nil"/>
              <w:bottom w:val="nil"/>
              <w:right w:val="nil"/>
            </w:tcBorders>
            <w:shd w:val="clear" w:color="000000" w:fill="FFFFFF"/>
            <w:vAlign w:val="center"/>
            <w:hideMark/>
          </w:tcPr>
          <w:p w14:paraId="03F18FEA"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237</w:t>
            </w:r>
          </w:p>
        </w:tc>
        <w:tc>
          <w:tcPr>
            <w:tcW w:w="680" w:type="dxa"/>
            <w:tcBorders>
              <w:top w:val="single" w:sz="4" w:space="0" w:color="ADD6EA"/>
              <w:left w:val="nil"/>
              <w:bottom w:val="nil"/>
              <w:right w:val="nil"/>
            </w:tcBorders>
            <w:shd w:val="clear" w:color="000000" w:fill="FFFFFF"/>
            <w:vAlign w:val="center"/>
            <w:hideMark/>
          </w:tcPr>
          <w:p w14:paraId="652ABE13"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1,059</w:t>
            </w:r>
          </w:p>
        </w:tc>
        <w:tc>
          <w:tcPr>
            <w:tcW w:w="680" w:type="dxa"/>
            <w:tcBorders>
              <w:top w:val="single" w:sz="4" w:space="0" w:color="ADD6EA"/>
              <w:left w:val="nil"/>
              <w:bottom w:val="nil"/>
              <w:right w:val="nil"/>
            </w:tcBorders>
            <w:shd w:val="clear" w:color="000000" w:fill="FFFFFF"/>
            <w:vAlign w:val="center"/>
            <w:hideMark/>
          </w:tcPr>
          <w:p w14:paraId="33CAD657"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-1,123</w:t>
            </w:r>
          </w:p>
        </w:tc>
        <w:tc>
          <w:tcPr>
            <w:tcW w:w="680" w:type="dxa"/>
            <w:tcBorders>
              <w:top w:val="single" w:sz="4" w:space="0" w:color="ADD6EA"/>
              <w:left w:val="nil"/>
              <w:bottom w:val="nil"/>
              <w:right w:val="nil"/>
            </w:tcBorders>
            <w:shd w:val="clear" w:color="000000" w:fill="FFFFFF"/>
            <w:vAlign w:val="center"/>
            <w:hideMark/>
          </w:tcPr>
          <w:p w14:paraId="078D8F9E"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-328</w:t>
            </w:r>
          </w:p>
        </w:tc>
        <w:tc>
          <w:tcPr>
            <w:tcW w:w="680" w:type="dxa"/>
            <w:tcBorders>
              <w:top w:val="single" w:sz="4" w:space="0" w:color="ADD6EA"/>
              <w:left w:val="nil"/>
              <w:bottom w:val="nil"/>
              <w:right w:val="nil"/>
            </w:tcBorders>
            <w:shd w:val="clear" w:color="000000" w:fill="FFFFFF"/>
            <w:vAlign w:val="center"/>
            <w:hideMark/>
          </w:tcPr>
          <w:p w14:paraId="5CCB42DD"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-2</w:t>
            </w:r>
          </w:p>
        </w:tc>
        <w:tc>
          <w:tcPr>
            <w:tcW w:w="680" w:type="dxa"/>
            <w:tcBorders>
              <w:top w:val="single" w:sz="4" w:space="0" w:color="ADD6EA"/>
              <w:left w:val="nil"/>
              <w:bottom w:val="nil"/>
              <w:right w:val="nil"/>
            </w:tcBorders>
            <w:shd w:val="clear" w:color="000000" w:fill="FFFFFF"/>
            <w:vAlign w:val="center"/>
            <w:hideMark/>
          </w:tcPr>
          <w:p w14:paraId="7CD10767"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70</w:t>
            </w:r>
          </w:p>
        </w:tc>
        <w:tc>
          <w:tcPr>
            <w:tcW w:w="680" w:type="dxa"/>
            <w:tcBorders>
              <w:top w:val="single" w:sz="4" w:space="0" w:color="ADD6EA"/>
              <w:left w:val="nil"/>
              <w:bottom w:val="nil"/>
              <w:right w:val="nil"/>
            </w:tcBorders>
            <w:shd w:val="clear" w:color="000000" w:fill="FFFFFF"/>
            <w:vAlign w:val="center"/>
            <w:hideMark/>
          </w:tcPr>
          <w:p w14:paraId="7A15E291"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93</w:t>
            </w:r>
          </w:p>
        </w:tc>
        <w:tc>
          <w:tcPr>
            <w:tcW w:w="680" w:type="dxa"/>
            <w:tcBorders>
              <w:top w:val="single" w:sz="4" w:space="0" w:color="ADD6EA"/>
              <w:left w:val="nil"/>
              <w:bottom w:val="nil"/>
              <w:right w:val="nil"/>
            </w:tcBorders>
            <w:shd w:val="clear" w:color="000000" w:fill="FFFFFF"/>
            <w:vAlign w:val="center"/>
            <w:hideMark/>
          </w:tcPr>
          <w:p w14:paraId="34A1C119"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-6</w:t>
            </w:r>
          </w:p>
        </w:tc>
        <w:tc>
          <w:tcPr>
            <w:tcW w:w="680" w:type="dxa"/>
            <w:tcBorders>
              <w:top w:val="single" w:sz="4" w:space="0" w:color="ADD6EA"/>
              <w:left w:val="nil"/>
              <w:bottom w:val="nil"/>
              <w:right w:val="nil"/>
            </w:tcBorders>
            <w:shd w:val="clear" w:color="000000" w:fill="FFFFFF"/>
            <w:vAlign w:val="center"/>
            <w:hideMark/>
          </w:tcPr>
          <w:p w14:paraId="3C79AFA1"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1,459</w:t>
            </w:r>
          </w:p>
        </w:tc>
      </w:tr>
      <w:tr w:rsidR="00907ECD" w:rsidRPr="00907ECD" w14:paraId="569B291F" w14:textId="77777777" w:rsidTr="00907ECD">
        <w:trPr>
          <w:trHeight w:val="319"/>
        </w:trPr>
        <w:tc>
          <w:tcPr>
            <w:tcW w:w="2820" w:type="dxa"/>
            <w:tcBorders>
              <w:top w:val="single" w:sz="4" w:space="0" w:color="ADD6EA"/>
              <w:left w:val="nil"/>
              <w:bottom w:val="nil"/>
              <w:right w:val="nil"/>
            </w:tcBorders>
            <w:shd w:val="clear" w:color="000000" w:fill="FFFFFF"/>
            <w:vAlign w:val="center"/>
            <w:hideMark/>
          </w:tcPr>
          <w:p w14:paraId="54ACE05B" w14:textId="77777777" w:rsidR="00907ECD" w:rsidRPr="00907ECD" w:rsidRDefault="00907ECD" w:rsidP="00907ECD">
            <w:pPr>
              <w:tabs>
                <w:tab w:val="clear" w:pos="567"/>
              </w:tabs>
              <w:spacing w:before="0" w:line="240" w:lineRule="auto"/>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Data revisions (a)</w:t>
            </w:r>
          </w:p>
        </w:tc>
        <w:tc>
          <w:tcPr>
            <w:tcW w:w="680" w:type="dxa"/>
            <w:tcBorders>
              <w:top w:val="single" w:sz="4" w:space="0" w:color="ADD6EA"/>
              <w:left w:val="nil"/>
              <w:bottom w:val="nil"/>
              <w:right w:val="nil"/>
            </w:tcBorders>
            <w:shd w:val="clear" w:color="000000" w:fill="FFFFFF"/>
            <w:vAlign w:val="center"/>
            <w:hideMark/>
          </w:tcPr>
          <w:p w14:paraId="0727D82E"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729</w:t>
            </w:r>
          </w:p>
        </w:tc>
        <w:tc>
          <w:tcPr>
            <w:tcW w:w="680" w:type="dxa"/>
            <w:tcBorders>
              <w:top w:val="single" w:sz="4" w:space="0" w:color="ADD6EA"/>
              <w:left w:val="nil"/>
              <w:bottom w:val="nil"/>
              <w:right w:val="nil"/>
            </w:tcBorders>
            <w:shd w:val="clear" w:color="000000" w:fill="FFFFFF"/>
            <w:vAlign w:val="center"/>
            <w:hideMark/>
          </w:tcPr>
          <w:p w14:paraId="1E9D1D60"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-342</w:t>
            </w:r>
          </w:p>
        </w:tc>
        <w:tc>
          <w:tcPr>
            <w:tcW w:w="680" w:type="dxa"/>
            <w:tcBorders>
              <w:top w:val="single" w:sz="4" w:space="0" w:color="ADD6EA"/>
              <w:left w:val="nil"/>
              <w:bottom w:val="nil"/>
              <w:right w:val="nil"/>
            </w:tcBorders>
            <w:shd w:val="clear" w:color="000000" w:fill="FFFFFF"/>
            <w:vAlign w:val="center"/>
            <w:hideMark/>
          </w:tcPr>
          <w:p w14:paraId="0C7CBC5A"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-98</w:t>
            </w:r>
          </w:p>
        </w:tc>
        <w:tc>
          <w:tcPr>
            <w:tcW w:w="680" w:type="dxa"/>
            <w:tcBorders>
              <w:top w:val="single" w:sz="4" w:space="0" w:color="ADD6EA"/>
              <w:left w:val="nil"/>
              <w:bottom w:val="nil"/>
              <w:right w:val="nil"/>
            </w:tcBorders>
            <w:shd w:val="clear" w:color="000000" w:fill="FFFFFF"/>
            <w:vAlign w:val="center"/>
            <w:hideMark/>
          </w:tcPr>
          <w:p w14:paraId="28527F52"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-81</w:t>
            </w:r>
          </w:p>
        </w:tc>
        <w:tc>
          <w:tcPr>
            <w:tcW w:w="680" w:type="dxa"/>
            <w:tcBorders>
              <w:top w:val="single" w:sz="4" w:space="0" w:color="ADD6EA"/>
              <w:left w:val="nil"/>
              <w:bottom w:val="nil"/>
              <w:right w:val="nil"/>
            </w:tcBorders>
            <w:shd w:val="clear" w:color="000000" w:fill="FFFFFF"/>
            <w:vAlign w:val="center"/>
            <w:hideMark/>
          </w:tcPr>
          <w:p w14:paraId="7FEB3039"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-116</w:t>
            </w:r>
          </w:p>
        </w:tc>
        <w:tc>
          <w:tcPr>
            <w:tcW w:w="680" w:type="dxa"/>
            <w:tcBorders>
              <w:top w:val="single" w:sz="4" w:space="0" w:color="ADD6EA"/>
              <w:left w:val="nil"/>
              <w:bottom w:val="nil"/>
              <w:right w:val="nil"/>
            </w:tcBorders>
            <w:shd w:val="clear" w:color="000000" w:fill="FFFFFF"/>
            <w:vAlign w:val="center"/>
            <w:hideMark/>
          </w:tcPr>
          <w:p w14:paraId="7CA5E6D3"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-35</w:t>
            </w:r>
          </w:p>
        </w:tc>
        <w:tc>
          <w:tcPr>
            <w:tcW w:w="680" w:type="dxa"/>
            <w:tcBorders>
              <w:top w:val="single" w:sz="4" w:space="0" w:color="ADD6EA"/>
              <w:left w:val="nil"/>
              <w:bottom w:val="nil"/>
              <w:right w:val="nil"/>
            </w:tcBorders>
            <w:shd w:val="clear" w:color="000000" w:fill="FFFFFF"/>
            <w:vAlign w:val="center"/>
            <w:hideMark/>
          </w:tcPr>
          <w:p w14:paraId="0395310E"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-42</w:t>
            </w:r>
          </w:p>
        </w:tc>
        <w:tc>
          <w:tcPr>
            <w:tcW w:w="680" w:type="dxa"/>
            <w:tcBorders>
              <w:top w:val="single" w:sz="4" w:space="0" w:color="ADD6EA"/>
              <w:left w:val="nil"/>
              <w:bottom w:val="nil"/>
              <w:right w:val="nil"/>
            </w:tcBorders>
            <w:shd w:val="clear" w:color="000000" w:fill="FFFFFF"/>
            <w:vAlign w:val="center"/>
            <w:hideMark/>
          </w:tcPr>
          <w:p w14:paraId="0D879811"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-15</w:t>
            </w:r>
          </w:p>
        </w:tc>
        <w:tc>
          <w:tcPr>
            <w:tcW w:w="680" w:type="dxa"/>
            <w:tcBorders>
              <w:top w:val="single" w:sz="4" w:space="0" w:color="ADD6EA"/>
              <w:left w:val="nil"/>
              <w:bottom w:val="nil"/>
              <w:right w:val="nil"/>
            </w:tcBorders>
            <w:shd w:val="clear" w:color="000000" w:fill="FFFFFF"/>
            <w:vAlign w:val="center"/>
            <w:hideMark/>
          </w:tcPr>
          <w:p w14:paraId="25E17D93"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729</w:t>
            </w:r>
          </w:p>
        </w:tc>
      </w:tr>
      <w:tr w:rsidR="00907ECD" w:rsidRPr="00907ECD" w14:paraId="525A6227" w14:textId="77777777" w:rsidTr="00907ECD">
        <w:trPr>
          <w:trHeight w:val="319"/>
        </w:trPr>
        <w:tc>
          <w:tcPr>
            <w:tcW w:w="2820" w:type="dxa"/>
            <w:tcBorders>
              <w:top w:val="single" w:sz="4" w:space="0" w:color="ADD6EA"/>
              <w:left w:val="nil"/>
              <w:bottom w:val="nil"/>
              <w:right w:val="nil"/>
            </w:tcBorders>
            <w:shd w:val="clear" w:color="000000" w:fill="FFFFFF"/>
            <w:vAlign w:val="center"/>
            <w:hideMark/>
          </w:tcPr>
          <w:p w14:paraId="1985775C" w14:textId="77777777" w:rsidR="00907ECD" w:rsidRPr="00907ECD" w:rsidRDefault="00907ECD" w:rsidP="00907ECD">
            <w:pPr>
              <w:tabs>
                <w:tab w:val="clear" w:pos="567"/>
              </w:tabs>
              <w:spacing w:before="0" w:line="240" w:lineRule="auto"/>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Changes in state circumstances (b)</w:t>
            </w:r>
          </w:p>
        </w:tc>
        <w:tc>
          <w:tcPr>
            <w:tcW w:w="680" w:type="dxa"/>
            <w:tcBorders>
              <w:top w:val="single" w:sz="4" w:space="0" w:color="ADD6EA"/>
              <w:left w:val="nil"/>
              <w:bottom w:val="nil"/>
              <w:right w:val="nil"/>
            </w:tcBorders>
            <w:shd w:val="clear" w:color="000000" w:fill="FFFFFF"/>
            <w:vAlign w:val="center"/>
            <w:hideMark/>
          </w:tcPr>
          <w:p w14:paraId="3040C9E2"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-966</w:t>
            </w:r>
          </w:p>
        </w:tc>
        <w:tc>
          <w:tcPr>
            <w:tcW w:w="680" w:type="dxa"/>
            <w:tcBorders>
              <w:top w:val="single" w:sz="4" w:space="0" w:color="ADD6EA"/>
              <w:left w:val="nil"/>
              <w:bottom w:val="nil"/>
              <w:right w:val="nil"/>
            </w:tcBorders>
            <w:shd w:val="clear" w:color="000000" w:fill="FFFFFF"/>
            <w:vAlign w:val="center"/>
            <w:hideMark/>
          </w:tcPr>
          <w:p w14:paraId="408DA530"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1,957</w:t>
            </w:r>
          </w:p>
        </w:tc>
        <w:tc>
          <w:tcPr>
            <w:tcW w:w="680" w:type="dxa"/>
            <w:tcBorders>
              <w:top w:val="single" w:sz="4" w:space="0" w:color="ADD6EA"/>
              <w:left w:val="nil"/>
              <w:bottom w:val="nil"/>
              <w:right w:val="nil"/>
            </w:tcBorders>
            <w:shd w:val="clear" w:color="000000" w:fill="FFFFFF"/>
            <w:vAlign w:val="center"/>
            <w:hideMark/>
          </w:tcPr>
          <w:p w14:paraId="15070439"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-2,170</w:t>
            </w:r>
          </w:p>
        </w:tc>
        <w:tc>
          <w:tcPr>
            <w:tcW w:w="680" w:type="dxa"/>
            <w:tcBorders>
              <w:top w:val="single" w:sz="4" w:space="0" w:color="ADD6EA"/>
              <w:left w:val="nil"/>
              <w:bottom w:val="nil"/>
              <w:right w:val="nil"/>
            </w:tcBorders>
            <w:shd w:val="clear" w:color="000000" w:fill="FFFFFF"/>
            <w:vAlign w:val="center"/>
            <w:hideMark/>
          </w:tcPr>
          <w:p w14:paraId="4939B3C2"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1,116</w:t>
            </w:r>
          </w:p>
        </w:tc>
        <w:tc>
          <w:tcPr>
            <w:tcW w:w="680" w:type="dxa"/>
            <w:tcBorders>
              <w:top w:val="single" w:sz="4" w:space="0" w:color="ADD6EA"/>
              <w:left w:val="nil"/>
              <w:bottom w:val="nil"/>
              <w:right w:val="nil"/>
            </w:tcBorders>
            <w:shd w:val="clear" w:color="000000" w:fill="FFFFFF"/>
            <w:vAlign w:val="center"/>
            <w:hideMark/>
          </w:tcPr>
          <w:p w14:paraId="45B1E408"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64</w:t>
            </w:r>
          </w:p>
        </w:tc>
        <w:tc>
          <w:tcPr>
            <w:tcW w:w="680" w:type="dxa"/>
            <w:tcBorders>
              <w:top w:val="single" w:sz="4" w:space="0" w:color="ADD6EA"/>
              <w:left w:val="nil"/>
              <w:bottom w:val="nil"/>
              <w:right w:val="nil"/>
            </w:tcBorders>
            <w:shd w:val="clear" w:color="000000" w:fill="FFFFFF"/>
            <w:vAlign w:val="center"/>
            <w:hideMark/>
          </w:tcPr>
          <w:p w14:paraId="5485D67B"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w:t>
            </w:r>
          </w:p>
        </w:tc>
        <w:tc>
          <w:tcPr>
            <w:tcW w:w="680" w:type="dxa"/>
            <w:tcBorders>
              <w:top w:val="single" w:sz="4" w:space="0" w:color="ADD6EA"/>
              <w:left w:val="nil"/>
              <w:bottom w:val="nil"/>
              <w:right w:val="nil"/>
            </w:tcBorders>
            <w:shd w:val="clear" w:color="000000" w:fill="FFFFFF"/>
            <w:vAlign w:val="center"/>
            <w:hideMark/>
          </w:tcPr>
          <w:p w14:paraId="2D8202C7"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-93</w:t>
            </w:r>
          </w:p>
        </w:tc>
        <w:tc>
          <w:tcPr>
            <w:tcW w:w="680" w:type="dxa"/>
            <w:tcBorders>
              <w:top w:val="single" w:sz="4" w:space="0" w:color="ADD6EA"/>
              <w:left w:val="nil"/>
              <w:bottom w:val="nil"/>
              <w:right w:val="nil"/>
            </w:tcBorders>
            <w:shd w:val="clear" w:color="000000" w:fill="FFFFFF"/>
            <w:vAlign w:val="center"/>
            <w:hideMark/>
          </w:tcPr>
          <w:p w14:paraId="6FB15AD1"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93</w:t>
            </w:r>
          </w:p>
        </w:tc>
        <w:tc>
          <w:tcPr>
            <w:tcW w:w="680" w:type="dxa"/>
            <w:tcBorders>
              <w:top w:val="single" w:sz="4" w:space="0" w:color="ADD6EA"/>
              <w:left w:val="nil"/>
              <w:bottom w:val="nil"/>
              <w:right w:val="nil"/>
            </w:tcBorders>
            <w:shd w:val="clear" w:color="000000" w:fill="FFFFFF"/>
            <w:vAlign w:val="center"/>
            <w:hideMark/>
          </w:tcPr>
          <w:p w14:paraId="01F5EB8E"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3,230</w:t>
            </w:r>
          </w:p>
        </w:tc>
      </w:tr>
      <w:tr w:rsidR="00907ECD" w:rsidRPr="00907ECD" w14:paraId="18F10C31" w14:textId="77777777" w:rsidTr="00907ECD">
        <w:trPr>
          <w:trHeight w:val="319"/>
        </w:trPr>
        <w:tc>
          <w:tcPr>
            <w:tcW w:w="2820" w:type="dxa"/>
            <w:tcBorders>
              <w:top w:val="single" w:sz="4" w:space="0" w:color="ADD6EA"/>
              <w:left w:val="nil"/>
              <w:bottom w:val="single" w:sz="4" w:space="0" w:color="ADD6EA"/>
              <w:right w:val="nil"/>
            </w:tcBorders>
            <w:shd w:val="clear" w:color="000000" w:fill="D6E7F0"/>
            <w:vAlign w:val="center"/>
            <w:hideMark/>
          </w:tcPr>
          <w:p w14:paraId="70745B84" w14:textId="77777777" w:rsidR="00907ECD" w:rsidRPr="00907ECD" w:rsidRDefault="00907ECD" w:rsidP="00907ECD">
            <w:pPr>
              <w:tabs>
                <w:tab w:val="clear" w:pos="567"/>
              </w:tabs>
              <w:spacing w:before="0" w:line="240" w:lineRule="auto"/>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Total</w:t>
            </w:r>
          </w:p>
        </w:tc>
        <w:tc>
          <w:tcPr>
            <w:tcW w:w="680" w:type="dxa"/>
            <w:tcBorders>
              <w:top w:val="single" w:sz="4" w:space="0" w:color="ADD6EA"/>
              <w:left w:val="nil"/>
              <w:bottom w:val="single" w:sz="4" w:space="0" w:color="ADD6EA"/>
              <w:right w:val="nil"/>
            </w:tcBorders>
            <w:shd w:val="clear" w:color="000000" w:fill="D6E7F0"/>
            <w:vAlign w:val="center"/>
            <w:hideMark/>
          </w:tcPr>
          <w:p w14:paraId="3AE7D6A2"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0</w:t>
            </w:r>
          </w:p>
        </w:tc>
        <w:tc>
          <w:tcPr>
            <w:tcW w:w="680" w:type="dxa"/>
            <w:tcBorders>
              <w:top w:val="single" w:sz="4" w:space="0" w:color="ADD6EA"/>
              <w:left w:val="nil"/>
              <w:bottom w:val="single" w:sz="4" w:space="0" w:color="ADD6EA"/>
              <w:right w:val="nil"/>
            </w:tcBorders>
            <w:shd w:val="clear" w:color="000000" w:fill="D6E7F0"/>
            <w:vAlign w:val="center"/>
            <w:hideMark/>
          </w:tcPr>
          <w:p w14:paraId="6B21CC1B"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2,675</w:t>
            </w:r>
          </w:p>
        </w:tc>
        <w:tc>
          <w:tcPr>
            <w:tcW w:w="680" w:type="dxa"/>
            <w:tcBorders>
              <w:top w:val="single" w:sz="4" w:space="0" w:color="ADD6EA"/>
              <w:left w:val="nil"/>
              <w:bottom w:val="single" w:sz="4" w:space="0" w:color="ADD6EA"/>
              <w:right w:val="nil"/>
            </w:tcBorders>
            <w:shd w:val="clear" w:color="000000" w:fill="D6E7F0"/>
            <w:vAlign w:val="center"/>
            <w:hideMark/>
          </w:tcPr>
          <w:p w14:paraId="0AA01E0D"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-3,391</w:t>
            </w:r>
          </w:p>
        </w:tc>
        <w:tc>
          <w:tcPr>
            <w:tcW w:w="680" w:type="dxa"/>
            <w:tcBorders>
              <w:top w:val="single" w:sz="4" w:space="0" w:color="ADD6EA"/>
              <w:left w:val="nil"/>
              <w:bottom w:val="single" w:sz="4" w:space="0" w:color="ADD6EA"/>
              <w:right w:val="nil"/>
            </w:tcBorders>
            <w:shd w:val="clear" w:color="000000" w:fill="D6E7F0"/>
            <w:vAlign w:val="center"/>
            <w:hideMark/>
          </w:tcPr>
          <w:p w14:paraId="3BAD7E1D"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706</w:t>
            </w:r>
          </w:p>
        </w:tc>
        <w:tc>
          <w:tcPr>
            <w:tcW w:w="680" w:type="dxa"/>
            <w:tcBorders>
              <w:top w:val="single" w:sz="4" w:space="0" w:color="ADD6EA"/>
              <w:left w:val="nil"/>
              <w:bottom w:val="single" w:sz="4" w:space="0" w:color="ADD6EA"/>
              <w:right w:val="nil"/>
            </w:tcBorders>
            <w:shd w:val="clear" w:color="000000" w:fill="D6E7F0"/>
            <w:vAlign w:val="center"/>
            <w:hideMark/>
          </w:tcPr>
          <w:p w14:paraId="09CBEA84"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-55</w:t>
            </w:r>
          </w:p>
        </w:tc>
        <w:tc>
          <w:tcPr>
            <w:tcW w:w="680" w:type="dxa"/>
            <w:tcBorders>
              <w:top w:val="single" w:sz="4" w:space="0" w:color="ADD6EA"/>
              <w:left w:val="nil"/>
              <w:bottom w:val="single" w:sz="4" w:space="0" w:color="ADD6EA"/>
              <w:right w:val="nil"/>
            </w:tcBorders>
            <w:shd w:val="clear" w:color="000000" w:fill="D6E7F0"/>
            <w:vAlign w:val="center"/>
            <w:hideMark/>
          </w:tcPr>
          <w:p w14:paraId="6EF08478"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34</w:t>
            </w:r>
          </w:p>
        </w:tc>
        <w:tc>
          <w:tcPr>
            <w:tcW w:w="680" w:type="dxa"/>
            <w:tcBorders>
              <w:top w:val="single" w:sz="4" w:space="0" w:color="ADD6EA"/>
              <w:left w:val="nil"/>
              <w:bottom w:val="single" w:sz="4" w:space="0" w:color="ADD6EA"/>
              <w:right w:val="nil"/>
            </w:tcBorders>
            <w:shd w:val="clear" w:color="000000" w:fill="D6E7F0"/>
            <w:vAlign w:val="center"/>
            <w:hideMark/>
          </w:tcPr>
          <w:p w14:paraId="1C16EA7B"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-42</w:t>
            </w:r>
          </w:p>
        </w:tc>
        <w:tc>
          <w:tcPr>
            <w:tcW w:w="680" w:type="dxa"/>
            <w:tcBorders>
              <w:top w:val="single" w:sz="4" w:space="0" w:color="ADD6EA"/>
              <w:left w:val="nil"/>
              <w:bottom w:val="single" w:sz="4" w:space="0" w:color="ADD6EA"/>
              <w:right w:val="nil"/>
            </w:tcBorders>
            <w:shd w:val="clear" w:color="000000" w:fill="D6E7F0"/>
            <w:vAlign w:val="center"/>
            <w:hideMark/>
          </w:tcPr>
          <w:p w14:paraId="362E1FF7"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73</w:t>
            </w:r>
          </w:p>
        </w:tc>
        <w:tc>
          <w:tcPr>
            <w:tcW w:w="680" w:type="dxa"/>
            <w:tcBorders>
              <w:top w:val="single" w:sz="4" w:space="0" w:color="ADD6EA"/>
              <w:left w:val="nil"/>
              <w:bottom w:val="single" w:sz="4" w:space="0" w:color="ADD6EA"/>
              <w:right w:val="nil"/>
            </w:tcBorders>
            <w:shd w:val="clear" w:color="000000" w:fill="D6E7F0"/>
            <w:vAlign w:val="center"/>
            <w:hideMark/>
          </w:tcPr>
          <w:p w14:paraId="228D11D0"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3,488</w:t>
            </w:r>
          </w:p>
        </w:tc>
      </w:tr>
    </w:tbl>
    <w:p w14:paraId="202F10E9" w14:textId="01180B21" w:rsidR="001C74DF" w:rsidRPr="00CB4080" w:rsidRDefault="001C74DF" w:rsidP="00FB2709">
      <w:pPr>
        <w:pStyle w:val="CGC2025TableNote"/>
        <w:numPr>
          <w:ilvl w:val="0"/>
          <w:numId w:val="27"/>
        </w:numPr>
      </w:pPr>
      <w:r w:rsidRPr="00CB4080">
        <w:t>Includes revisions in relative state circumstances and revisions in how much states collectively spend or raise.</w:t>
      </w:r>
    </w:p>
    <w:p w14:paraId="057214F0" w14:textId="41D7E4DC" w:rsidR="001C74DF" w:rsidRDefault="001C74DF" w:rsidP="00FB2709">
      <w:pPr>
        <w:pStyle w:val="CGC2025TableNote"/>
        <w:numPr>
          <w:ilvl w:val="0"/>
          <w:numId w:val="27"/>
        </w:numPr>
      </w:pPr>
      <w:r w:rsidRPr="00CB4080">
        <w:t>Includes changes in relative state circumstances and changes in how much states collectively spend or raise.</w:t>
      </w:r>
    </w:p>
    <w:p w14:paraId="049A00E0" w14:textId="77777777" w:rsidR="001C74DF" w:rsidRPr="000B20CC" w:rsidRDefault="001C74DF" w:rsidP="001C74DF">
      <w:r w:rsidRPr="00053936">
        <w:t>Changes in states’ revenue raising capacities and expense needs had the largest impacts on GST distribution (see Table 2-2).</w:t>
      </w:r>
    </w:p>
    <w:p w14:paraId="23204201" w14:textId="77777777" w:rsidR="001C74DF" w:rsidRPr="00CB4080" w:rsidRDefault="001C74DF" w:rsidP="00D977A3">
      <w:pPr>
        <w:pStyle w:val="CGC2025Caption"/>
      </w:pPr>
      <w:r w:rsidRPr="00CB4080">
        <w:t>Table 2-2</w:t>
      </w:r>
      <w:r w:rsidRPr="00CB4080">
        <w:tab/>
        <w:t>Composition of estimated changes in GST distribution, 2024–25 to 2025–26</w:t>
      </w:r>
    </w:p>
    <w:tbl>
      <w:tblPr>
        <w:tblW w:w="8940" w:type="dxa"/>
        <w:tblLook w:val="04A0" w:firstRow="1" w:lastRow="0" w:firstColumn="1" w:lastColumn="0" w:noHBand="0" w:noVBand="1"/>
      </w:tblPr>
      <w:tblGrid>
        <w:gridCol w:w="2820"/>
        <w:gridCol w:w="680"/>
        <w:gridCol w:w="680"/>
        <w:gridCol w:w="680"/>
        <w:gridCol w:w="680"/>
        <w:gridCol w:w="680"/>
        <w:gridCol w:w="680"/>
        <w:gridCol w:w="680"/>
        <w:gridCol w:w="680"/>
        <w:gridCol w:w="680"/>
      </w:tblGrid>
      <w:tr w:rsidR="00907ECD" w:rsidRPr="00907ECD" w14:paraId="73FE5E7B" w14:textId="77777777" w:rsidTr="00907ECD">
        <w:trPr>
          <w:trHeight w:val="555"/>
        </w:trPr>
        <w:tc>
          <w:tcPr>
            <w:tcW w:w="2820" w:type="dxa"/>
            <w:tcBorders>
              <w:top w:val="nil"/>
              <w:left w:val="nil"/>
              <w:bottom w:val="nil"/>
              <w:right w:val="nil"/>
            </w:tcBorders>
            <w:shd w:val="clear" w:color="000000" w:fill="006991"/>
            <w:vAlign w:val="center"/>
            <w:hideMark/>
          </w:tcPr>
          <w:p w14:paraId="7C5A785D" w14:textId="77777777" w:rsidR="00907ECD" w:rsidRPr="00907ECD" w:rsidRDefault="00907ECD" w:rsidP="00907ECD">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102" w:name="RANGE!A4:J13"/>
            <w:r w:rsidRPr="00907ECD">
              <w:rPr>
                <w:rFonts w:ascii="Open Sans Semibold" w:eastAsia="Times New Roman" w:hAnsi="Open Sans Semibold" w:cs="Open Sans Semibold"/>
                <w:color w:val="FFFFFF"/>
                <w:sz w:val="16"/>
                <w:szCs w:val="16"/>
                <w:lang w:eastAsia="en-AU"/>
              </w:rPr>
              <w:t> </w:t>
            </w:r>
            <w:bookmarkEnd w:id="102"/>
          </w:p>
        </w:tc>
        <w:tc>
          <w:tcPr>
            <w:tcW w:w="680" w:type="dxa"/>
            <w:tcBorders>
              <w:top w:val="nil"/>
              <w:left w:val="nil"/>
              <w:bottom w:val="nil"/>
              <w:right w:val="nil"/>
            </w:tcBorders>
            <w:shd w:val="clear" w:color="000000" w:fill="006991"/>
            <w:vAlign w:val="center"/>
            <w:hideMark/>
          </w:tcPr>
          <w:p w14:paraId="35C88CA2"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NSW</w:t>
            </w:r>
          </w:p>
        </w:tc>
        <w:tc>
          <w:tcPr>
            <w:tcW w:w="680" w:type="dxa"/>
            <w:tcBorders>
              <w:top w:val="nil"/>
              <w:left w:val="nil"/>
              <w:bottom w:val="nil"/>
              <w:right w:val="nil"/>
            </w:tcBorders>
            <w:shd w:val="clear" w:color="000000" w:fill="006991"/>
            <w:vAlign w:val="center"/>
            <w:hideMark/>
          </w:tcPr>
          <w:p w14:paraId="69C7FEA3"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Vic</w:t>
            </w:r>
          </w:p>
        </w:tc>
        <w:tc>
          <w:tcPr>
            <w:tcW w:w="680" w:type="dxa"/>
            <w:tcBorders>
              <w:top w:val="nil"/>
              <w:left w:val="nil"/>
              <w:bottom w:val="nil"/>
              <w:right w:val="nil"/>
            </w:tcBorders>
            <w:shd w:val="clear" w:color="000000" w:fill="006991"/>
            <w:vAlign w:val="center"/>
            <w:hideMark/>
          </w:tcPr>
          <w:p w14:paraId="3880A09C"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Qld</w:t>
            </w:r>
          </w:p>
        </w:tc>
        <w:tc>
          <w:tcPr>
            <w:tcW w:w="680" w:type="dxa"/>
            <w:tcBorders>
              <w:top w:val="nil"/>
              <w:left w:val="nil"/>
              <w:bottom w:val="nil"/>
              <w:right w:val="nil"/>
            </w:tcBorders>
            <w:shd w:val="clear" w:color="000000" w:fill="006991"/>
            <w:vAlign w:val="center"/>
            <w:hideMark/>
          </w:tcPr>
          <w:p w14:paraId="399E6201"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WA</w:t>
            </w:r>
          </w:p>
        </w:tc>
        <w:tc>
          <w:tcPr>
            <w:tcW w:w="680" w:type="dxa"/>
            <w:tcBorders>
              <w:top w:val="nil"/>
              <w:left w:val="nil"/>
              <w:bottom w:val="nil"/>
              <w:right w:val="nil"/>
            </w:tcBorders>
            <w:shd w:val="clear" w:color="000000" w:fill="006991"/>
            <w:vAlign w:val="center"/>
            <w:hideMark/>
          </w:tcPr>
          <w:p w14:paraId="0C229855"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SA</w:t>
            </w:r>
          </w:p>
        </w:tc>
        <w:tc>
          <w:tcPr>
            <w:tcW w:w="680" w:type="dxa"/>
            <w:tcBorders>
              <w:top w:val="nil"/>
              <w:left w:val="nil"/>
              <w:bottom w:val="nil"/>
              <w:right w:val="nil"/>
            </w:tcBorders>
            <w:shd w:val="clear" w:color="000000" w:fill="006991"/>
            <w:vAlign w:val="center"/>
            <w:hideMark/>
          </w:tcPr>
          <w:p w14:paraId="263AB1CC"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Tas</w:t>
            </w:r>
          </w:p>
        </w:tc>
        <w:tc>
          <w:tcPr>
            <w:tcW w:w="680" w:type="dxa"/>
            <w:tcBorders>
              <w:top w:val="nil"/>
              <w:left w:val="nil"/>
              <w:bottom w:val="nil"/>
              <w:right w:val="nil"/>
            </w:tcBorders>
            <w:shd w:val="clear" w:color="000000" w:fill="006991"/>
            <w:vAlign w:val="center"/>
            <w:hideMark/>
          </w:tcPr>
          <w:p w14:paraId="34C3AC70"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ACT</w:t>
            </w:r>
          </w:p>
        </w:tc>
        <w:tc>
          <w:tcPr>
            <w:tcW w:w="680" w:type="dxa"/>
            <w:tcBorders>
              <w:top w:val="nil"/>
              <w:left w:val="nil"/>
              <w:bottom w:val="nil"/>
              <w:right w:val="nil"/>
            </w:tcBorders>
            <w:shd w:val="clear" w:color="000000" w:fill="006991"/>
            <w:vAlign w:val="center"/>
            <w:hideMark/>
          </w:tcPr>
          <w:p w14:paraId="51BB098C"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NT</w:t>
            </w:r>
          </w:p>
        </w:tc>
        <w:tc>
          <w:tcPr>
            <w:tcW w:w="680" w:type="dxa"/>
            <w:tcBorders>
              <w:top w:val="nil"/>
              <w:left w:val="nil"/>
              <w:bottom w:val="nil"/>
              <w:right w:val="nil"/>
            </w:tcBorders>
            <w:shd w:val="clear" w:color="000000" w:fill="006991"/>
            <w:vAlign w:val="center"/>
            <w:hideMark/>
          </w:tcPr>
          <w:p w14:paraId="0F6A16EE"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07ECD">
              <w:rPr>
                <w:rFonts w:ascii="Open Sans Semibold" w:eastAsia="Times New Roman" w:hAnsi="Open Sans Semibold" w:cs="Open Sans Semibold"/>
                <w:color w:val="FFFFFF"/>
                <w:sz w:val="16"/>
                <w:szCs w:val="16"/>
                <w:lang w:eastAsia="en-AU"/>
              </w:rPr>
              <w:t>Total effect</w:t>
            </w:r>
          </w:p>
        </w:tc>
      </w:tr>
      <w:tr w:rsidR="00907ECD" w:rsidRPr="00907ECD" w14:paraId="19825CC1" w14:textId="77777777" w:rsidTr="00907ECD">
        <w:trPr>
          <w:trHeight w:val="259"/>
        </w:trPr>
        <w:tc>
          <w:tcPr>
            <w:tcW w:w="2820" w:type="dxa"/>
            <w:tcBorders>
              <w:top w:val="single" w:sz="4" w:space="0" w:color="ADD6EA"/>
              <w:left w:val="nil"/>
              <w:bottom w:val="nil"/>
              <w:right w:val="nil"/>
            </w:tcBorders>
            <w:shd w:val="clear" w:color="000000" w:fill="B6D5E4"/>
            <w:vAlign w:val="center"/>
            <w:hideMark/>
          </w:tcPr>
          <w:p w14:paraId="007B9377" w14:textId="77777777" w:rsidR="00907ECD" w:rsidRPr="00907ECD" w:rsidRDefault="00907ECD" w:rsidP="00907ECD">
            <w:pPr>
              <w:tabs>
                <w:tab w:val="clear" w:pos="567"/>
              </w:tabs>
              <w:spacing w:before="0" w:line="240" w:lineRule="auto"/>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 </w:t>
            </w:r>
          </w:p>
        </w:tc>
        <w:tc>
          <w:tcPr>
            <w:tcW w:w="680" w:type="dxa"/>
            <w:tcBorders>
              <w:top w:val="single" w:sz="4" w:space="0" w:color="ADD6EA"/>
              <w:left w:val="nil"/>
              <w:bottom w:val="nil"/>
              <w:right w:val="nil"/>
            </w:tcBorders>
            <w:shd w:val="clear" w:color="000000" w:fill="B6D5E4"/>
            <w:noWrap/>
            <w:vAlign w:val="center"/>
            <w:hideMark/>
          </w:tcPr>
          <w:p w14:paraId="1FD4FC99"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48EB2E2F"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015793B0"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17C97133"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26087617"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2DA7170D"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7E2C22E0"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7E42E910"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67F412CE"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$m</w:t>
            </w:r>
          </w:p>
        </w:tc>
      </w:tr>
      <w:tr w:rsidR="00907ECD" w:rsidRPr="00907ECD" w14:paraId="3D9207C4" w14:textId="77777777" w:rsidTr="00907ECD">
        <w:trPr>
          <w:trHeight w:val="315"/>
        </w:trPr>
        <w:tc>
          <w:tcPr>
            <w:tcW w:w="2820" w:type="dxa"/>
            <w:tcBorders>
              <w:top w:val="single" w:sz="4" w:space="0" w:color="ADD6EA"/>
              <w:left w:val="nil"/>
              <w:bottom w:val="nil"/>
              <w:right w:val="nil"/>
            </w:tcBorders>
            <w:shd w:val="clear" w:color="auto" w:fill="auto"/>
            <w:vAlign w:val="center"/>
            <w:hideMark/>
          </w:tcPr>
          <w:p w14:paraId="392D0B84" w14:textId="77777777" w:rsidR="00907ECD" w:rsidRPr="00907ECD" w:rsidRDefault="00907ECD" w:rsidP="00907ECD">
            <w:pPr>
              <w:tabs>
                <w:tab w:val="clear" w:pos="567"/>
              </w:tabs>
              <w:spacing w:before="0" w:line="240" w:lineRule="auto"/>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Expense needs</w:t>
            </w:r>
          </w:p>
        </w:tc>
        <w:tc>
          <w:tcPr>
            <w:tcW w:w="680" w:type="dxa"/>
            <w:tcBorders>
              <w:top w:val="single" w:sz="4" w:space="0" w:color="ADD6EA"/>
              <w:left w:val="nil"/>
              <w:bottom w:val="nil"/>
              <w:right w:val="nil"/>
            </w:tcBorders>
            <w:shd w:val="clear" w:color="auto" w:fill="auto"/>
            <w:noWrap/>
            <w:vAlign w:val="center"/>
            <w:hideMark/>
          </w:tcPr>
          <w:p w14:paraId="101F91A9"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1,323</w:t>
            </w:r>
          </w:p>
        </w:tc>
        <w:tc>
          <w:tcPr>
            <w:tcW w:w="680" w:type="dxa"/>
            <w:tcBorders>
              <w:top w:val="single" w:sz="4" w:space="0" w:color="ADD6EA"/>
              <w:left w:val="nil"/>
              <w:bottom w:val="nil"/>
              <w:right w:val="nil"/>
            </w:tcBorders>
            <w:shd w:val="clear" w:color="auto" w:fill="auto"/>
            <w:noWrap/>
            <w:vAlign w:val="center"/>
            <w:hideMark/>
          </w:tcPr>
          <w:p w14:paraId="2623B78B"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1,063</w:t>
            </w:r>
          </w:p>
        </w:tc>
        <w:tc>
          <w:tcPr>
            <w:tcW w:w="680" w:type="dxa"/>
            <w:tcBorders>
              <w:top w:val="single" w:sz="4" w:space="0" w:color="ADD6EA"/>
              <w:left w:val="nil"/>
              <w:bottom w:val="nil"/>
              <w:right w:val="nil"/>
            </w:tcBorders>
            <w:shd w:val="clear" w:color="auto" w:fill="auto"/>
            <w:noWrap/>
            <w:vAlign w:val="center"/>
            <w:hideMark/>
          </w:tcPr>
          <w:p w14:paraId="43451D59"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-1,318</w:t>
            </w:r>
          </w:p>
        </w:tc>
        <w:tc>
          <w:tcPr>
            <w:tcW w:w="680" w:type="dxa"/>
            <w:tcBorders>
              <w:top w:val="single" w:sz="4" w:space="0" w:color="ADD6EA"/>
              <w:left w:val="nil"/>
              <w:bottom w:val="nil"/>
              <w:right w:val="nil"/>
            </w:tcBorders>
            <w:shd w:val="clear" w:color="auto" w:fill="auto"/>
            <w:noWrap/>
            <w:vAlign w:val="center"/>
            <w:hideMark/>
          </w:tcPr>
          <w:p w14:paraId="4D83AE9B"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-747</w:t>
            </w:r>
          </w:p>
        </w:tc>
        <w:tc>
          <w:tcPr>
            <w:tcW w:w="680" w:type="dxa"/>
            <w:tcBorders>
              <w:top w:val="single" w:sz="4" w:space="0" w:color="ADD6EA"/>
              <w:left w:val="nil"/>
              <w:bottom w:val="nil"/>
              <w:right w:val="nil"/>
            </w:tcBorders>
            <w:shd w:val="clear" w:color="auto" w:fill="auto"/>
            <w:noWrap/>
            <w:vAlign w:val="center"/>
            <w:hideMark/>
          </w:tcPr>
          <w:p w14:paraId="4FCE50E4"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-422</w:t>
            </w:r>
          </w:p>
        </w:tc>
        <w:tc>
          <w:tcPr>
            <w:tcW w:w="680" w:type="dxa"/>
            <w:tcBorders>
              <w:top w:val="single" w:sz="4" w:space="0" w:color="ADD6EA"/>
              <w:left w:val="nil"/>
              <w:bottom w:val="nil"/>
              <w:right w:val="nil"/>
            </w:tcBorders>
            <w:shd w:val="clear" w:color="auto" w:fill="auto"/>
            <w:noWrap/>
            <w:vAlign w:val="center"/>
            <w:hideMark/>
          </w:tcPr>
          <w:p w14:paraId="390219D7"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46</w:t>
            </w:r>
          </w:p>
        </w:tc>
        <w:tc>
          <w:tcPr>
            <w:tcW w:w="680" w:type="dxa"/>
            <w:tcBorders>
              <w:top w:val="single" w:sz="4" w:space="0" w:color="ADD6EA"/>
              <w:left w:val="nil"/>
              <w:bottom w:val="nil"/>
              <w:right w:val="nil"/>
            </w:tcBorders>
            <w:shd w:val="clear" w:color="auto" w:fill="auto"/>
            <w:noWrap/>
            <w:vAlign w:val="center"/>
            <w:hideMark/>
          </w:tcPr>
          <w:p w14:paraId="20A60CDF"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18</w:t>
            </w:r>
          </w:p>
        </w:tc>
        <w:tc>
          <w:tcPr>
            <w:tcW w:w="680" w:type="dxa"/>
            <w:tcBorders>
              <w:top w:val="single" w:sz="4" w:space="0" w:color="ADD6EA"/>
              <w:left w:val="nil"/>
              <w:bottom w:val="nil"/>
              <w:right w:val="nil"/>
            </w:tcBorders>
            <w:shd w:val="clear" w:color="auto" w:fill="auto"/>
            <w:noWrap/>
            <w:vAlign w:val="center"/>
            <w:hideMark/>
          </w:tcPr>
          <w:p w14:paraId="1D489098"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37</w:t>
            </w:r>
          </w:p>
        </w:tc>
        <w:tc>
          <w:tcPr>
            <w:tcW w:w="680" w:type="dxa"/>
            <w:tcBorders>
              <w:top w:val="single" w:sz="4" w:space="0" w:color="ADD6EA"/>
              <w:left w:val="nil"/>
              <w:bottom w:val="nil"/>
              <w:right w:val="nil"/>
            </w:tcBorders>
            <w:shd w:val="clear" w:color="auto" w:fill="auto"/>
            <w:noWrap/>
            <w:vAlign w:val="center"/>
            <w:hideMark/>
          </w:tcPr>
          <w:p w14:paraId="03DFD8EF"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2,487</w:t>
            </w:r>
          </w:p>
        </w:tc>
      </w:tr>
      <w:tr w:rsidR="00907ECD" w:rsidRPr="00907ECD" w14:paraId="7FE54DED" w14:textId="77777777" w:rsidTr="00907ECD">
        <w:trPr>
          <w:trHeight w:val="315"/>
        </w:trPr>
        <w:tc>
          <w:tcPr>
            <w:tcW w:w="2820" w:type="dxa"/>
            <w:tcBorders>
              <w:top w:val="single" w:sz="4" w:space="0" w:color="ADD6EA"/>
              <w:left w:val="nil"/>
              <w:bottom w:val="nil"/>
              <w:right w:val="nil"/>
            </w:tcBorders>
            <w:shd w:val="clear" w:color="auto" w:fill="auto"/>
            <w:vAlign w:val="center"/>
            <w:hideMark/>
          </w:tcPr>
          <w:p w14:paraId="2640B3DC" w14:textId="77777777" w:rsidR="00907ECD" w:rsidRPr="00907ECD" w:rsidRDefault="00907ECD" w:rsidP="00907ECD">
            <w:pPr>
              <w:tabs>
                <w:tab w:val="clear" w:pos="567"/>
              </w:tabs>
              <w:spacing w:before="0" w:line="240" w:lineRule="auto"/>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Investment needs</w:t>
            </w:r>
          </w:p>
        </w:tc>
        <w:tc>
          <w:tcPr>
            <w:tcW w:w="680" w:type="dxa"/>
            <w:tcBorders>
              <w:top w:val="single" w:sz="4" w:space="0" w:color="ADD6EA"/>
              <w:left w:val="nil"/>
              <w:bottom w:val="nil"/>
              <w:right w:val="nil"/>
            </w:tcBorders>
            <w:shd w:val="clear" w:color="auto" w:fill="auto"/>
            <w:noWrap/>
            <w:vAlign w:val="center"/>
            <w:hideMark/>
          </w:tcPr>
          <w:p w14:paraId="1B40C79B"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-117</w:t>
            </w:r>
          </w:p>
        </w:tc>
        <w:tc>
          <w:tcPr>
            <w:tcW w:w="680" w:type="dxa"/>
            <w:tcBorders>
              <w:top w:val="single" w:sz="4" w:space="0" w:color="ADD6EA"/>
              <w:left w:val="nil"/>
              <w:bottom w:val="nil"/>
              <w:right w:val="nil"/>
            </w:tcBorders>
            <w:shd w:val="clear" w:color="auto" w:fill="auto"/>
            <w:noWrap/>
            <w:vAlign w:val="center"/>
            <w:hideMark/>
          </w:tcPr>
          <w:p w14:paraId="1F364021"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957</w:t>
            </w:r>
          </w:p>
        </w:tc>
        <w:tc>
          <w:tcPr>
            <w:tcW w:w="680" w:type="dxa"/>
            <w:tcBorders>
              <w:top w:val="single" w:sz="4" w:space="0" w:color="ADD6EA"/>
              <w:left w:val="nil"/>
              <w:bottom w:val="nil"/>
              <w:right w:val="nil"/>
            </w:tcBorders>
            <w:shd w:val="clear" w:color="auto" w:fill="auto"/>
            <w:noWrap/>
            <w:vAlign w:val="center"/>
            <w:hideMark/>
          </w:tcPr>
          <w:p w14:paraId="7F46FC04"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-532</w:t>
            </w:r>
          </w:p>
        </w:tc>
        <w:tc>
          <w:tcPr>
            <w:tcW w:w="680" w:type="dxa"/>
            <w:tcBorders>
              <w:top w:val="single" w:sz="4" w:space="0" w:color="ADD6EA"/>
              <w:left w:val="nil"/>
              <w:bottom w:val="nil"/>
              <w:right w:val="nil"/>
            </w:tcBorders>
            <w:shd w:val="clear" w:color="auto" w:fill="auto"/>
            <w:noWrap/>
            <w:vAlign w:val="center"/>
            <w:hideMark/>
          </w:tcPr>
          <w:p w14:paraId="613F10F9"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234</w:t>
            </w:r>
          </w:p>
        </w:tc>
        <w:tc>
          <w:tcPr>
            <w:tcW w:w="680" w:type="dxa"/>
            <w:tcBorders>
              <w:top w:val="single" w:sz="4" w:space="0" w:color="ADD6EA"/>
              <w:left w:val="nil"/>
              <w:bottom w:val="nil"/>
              <w:right w:val="nil"/>
            </w:tcBorders>
            <w:shd w:val="clear" w:color="auto" w:fill="auto"/>
            <w:noWrap/>
            <w:vAlign w:val="center"/>
            <w:hideMark/>
          </w:tcPr>
          <w:p w14:paraId="4B7B1379"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-229</w:t>
            </w:r>
          </w:p>
        </w:tc>
        <w:tc>
          <w:tcPr>
            <w:tcW w:w="680" w:type="dxa"/>
            <w:tcBorders>
              <w:top w:val="single" w:sz="4" w:space="0" w:color="ADD6EA"/>
              <w:left w:val="nil"/>
              <w:bottom w:val="nil"/>
              <w:right w:val="nil"/>
            </w:tcBorders>
            <w:shd w:val="clear" w:color="auto" w:fill="auto"/>
            <w:noWrap/>
            <w:vAlign w:val="center"/>
            <w:hideMark/>
          </w:tcPr>
          <w:p w14:paraId="4BA6DBD4"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-128</w:t>
            </w:r>
          </w:p>
        </w:tc>
        <w:tc>
          <w:tcPr>
            <w:tcW w:w="680" w:type="dxa"/>
            <w:tcBorders>
              <w:top w:val="single" w:sz="4" w:space="0" w:color="ADD6EA"/>
              <w:left w:val="nil"/>
              <w:bottom w:val="nil"/>
              <w:right w:val="nil"/>
            </w:tcBorders>
            <w:shd w:val="clear" w:color="auto" w:fill="auto"/>
            <w:noWrap/>
            <w:vAlign w:val="center"/>
            <w:hideMark/>
          </w:tcPr>
          <w:p w14:paraId="5B4C29CF"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-153</w:t>
            </w:r>
          </w:p>
        </w:tc>
        <w:tc>
          <w:tcPr>
            <w:tcW w:w="680" w:type="dxa"/>
            <w:tcBorders>
              <w:top w:val="single" w:sz="4" w:space="0" w:color="ADD6EA"/>
              <w:left w:val="nil"/>
              <w:bottom w:val="nil"/>
              <w:right w:val="nil"/>
            </w:tcBorders>
            <w:shd w:val="clear" w:color="auto" w:fill="auto"/>
            <w:noWrap/>
            <w:vAlign w:val="center"/>
            <w:hideMark/>
          </w:tcPr>
          <w:p w14:paraId="13ECC338"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-32</w:t>
            </w:r>
          </w:p>
        </w:tc>
        <w:tc>
          <w:tcPr>
            <w:tcW w:w="680" w:type="dxa"/>
            <w:tcBorders>
              <w:top w:val="single" w:sz="4" w:space="0" w:color="ADD6EA"/>
              <w:left w:val="nil"/>
              <w:bottom w:val="nil"/>
              <w:right w:val="nil"/>
            </w:tcBorders>
            <w:shd w:val="clear" w:color="auto" w:fill="auto"/>
            <w:noWrap/>
            <w:vAlign w:val="center"/>
            <w:hideMark/>
          </w:tcPr>
          <w:p w14:paraId="7D09E6B9"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1,191</w:t>
            </w:r>
          </w:p>
        </w:tc>
      </w:tr>
      <w:tr w:rsidR="00907ECD" w:rsidRPr="00907ECD" w14:paraId="1E897005" w14:textId="77777777" w:rsidTr="00907ECD">
        <w:trPr>
          <w:trHeight w:val="315"/>
        </w:trPr>
        <w:tc>
          <w:tcPr>
            <w:tcW w:w="2820" w:type="dxa"/>
            <w:tcBorders>
              <w:top w:val="single" w:sz="4" w:space="0" w:color="ADD6EA"/>
              <w:left w:val="nil"/>
              <w:bottom w:val="nil"/>
              <w:right w:val="nil"/>
            </w:tcBorders>
            <w:shd w:val="clear" w:color="auto" w:fill="auto"/>
            <w:vAlign w:val="center"/>
            <w:hideMark/>
          </w:tcPr>
          <w:p w14:paraId="1AEB6DB8" w14:textId="77777777" w:rsidR="00907ECD" w:rsidRPr="00907ECD" w:rsidRDefault="00907ECD" w:rsidP="00907ECD">
            <w:pPr>
              <w:tabs>
                <w:tab w:val="clear" w:pos="567"/>
              </w:tabs>
              <w:spacing w:before="0" w:line="240" w:lineRule="auto"/>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Net borrowing</w:t>
            </w:r>
          </w:p>
        </w:tc>
        <w:tc>
          <w:tcPr>
            <w:tcW w:w="680" w:type="dxa"/>
            <w:tcBorders>
              <w:top w:val="single" w:sz="4" w:space="0" w:color="ADD6EA"/>
              <w:left w:val="nil"/>
              <w:bottom w:val="nil"/>
              <w:right w:val="nil"/>
            </w:tcBorders>
            <w:shd w:val="clear" w:color="auto" w:fill="auto"/>
            <w:noWrap/>
            <w:vAlign w:val="center"/>
            <w:hideMark/>
          </w:tcPr>
          <w:p w14:paraId="54DCDF9E"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-22</w:t>
            </w:r>
          </w:p>
        </w:tc>
        <w:tc>
          <w:tcPr>
            <w:tcW w:w="680" w:type="dxa"/>
            <w:tcBorders>
              <w:top w:val="single" w:sz="4" w:space="0" w:color="ADD6EA"/>
              <w:left w:val="nil"/>
              <w:bottom w:val="nil"/>
              <w:right w:val="nil"/>
            </w:tcBorders>
            <w:shd w:val="clear" w:color="auto" w:fill="auto"/>
            <w:noWrap/>
            <w:vAlign w:val="center"/>
            <w:hideMark/>
          </w:tcPr>
          <w:p w14:paraId="387B9DF2"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-225</w:t>
            </w:r>
          </w:p>
        </w:tc>
        <w:tc>
          <w:tcPr>
            <w:tcW w:w="680" w:type="dxa"/>
            <w:tcBorders>
              <w:top w:val="single" w:sz="4" w:space="0" w:color="ADD6EA"/>
              <w:left w:val="nil"/>
              <w:bottom w:val="nil"/>
              <w:right w:val="nil"/>
            </w:tcBorders>
            <w:shd w:val="clear" w:color="auto" w:fill="auto"/>
            <w:noWrap/>
            <w:vAlign w:val="center"/>
            <w:hideMark/>
          </w:tcPr>
          <w:p w14:paraId="796715D1"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90</w:t>
            </w:r>
          </w:p>
        </w:tc>
        <w:tc>
          <w:tcPr>
            <w:tcW w:w="680" w:type="dxa"/>
            <w:tcBorders>
              <w:top w:val="single" w:sz="4" w:space="0" w:color="ADD6EA"/>
              <w:left w:val="nil"/>
              <w:bottom w:val="nil"/>
              <w:right w:val="nil"/>
            </w:tcBorders>
            <w:shd w:val="clear" w:color="auto" w:fill="auto"/>
            <w:noWrap/>
            <w:vAlign w:val="center"/>
            <w:hideMark/>
          </w:tcPr>
          <w:p w14:paraId="02BCE904"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-9</w:t>
            </w:r>
          </w:p>
        </w:tc>
        <w:tc>
          <w:tcPr>
            <w:tcW w:w="680" w:type="dxa"/>
            <w:tcBorders>
              <w:top w:val="single" w:sz="4" w:space="0" w:color="ADD6EA"/>
              <w:left w:val="nil"/>
              <w:bottom w:val="nil"/>
              <w:right w:val="nil"/>
            </w:tcBorders>
            <w:shd w:val="clear" w:color="auto" w:fill="auto"/>
            <w:noWrap/>
            <w:vAlign w:val="center"/>
            <w:hideMark/>
          </w:tcPr>
          <w:p w14:paraId="2443FC1F"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74</w:t>
            </w:r>
          </w:p>
        </w:tc>
        <w:tc>
          <w:tcPr>
            <w:tcW w:w="680" w:type="dxa"/>
            <w:tcBorders>
              <w:top w:val="single" w:sz="4" w:space="0" w:color="ADD6EA"/>
              <w:left w:val="nil"/>
              <w:bottom w:val="nil"/>
              <w:right w:val="nil"/>
            </w:tcBorders>
            <w:shd w:val="clear" w:color="auto" w:fill="auto"/>
            <w:noWrap/>
            <w:vAlign w:val="center"/>
            <w:hideMark/>
          </w:tcPr>
          <w:p w14:paraId="5F2BF78C"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56</w:t>
            </w:r>
          </w:p>
        </w:tc>
        <w:tc>
          <w:tcPr>
            <w:tcW w:w="680" w:type="dxa"/>
            <w:tcBorders>
              <w:top w:val="single" w:sz="4" w:space="0" w:color="ADD6EA"/>
              <w:left w:val="nil"/>
              <w:bottom w:val="nil"/>
              <w:right w:val="nil"/>
            </w:tcBorders>
            <w:shd w:val="clear" w:color="auto" w:fill="auto"/>
            <w:noWrap/>
            <w:vAlign w:val="center"/>
            <w:hideMark/>
          </w:tcPr>
          <w:p w14:paraId="34C48EE0"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26</w:t>
            </w:r>
          </w:p>
        </w:tc>
        <w:tc>
          <w:tcPr>
            <w:tcW w:w="680" w:type="dxa"/>
            <w:tcBorders>
              <w:top w:val="single" w:sz="4" w:space="0" w:color="ADD6EA"/>
              <w:left w:val="nil"/>
              <w:bottom w:val="nil"/>
              <w:right w:val="nil"/>
            </w:tcBorders>
            <w:shd w:val="clear" w:color="auto" w:fill="auto"/>
            <w:noWrap/>
            <w:vAlign w:val="center"/>
            <w:hideMark/>
          </w:tcPr>
          <w:p w14:paraId="73A9F91E"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11</w:t>
            </w:r>
          </w:p>
        </w:tc>
        <w:tc>
          <w:tcPr>
            <w:tcW w:w="680" w:type="dxa"/>
            <w:tcBorders>
              <w:top w:val="single" w:sz="4" w:space="0" w:color="ADD6EA"/>
              <w:left w:val="nil"/>
              <w:bottom w:val="nil"/>
              <w:right w:val="nil"/>
            </w:tcBorders>
            <w:shd w:val="clear" w:color="auto" w:fill="auto"/>
            <w:noWrap/>
            <w:vAlign w:val="center"/>
            <w:hideMark/>
          </w:tcPr>
          <w:p w14:paraId="5AC6FA9E"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257</w:t>
            </w:r>
          </w:p>
        </w:tc>
      </w:tr>
      <w:tr w:rsidR="00907ECD" w:rsidRPr="00907ECD" w14:paraId="26E7009E" w14:textId="77777777" w:rsidTr="00907ECD">
        <w:trPr>
          <w:trHeight w:val="315"/>
        </w:trPr>
        <w:tc>
          <w:tcPr>
            <w:tcW w:w="2820" w:type="dxa"/>
            <w:tcBorders>
              <w:top w:val="single" w:sz="4" w:space="0" w:color="ADD6EA"/>
              <w:left w:val="nil"/>
              <w:bottom w:val="nil"/>
              <w:right w:val="nil"/>
            </w:tcBorders>
            <w:shd w:val="clear" w:color="auto" w:fill="auto"/>
            <w:vAlign w:val="center"/>
            <w:hideMark/>
          </w:tcPr>
          <w:p w14:paraId="199B2385" w14:textId="77777777" w:rsidR="00907ECD" w:rsidRPr="00907ECD" w:rsidRDefault="00907ECD" w:rsidP="00907ECD">
            <w:pPr>
              <w:tabs>
                <w:tab w:val="clear" w:pos="567"/>
              </w:tabs>
              <w:spacing w:before="0" w:line="240" w:lineRule="auto"/>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Revenue raising capacity</w:t>
            </w:r>
          </w:p>
        </w:tc>
        <w:tc>
          <w:tcPr>
            <w:tcW w:w="680" w:type="dxa"/>
            <w:tcBorders>
              <w:top w:val="single" w:sz="4" w:space="0" w:color="ADD6EA"/>
              <w:left w:val="nil"/>
              <w:bottom w:val="nil"/>
              <w:right w:val="nil"/>
            </w:tcBorders>
            <w:shd w:val="clear" w:color="auto" w:fill="auto"/>
            <w:vAlign w:val="center"/>
            <w:hideMark/>
          </w:tcPr>
          <w:p w14:paraId="6FAE6587"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-347</w:t>
            </w:r>
          </w:p>
        </w:tc>
        <w:tc>
          <w:tcPr>
            <w:tcW w:w="680" w:type="dxa"/>
            <w:tcBorders>
              <w:top w:val="single" w:sz="4" w:space="0" w:color="ADD6EA"/>
              <w:left w:val="nil"/>
              <w:bottom w:val="nil"/>
              <w:right w:val="nil"/>
            </w:tcBorders>
            <w:shd w:val="clear" w:color="auto" w:fill="auto"/>
            <w:vAlign w:val="center"/>
            <w:hideMark/>
          </w:tcPr>
          <w:p w14:paraId="1079DF70"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1,393</w:t>
            </w:r>
          </w:p>
        </w:tc>
        <w:tc>
          <w:tcPr>
            <w:tcW w:w="680" w:type="dxa"/>
            <w:tcBorders>
              <w:top w:val="single" w:sz="4" w:space="0" w:color="ADD6EA"/>
              <w:left w:val="nil"/>
              <w:bottom w:val="nil"/>
              <w:right w:val="nil"/>
            </w:tcBorders>
            <w:shd w:val="clear" w:color="auto" w:fill="auto"/>
            <w:vAlign w:val="center"/>
            <w:hideMark/>
          </w:tcPr>
          <w:p w14:paraId="2E7D74AD"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-2,557</w:t>
            </w:r>
          </w:p>
        </w:tc>
        <w:tc>
          <w:tcPr>
            <w:tcW w:w="680" w:type="dxa"/>
            <w:tcBorders>
              <w:top w:val="single" w:sz="4" w:space="0" w:color="ADD6EA"/>
              <w:left w:val="nil"/>
              <w:bottom w:val="nil"/>
              <w:right w:val="nil"/>
            </w:tcBorders>
            <w:shd w:val="clear" w:color="auto" w:fill="auto"/>
            <w:vAlign w:val="center"/>
            <w:hideMark/>
          </w:tcPr>
          <w:p w14:paraId="1DF1D20A"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1,039</w:t>
            </w:r>
          </w:p>
        </w:tc>
        <w:tc>
          <w:tcPr>
            <w:tcW w:w="680" w:type="dxa"/>
            <w:tcBorders>
              <w:top w:val="single" w:sz="4" w:space="0" w:color="ADD6EA"/>
              <w:left w:val="nil"/>
              <w:bottom w:val="nil"/>
              <w:right w:val="nil"/>
            </w:tcBorders>
            <w:shd w:val="clear" w:color="auto" w:fill="auto"/>
            <w:vAlign w:val="center"/>
            <w:hideMark/>
          </w:tcPr>
          <w:p w14:paraId="61137E28"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249</w:t>
            </w:r>
          </w:p>
        </w:tc>
        <w:tc>
          <w:tcPr>
            <w:tcW w:w="680" w:type="dxa"/>
            <w:tcBorders>
              <w:top w:val="single" w:sz="4" w:space="0" w:color="ADD6EA"/>
              <w:left w:val="nil"/>
              <w:bottom w:val="nil"/>
              <w:right w:val="nil"/>
            </w:tcBorders>
            <w:shd w:val="clear" w:color="auto" w:fill="auto"/>
            <w:vAlign w:val="center"/>
            <w:hideMark/>
          </w:tcPr>
          <w:p w14:paraId="43DBAB09"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70</w:t>
            </w:r>
          </w:p>
        </w:tc>
        <w:tc>
          <w:tcPr>
            <w:tcW w:w="680" w:type="dxa"/>
            <w:tcBorders>
              <w:top w:val="single" w:sz="4" w:space="0" w:color="ADD6EA"/>
              <w:left w:val="nil"/>
              <w:bottom w:val="nil"/>
              <w:right w:val="nil"/>
            </w:tcBorders>
            <w:shd w:val="clear" w:color="auto" w:fill="auto"/>
            <w:vAlign w:val="center"/>
            <w:hideMark/>
          </w:tcPr>
          <w:p w14:paraId="5D3D3E53"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100</w:t>
            </w:r>
          </w:p>
        </w:tc>
        <w:tc>
          <w:tcPr>
            <w:tcW w:w="680" w:type="dxa"/>
            <w:tcBorders>
              <w:top w:val="single" w:sz="4" w:space="0" w:color="ADD6EA"/>
              <w:left w:val="nil"/>
              <w:bottom w:val="nil"/>
              <w:right w:val="nil"/>
            </w:tcBorders>
            <w:shd w:val="clear" w:color="auto" w:fill="auto"/>
            <w:vAlign w:val="center"/>
            <w:hideMark/>
          </w:tcPr>
          <w:p w14:paraId="118CEFFD"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52</w:t>
            </w:r>
          </w:p>
        </w:tc>
        <w:tc>
          <w:tcPr>
            <w:tcW w:w="680" w:type="dxa"/>
            <w:tcBorders>
              <w:top w:val="single" w:sz="4" w:space="0" w:color="ADD6EA"/>
              <w:left w:val="nil"/>
              <w:bottom w:val="nil"/>
              <w:right w:val="nil"/>
            </w:tcBorders>
            <w:shd w:val="clear" w:color="auto" w:fill="auto"/>
            <w:vAlign w:val="center"/>
            <w:hideMark/>
          </w:tcPr>
          <w:p w14:paraId="66DF7DB9"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2,904</w:t>
            </w:r>
          </w:p>
        </w:tc>
      </w:tr>
      <w:tr w:rsidR="00907ECD" w:rsidRPr="00907ECD" w14:paraId="4804B25D" w14:textId="77777777" w:rsidTr="00907ECD">
        <w:trPr>
          <w:trHeight w:val="315"/>
        </w:trPr>
        <w:tc>
          <w:tcPr>
            <w:tcW w:w="2820" w:type="dxa"/>
            <w:tcBorders>
              <w:top w:val="single" w:sz="4" w:space="0" w:color="ADD6EA"/>
              <w:left w:val="nil"/>
              <w:bottom w:val="nil"/>
              <w:right w:val="nil"/>
            </w:tcBorders>
            <w:shd w:val="clear" w:color="auto" w:fill="auto"/>
            <w:vAlign w:val="center"/>
            <w:hideMark/>
          </w:tcPr>
          <w:p w14:paraId="070F8225" w14:textId="77777777" w:rsidR="00907ECD" w:rsidRPr="00907ECD" w:rsidRDefault="00907ECD" w:rsidP="00907ECD">
            <w:pPr>
              <w:tabs>
                <w:tab w:val="clear" w:pos="567"/>
              </w:tabs>
              <w:spacing w:before="0" w:line="240" w:lineRule="auto"/>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Commonwealth payments</w:t>
            </w:r>
          </w:p>
        </w:tc>
        <w:tc>
          <w:tcPr>
            <w:tcW w:w="680" w:type="dxa"/>
            <w:tcBorders>
              <w:top w:val="single" w:sz="4" w:space="0" w:color="ADD6EA"/>
              <w:left w:val="nil"/>
              <w:bottom w:val="nil"/>
              <w:right w:val="nil"/>
            </w:tcBorders>
            <w:shd w:val="clear" w:color="auto" w:fill="auto"/>
            <w:noWrap/>
            <w:vAlign w:val="center"/>
            <w:hideMark/>
          </w:tcPr>
          <w:p w14:paraId="7900899F"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-838</w:t>
            </w:r>
          </w:p>
        </w:tc>
        <w:tc>
          <w:tcPr>
            <w:tcW w:w="680" w:type="dxa"/>
            <w:tcBorders>
              <w:top w:val="single" w:sz="4" w:space="0" w:color="ADD6EA"/>
              <w:left w:val="nil"/>
              <w:bottom w:val="nil"/>
              <w:right w:val="nil"/>
            </w:tcBorders>
            <w:shd w:val="clear" w:color="auto" w:fill="auto"/>
            <w:noWrap/>
            <w:vAlign w:val="center"/>
            <w:hideMark/>
          </w:tcPr>
          <w:p w14:paraId="24ACA435"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-510</w:t>
            </w:r>
          </w:p>
        </w:tc>
        <w:tc>
          <w:tcPr>
            <w:tcW w:w="680" w:type="dxa"/>
            <w:tcBorders>
              <w:top w:val="single" w:sz="4" w:space="0" w:color="ADD6EA"/>
              <w:left w:val="nil"/>
              <w:bottom w:val="nil"/>
              <w:right w:val="nil"/>
            </w:tcBorders>
            <w:shd w:val="clear" w:color="auto" w:fill="auto"/>
            <w:noWrap/>
            <w:vAlign w:val="center"/>
            <w:hideMark/>
          </w:tcPr>
          <w:p w14:paraId="0E243A15"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925</w:t>
            </w:r>
          </w:p>
        </w:tc>
        <w:tc>
          <w:tcPr>
            <w:tcW w:w="680" w:type="dxa"/>
            <w:tcBorders>
              <w:top w:val="single" w:sz="4" w:space="0" w:color="ADD6EA"/>
              <w:left w:val="nil"/>
              <w:bottom w:val="nil"/>
              <w:right w:val="nil"/>
            </w:tcBorders>
            <w:shd w:val="clear" w:color="auto" w:fill="auto"/>
            <w:noWrap/>
            <w:vAlign w:val="center"/>
            <w:hideMark/>
          </w:tcPr>
          <w:p w14:paraId="1ED4ED48"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190</w:t>
            </w:r>
          </w:p>
        </w:tc>
        <w:tc>
          <w:tcPr>
            <w:tcW w:w="680" w:type="dxa"/>
            <w:tcBorders>
              <w:top w:val="single" w:sz="4" w:space="0" w:color="ADD6EA"/>
              <w:left w:val="nil"/>
              <w:bottom w:val="nil"/>
              <w:right w:val="nil"/>
            </w:tcBorders>
            <w:shd w:val="clear" w:color="auto" w:fill="auto"/>
            <w:noWrap/>
            <w:vAlign w:val="center"/>
            <w:hideMark/>
          </w:tcPr>
          <w:p w14:paraId="699F98BA"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274</w:t>
            </w:r>
          </w:p>
        </w:tc>
        <w:tc>
          <w:tcPr>
            <w:tcW w:w="680" w:type="dxa"/>
            <w:tcBorders>
              <w:top w:val="single" w:sz="4" w:space="0" w:color="ADD6EA"/>
              <w:left w:val="nil"/>
              <w:bottom w:val="nil"/>
              <w:right w:val="nil"/>
            </w:tcBorders>
            <w:shd w:val="clear" w:color="auto" w:fill="auto"/>
            <w:noWrap/>
            <w:vAlign w:val="center"/>
            <w:hideMark/>
          </w:tcPr>
          <w:p w14:paraId="2AB312E7"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-10</w:t>
            </w:r>
          </w:p>
        </w:tc>
        <w:tc>
          <w:tcPr>
            <w:tcW w:w="680" w:type="dxa"/>
            <w:tcBorders>
              <w:top w:val="single" w:sz="4" w:space="0" w:color="ADD6EA"/>
              <w:left w:val="nil"/>
              <w:bottom w:val="nil"/>
              <w:right w:val="nil"/>
            </w:tcBorders>
            <w:shd w:val="clear" w:color="auto" w:fill="auto"/>
            <w:noWrap/>
            <w:vAlign w:val="center"/>
            <w:hideMark/>
          </w:tcPr>
          <w:p w14:paraId="32E90102"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-34</w:t>
            </w:r>
          </w:p>
        </w:tc>
        <w:tc>
          <w:tcPr>
            <w:tcW w:w="680" w:type="dxa"/>
            <w:tcBorders>
              <w:top w:val="single" w:sz="4" w:space="0" w:color="ADD6EA"/>
              <w:left w:val="nil"/>
              <w:bottom w:val="nil"/>
              <w:right w:val="nil"/>
            </w:tcBorders>
            <w:shd w:val="clear" w:color="auto" w:fill="auto"/>
            <w:noWrap/>
            <w:vAlign w:val="center"/>
            <w:hideMark/>
          </w:tcPr>
          <w:p w14:paraId="2FD88271"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4</w:t>
            </w:r>
          </w:p>
        </w:tc>
        <w:tc>
          <w:tcPr>
            <w:tcW w:w="680" w:type="dxa"/>
            <w:tcBorders>
              <w:top w:val="single" w:sz="4" w:space="0" w:color="ADD6EA"/>
              <w:left w:val="nil"/>
              <w:bottom w:val="nil"/>
              <w:right w:val="nil"/>
            </w:tcBorders>
            <w:shd w:val="clear" w:color="auto" w:fill="auto"/>
            <w:noWrap/>
            <w:vAlign w:val="center"/>
            <w:hideMark/>
          </w:tcPr>
          <w:p w14:paraId="2011054A"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1,393</w:t>
            </w:r>
          </w:p>
        </w:tc>
      </w:tr>
      <w:tr w:rsidR="00907ECD" w:rsidRPr="00907ECD" w14:paraId="4A0AE2F5" w14:textId="77777777" w:rsidTr="00907ECD">
        <w:trPr>
          <w:trHeight w:val="315"/>
        </w:trPr>
        <w:tc>
          <w:tcPr>
            <w:tcW w:w="2820" w:type="dxa"/>
            <w:tcBorders>
              <w:top w:val="single" w:sz="4" w:space="0" w:color="ADD6EA"/>
              <w:left w:val="nil"/>
              <w:bottom w:val="single" w:sz="4" w:space="0" w:color="ADD6EA"/>
              <w:right w:val="nil"/>
            </w:tcBorders>
            <w:shd w:val="clear" w:color="000000" w:fill="D6E7F0"/>
            <w:vAlign w:val="center"/>
            <w:hideMark/>
          </w:tcPr>
          <w:p w14:paraId="773B6263" w14:textId="77777777" w:rsidR="00907ECD" w:rsidRPr="00907ECD" w:rsidRDefault="00907ECD" w:rsidP="00907ECD">
            <w:pPr>
              <w:tabs>
                <w:tab w:val="clear" w:pos="567"/>
              </w:tabs>
              <w:spacing w:before="0" w:line="240" w:lineRule="auto"/>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Change in assessed relativities</w:t>
            </w:r>
          </w:p>
        </w:tc>
        <w:tc>
          <w:tcPr>
            <w:tcW w:w="680" w:type="dxa"/>
            <w:tcBorders>
              <w:top w:val="single" w:sz="4" w:space="0" w:color="ADD6EA"/>
              <w:left w:val="nil"/>
              <w:bottom w:val="single" w:sz="4" w:space="0" w:color="ADD6EA"/>
              <w:right w:val="nil"/>
            </w:tcBorders>
            <w:shd w:val="clear" w:color="000000" w:fill="D6E7F0"/>
            <w:noWrap/>
            <w:vAlign w:val="center"/>
            <w:hideMark/>
          </w:tcPr>
          <w:p w14:paraId="3C3A708B"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0</w:t>
            </w:r>
          </w:p>
        </w:tc>
        <w:tc>
          <w:tcPr>
            <w:tcW w:w="680" w:type="dxa"/>
            <w:tcBorders>
              <w:top w:val="single" w:sz="4" w:space="0" w:color="ADD6EA"/>
              <w:left w:val="nil"/>
              <w:bottom w:val="single" w:sz="4" w:space="0" w:color="ADD6EA"/>
              <w:right w:val="nil"/>
            </w:tcBorders>
            <w:shd w:val="clear" w:color="000000" w:fill="D6E7F0"/>
            <w:noWrap/>
            <w:vAlign w:val="center"/>
            <w:hideMark/>
          </w:tcPr>
          <w:p w14:paraId="28FC52A6"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2,675</w:t>
            </w:r>
          </w:p>
        </w:tc>
        <w:tc>
          <w:tcPr>
            <w:tcW w:w="680" w:type="dxa"/>
            <w:tcBorders>
              <w:top w:val="single" w:sz="4" w:space="0" w:color="ADD6EA"/>
              <w:left w:val="nil"/>
              <w:bottom w:val="single" w:sz="4" w:space="0" w:color="ADD6EA"/>
              <w:right w:val="nil"/>
            </w:tcBorders>
            <w:shd w:val="clear" w:color="000000" w:fill="D6E7F0"/>
            <w:noWrap/>
            <w:vAlign w:val="center"/>
            <w:hideMark/>
          </w:tcPr>
          <w:p w14:paraId="72FB6F16"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-3,391</w:t>
            </w:r>
          </w:p>
        </w:tc>
        <w:tc>
          <w:tcPr>
            <w:tcW w:w="680" w:type="dxa"/>
            <w:tcBorders>
              <w:top w:val="single" w:sz="4" w:space="0" w:color="ADD6EA"/>
              <w:left w:val="nil"/>
              <w:bottom w:val="single" w:sz="4" w:space="0" w:color="ADD6EA"/>
              <w:right w:val="nil"/>
            </w:tcBorders>
            <w:shd w:val="clear" w:color="000000" w:fill="D6E7F0"/>
            <w:noWrap/>
            <w:vAlign w:val="center"/>
            <w:hideMark/>
          </w:tcPr>
          <w:p w14:paraId="32E19574"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706</w:t>
            </w:r>
          </w:p>
        </w:tc>
        <w:tc>
          <w:tcPr>
            <w:tcW w:w="680" w:type="dxa"/>
            <w:tcBorders>
              <w:top w:val="single" w:sz="4" w:space="0" w:color="ADD6EA"/>
              <w:left w:val="nil"/>
              <w:bottom w:val="single" w:sz="4" w:space="0" w:color="ADD6EA"/>
              <w:right w:val="nil"/>
            </w:tcBorders>
            <w:shd w:val="clear" w:color="000000" w:fill="D6E7F0"/>
            <w:noWrap/>
            <w:vAlign w:val="center"/>
            <w:hideMark/>
          </w:tcPr>
          <w:p w14:paraId="132F63BA"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-55</w:t>
            </w:r>
          </w:p>
        </w:tc>
        <w:tc>
          <w:tcPr>
            <w:tcW w:w="680" w:type="dxa"/>
            <w:tcBorders>
              <w:top w:val="single" w:sz="4" w:space="0" w:color="ADD6EA"/>
              <w:left w:val="nil"/>
              <w:bottom w:val="single" w:sz="4" w:space="0" w:color="ADD6EA"/>
              <w:right w:val="nil"/>
            </w:tcBorders>
            <w:shd w:val="clear" w:color="000000" w:fill="D6E7F0"/>
            <w:noWrap/>
            <w:vAlign w:val="center"/>
            <w:hideMark/>
          </w:tcPr>
          <w:p w14:paraId="1C118F38"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34</w:t>
            </w:r>
          </w:p>
        </w:tc>
        <w:tc>
          <w:tcPr>
            <w:tcW w:w="680" w:type="dxa"/>
            <w:tcBorders>
              <w:top w:val="single" w:sz="4" w:space="0" w:color="ADD6EA"/>
              <w:left w:val="nil"/>
              <w:bottom w:val="single" w:sz="4" w:space="0" w:color="ADD6EA"/>
              <w:right w:val="nil"/>
            </w:tcBorders>
            <w:shd w:val="clear" w:color="000000" w:fill="D6E7F0"/>
            <w:noWrap/>
            <w:vAlign w:val="center"/>
            <w:hideMark/>
          </w:tcPr>
          <w:p w14:paraId="68B0171B"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-42</w:t>
            </w:r>
          </w:p>
        </w:tc>
        <w:tc>
          <w:tcPr>
            <w:tcW w:w="680" w:type="dxa"/>
            <w:tcBorders>
              <w:top w:val="single" w:sz="4" w:space="0" w:color="ADD6EA"/>
              <w:left w:val="nil"/>
              <w:bottom w:val="single" w:sz="4" w:space="0" w:color="ADD6EA"/>
              <w:right w:val="nil"/>
            </w:tcBorders>
            <w:shd w:val="clear" w:color="000000" w:fill="D6E7F0"/>
            <w:noWrap/>
            <w:vAlign w:val="center"/>
            <w:hideMark/>
          </w:tcPr>
          <w:p w14:paraId="467356C0"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73</w:t>
            </w:r>
          </w:p>
        </w:tc>
        <w:tc>
          <w:tcPr>
            <w:tcW w:w="680" w:type="dxa"/>
            <w:tcBorders>
              <w:top w:val="single" w:sz="4" w:space="0" w:color="ADD6EA"/>
              <w:left w:val="nil"/>
              <w:bottom w:val="single" w:sz="4" w:space="0" w:color="ADD6EA"/>
              <w:right w:val="nil"/>
            </w:tcBorders>
            <w:shd w:val="clear" w:color="000000" w:fill="D6E7F0"/>
            <w:noWrap/>
            <w:vAlign w:val="center"/>
            <w:hideMark/>
          </w:tcPr>
          <w:p w14:paraId="51D3EBD3"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3,488</w:t>
            </w:r>
          </w:p>
        </w:tc>
      </w:tr>
      <w:tr w:rsidR="00907ECD" w:rsidRPr="00907ECD" w14:paraId="5D9A4C1A" w14:textId="77777777" w:rsidTr="00907ECD">
        <w:trPr>
          <w:trHeight w:val="315"/>
        </w:trPr>
        <w:tc>
          <w:tcPr>
            <w:tcW w:w="2820" w:type="dxa"/>
            <w:tcBorders>
              <w:top w:val="nil"/>
              <w:left w:val="nil"/>
              <w:bottom w:val="nil"/>
              <w:right w:val="nil"/>
            </w:tcBorders>
            <w:shd w:val="clear" w:color="auto" w:fill="auto"/>
            <w:vAlign w:val="center"/>
            <w:hideMark/>
          </w:tcPr>
          <w:p w14:paraId="1EB19AA9" w14:textId="77777777" w:rsidR="00907ECD" w:rsidRPr="00907ECD" w:rsidRDefault="00907ECD" w:rsidP="00907ECD">
            <w:pPr>
              <w:tabs>
                <w:tab w:val="clear" w:pos="567"/>
              </w:tabs>
              <w:spacing w:before="0" w:line="240" w:lineRule="auto"/>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Blended relativities and GST floor</w:t>
            </w:r>
          </w:p>
        </w:tc>
        <w:tc>
          <w:tcPr>
            <w:tcW w:w="680" w:type="dxa"/>
            <w:tcBorders>
              <w:top w:val="nil"/>
              <w:left w:val="nil"/>
              <w:bottom w:val="nil"/>
              <w:right w:val="nil"/>
            </w:tcBorders>
            <w:shd w:val="clear" w:color="auto" w:fill="auto"/>
            <w:vAlign w:val="center"/>
            <w:hideMark/>
          </w:tcPr>
          <w:p w14:paraId="1E870E14"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-252</w:t>
            </w:r>
          </w:p>
        </w:tc>
        <w:tc>
          <w:tcPr>
            <w:tcW w:w="680" w:type="dxa"/>
            <w:tcBorders>
              <w:top w:val="nil"/>
              <w:left w:val="nil"/>
              <w:bottom w:val="nil"/>
              <w:right w:val="nil"/>
            </w:tcBorders>
            <w:shd w:val="clear" w:color="auto" w:fill="auto"/>
            <w:vAlign w:val="center"/>
            <w:hideMark/>
          </w:tcPr>
          <w:p w14:paraId="3E33D016"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-211</w:t>
            </w:r>
          </w:p>
        </w:tc>
        <w:tc>
          <w:tcPr>
            <w:tcW w:w="680" w:type="dxa"/>
            <w:tcBorders>
              <w:top w:val="nil"/>
              <w:left w:val="nil"/>
              <w:bottom w:val="nil"/>
              <w:right w:val="nil"/>
            </w:tcBorders>
            <w:shd w:val="clear" w:color="auto" w:fill="auto"/>
            <w:vAlign w:val="center"/>
            <w:hideMark/>
          </w:tcPr>
          <w:p w14:paraId="64C2A605"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1,271</w:t>
            </w:r>
          </w:p>
        </w:tc>
        <w:tc>
          <w:tcPr>
            <w:tcW w:w="680" w:type="dxa"/>
            <w:tcBorders>
              <w:top w:val="nil"/>
              <w:left w:val="nil"/>
              <w:bottom w:val="nil"/>
              <w:right w:val="nil"/>
            </w:tcBorders>
            <w:shd w:val="clear" w:color="auto" w:fill="auto"/>
            <w:vAlign w:val="center"/>
            <w:hideMark/>
          </w:tcPr>
          <w:p w14:paraId="1A67F957"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-720</w:t>
            </w:r>
          </w:p>
        </w:tc>
        <w:tc>
          <w:tcPr>
            <w:tcW w:w="680" w:type="dxa"/>
            <w:tcBorders>
              <w:top w:val="nil"/>
              <w:left w:val="nil"/>
              <w:bottom w:val="nil"/>
              <w:right w:val="nil"/>
            </w:tcBorders>
            <w:shd w:val="clear" w:color="auto" w:fill="auto"/>
            <w:vAlign w:val="center"/>
            <w:hideMark/>
          </w:tcPr>
          <w:p w14:paraId="21D54B2F"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-54</w:t>
            </w:r>
          </w:p>
        </w:tc>
        <w:tc>
          <w:tcPr>
            <w:tcW w:w="680" w:type="dxa"/>
            <w:tcBorders>
              <w:top w:val="nil"/>
              <w:left w:val="nil"/>
              <w:bottom w:val="nil"/>
              <w:right w:val="nil"/>
            </w:tcBorders>
            <w:shd w:val="clear" w:color="auto" w:fill="auto"/>
            <w:vAlign w:val="center"/>
            <w:hideMark/>
          </w:tcPr>
          <w:p w14:paraId="0EB215FB"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-16</w:t>
            </w:r>
          </w:p>
        </w:tc>
        <w:tc>
          <w:tcPr>
            <w:tcW w:w="680" w:type="dxa"/>
            <w:tcBorders>
              <w:top w:val="nil"/>
              <w:left w:val="nil"/>
              <w:bottom w:val="nil"/>
              <w:right w:val="nil"/>
            </w:tcBorders>
            <w:shd w:val="clear" w:color="auto" w:fill="auto"/>
            <w:vAlign w:val="center"/>
            <w:hideMark/>
          </w:tcPr>
          <w:p w14:paraId="6101F1BC"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-14</w:t>
            </w:r>
          </w:p>
        </w:tc>
        <w:tc>
          <w:tcPr>
            <w:tcW w:w="680" w:type="dxa"/>
            <w:tcBorders>
              <w:top w:val="nil"/>
              <w:left w:val="nil"/>
              <w:bottom w:val="nil"/>
              <w:right w:val="nil"/>
            </w:tcBorders>
            <w:shd w:val="clear" w:color="auto" w:fill="auto"/>
            <w:vAlign w:val="center"/>
            <w:hideMark/>
          </w:tcPr>
          <w:p w14:paraId="22A391F0"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-6</w:t>
            </w:r>
          </w:p>
        </w:tc>
        <w:tc>
          <w:tcPr>
            <w:tcW w:w="680" w:type="dxa"/>
            <w:tcBorders>
              <w:top w:val="nil"/>
              <w:left w:val="nil"/>
              <w:bottom w:val="nil"/>
              <w:right w:val="nil"/>
            </w:tcBorders>
            <w:shd w:val="clear" w:color="auto" w:fill="auto"/>
            <w:vAlign w:val="center"/>
            <w:hideMark/>
          </w:tcPr>
          <w:p w14:paraId="78227974" w14:textId="77777777" w:rsidR="00907ECD" w:rsidRPr="00907ECD" w:rsidRDefault="00907ECD" w:rsidP="00907EC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907ECD">
              <w:rPr>
                <w:rFonts w:ascii="Open Sans Light" w:eastAsia="Times New Roman" w:hAnsi="Open Sans Light" w:cs="Open Sans Light"/>
                <w:color w:val="000000"/>
                <w:sz w:val="16"/>
                <w:szCs w:val="16"/>
                <w:lang w:eastAsia="en-AU"/>
              </w:rPr>
              <w:t>1,271</w:t>
            </w:r>
          </w:p>
        </w:tc>
      </w:tr>
      <w:tr w:rsidR="00907ECD" w:rsidRPr="00907ECD" w14:paraId="3AEC826B" w14:textId="77777777" w:rsidTr="00907ECD">
        <w:trPr>
          <w:trHeight w:val="315"/>
        </w:trPr>
        <w:tc>
          <w:tcPr>
            <w:tcW w:w="2820" w:type="dxa"/>
            <w:tcBorders>
              <w:top w:val="single" w:sz="4" w:space="0" w:color="ADD6EA"/>
              <w:left w:val="nil"/>
              <w:bottom w:val="single" w:sz="4" w:space="0" w:color="ADD6EA"/>
              <w:right w:val="nil"/>
            </w:tcBorders>
            <w:shd w:val="clear" w:color="000000" w:fill="D6E7F0"/>
            <w:vAlign w:val="center"/>
            <w:hideMark/>
          </w:tcPr>
          <w:p w14:paraId="0366701E" w14:textId="77777777" w:rsidR="00907ECD" w:rsidRPr="00907ECD" w:rsidRDefault="00907ECD" w:rsidP="00907ECD">
            <w:pPr>
              <w:tabs>
                <w:tab w:val="clear" w:pos="567"/>
              </w:tabs>
              <w:spacing w:before="0" w:line="240" w:lineRule="auto"/>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Change in GST relativities</w:t>
            </w:r>
          </w:p>
        </w:tc>
        <w:tc>
          <w:tcPr>
            <w:tcW w:w="680" w:type="dxa"/>
            <w:tcBorders>
              <w:top w:val="single" w:sz="4" w:space="0" w:color="ADD6EA"/>
              <w:left w:val="nil"/>
              <w:bottom w:val="single" w:sz="4" w:space="0" w:color="ADD6EA"/>
              <w:right w:val="nil"/>
            </w:tcBorders>
            <w:shd w:val="clear" w:color="000000" w:fill="D6E7F0"/>
            <w:noWrap/>
            <w:vAlign w:val="center"/>
            <w:hideMark/>
          </w:tcPr>
          <w:p w14:paraId="0BE7ED3E"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-251</w:t>
            </w:r>
          </w:p>
        </w:tc>
        <w:tc>
          <w:tcPr>
            <w:tcW w:w="680" w:type="dxa"/>
            <w:tcBorders>
              <w:top w:val="single" w:sz="4" w:space="0" w:color="ADD6EA"/>
              <w:left w:val="nil"/>
              <w:bottom w:val="single" w:sz="4" w:space="0" w:color="ADD6EA"/>
              <w:right w:val="nil"/>
            </w:tcBorders>
            <w:shd w:val="clear" w:color="000000" w:fill="D6E7F0"/>
            <w:noWrap/>
            <w:vAlign w:val="center"/>
            <w:hideMark/>
          </w:tcPr>
          <w:p w14:paraId="5B851BCB"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2,464</w:t>
            </w:r>
          </w:p>
        </w:tc>
        <w:tc>
          <w:tcPr>
            <w:tcW w:w="680" w:type="dxa"/>
            <w:tcBorders>
              <w:top w:val="single" w:sz="4" w:space="0" w:color="ADD6EA"/>
              <w:left w:val="nil"/>
              <w:bottom w:val="single" w:sz="4" w:space="0" w:color="ADD6EA"/>
              <w:right w:val="nil"/>
            </w:tcBorders>
            <w:shd w:val="clear" w:color="000000" w:fill="D6E7F0"/>
            <w:noWrap/>
            <w:vAlign w:val="center"/>
            <w:hideMark/>
          </w:tcPr>
          <w:p w14:paraId="1C882466"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-2,119</w:t>
            </w:r>
          </w:p>
        </w:tc>
        <w:tc>
          <w:tcPr>
            <w:tcW w:w="680" w:type="dxa"/>
            <w:tcBorders>
              <w:top w:val="single" w:sz="4" w:space="0" w:color="ADD6EA"/>
              <w:left w:val="nil"/>
              <w:bottom w:val="single" w:sz="4" w:space="0" w:color="ADD6EA"/>
              <w:right w:val="nil"/>
            </w:tcBorders>
            <w:shd w:val="clear" w:color="000000" w:fill="D6E7F0"/>
            <w:noWrap/>
            <w:vAlign w:val="center"/>
            <w:hideMark/>
          </w:tcPr>
          <w:p w14:paraId="2DE914E1"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-13</w:t>
            </w:r>
          </w:p>
        </w:tc>
        <w:tc>
          <w:tcPr>
            <w:tcW w:w="680" w:type="dxa"/>
            <w:tcBorders>
              <w:top w:val="single" w:sz="4" w:space="0" w:color="ADD6EA"/>
              <w:left w:val="nil"/>
              <w:bottom w:val="single" w:sz="4" w:space="0" w:color="ADD6EA"/>
              <w:right w:val="nil"/>
            </w:tcBorders>
            <w:shd w:val="clear" w:color="000000" w:fill="D6E7F0"/>
            <w:noWrap/>
            <w:vAlign w:val="center"/>
            <w:hideMark/>
          </w:tcPr>
          <w:p w14:paraId="61D2BB93"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-109</w:t>
            </w:r>
          </w:p>
        </w:tc>
        <w:tc>
          <w:tcPr>
            <w:tcW w:w="680" w:type="dxa"/>
            <w:tcBorders>
              <w:top w:val="single" w:sz="4" w:space="0" w:color="ADD6EA"/>
              <w:left w:val="nil"/>
              <w:bottom w:val="single" w:sz="4" w:space="0" w:color="ADD6EA"/>
              <w:right w:val="nil"/>
            </w:tcBorders>
            <w:shd w:val="clear" w:color="000000" w:fill="D6E7F0"/>
            <w:noWrap/>
            <w:vAlign w:val="center"/>
            <w:hideMark/>
          </w:tcPr>
          <w:p w14:paraId="6C72ED50"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18</w:t>
            </w:r>
          </w:p>
        </w:tc>
        <w:tc>
          <w:tcPr>
            <w:tcW w:w="680" w:type="dxa"/>
            <w:tcBorders>
              <w:top w:val="single" w:sz="4" w:space="0" w:color="ADD6EA"/>
              <w:left w:val="nil"/>
              <w:bottom w:val="single" w:sz="4" w:space="0" w:color="ADD6EA"/>
              <w:right w:val="nil"/>
            </w:tcBorders>
            <w:shd w:val="clear" w:color="000000" w:fill="D6E7F0"/>
            <w:noWrap/>
            <w:vAlign w:val="center"/>
            <w:hideMark/>
          </w:tcPr>
          <w:p w14:paraId="1006FA05"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-56</w:t>
            </w:r>
          </w:p>
        </w:tc>
        <w:tc>
          <w:tcPr>
            <w:tcW w:w="680" w:type="dxa"/>
            <w:tcBorders>
              <w:top w:val="single" w:sz="4" w:space="0" w:color="ADD6EA"/>
              <w:left w:val="nil"/>
              <w:bottom w:val="single" w:sz="4" w:space="0" w:color="ADD6EA"/>
              <w:right w:val="nil"/>
            </w:tcBorders>
            <w:shd w:val="clear" w:color="000000" w:fill="D6E7F0"/>
            <w:noWrap/>
            <w:vAlign w:val="center"/>
            <w:hideMark/>
          </w:tcPr>
          <w:p w14:paraId="76B25147"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67</w:t>
            </w:r>
          </w:p>
        </w:tc>
        <w:tc>
          <w:tcPr>
            <w:tcW w:w="680" w:type="dxa"/>
            <w:tcBorders>
              <w:top w:val="single" w:sz="4" w:space="0" w:color="ADD6EA"/>
              <w:left w:val="nil"/>
              <w:bottom w:val="single" w:sz="4" w:space="0" w:color="ADD6EA"/>
              <w:right w:val="nil"/>
            </w:tcBorders>
            <w:shd w:val="clear" w:color="000000" w:fill="D6E7F0"/>
            <w:noWrap/>
            <w:vAlign w:val="center"/>
            <w:hideMark/>
          </w:tcPr>
          <w:p w14:paraId="31E50B3A" w14:textId="77777777" w:rsidR="00907ECD" w:rsidRPr="00907ECD" w:rsidRDefault="00907ECD" w:rsidP="00907EC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07ECD">
              <w:rPr>
                <w:rFonts w:ascii="Open Sans Semibold" w:eastAsia="Times New Roman" w:hAnsi="Open Sans Semibold" w:cs="Open Sans Semibold"/>
                <w:color w:val="000000"/>
                <w:sz w:val="16"/>
                <w:szCs w:val="16"/>
                <w:lang w:eastAsia="en-AU"/>
              </w:rPr>
              <w:t>2,549</w:t>
            </w:r>
          </w:p>
        </w:tc>
      </w:tr>
    </w:tbl>
    <w:p w14:paraId="01855CB2" w14:textId="6250FBBF" w:rsidR="003E46D8" w:rsidRDefault="00CB5D5E" w:rsidP="003E46D8">
      <w:r>
        <w:br/>
      </w:r>
      <w:r w:rsidR="003E46D8" w:rsidRPr="00053936">
        <w:t>Chapter 3 describes the main drivers for each state.</w:t>
      </w:r>
      <w:r w:rsidR="003E46D8">
        <w:t xml:space="preserve"> </w:t>
      </w:r>
    </w:p>
    <w:p w14:paraId="7E12D5E9" w14:textId="77777777" w:rsidR="0001734A" w:rsidRPr="00CB4080" w:rsidRDefault="0001734A" w:rsidP="00566B60">
      <w:pPr>
        <w:pStyle w:val="Heading3"/>
      </w:pPr>
      <w:r w:rsidRPr="00CB4080">
        <w:lastRenderedPageBreak/>
        <w:t>Method changes</w:t>
      </w:r>
    </w:p>
    <w:p w14:paraId="33A545EE" w14:textId="11EC4A63" w:rsidR="0001734A" w:rsidRPr="00CB4080" w:rsidRDefault="0001734A" w:rsidP="0001734A">
      <w:r w:rsidRPr="00CB4080">
        <w:t xml:space="preserve">The terms of reference for the 2025 Review asked the Commission to review the methods it uses to assess relative state fiscal capacities. Further details on the changes, the reasons for them, and consultation with the states can be found in the relevant chapters of </w:t>
      </w:r>
      <w:r w:rsidRPr="00447553">
        <w:rPr>
          <w:i/>
          <w:iCs/>
        </w:rPr>
        <w:t>R</w:t>
      </w:r>
      <w:r w:rsidRPr="00566B60">
        <w:rPr>
          <w:i/>
          <w:iCs/>
        </w:rPr>
        <w:t>eview Outcomes</w:t>
      </w:r>
      <w:r w:rsidRPr="00CB4080">
        <w:t>. This section summarises the method changes that had the largest impact (</w:t>
      </w:r>
      <w:r w:rsidR="00FD2340">
        <w:t xml:space="preserve">see </w:t>
      </w:r>
      <w:r w:rsidRPr="00CB4080">
        <w:t>Table 2-3).</w:t>
      </w:r>
    </w:p>
    <w:p w14:paraId="66787FB8" w14:textId="3ACCB3F3" w:rsidR="0001734A" w:rsidRPr="00CB4080" w:rsidRDefault="0001734A" w:rsidP="001D2635">
      <w:pPr>
        <w:pStyle w:val="CGC2025Caption"/>
        <w:tabs>
          <w:tab w:val="left" w:pos="1418"/>
        </w:tabs>
        <w:ind w:left="1418" w:hanging="1418"/>
      </w:pPr>
      <w:r w:rsidRPr="00CB4080">
        <w:t>Table 2</w:t>
      </w:r>
      <w:r w:rsidRPr="00CB4080">
        <w:noBreakHyphen/>
        <w:t>3</w:t>
      </w:r>
      <w:r w:rsidR="009E0E4C">
        <w:tab/>
      </w:r>
      <w:r w:rsidRPr="00CB4080">
        <w:t xml:space="preserve">Changes to assessed GST needs due to method changes, </w:t>
      </w:r>
      <w:r w:rsidR="00133A70">
        <w:br/>
      </w:r>
      <w:r w:rsidRPr="00CB4080">
        <w:t>2024–25</w:t>
      </w:r>
      <w:r w:rsidR="00133A70">
        <w:t> </w:t>
      </w:r>
      <w:r w:rsidRPr="00CB4080">
        <w:t>to</w:t>
      </w:r>
      <w:r w:rsidR="00133A70">
        <w:t> </w:t>
      </w:r>
      <w:r w:rsidRPr="00CB4080">
        <w:t>2025–26</w:t>
      </w:r>
    </w:p>
    <w:tbl>
      <w:tblPr>
        <w:tblW w:w="8940" w:type="dxa"/>
        <w:tblLook w:val="04A0" w:firstRow="1" w:lastRow="0" w:firstColumn="1" w:lastColumn="0" w:noHBand="0" w:noVBand="1"/>
      </w:tblPr>
      <w:tblGrid>
        <w:gridCol w:w="2820"/>
        <w:gridCol w:w="680"/>
        <w:gridCol w:w="680"/>
        <w:gridCol w:w="680"/>
        <w:gridCol w:w="680"/>
        <w:gridCol w:w="680"/>
        <w:gridCol w:w="680"/>
        <w:gridCol w:w="680"/>
        <w:gridCol w:w="680"/>
        <w:gridCol w:w="680"/>
      </w:tblGrid>
      <w:tr w:rsidR="000375B9" w:rsidRPr="000375B9" w14:paraId="7014D297" w14:textId="77777777" w:rsidTr="000375B9">
        <w:trPr>
          <w:trHeight w:val="555"/>
        </w:trPr>
        <w:tc>
          <w:tcPr>
            <w:tcW w:w="2820" w:type="dxa"/>
            <w:tcBorders>
              <w:top w:val="nil"/>
              <w:left w:val="nil"/>
              <w:bottom w:val="nil"/>
              <w:right w:val="nil"/>
            </w:tcBorders>
            <w:shd w:val="clear" w:color="000000" w:fill="006991"/>
            <w:vAlign w:val="center"/>
            <w:hideMark/>
          </w:tcPr>
          <w:p w14:paraId="0D77CDA1" w14:textId="77777777" w:rsidR="000375B9" w:rsidRPr="000375B9" w:rsidRDefault="000375B9" w:rsidP="000375B9">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103" w:name="RANGE!A4:J14"/>
            <w:r w:rsidRPr="000375B9">
              <w:rPr>
                <w:rFonts w:ascii="Open Sans Semibold" w:eastAsia="Times New Roman" w:hAnsi="Open Sans Semibold" w:cs="Open Sans Semibold"/>
                <w:color w:val="FFFFFF"/>
                <w:sz w:val="16"/>
                <w:szCs w:val="16"/>
                <w:lang w:eastAsia="en-AU"/>
              </w:rPr>
              <w:t> </w:t>
            </w:r>
            <w:bookmarkEnd w:id="103"/>
          </w:p>
        </w:tc>
        <w:tc>
          <w:tcPr>
            <w:tcW w:w="680" w:type="dxa"/>
            <w:tcBorders>
              <w:top w:val="nil"/>
              <w:left w:val="nil"/>
              <w:bottom w:val="nil"/>
              <w:right w:val="nil"/>
            </w:tcBorders>
            <w:shd w:val="clear" w:color="000000" w:fill="006991"/>
            <w:vAlign w:val="center"/>
            <w:hideMark/>
          </w:tcPr>
          <w:p w14:paraId="48186158"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375B9">
              <w:rPr>
                <w:rFonts w:ascii="Open Sans Semibold" w:eastAsia="Times New Roman" w:hAnsi="Open Sans Semibold" w:cs="Open Sans Semibold"/>
                <w:color w:val="FFFFFF"/>
                <w:sz w:val="16"/>
                <w:szCs w:val="16"/>
                <w:lang w:eastAsia="en-AU"/>
              </w:rPr>
              <w:t>NSW</w:t>
            </w:r>
          </w:p>
        </w:tc>
        <w:tc>
          <w:tcPr>
            <w:tcW w:w="680" w:type="dxa"/>
            <w:tcBorders>
              <w:top w:val="nil"/>
              <w:left w:val="nil"/>
              <w:bottom w:val="nil"/>
              <w:right w:val="nil"/>
            </w:tcBorders>
            <w:shd w:val="clear" w:color="000000" w:fill="006991"/>
            <w:vAlign w:val="center"/>
            <w:hideMark/>
          </w:tcPr>
          <w:p w14:paraId="6A5B4E39"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375B9">
              <w:rPr>
                <w:rFonts w:ascii="Open Sans Semibold" w:eastAsia="Times New Roman" w:hAnsi="Open Sans Semibold" w:cs="Open Sans Semibold"/>
                <w:color w:val="FFFFFF"/>
                <w:sz w:val="16"/>
                <w:szCs w:val="16"/>
                <w:lang w:eastAsia="en-AU"/>
              </w:rPr>
              <w:t>Vic</w:t>
            </w:r>
          </w:p>
        </w:tc>
        <w:tc>
          <w:tcPr>
            <w:tcW w:w="680" w:type="dxa"/>
            <w:tcBorders>
              <w:top w:val="nil"/>
              <w:left w:val="nil"/>
              <w:bottom w:val="nil"/>
              <w:right w:val="nil"/>
            </w:tcBorders>
            <w:shd w:val="clear" w:color="000000" w:fill="006991"/>
            <w:vAlign w:val="center"/>
            <w:hideMark/>
          </w:tcPr>
          <w:p w14:paraId="4BD4D811"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375B9">
              <w:rPr>
                <w:rFonts w:ascii="Open Sans Semibold" w:eastAsia="Times New Roman" w:hAnsi="Open Sans Semibold" w:cs="Open Sans Semibold"/>
                <w:color w:val="FFFFFF"/>
                <w:sz w:val="16"/>
                <w:szCs w:val="16"/>
                <w:lang w:eastAsia="en-AU"/>
              </w:rPr>
              <w:t>Qld</w:t>
            </w:r>
          </w:p>
        </w:tc>
        <w:tc>
          <w:tcPr>
            <w:tcW w:w="680" w:type="dxa"/>
            <w:tcBorders>
              <w:top w:val="nil"/>
              <w:left w:val="nil"/>
              <w:bottom w:val="nil"/>
              <w:right w:val="nil"/>
            </w:tcBorders>
            <w:shd w:val="clear" w:color="000000" w:fill="006991"/>
            <w:vAlign w:val="center"/>
            <w:hideMark/>
          </w:tcPr>
          <w:p w14:paraId="3F71EB94"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375B9">
              <w:rPr>
                <w:rFonts w:ascii="Open Sans Semibold" w:eastAsia="Times New Roman" w:hAnsi="Open Sans Semibold" w:cs="Open Sans Semibold"/>
                <w:color w:val="FFFFFF"/>
                <w:sz w:val="16"/>
                <w:szCs w:val="16"/>
                <w:lang w:eastAsia="en-AU"/>
              </w:rPr>
              <w:t>WA</w:t>
            </w:r>
          </w:p>
        </w:tc>
        <w:tc>
          <w:tcPr>
            <w:tcW w:w="680" w:type="dxa"/>
            <w:tcBorders>
              <w:top w:val="nil"/>
              <w:left w:val="nil"/>
              <w:bottom w:val="nil"/>
              <w:right w:val="nil"/>
            </w:tcBorders>
            <w:shd w:val="clear" w:color="000000" w:fill="006991"/>
            <w:vAlign w:val="center"/>
            <w:hideMark/>
          </w:tcPr>
          <w:p w14:paraId="106759B8"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375B9">
              <w:rPr>
                <w:rFonts w:ascii="Open Sans Semibold" w:eastAsia="Times New Roman" w:hAnsi="Open Sans Semibold" w:cs="Open Sans Semibold"/>
                <w:color w:val="FFFFFF"/>
                <w:sz w:val="16"/>
                <w:szCs w:val="16"/>
                <w:lang w:eastAsia="en-AU"/>
              </w:rPr>
              <w:t>SA</w:t>
            </w:r>
          </w:p>
        </w:tc>
        <w:tc>
          <w:tcPr>
            <w:tcW w:w="680" w:type="dxa"/>
            <w:tcBorders>
              <w:top w:val="nil"/>
              <w:left w:val="nil"/>
              <w:bottom w:val="nil"/>
              <w:right w:val="nil"/>
            </w:tcBorders>
            <w:shd w:val="clear" w:color="000000" w:fill="006991"/>
            <w:vAlign w:val="center"/>
            <w:hideMark/>
          </w:tcPr>
          <w:p w14:paraId="67E9B039"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375B9">
              <w:rPr>
                <w:rFonts w:ascii="Open Sans Semibold" w:eastAsia="Times New Roman" w:hAnsi="Open Sans Semibold" w:cs="Open Sans Semibold"/>
                <w:color w:val="FFFFFF"/>
                <w:sz w:val="16"/>
                <w:szCs w:val="16"/>
                <w:lang w:eastAsia="en-AU"/>
              </w:rPr>
              <w:t>Tas</w:t>
            </w:r>
          </w:p>
        </w:tc>
        <w:tc>
          <w:tcPr>
            <w:tcW w:w="680" w:type="dxa"/>
            <w:tcBorders>
              <w:top w:val="nil"/>
              <w:left w:val="nil"/>
              <w:bottom w:val="nil"/>
              <w:right w:val="nil"/>
            </w:tcBorders>
            <w:shd w:val="clear" w:color="000000" w:fill="006991"/>
            <w:vAlign w:val="center"/>
            <w:hideMark/>
          </w:tcPr>
          <w:p w14:paraId="0B1A6662"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375B9">
              <w:rPr>
                <w:rFonts w:ascii="Open Sans Semibold" w:eastAsia="Times New Roman" w:hAnsi="Open Sans Semibold" w:cs="Open Sans Semibold"/>
                <w:color w:val="FFFFFF"/>
                <w:sz w:val="16"/>
                <w:szCs w:val="16"/>
                <w:lang w:eastAsia="en-AU"/>
              </w:rPr>
              <w:t>ACT</w:t>
            </w:r>
          </w:p>
        </w:tc>
        <w:tc>
          <w:tcPr>
            <w:tcW w:w="680" w:type="dxa"/>
            <w:tcBorders>
              <w:top w:val="nil"/>
              <w:left w:val="nil"/>
              <w:bottom w:val="nil"/>
              <w:right w:val="nil"/>
            </w:tcBorders>
            <w:shd w:val="clear" w:color="000000" w:fill="006991"/>
            <w:vAlign w:val="center"/>
            <w:hideMark/>
          </w:tcPr>
          <w:p w14:paraId="0ED671C1"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375B9">
              <w:rPr>
                <w:rFonts w:ascii="Open Sans Semibold" w:eastAsia="Times New Roman" w:hAnsi="Open Sans Semibold" w:cs="Open Sans Semibold"/>
                <w:color w:val="FFFFFF"/>
                <w:sz w:val="16"/>
                <w:szCs w:val="16"/>
                <w:lang w:eastAsia="en-AU"/>
              </w:rPr>
              <w:t>NT</w:t>
            </w:r>
          </w:p>
        </w:tc>
        <w:tc>
          <w:tcPr>
            <w:tcW w:w="680" w:type="dxa"/>
            <w:tcBorders>
              <w:top w:val="nil"/>
              <w:left w:val="nil"/>
              <w:bottom w:val="nil"/>
              <w:right w:val="nil"/>
            </w:tcBorders>
            <w:shd w:val="clear" w:color="000000" w:fill="006991"/>
            <w:vAlign w:val="center"/>
            <w:hideMark/>
          </w:tcPr>
          <w:p w14:paraId="53D6BCC6"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375B9">
              <w:rPr>
                <w:rFonts w:ascii="Open Sans Semibold" w:eastAsia="Times New Roman" w:hAnsi="Open Sans Semibold" w:cs="Open Sans Semibold"/>
                <w:color w:val="FFFFFF"/>
                <w:sz w:val="16"/>
                <w:szCs w:val="16"/>
                <w:lang w:eastAsia="en-AU"/>
              </w:rPr>
              <w:t>Total effect</w:t>
            </w:r>
          </w:p>
        </w:tc>
      </w:tr>
      <w:tr w:rsidR="000375B9" w:rsidRPr="000375B9" w14:paraId="6B4D7EC9" w14:textId="77777777" w:rsidTr="000375B9">
        <w:trPr>
          <w:trHeight w:val="259"/>
        </w:trPr>
        <w:tc>
          <w:tcPr>
            <w:tcW w:w="2820" w:type="dxa"/>
            <w:tcBorders>
              <w:top w:val="single" w:sz="4" w:space="0" w:color="ADD6EA"/>
              <w:left w:val="nil"/>
              <w:bottom w:val="nil"/>
              <w:right w:val="nil"/>
            </w:tcBorders>
            <w:shd w:val="clear" w:color="000000" w:fill="B6D5E4"/>
            <w:vAlign w:val="bottom"/>
            <w:hideMark/>
          </w:tcPr>
          <w:p w14:paraId="69DFE2D0" w14:textId="77777777" w:rsidR="000375B9" w:rsidRPr="000375B9" w:rsidRDefault="000375B9" w:rsidP="000375B9">
            <w:pPr>
              <w:tabs>
                <w:tab w:val="clear" w:pos="567"/>
              </w:tabs>
              <w:spacing w:before="0" w:line="240" w:lineRule="auto"/>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 </w:t>
            </w:r>
          </w:p>
        </w:tc>
        <w:tc>
          <w:tcPr>
            <w:tcW w:w="680" w:type="dxa"/>
            <w:tcBorders>
              <w:top w:val="single" w:sz="4" w:space="0" w:color="ADD6EA"/>
              <w:left w:val="nil"/>
              <w:bottom w:val="nil"/>
              <w:right w:val="nil"/>
            </w:tcBorders>
            <w:shd w:val="clear" w:color="000000" w:fill="B6D5E4"/>
            <w:vAlign w:val="center"/>
            <w:hideMark/>
          </w:tcPr>
          <w:p w14:paraId="4D0D3E6C"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10208E8D"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4C097E7B"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2346048F"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5029AD8D"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69F3DEA0"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4BB08940"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4E8E3005"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3FD50C81"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$m</w:t>
            </w:r>
          </w:p>
        </w:tc>
      </w:tr>
      <w:tr w:rsidR="000375B9" w:rsidRPr="000375B9" w14:paraId="77FCF049" w14:textId="77777777" w:rsidTr="000375B9">
        <w:trPr>
          <w:trHeight w:val="319"/>
        </w:trPr>
        <w:tc>
          <w:tcPr>
            <w:tcW w:w="2820" w:type="dxa"/>
            <w:tcBorders>
              <w:top w:val="single" w:sz="4" w:space="0" w:color="ADD6EA"/>
              <w:left w:val="nil"/>
              <w:bottom w:val="nil"/>
              <w:right w:val="nil"/>
            </w:tcBorders>
            <w:shd w:val="clear" w:color="000000" w:fill="FFFFFF"/>
            <w:vAlign w:val="center"/>
            <w:hideMark/>
          </w:tcPr>
          <w:p w14:paraId="1705E1A1" w14:textId="77777777" w:rsidR="000375B9" w:rsidRPr="000375B9" w:rsidRDefault="000375B9" w:rsidP="000375B9">
            <w:pPr>
              <w:tabs>
                <w:tab w:val="clear" w:pos="567"/>
              </w:tabs>
              <w:spacing w:before="0" w:line="240" w:lineRule="auto"/>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Services to industry</w:t>
            </w:r>
          </w:p>
        </w:tc>
        <w:tc>
          <w:tcPr>
            <w:tcW w:w="680" w:type="dxa"/>
            <w:tcBorders>
              <w:top w:val="single" w:sz="4" w:space="0" w:color="ADD6EA"/>
              <w:left w:val="nil"/>
              <w:bottom w:val="nil"/>
              <w:right w:val="nil"/>
            </w:tcBorders>
            <w:shd w:val="clear" w:color="000000" w:fill="FFFFFF"/>
            <w:vAlign w:val="center"/>
            <w:hideMark/>
          </w:tcPr>
          <w:p w14:paraId="57AD93A9"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296</w:t>
            </w:r>
          </w:p>
        </w:tc>
        <w:tc>
          <w:tcPr>
            <w:tcW w:w="680" w:type="dxa"/>
            <w:tcBorders>
              <w:top w:val="single" w:sz="4" w:space="0" w:color="ADD6EA"/>
              <w:left w:val="nil"/>
              <w:bottom w:val="nil"/>
              <w:right w:val="nil"/>
            </w:tcBorders>
            <w:shd w:val="clear" w:color="000000" w:fill="FFFFFF"/>
            <w:vAlign w:val="center"/>
            <w:hideMark/>
          </w:tcPr>
          <w:p w14:paraId="3906A0BF"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471</w:t>
            </w:r>
          </w:p>
        </w:tc>
        <w:tc>
          <w:tcPr>
            <w:tcW w:w="680" w:type="dxa"/>
            <w:tcBorders>
              <w:top w:val="single" w:sz="4" w:space="0" w:color="ADD6EA"/>
              <w:left w:val="nil"/>
              <w:bottom w:val="nil"/>
              <w:right w:val="nil"/>
            </w:tcBorders>
            <w:shd w:val="clear" w:color="000000" w:fill="FFFFFF"/>
            <w:vAlign w:val="center"/>
            <w:hideMark/>
          </w:tcPr>
          <w:p w14:paraId="4E519DDF"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-411</w:t>
            </w:r>
          </w:p>
        </w:tc>
        <w:tc>
          <w:tcPr>
            <w:tcW w:w="680" w:type="dxa"/>
            <w:tcBorders>
              <w:top w:val="single" w:sz="4" w:space="0" w:color="ADD6EA"/>
              <w:left w:val="nil"/>
              <w:bottom w:val="nil"/>
              <w:right w:val="nil"/>
            </w:tcBorders>
            <w:shd w:val="clear" w:color="000000" w:fill="FFFFFF"/>
            <w:vAlign w:val="center"/>
            <w:hideMark/>
          </w:tcPr>
          <w:p w14:paraId="2C224FBA"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-94</w:t>
            </w:r>
          </w:p>
        </w:tc>
        <w:tc>
          <w:tcPr>
            <w:tcW w:w="680" w:type="dxa"/>
            <w:tcBorders>
              <w:top w:val="single" w:sz="4" w:space="0" w:color="ADD6EA"/>
              <w:left w:val="nil"/>
              <w:bottom w:val="nil"/>
              <w:right w:val="nil"/>
            </w:tcBorders>
            <w:shd w:val="clear" w:color="000000" w:fill="FFFFFF"/>
            <w:vAlign w:val="center"/>
            <w:hideMark/>
          </w:tcPr>
          <w:p w14:paraId="3B5952A2"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-209</w:t>
            </w:r>
          </w:p>
        </w:tc>
        <w:tc>
          <w:tcPr>
            <w:tcW w:w="680" w:type="dxa"/>
            <w:tcBorders>
              <w:top w:val="single" w:sz="4" w:space="0" w:color="ADD6EA"/>
              <w:left w:val="nil"/>
              <w:bottom w:val="nil"/>
              <w:right w:val="nil"/>
            </w:tcBorders>
            <w:shd w:val="clear" w:color="000000" w:fill="FFFFFF"/>
            <w:vAlign w:val="center"/>
            <w:hideMark/>
          </w:tcPr>
          <w:p w14:paraId="6CC3F64D"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-55</w:t>
            </w:r>
          </w:p>
        </w:tc>
        <w:tc>
          <w:tcPr>
            <w:tcW w:w="680" w:type="dxa"/>
            <w:tcBorders>
              <w:top w:val="single" w:sz="4" w:space="0" w:color="ADD6EA"/>
              <w:left w:val="nil"/>
              <w:bottom w:val="nil"/>
              <w:right w:val="nil"/>
            </w:tcBorders>
            <w:shd w:val="clear" w:color="000000" w:fill="FFFFFF"/>
            <w:vAlign w:val="center"/>
            <w:hideMark/>
          </w:tcPr>
          <w:p w14:paraId="34CCE5EE"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9</w:t>
            </w:r>
          </w:p>
        </w:tc>
        <w:tc>
          <w:tcPr>
            <w:tcW w:w="680" w:type="dxa"/>
            <w:tcBorders>
              <w:top w:val="single" w:sz="4" w:space="0" w:color="ADD6EA"/>
              <w:left w:val="nil"/>
              <w:bottom w:val="nil"/>
              <w:right w:val="nil"/>
            </w:tcBorders>
            <w:shd w:val="clear" w:color="000000" w:fill="FFFFFF"/>
            <w:vAlign w:val="center"/>
            <w:hideMark/>
          </w:tcPr>
          <w:p w14:paraId="339D9BFA"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-7</w:t>
            </w:r>
          </w:p>
        </w:tc>
        <w:tc>
          <w:tcPr>
            <w:tcW w:w="680" w:type="dxa"/>
            <w:tcBorders>
              <w:top w:val="single" w:sz="4" w:space="0" w:color="ADD6EA"/>
              <w:left w:val="nil"/>
              <w:bottom w:val="nil"/>
              <w:right w:val="nil"/>
            </w:tcBorders>
            <w:shd w:val="clear" w:color="000000" w:fill="FFFFFF"/>
            <w:vAlign w:val="center"/>
            <w:hideMark/>
          </w:tcPr>
          <w:p w14:paraId="4075885B"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776</w:t>
            </w:r>
          </w:p>
        </w:tc>
      </w:tr>
      <w:tr w:rsidR="000375B9" w:rsidRPr="000375B9" w14:paraId="1B07D59E" w14:textId="77777777" w:rsidTr="000375B9">
        <w:trPr>
          <w:trHeight w:val="315"/>
        </w:trPr>
        <w:tc>
          <w:tcPr>
            <w:tcW w:w="2820" w:type="dxa"/>
            <w:tcBorders>
              <w:top w:val="single" w:sz="4" w:space="0" w:color="ADD6EA"/>
              <w:left w:val="nil"/>
              <w:bottom w:val="nil"/>
              <w:right w:val="nil"/>
            </w:tcBorders>
            <w:shd w:val="clear" w:color="000000" w:fill="FFFFFF"/>
            <w:vAlign w:val="center"/>
            <w:hideMark/>
          </w:tcPr>
          <w:p w14:paraId="3D9B0992" w14:textId="77777777" w:rsidR="000375B9" w:rsidRPr="000375B9" w:rsidRDefault="000375B9" w:rsidP="000375B9">
            <w:pPr>
              <w:tabs>
                <w:tab w:val="clear" w:pos="567"/>
              </w:tabs>
              <w:spacing w:before="0" w:line="240" w:lineRule="auto"/>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Health</w:t>
            </w:r>
          </w:p>
        </w:tc>
        <w:tc>
          <w:tcPr>
            <w:tcW w:w="680" w:type="dxa"/>
            <w:tcBorders>
              <w:top w:val="single" w:sz="4" w:space="0" w:color="ADD6EA"/>
              <w:left w:val="nil"/>
              <w:bottom w:val="nil"/>
              <w:right w:val="nil"/>
            </w:tcBorders>
            <w:shd w:val="clear" w:color="000000" w:fill="FFFFFF"/>
            <w:vAlign w:val="center"/>
            <w:hideMark/>
          </w:tcPr>
          <w:p w14:paraId="7FCAF2FD"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280</w:t>
            </w:r>
          </w:p>
        </w:tc>
        <w:tc>
          <w:tcPr>
            <w:tcW w:w="680" w:type="dxa"/>
            <w:tcBorders>
              <w:top w:val="single" w:sz="4" w:space="0" w:color="ADD6EA"/>
              <w:left w:val="nil"/>
              <w:bottom w:val="nil"/>
              <w:right w:val="nil"/>
            </w:tcBorders>
            <w:shd w:val="clear" w:color="000000" w:fill="FFFFFF"/>
            <w:vAlign w:val="center"/>
            <w:hideMark/>
          </w:tcPr>
          <w:p w14:paraId="27D8C2A8"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469</w:t>
            </w:r>
          </w:p>
        </w:tc>
        <w:tc>
          <w:tcPr>
            <w:tcW w:w="680" w:type="dxa"/>
            <w:tcBorders>
              <w:top w:val="single" w:sz="4" w:space="0" w:color="ADD6EA"/>
              <w:left w:val="nil"/>
              <w:bottom w:val="nil"/>
              <w:right w:val="nil"/>
            </w:tcBorders>
            <w:shd w:val="clear" w:color="000000" w:fill="FFFFFF"/>
            <w:vAlign w:val="center"/>
            <w:hideMark/>
          </w:tcPr>
          <w:p w14:paraId="41B06C7D"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-398</w:t>
            </w:r>
          </w:p>
        </w:tc>
        <w:tc>
          <w:tcPr>
            <w:tcW w:w="680" w:type="dxa"/>
            <w:tcBorders>
              <w:top w:val="single" w:sz="4" w:space="0" w:color="ADD6EA"/>
              <w:left w:val="nil"/>
              <w:bottom w:val="nil"/>
              <w:right w:val="nil"/>
            </w:tcBorders>
            <w:shd w:val="clear" w:color="000000" w:fill="FFFFFF"/>
            <w:vAlign w:val="center"/>
            <w:hideMark/>
          </w:tcPr>
          <w:p w14:paraId="283EDFDD"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-159</w:t>
            </w:r>
          </w:p>
        </w:tc>
        <w:tc>
          <w:tcPr>
            <w:tcW w:w="680" w:type="dxa"/>
            <w:tcBorders>
              <w:top w:val="single" w:sz="4" w:space="0" w:color="ADD6EA"/>
              <w:left w:val="nil"/>
              <w:bottom w:val="nil"/>
              <w:right w:val="nil"/>
            </w:tcBorders>
            <w:shd w:val="clear" w:color="000000" w:fill="FFFFFF"/>
            <w:vAlign w:val="center"/>
            <w:hideMark/>
          </w:tcPr>
          <w:p w14:paraId="0F1EDCB5"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-104</w:t>
            </w:r>
          </w:p>
        </w:tc>
        <w:tc>
          <w:tcPr>
            <w:tcW w:w="680" w:type="dxa"/>
            <w:tcBorders>
              <w:top w:val="single" w:sz="4" w:space="0" w:color="ADD6EA"/>
              <w:left w:val="nil"/>
              <w:bottom w:val="nil"/>
              <w:right w:val="nil"/>
            </w:tcBorders>
            <w:shd w:val="clear" w:color="000000" w:fill="FFFFFF"/>
            <w:vAlign w:val="center"/>
            <w:hideMark/>
          </w:tcPr>
          <w:p w14:paraId="2E05C0CE"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-68</w:t>
            </w:r>
          </w:p>
        </w:tc>
        <w:tc>
          <w:tcPr>
            <w:tcW w:w="680" w:type="dxa"/>
            <w:tcBorders>
              <w:top w:val="single" w:sz="4" w:space="0" w:color="ADD6EA"/>
              <w:left w:val="nil"/>
              <w:bottom w:val="nil"/>
              <w:right w:val="nil"/>
            </w:tcBorders>
            <w:shd w:val="clear" w:color="000000" w:fill="FFFFFF"/>
            <w:vAlign w:val="center"/>
            <w:hideMark/>
          </w:tcPr>
          <w:p w14:paraId="2DC26964"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19</w:t>
            </w:r>
          </w:p>
        </w:tc>
        <w:tc>
          <w:tcPr>
            <w:tcW w:w="680" w:type="dxa"/>
            <w:tcBorders>
              <w:top w:val="single" w:sz="4" w:space="0" w:color="ADD6EA"/>
              <w:left w:val="nil"/>
              <w:bottom w:val="nil"/>
              <w:right w:val="nil"/>
            </w:tcBorders>
            <w:shd w:val="clear" w:color="000000" w:fill="FFFFFF"/>
            <w:vAlign w:val="center"/>
            <w:hideMark/>
          </w:tcPr>
          <w:p w14:paraId="1651F0E8"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-39</w:t>
            </w:r>
          </w:p>
        </w:tc>
        <w:tc>
          <w:tcPr>
            <w:tcW w:w="680" w:type="dxa"/>
            <w:tcBorders>
              <w:top w:val="single" w:sz="4" w:space="0" w:color="ADD6EA"/>
              <w:left w:val="nil"/>
              <w:bottom w:val="nil"/>
              <w:right w:val="nil"/>
            </w:tcBorders>
            <w:shd w:val="clear" w:color="000000" w:fill="FFFFFF"/>
            <w:vAlign w:val="center"/>
            <w:hideMark/>
          </w:tcPr>
          <w:p w14:paraId="6093A402"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768</w:t>
            </w:r>
          </w:p>
        </w:tc>
      </w:tr>
      <w:tr w:rsidR="000375B9" w:rsidRPr="000375B9" w14:paraId="720C68D7" w14:textId="77777777" w:rsidTr="000375B9">
        <w:trPr>
          <w:trHeight w:val="319"/>
        </w:trPr>
        <w:tc>
          <w:tcPr>
            <w:tcW w:w="2820" w:type="dxa"/>
            <w:tcBorders>
              <w:top w:val="single" w:sz="4" w:space="0" w:color="ADD6EA"/>
              <w:left w:val="nil"/>
              <w:bottom w:val="nil"/>
              <w:right w:val="nil"/>
            </w:tcBorders>
            <w:shd w:val="clear" w:color="000000" w:fill="FFFFFF"/>
            <w:vAlign w:val="center"/>
            <w:hideMark/>
          </w:tcPr>
          <w:p w14:paraId="169ACFAA" w14:textId="77777777" w:rsidR="000375B9" w:rsidRPr="000375B9" w:rsidRDefault="000375B9" w:rsidP="000375B9">
            <w:pPr>
              <w:tabs>
                <w:tab w:val="clear" w:pos="567"/>
              </w:tabs>
              <w:spacing w:before="0" w:line="240" w:lineRule="auto"/>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Wage costs</w:t>
            </w:r>
          </w:p>
        </w:tc>
        <w:tc>
          <w:tcPr>
            <w:tcW w:w="680" w:type="dxa"/>
            <w:tcBorders>
              <w:top w:val="single" w:sz="4" w:space="0" w:color="ADD6EA"/>
              <w:left w:val="nil"/>
              <w:bottom w:val="nil"/>
              <w:right w:val="nil"/>
            </w:tcBorders>
            <w:shd w:val="clear" w:color="000000" w:fill="FFFFFF"/>
            <w:vAlign w:val="center"/>
            <w:hideMark/>
          </w:tcPr>
          <w:p w14:paraId="4C1D6840"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-194</w:t>
            </w:r>
          </w:p>
        </w:tc>
        <w:tc>
          <w:tcPr>
            <w:tcW w:w="680" w:type="dxa"/>
            <w:tcBorders>
              <w:top w:val="single" w:sz="4" w:space="0" w:color="ADD6EA"/>
              <w:left w:val="nil"/>
              <w:bottom w:val="nil"/>
              <w:right w:val="nil"/>
            </w:tcBorders>
            <w:shd w:val="clear" w:color="000000" w:fill="FFFFFF"/>
            <w:vAlign w:val="center"/>
            <w:hideMark/>
          </w:tcPr>
          <w:p w14:paraId="1F3541A2"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295</w:t>
            </w:r>
          </w:p>
        </w:tc>
        <w:tc>
          <w:tcPr>
            <w:tcW w:w="680" w:type="dxa"/>
            <w:tcBorders>
              <w:top w:val="single" w:sz="4" w:space="0" w:color="ADD6EA"/>
              <w:left w:val="nil"/>
              <w:bottom w:val="nil"/>
              <w:right w:val="nil"/>
            </w:tcBorders>
            <w:shd w:val="clear" w:color="000000" w:fill="FFFFFF"/>
            <w:vAlign w:val="center"/>
            <w:hideMark/>
          </w:tcPr>
          <w:p w14:paraId="5923AA48"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-58</w:t>
            </w:r>
          </w:p>
        </w:tc>
        <w:tc>
          <w:tcPr>
            <w:tcW w:w="680" w:type="dxa"/>
            <w:tcBorders>
              <w:top w:val="single" w:sz="4" w:space="0" w:color="ADD6EA"/>
              <w:left w:val="nil"/>
              <w:bottom w:val="nil"/>
              <w:right w:val="nil"/>
            </w:tcBorders>
            <w:shd w:val="clear" w:color="000000" w:fill="FFFFFF"/>
            <w:vAlign w:val="center"/>
            <w:hideMark/>
          </w:tcPr>
          <w:p w14:paraId="48488278"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-370</w:t>
            </w:r>
          </w:p>
        </w:tc>
        <w:tc>
          <w:tcPr>
            <w:tcW w:w="680" w:type="dxa"/>
            <w:tcBorders>
              <w:top w:val="single" w:sz="4" w:space="0" w:color="ADD6EA"/>
              <w:left w:val="nil"/>
              <w:bottom w:val="nil"/>
              <w:right w:val="nil"/>
            </w:tcBorders>
            <w:shd w:val="clear" w:color="000000" w:fill="FFFFFF"/>
            <w:vAlign w:val="center"/>
            <w:hideMark/>
          </w:tcPr>
          <w:p w14:paraId="20C2082B"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187</w:t>
            </w:r>
          </w:p>
        </w:tc>
        <w:tc>
          <w:tcPr>
            <w:tcW w:w="680" w:type="dxa"/>
            <w:tcBorders>
              <w:top w:val="single" w:sz="4" w:space="0" w:color="ADD6EA"/>
              <w:left w:val="nil"/>
              <w:bottom w:val="nil"/>
              <w:right w:val="nil"/>
            </w:tcBorders>
            <w:shd w:val="clear" w:color="000000" w:fill="FFFFFF"/>
            <w:vAlign w:val="center"/>
            <w:hideMark/>
          </w:tcPr>
          <w:p w14:paraId="4EC0138A"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136</w:t>
            </w:r>
          </w:p>
        </w:tc>
        <w:tc>
          <w:tcPr>
            <w:tcW w:w="680" w:type="dxa"/>
            <w:tcBorders>
              <w:top w:val="single" w:sz="4" w:space="0" w:color="ADD6EA"/>
              <w:left w:val="nil"/>
              <w:bottom w:val="nil"/>
              <w:right w:val="nil"/>
            </w:tcBorders>
            <w:shd w:val="clear" w:color="000000" w:fill="FFFFFF"/>
            <w:vAlign w:val="center"/>
            <w:hideMark/>
          </w:tcPr>
          <w:p w14:paraId="39BA7EA2"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51</w:t>
            </w:r>
          </w:p>
        </w:tc>
        <w:tc>
          <w:tcPr>
            <w:tcW w:w="680" w:type="dxa"/>
            <w:tcBorders>
              <w:top w:val="single" w:sz="4" w:space="0" w:color="ADD6EA"/>
              <w:left w:val="nil"/>
              <w:bottom w:val="nil"/>
              <w:right w:val="nil"/>
            </w:tcBorders>
            <w:shd w:val="clear" w:color="000000" w:fill="FFFFFF"/>
            <w:vAlign w:val="center"/>
            <w:hideMark/>
          </w:tcPr>
          <w:p w14:paraId="4298DD1A"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-47</w:t>
            </w:r>
          </w:p>
        </w:tc>
        <w:tc>
          <w:tcPr>
            <w:tcW w:w="680" w:type="dxa"/>
            <w:tcBorders>
              <w:top w:val="single" w:sz="4" w:space="0" w:color="ADD6EA"/>
              <w:left w:val="nil"/>
              <w:bottom w:val="nil"/>
              <w:right w:val="nil"/>
            </w:tcBorders>
            <w:shd w:val="clear" w:color="000000" w:fill="FFFFFF"/>
            <w:vAlign w:val="center"/>
            <w:hideMark/>
          </w:tcPr>
          <w:p w14:paraId="7D66F686"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669</w:t>
            </w:r>
          </w:p>
        </w:tc>
      </w:tr>
      <w:tr w:rsidR="000375B9" w:rsidRPr="000375B9" w14:paraId="3CDEE8B9" w14:textId="77777777" w:rsidTr="000375B9">
        <w:trPr>
          <w:trHeight w:val="319"/>
        </w:trPr>
        <w:tc>
          <w:tcPr>
            <w:tcW w:w="2820" w:type="dxa"/>
            <w:tcBorders>
              <w:top w:val="single" w:sz="4" w:space="0" w:color="ADD6EA"/>
              <w:left w:val="nil"/>
              <w:bottom w:val="nil"/>
              <w:right w:val="nil"/>
            </w:tcBorders>
            <w:shd w:val="clear" w:color="000000" w:fill="FFFFFF"/>
            <w:vAlign w:val="center"/>
            <w:hideMark/>
          </w:tcPr>
          <w:p w14:paraId="611EEB2D" w14:textId="77777777" w:rsidR="000375B9" w:rsidRPr="000375B9" w:rsidRDefault="000375B9" w:rsidP="000375B9">
            <w:pPr>
              <w:tabs>
                <w:tab w:val="clear" w:pos="567"/>
              </w:tabs>
              <w:spacing w:before="0" w:line="240" w:lineRule="auto"/>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Transport</w:t>
            </w:r>
          </w:p>
        </w:tc>
        <w:tc>
          <w:tcPr>
            <w:tcW w:w="680" w:type="dxa"/>
            <w:tcBorders>
              <w:top w:val="single" w:sz="4" w:space="0" w:color="ADD6EA"/>
              <w:left w:val="nil"/>
              <w:bottom w:val="nil"/>
              <w:right w:val="nil"/>
            </w:tcBorders>
            <w:shd w:val="clear" w:color="000000" w:fill="FFFFFF"/>
            <w:vAlign w:val="center"/>
            <w:hideMark/>
          </w:tcPr>
          <w:p w14:paraId="7A310CEA"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-267</w:t>
            </w:r>
          </w:p>
        </w:tc>
        <w:tc>
          <w:tcPr>
            <w:tcW w:w="680" w:type="dxa"/>
            <w:tcBorders>
              <w:top w:val="single" w:sz="4" w:space="0" w:color="ADD6EA"/>
              <w:left w:val="nil"/>
              <w:bottom w:val="nil"/>
              <w:right w:val="nil"/>
            </w:tcBorders>
            <w:shd w:val="clear" w:color="000000" w:fill="FFFFFF"/>
            <w:vAlign w:val="center"/>
            <w:hideMark/>
          </w:tcPr>
          <w:p w14:paraId="46C9589B"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-235</w:t>
            </w:r>
          </w:p>
        </w:tc>
        <w:tc>
          <w:tcPr>
            <w:tcW w:w="680" w:type="dxa"/>
            <w:tcBorders>
              <w:top w:val="single" w:sz="4" w:space="0" w:color="ADD6EA"/>
              <w:left w:val="nil"/>
              <w:bottom w:val="nil"/>
              <w:right w:val="nil"/>
            </w:tcBorders>
            <w:shd w:val="clear" w:color="000000" w:fill="FFFFFF"/>
            <w:vAlign w:val="center"/>
            <w:hideMark/>
          </w:tcPr>
          <w:p w14:paraId="355905DB"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155</w:t>
            </w:r>
          </w:p>
        </w:tc>
        <w:tc>
          <w:tcPr>
            <w:tcW w:w="680" w:type="dxa"/>
            <w:tcBorders>
              <w:top w:val="single" w:sz="4" w:space="0" w:color="ADD6EA"/>
              <w:left w:val="nil"/>
              <w:bottom w:val="nil"/>
              <w:right w:val="nil"/>
            </w:tcBorders>
            <w:shd w:val="clear" w:color="000000" w:fill="FFFFFF"/>
            <w:vAlign w:val="center"/>
            <w:hideMark/>
          </w:tcPr>
          <w:p w14:paraId="33426A57"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188</w:t>
            </w:r>
          </w:p>
        </w:tc>
        <w:tc>
          <w:tcPr>
            <w:tcW w:w="680" w:type="dxa"/>
            <w:tcBorders>
              <w:top w:val="single" w:sz="4" w:space="0" w:color="ADD6EA"/>
              <w:left w:val="nil"/>
              <w:bottom w:val="nil"/>
              <w:right w:val="nil"/>
            </w:tcBorders>
            <w:shd w:val="clear" w:color="000000" w:fill="FFFFFF"/>
            <w:vAlign w:val="center"/>
            <w:hideMark/>
          </w:tcPr>
          <w:p w14:paraId="15F665E6"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96</w:t>
            </w:r>
          </w:p>
        </w:tc>
        <w:tc>
          <w:tcPr>
            <w:tcW w:w="680" w:type="dxa"/>
            <w:tcBorders>
              <w:top w:val="single" w:sz="4" w:space="0" w:color="ADD6EA"/>
              <w:left w:val="nil"/>
              <w:bottom w:val="nil"/>
              <w:right w:val="nil"/>
            </w:tcBorders>
            <w:shd w:val="clear" w:color="000000" w:fill="FFFFFF"/>
            <w:vAlign w:val="center"/>
            <w:hideMark/>
          </w:tcPr>
          <w:p w14:paraId="28AFD750"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40</w:t>
            </w:r>
          </w:p>
        </w:tc>
        <w:tc>
          <w:tcPr>
            <w:tcW w:w="680" w:type="dxa"/>
            <w:tcBorders>
              <w:top w:val="single" w:sz="4" w:space="0" w:color="ADD6EA"/>
              <w:left w:val="nil"/>
              <w:bottom w:val="nil"/>
              <w:right w:val="nil"/>
            </w:tcBorders>
            <w:shd w:val="clear" w:color="000000" w:fill="FFFFFF"/>
            <w:vAlign w:val="center"/>
            <w:hideMark/>
          </w:tcPr>
          <w:p w14:paraId="7CE3D8B9"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17</w:t>
            </w:r>
          </w:p>
        </w:tc>
        <w:tc>
          <w:tcPr>
            <w:tcW w:w="680" w:type="dxa"/>
            <w:tcBorders>
              <w:top w:val="single" w:sz="4" w:space="0" w:color="ADD6EA"/>
              <w:left w:val="nil"/>
              <w:bottom w:val="nil"/>
              <w:right w:val="nil"/>
            </w:tcBorders>
            <w:shd w:val="clear" w:color="000000" w:fill="FFFFFF"/>
            <w:vAlign w:val="center"/>
            <w:hideMark/>
          </w:tcPr>
          <w:p w14:paraId="4BFE280B"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6</w:t>
            </w:r>
          </w:p>
        </w:tc>
        <w:tc>
          <w:tcPr>
            <w:tcW w:w="680" w:type="dxa"/>
            <w:tcBorders>
              <w:top w:val="single" w:sz="4" w:space="0" w:color="ADD6EA"/>
              <w:left w:val="nil"/>
              <w:bottom w:val="nil"/>
              <w:right w:val="nil"/>
            </w:tcBorders>
            <w:shd w:val="clear" w:color="000000" w:fill="FFFFFF"/>
            <w:vAlign w:val="center"/>
            <w:hideMark/>
          </w:tcPr>
          <w:p w14:paraId="70530B21"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502</w:t>
            </w:r>
          </w:p>
        </w:tc>
      </w:tr>
      <w:tr w:rsidR="000375B9" w:rsidRPr="000375B9" w14:paraId="2C8BC648" w14:textId="77777777" w:rsidTr="000375B9">
        <w:trPr>
          <w:trHeight w:val="319"/>
        </w:trPr>
        <w:tc>
          <w:tcPr>
            <w:tcW w:w="2820" w:type="dxa"/>
            <w:tcBorders>
              <w:top w:val="single" w:sz="4" w:space="0" w:color="ADD6EA"/>
              <w:left w:val="nil"/>
              <w:bottom w:val="nil"/>
              <w:right w:val="nil"/>
            </w:tcBorders>
            <w:shd w:val="clear" w:color="000000" w:fill="FFFFFF"/>
            <w:vAlign w:val="center"/>
            <w:hideMark/>
          </w:tcPr>
          <w:p w14:paraId="4E92E53C" w14:textId="77777777" w:rsidR="000375B9" w:rsidRPr="000375B9" w:rsidRDefault="000375B9" w:rsidP="000375B9">
            <w:pPr>
              <w:tabs>
                <w:tab w:val="clear" w:pos="567"/>
              </w:tabs>
              <w:spacing w:before="0" w:line="240" w:lineRule="auto"/>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Investment</w:t>
            </w:r>
          </w:p>
        </w:tc>
        <w:tc>
          <w:tcPr>
            <w:tcW w:w="680" w:type="dxa"/>
            <w:tcBorders>
              <w:top w:val="single" w:sz="4" w:space="0" w:color="ADD6EA"/>
              <w:left w:val="nil"/>
              <w:bottom w:val="nil"/>
              <w:right w:val="nil"/>
            </w:tcBorders>
            <w:shd w:val="clear" w:color="000000" w:fill="FFFFFF"/>
            <w:vAlign w:val="center"/>
            <w:hideMark/>
          </w:tcPr>
          <w:p w14:paraId="74711B71"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76</w:t>
            </w:r>
          </w:p>
        </w:tc>
        <w:tc>
          <w:tcPr>
            <w:tcW w:w="680" w:type="dxa"/>
            <w:tcBorders>
              <w:top w:val="single" w:sz="4" w:space="0" w:color="ADD6EA"/>
              <w:left w:val="nil"/>
              <w:bottom w:val="nil"/>
              <w:right w:val="nil"/>
            </w:tcBorders>
            <w:shd w:val="clear" w:color="000000" w:fill="FFFFFF"/>
            <w:vAlign w:val="center"/>
            <w:hideMark/>
          </w:tcPr>
          <w:p w14:paraId="3236A66D"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-13</w:t>
            </w:r>
          </w:p>
        </w:tc>
        <w:tc>
          <w:tcPr>
            <w:tcW w:w="680" w:type="dxa"/>
            <w:tcBorders>
              <w:top w:val="single" w:sz="4" w:space="0" w:color="ADD6EA"/>
              <w:left w:val="nil"/>
              <w:bottom w:val="nil"/>
              <w:right w:val="nil"/>
            </w:tcBorders>
            <w:shd w:val="clear" w:color="000000" w:fill="FFFFFF"/>
            <w:vAlign w:val="center"/>
            <w:hideMark/>
          </w:tcPr>
          <w:p w14:paraId="759B7E7C"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-235</w:t>
            </w:r>
          </w:p>
        </w:tc>
        <w:tc>
          <w:tcPr>
            <w:tcW w:w="680" w:type="dxa"/>
            <w:tcBorders>
              <w:top w:val="single" w:sz="4" w:space="0" w:color="ADD6EA"/>
              <w:left w:val="nil"/>
              <w:bottom w:val="nil"/>
              <w:right w:val="nil"/>
            </w:tcBorders>
            <w:shd w:val="clear" w:color="000000" w:fill="FFFFFF"/>
            <w:vAlign w:val="center"/>
            <w:hideMark/>
          </w:tcPr>
          <w:p w14:paraId="6950418C"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208</w:t>
            </w:r>
          </w:p>
        </w:tc>
        <w:tc>
          <w:tcPr>
            <w:tcW w:w="680" w:type="dxa"/>
            <w:tcBorders>
              <w:top w:val="single" w:sz="4" w:space="0" w:color="ADD6EA"/>
              <w:left w:val="nil"/>
              <w:bottom w:val="nil"/>
              <w:right w:val="nil"/>
            </w:tcBorders>
            <w:shd w:val="clear" w:color="000000" w:fill="FFFFFF"/>
            <w:vAlign w:val="center"/>
            <w:hideMark/>
          </w:tcPr>
          <w:p w14:paraId="46EF8448"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61</w:t>
            </w:r>
          </w:p>
        </w:tc>
        <w:tc>
          <w:tcPr>
            <w:tcW w:w="680" w:type="dxa"/>
            <w:tcBorders>
              <w:top w:val="single" w:sz="4" w:space="0" w:color="ADD6EA"/>
              <w:left w:val="nil"/>
              <w:bottom w:val="nil"/>
              <w:right w:val="nil"/>
            </w:tcBorders>
            <w:shd w:val="clear" w:color="000000" w:fill="FFFFFF"/>
            <w:vAlign w:val="center"/>
            <w:hideMark/>
          </w:tcPr>
          <w:p w14:paraId="6DB291A0"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9</w:t>
            </w:r>
          </w:p>
        </w:tc>
        <w:tc>
          <w:tcPr>
            <w:tcW w:w="680" w:type="dxa"/>
            <w:tcBorders>
              <w:top w:val="single" w:sz="4" w:space="0" w:color="ADD6EA"/>
              <w:left w:val="nil"/>
              <w:bottom w:val="nil"/>
              <w:right w:val="nil"/>
            </w:tcBorders>
            <w:shd w:val="clear" w:color="000000" w:fill="FFFFFF"/>
            <w:vAlign w:val="center"/>
            <w:hideMark/>
          </w:tcPr>
          <w:p w14:paraId="76898E4C"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-46</w:t>
            </w:r>
          </w:p>
        </w:tc>
        <w:tc>
          <w:tcPr>
            <w:tcW w:w="680" w:type="dxa"/>
            <w:tcBorders>
              <w:top w:val="single" w:sz="4" w:space="0" w:color="ADD6EA"/>
              <w:left w:val="nil"/>
              <w:bottom w:val="nil"/>
              <w:right w:val="nil"/>
            </w:tcBorders>
            <w:shd w:val="clear" w:color="000000" w:fill="FFFFFF"/>
            <w:vAlign w:val="center"/>
            <w:hideMark/>
          </w:tcPr>
          <w:p w14:paraId="1624FE76"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-60</w:t>
            </w:r>
          </w:p>
        </w:tc>
        <w:tc>
          <w:tcPr>
            <w:tcW w:w="680" w:type="dxa"/>
            <w:tcBorders>
              <w:top w:val="single" w:sz="4" w:space="0" w:color="ADD6EA"/>
              <w:left w:val="nil"/>
              <w:bottom w:val="nil"/>
              <w:right w:val="nil"/>
            </w:tcBorders>
            <w:shd w:val="clear" w:color="000000" w:fill="FFFFFF"/>
            <w:vAlign w:val="center"/>
            <w:hideMark/>
          </w:tcPr>
          <w:p w14:paraId="2442AA4B"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354</w:t>
            </w:r>
          </w:p>
        </w:tc>
      </w:tr>
      <w:tr w:rsidR="000375B9" w:rsidRPr="000375B9" w14:paraId="380C89B9" w14:textId="77777777" w:rsidTr="000375B9">
        <w:trPr>
          <w:trHeight w:val="319"/>
        </w:trPr>
        <w:tc>
          <w:tcPr>
            <w:tcW w:w="2820" w:type="dxa"/>
            <w:tcBorders>
              <w:top w:val="single" w:sz="4" w:space="0" w:color="ADD6EA"/>
              <w:left w:val="nil"/>
              <w:bottom w:val="nil"/>
              <w:right w:val="nil"/>
            </w:tcBorders>
            <w:shd w:val="clear" w:color="000000" w:fill="FFFFFF"/>
            <w:vAlign w:val="center"/>
            <w:hideMark/>
          </w:tcPr>
          <w:p w14:paraId="09427321" w14:textId="77777777" w:rsidR="000375B9" w:rsidRPr="000375B9" w:rsidRDefault="000375B9" w:rsidP="000375B9">
            <w:pPr>
              <w:tabs>
                <w:tab w:val="clear" w:pos="567"/>
              </w:tabs>
              <w:spacing w:before="0" w:line="240" w:lineRule="auto"/>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Motor Taxes</w:t>
            </w:r>
          </w:p>
        </w:tc>
        <w:tc>
          <w:tcPr>
            <w:tcW w:w="680" w:type="dxa"/>
            <w:tcBorders>
              <w:top w:val="single" w:sz="4" w:space="0" w:color="ADD6EA"/>
              <w:left w:val="nil"/>
              <w:bottom w:val="nil"/>
              <w:right w:val="nil"/>
            </w:tcBorders>
            <w:shd w:val="clear" w:color="000000" w:fill="FFFFFF"/>
            <w:vAlign w:val="center"/>
            <w:hideMark/>
          </w:tcPr>
          <w:p w14:paraId="55476A97"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51</w:t>
            </w:r>
          </w:p>
        </w:tc>
        <w:tc>
          <w:tcPr>
            <w:tcW w:w="680" w:type="dxa"/>
            <w:tcBorders>
              <w:top w:val="single" w:sz="4" w:space="0" w:color="ADD6EA"/>
              <w:left w:val="nil"/>
              <w:bottom w:val="nil"/>
              <w:right w:val="nil"/>
            </w:tcBorders>
            <w:shd w:val="clear" w:color="000000" w:fill="FFFFFF"/>
            <w:vAlign w:val="center"/>
            <w:hideMark/>
          </w:tcPr>
          <w:p w14:paraId="2FD10623"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131</w:t>
            </w:r>
          </w:p>
        </w:tc>
        <w:tc>
          <w:tcPr>
            <w:tcW w:w="680" w:type="dxa"/>
            <w:tcBorders>
              <w:top w:val="single" w:sz="4" w:space="0" w:color="ADD6EA"/>
              <w:left w:val="nil"/>
              <w:bottom w:val="nil"/>
              <w:right w:val="nil"/>
            </w:tcBorders>
            <w:shd w:val="clear" w:color="000000" w:fill="FFFFFF"/>
            <w:vAlign w:val="center"/>
            <w:hideMark/>
          </w:tcPr>
          <w:p w14:paraId="00E53A0C"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-93</w:t>
            </w:r>
          </w:p>
        </w:tc>
        <w:tc>
          <w:tcPr>
            <w:tcW w:w="680" w:type="dxa"/>
            <w:tcBorders>
              <w:top w:val="single" w:sz="4" w:space="0" w:color="ADD6EA"/>
              <w:left w:val="nil"/>
              <w:bottom w:val="nil"/>
              <w:right w:val="nil"/>
            </w:tcBorders>
            <w:shd w:val="clear" w:color="000000" w:fill="FFFFFF"/>
            <w:vAlign w:val="center"/>
            <w:hideMark/>
          </w:tcPr>
          <w:p w14:paraId="74F07CDA"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-116</w:t>
            </w:r>
          </w:p>
        </w:tc>
        <w:tc>
          <w:tcPr>
            <w:tcW w:w="680" w:type="dxa"/>
            <w:tcBorders>
              <w:top w:val="single" w:sz="4" w:space="0" w:color="ADD6EA"/>
              <w:left w:val="nil"/>
              <w:bottom w:val="nil"/>
              <w:right w:val="nil"/>
            </w:tcBorders>
            <w:shd w:val="clear" w:color="000000" w:fill="FFFFFF"/>
            <w:vAlign w:val="center"/>
            <w:hideMark/>
          </w:tcPr>
          <w:p w14:paraId="48F2B4A0"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15</w:t>
            </w:r>
          </w:p>
        </w:tc>
        <w:tc>
          <w:tcPr>
            <w:tcW w:w="680" w:type="dxa"/>
            <w:tcBorders>
              <w:top w:val="single" w:sz="4" w:space="0" w:color="ADD6EA"/>
              <w:left w:val="nil"/>
              <w:bottom w:val="nil"/>
              <w:right w:val="nil"/>
            </w:tcBorders>
            <w:shd w:val="clear" w:color="000000" w:fill="FFFFFF"/>
            <w:vAlign w:val="center"/>
            <w:hideMark/>
          </w:tcPr>
          <w:p w14:paraId="2208460D"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-9</w:t>
            </w:r>
          </w:p>
        </w:tc>
        <w:tc>
          <w:tcPr>
            <w:tcW w:w="680" w:type="dxa"/>
            <w:tcBorders>
              <w:top w:val="single" w:sz="4" w:space="0" w:color="ADD6EA"/>
              <w:left w:val="nil"/>
              <w:bottom w:val="nil"/>
              <w:right w:val="nil"/>
            </w:tcBorders>
            <w:shd w:val="clear" w:color="000000" w:fill="FFFFFF"/>
            <w:vAlign w:val="center"/>
            <w:hideMark/>
          </w:tcPr>
          <w:p w14:paraId="32743817"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21</w:t>
            </w:r>
          </w:p>
        </w:tc>
        <w:tc>
          <w:tcPr>
            <w:tcW w:w="680" w:type="dxa"/>
            <w:tcBorders>
              <w:top w:val="single" w:sz="4" w:space="0" w:color="ADD6EA"/>
              <w:left w:val="nil"/>
              <w:bottom w:val="nil"/>
              <w:right w:val="nil"/>
            </w:tcBorders>
            <w:shd w:val="clear" w:color="000000" w:fill="FFFFFF"/>
            <w:vAlign w:val="center"/>
            <w:hideMark/>
          </w:tcPr>
          <w:p w14:paraId="2F989C41"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0</w:t>
            </w:r>
          </w:p>
        </w:tc>
        <w:tc>
          <w:tcPr>
            <w:tcW w:w="680" w:type="dxa"/>
            <w:tcBorders>
              <w:top w:val="single" w:sz="4" w:space="0" w:color="ADD6EA"/>
              <w:left w:val="nil"/>
              <w:bottom w:val="nil"/>
              <w:right w:val="nil"/>
            </w:tcBorders>
            <w:shd w:val="clear" w:color="000000" w:fill="FFFFFF"/>
            <w:vAlign w:val="center"/>
            <w:hideMark/>
          </w:tcPr>
          <w:p w14:paraId="0CAF318C"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218</w:t>
            </w:r>
          </w:p>
        </w:tc>
      </w:tr>
      <w:tr w:rsidR="000375B9" w:rsidRPr="000375B9" w14:paraId="6AB3A5B2" w14:textId="77777777" w:rsidTr="000375B9">
        <w:trPr>
          <w:trHeight w:val="319"/>
        </w:trPr>
        <w:tc>
          <w:tcPr>
            <w:tcW w:w="2820" w:type="dxa"/>
            <w:tcBorders>
              <w:top w:val="single" w:sz="4" w:space="0" w:color="ADD6EA"/>
              <w:left w:val="nil"/>
              <w:bottom w:val="nil"/>
              <w:right w:val="nil"/>
            </w:tcBorders>
            <w:shd w:val="clear" w:color="000000" w:fill="FFFFFF"/>
            <w:vAlign w:val="center"/>
            <w:hideMark/>
          </w:tcPr>
          <w:p w14:paraId="540C4B15" w14:textId="77777777" w:rsidR="000375B9" w:rsidRPr="000375B9" w:rsidRDefault="000375B9" w:rsidP="000375B9">
            <w:pPr>
              <w:tabs>
                <w:tab w:val="clear" w:pos="567"/>
              </w:tabs>
              <w:spacing w:before="0" w:line="240" w:lineRule="auto"/>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Mining revenue</w:t>
            </w:r>
          </w:p>
        </w:tc>
        <w:tc>
          <w:tcPr>
            <w:tcW w:w="680" w:type="dxa"/>
            <w:tcBorders>
              <w:top w:val="single" w:sz="4" w:space="0" w:color="ADD6EA"/>
              <w:left w:val="nil"/>
              <w:bottom w:val="nil"/>
              <w:right w:val="nil"/>
            </w:tcBorders>
            <w:shd w:val="clear" w:color="000000" w:fill="FFFFFF"/>
            <w:vAlign w:val="center"/>
            <w:hideMark/>
          </w:tcPr>
          <w:p w14:paraId="76A94C67"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59</w:t>
            </w:r>
          </w:p>
        </w:tc>
        <w:tc>
          <w:tcPr>
            <w:tcW w:w="680" w:type="dxa"/>
            <w:tcBorders>
              <w:top w:val="single" w:sz="4" w:space="0" w:color="ADD6EA"/>
              <w:left w:val="nil"/>
              <w:bottom w:val="nil"/>
              <w:right w:val="nil"/>
            </w:tcBorders>
            <w:shd w:val="clear" w:color="000000" w:fill="FFFFFF"/>
            <w:vAlign w:val="center"/>
            <w:hideMark/>
          </w:tcPr>
          <w:p w14:paraId="57E4FB36"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96</w:t>
            </w:r>
          </w:p>
        </w:tc>
        <w:tc>
          <w:tcPr>
            <w:tcW w:w="680" w:type="dxa"/>
            <w:tcBorders>
              <w:top w:val="single" w:sz="4" w:space="0" w:color="ADD6EA"/>
              <w:left w:val="nil"/>
              <w:bottom w:val="nil"/>
              <w:right w:val="nil"/>
            </w:tcBorders>
            <w:shd w:val="clear" w:color="000000" w:fill="FFFFFF"/>
            <w:vAlign w:val="center"/>
            <w:hideMark/>
          </w:tcPr>
          <w:p w14:paraId="068620C2"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-152</w:t>
            </w:r>
          </w:p>
        </w:tc>
        <w:tc>
          <w:tcPr>
            <w:tcW w:w="680" w:type="dxa"/>
            <w:tcBorders>
              <w:top w:val="single" w:sz="4" w:space="0" w:color="ADD6EA"/>
              <w:left w:val="nil"/>
              <w:bottom w:val="nil"/>
              <w:right w:val="nil"/>
            </w:tcBorders>
            <w:shd w:val="clear" w:color="000000" w:fill="FFFFFF"/>
            <w:vAlign w:val="center"/>
            <w:hideMark/>
          </w:tcPr>
          <w:p w14:paraId="62A379A8"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7</w:t>
            </w:r>
          </w:p>
        </w:tc>
        <w:tc>
          <w:tcPr>
            <w:tcW w:w="680" w:type="dxa"/>
            <w:tcBorders>
              <w:top w:val="single" w:sz="4" w:space="0" w:color="ADD6EA"/>
              <w:left w:val="nil"/>
              <w:bottom w:val="nil"/>
              <w:right w:val="nil"/>
            </w:tcBorders>
            <w:shd w:val="clear" w:color="000000" w:fill="FFFFFF"/>
            <w:vAlign w:val="center"/>
            <w:hideMark/>
          </w:tcPr>
          <w:p w14:paraId="347F114D"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-16</w:t>
            </w:r>
          </w:p>
        </w:tc>
        <w:tc>
          <w:tcPr>
            <w:tcW w:w="680" w:type="dxa"/>
            <w:tcBorders>
              <w:top w:val="single" w:sz="4" w:space="0" w:color="ADD6EA"/>
              <w:left w:val="nil"/>
              <w:bottom w:val="nil"/>
              <w:right w:val="nil"/>
            </w:tcBorders>
            <w:shd w:val="clear" w:color="000000" w:fill="FFFFFF"/>
            <w:vAlign w:val="center"/>
            <w:hideMark/>
          </w:tcPr>
          <w:p w14:paraId="09C786B3"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w:t>
            </w:r>
          </w:p>
        </w:tc>
        <w:tc>
          <w:tcPr>
            <w:tcW w:w="680" w:type="dxa"/>
            <w:tcBorders>
              <w:top w:val="single" w:sz="4" w:space="0" w:color="ADD6EA"/>
              <w:left w:val="nil"/>
              <w:bottom w:val="nil"/>
              <w:right w:val="nil"/>
            </w:tcBorders>
            <w:shd w:val="clear" w:color="000000" w:fill="FFFFFF"/>
            <w:vAlign w:val="center"/>
            <w:hideMark/>
          </w:tcPr>
          <w:p w14:paraId="46873EB1"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0</w:t>
            </w:r>
          </w:p>
        </w:tc>
        <w:tc>
          <w:tcPr>
            <w:tcW w:w="680" w:type="dxa"/>
            <w:tcBorders>
              <w:top w:val="single" w:sz="4" w:space="0" w:color="ADD6EA"/>
              <w:left w:val="nil"/>
              <w:bottom w:val="nil"/>
              <w:right w:val="nil"/>
            </w:tcBorders>
            <w:shd w:val="clear" w:color="000000" w:fill="FFFFFF"/>
            <w:vAlign w:val="center"/>
            <w:hideMark/>
          </w:tcPr>
          <w:p w14:paraId="4D7CF8F2"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4</w:t>
            </w:r>
          </w:p>
        </w:tc>
        <w:tc>
          <w:tcPr>
            <w:tcW w:w="680" w:type="dxa"/>
            <w:tcBorders>
              <w:top w:val="single" w:sz="4" w:space="0" w:color="ADD6EA"/>
              <w:left w:val="nil"/>
              <w:bottom w:val="nil"/>
              <w:right w:val="nil"/>
            </w:tcBorders>
            <w:shd w:val="clear" w:color="000000" w:fill="FFFFFF"/>
            <w:vAlign w:val="center"/>
            <w:hideMark/>
          </w:tcPr>
          <w:p w14:paraId="4E67444A"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167</w:t>
            </w:r>
          </w:p>
        </w:tc>
      </w:tr>
      <w:tr w:rsidR="000375B9" w:rsidRPr="000375B9" w14:paraId="7C422E36" w14:textId="77777777" w:rsidTr="000375B9">
        <w:trPr>
          <w:trHeight w:val="319"/>
        </w:trPr>
        <w:tc>
          <w:tcPr>
            <w:tcW w:w="2820" w:type="dxa"/>
            <w:tcBorders>
              <w:top w:val="single" w:sz="4" w:space="0" w:color="ADD6EA"/>
              <w:left w:val="nil"/>
              <w:bottom w:val="nil"/>
              <w:right w:val="nil"/>
            </w:tcBorders>
            <w:shd w:val="clear" w:color="000000" w:fill="FFFFFF"/>
            <w:vAlign w:val="center"/>
            <w:hideMark/>
          </w:tcPr>
          <w:p w14:paraId="08E87D34" w14:textId="77777777" w:rsidR="000375B9" w:rsidRPr="000375B9" w:rsidRDefault="000375B9" w:rsidP="000375B9">
            <w:pPr>
              <w:tabs>
                <w:tab w:val="clear" w:pos="567"/>
              </w:tabs>
              <w:spacing w:before="0" w:line="240" w:lineRule="auto"/>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Other method changes</w:t>
            </w:r>
          </w:p>
        </w:tc>
        <w:tc>
          <w:tcPr>
            <w:tcW w:w="680" w:type="dxa"/>
            <w:tcBorders>
              <w:top w:val="single" w:sz="4" w:space="0" w:color="ADD6EA"/>
              <w:left w:val="nil"/>
              <w:bottom w:val="nil"/>
              <w:right w:val="nil"/>
            </w:tcBorders>
            <w:shd w:val="clear" w:color="000000" w:fill="FFFFFF"/>
            <w:vAlign w:val="center"/>
            <w:hideMark/>
          </w:tcPr>
          <w:p w14:paraId="5A17D7B5"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-64</w:t>
            </w:r>
          </w:p>
        </w:tc>
        <w:tc>
          <w:tcPr>
            <w:tcW w:w="680" w:type="dxa"/>
            <w:tcBorders>
              <w:top w:val="single" w:sz="4" w:space="0" w:color="ADD6EA"/>
              <w:left w:val="nil"/>
              <w:bottom w:val="nil"/>
              <w:right w:val="nil"/>
            </w:tcBorders>
            <w:shd w:val="clear" w:color="000000" w:fill="FFFFFF"/>
            <w:vAlign w:val="center"/>
            <w:hideMark/>
          </w:tcPr>
          <w:p w14:paraId="5FBB0DD9"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-155</w:t>
            </w:r>
          </w:p>
        </w:tc>
        <w:tc>
          <w:tcPr>
            <w:tcW w:w="680" w:type="dxa"/>
            <w:tcBorders>
              <w:top w:val="single" w:sz="4" w:space="0" w:color="ADD6EA"/>
              <w:left w:val="nil"/>
              <w:bottom w:val="nil"/>
              <w:right w:val="nil"/>
            </w:tcBorders>
            <w:shd w:val="clear" w:color="000000" w:fill="FFFFFF"/>
            <w:vAlign w:val="center"/>
            <w:hideMark/>
          </w:tcPr>
          <w:p w14:paraId="260F2888"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69</w:t>
            </w:r>
          </w:p>
        </w:tc>
        <w:tc>
          <w:tcPr>
            <w:tcW w:w="680" w:type="dxa"/>
            <w:tcBorders>
              <w:top w:val="single" w:sz="4" w:space="0" w:color="ADD6EA"/>
              <w:left w:val="nil"/>
              <w:bottom w:val="nil"/>
              <w:right w:val="nil"/>
            </w:tcBorders>
            <w:shd w:val="clear" w:color="000000" w:fill="FFFFFF"/>
            <w:vAlign w:val="center"/>
            <w:hideMark/>
          </w:tcPr>
          <w:p w14:paraId="2E92B60F"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9</w:t>
            </w:r>
          </w:p>
        </w:tc>
        <w:tc>
          <w:tcPr>
            <w:tcW w:w="680" w:type="dxa"/>
            <w:tcBorders>
              <w:top w:val="single" w:sz="4" w:space="0" w:color="ADD6EA"/>
              <w:left w:val="nil"/>
              <w:bottom w:val="nil"/>
              <w:right w:val="nil"/>
            </w:tcBorders>
            <w:shd w:val="clear" w:color="000000" w:fill="FFFFFF"/>
            <w:vAlign w:val="center"/>
            <w:hideMark/>
          </w:tcPr>
          <w:p w14:paraId="4D5F3052"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-33</w:t>
            </w:r>
          </w:p>
        </w:tc>
        <w:tc>
          <w:tcPr>
            <w:tcW w:w="680" w:type="dxa"/>
            <w:tcBorders>
              <w:top w:val="single" w:sz="4" w:space="0" w:color="ADD6EA"/>
              <w:left w:val="nil"/>
              <w:bottom w:val="nil"/>
              <w:right w:val="nil"/>
            </w:tcBorders>
            <w:shd w:val="clear" w:color="000000" w:fill="FFFFFF"/>
            <w:vAlign w:val="center"/>
            <w:hideMark/>
          </w:tcPr>
          <w:p w14:paraId="57CD8F95"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15</w:t>
            </w:r>
          </w:p>
        </w:tc>
        <w:tc>
          <w:tcPr>
            <w:tcW w:w="680" w:type="dxa"/>
            <w:tcBorders>
              <w:top w:val="single" w:sz="4" w:space="0" w:color="ADD6EA"/>
              <w:left w:val="nil"/>
              <w:bottom w:val="nil"/>
              <w:right w:val="nil"/>
            </w:tcBorders>
            <w:shd w:val="clear" w:color="000000" w:fill="FFFFFF"/>
            <w:vAlign w:val="center"/>
            <w:hideMark/>
          </w:tcPr>
          <w:p w14:paraId="040A2026"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22</w:t>
            </w:r>
          </w:p>
        </w:tc>
        <w:tc>
          <w:tcPr>
            <w:tcW w:w="680" w:type="dxa"/>
            <w:tcBorders>
              <w:top w:val="single" w:sz="4" w:space="0" w:color="ADD6EA"/>
              <w:left w:val="nil"/>
              <w:bottom w:val="nil"/>
              <w:right w:val="nil"/>
            </w:tcBorders>
            <w:shd w:val="clear" w:color="000000" w:fill="FFFFFF"/>
            <w:vAlign w:val="center"/>
            <w:hideMark/>
          </w:tcPr>
          <w:p w14:paraId="137FFD31"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136</w:t>
            </w:r>
          </w:p>
        </w:tc>
        <w:tc>
          <w:tcPr>
            <w:tcW w:w="680" w:type="dxa"/>
            <w:tcBorders>
              <w:top w:val="single" w:sz="4" w:space="0" w:color="ADD6EA"/>
              <w:left w:val="nil"/>
              <w:bottom w:val="nil"/>
              <w:right w:val="nil"/>
            </w:tcBorders>
            <w:shd w:val="clear" w:color="000000" w:fill="FFFFFF"/>
            <w:vAlign w:val="center"/>
            <w:hideMark/>
          </w:tcPr>
          <w:p w14:paraId="3020FACC" w14:textId="77777777" w:rsidR="000375B9" w:rsidRPr="000375B9" w:rsidRDefault="000375B9" w:rsidP="000375B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375B9">
              <w:rPr>
                <w:rFonts w:ascii="Open Sans Light" w:eastAsia="Times New Roman" w:hAnsi="Open Sans Light" w:cs="Open Sans Light"/>
                <w:color w:val="000000"/>
                <w:sz w:val="16"/>
                <w:szCs w:val="16"/>
                <w:lang w:eastAsia="en-AU"/>
              </w:rPr>
              <w:t>252</w:t>
            </w:r>
          </w:p>
        </w:tc>
      </w:tr>
      <w:tr w:rsidR="000375B9" w:rsidRPr="000375B9" w14:paraId="7CEF533B" w14:textId="77777777" w:rsidTr="000375B9">
        <w:trPr>
          <w:trHeight w:val="319"/>
        </w:trPr>
        <w:tc>
          <w:tcPr>
            <w:tcW w:w="2820" w:type="dxa"/>
            <w:tcBorders>
              <w:top w:val="single" w:sz="4" w:space="0" w:color="ADD6EA"/>
              <w:left w:val="nil"/>
              <w:bottom w:val="single" w:sz="4" w:space="0" w:color="ADD6EA"/>
              <w:right w:val="nil"/>
            </w:tcBorders>
            <w:shd w:val="clear" w:color="000000" w:fill="D6E7F0"/>
            <w:vAlign w:val="center"/>
            <w:hideMark/>
          </w:tcPr>
          <w:p w14:paraId="11F3C01C" w14:textId="77777777" w:rsidR="000375B9" w:rsidRPr="000375B9" w:rsidRDefault="000375B9" w:rsidP="000375B9">
            <w:pPr>
              <w:tabs>
                <w:tab w:val="clear" w:pos="567"/>
              </w:tabs>
              <w:spacing w:before="0" w:line="240" w:lineRule="auto"/>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Total</w:t>
            </w:r>
          </w:p>
        </w:tc>
        <w:tc>
          <w:tcPr>
            <w:tcW w:w="680" w:type="dxa"/>
            <w:tcBorders>
              <w:top w:val="single" w:sz="4" w:space="0" w:color="ADD6EA"/>
              <w:left w:val="nil"/>
              <w:bottom w:val="single" w:sz="4" w:space="0" w:color="ADD6EA"/>
              <w:right w:val="nil"/>
            </w:tcBorders>
            <w:shd w:val="clear" w:color="000000" w:fill="D6E7F0"/>
            <w:vAlign w:val="center"/>
            <w:hideMark/>
          </w:tcPr>
          <w:p w14:paraId="4F1DBAA0"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237</w:t>
            </w:r>
          </w:p>
        </w:tc>
        <w:tc>
          <w:tcPr>
            <w:tcW w:w="680" w:type="dxa"/>
            <w:tcBorders>
              <w:top w:val="single" w:sz="4" w:space="0" w:color="ADD6EA"/>
              <w:left w:val="nil"/>
              <w:bottom w:val="single" w:sz="4" w:space="0" w:color="ADD6EA"/>
              <w:right w:val="nil"/>
            </w:tcBorders>
            <w:shd w:val="clear" w:color="000000" w:fill="D6E7F0"/>
            <w:vAlign w:val="center"/>
            <w:hideMark/>
          </w:tcPr>
          <w:p w14:paraId="428D7EC4"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1,059</w:t>
            </w:r>
          </w:p>
        </w:tc>
        <w:tc>
          <w:tcPr>
            <w:tcW w:w="680" w:type="dxa"/>
            <w:tcBorders>
              <w:top w:val="single" w:sz="4" w:space="0" w:color="ADD6EA"/>
              <w:left w:val="nil"/>
              <w:bottom w:val="single" w:sz="4" w:space="0" w:color="ADD6EA"/>
              <w:right w:val="nil"/>
            </w:tcBorders>
            <w:shd w:val="clear" w:color="000000" w:fill="D6E7F0"/>
            <w:vAlign w:val="center"/>
            <w:hideMark/>
          </w:tcPr>
          <w:p w14:paraId="4944FB98"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-1,123</w:t>
            </w:r>
          </w:p>
        </w:tc>
        <w:tc>
          <w:tcPr>
            <w:tcW w:w="680" w:type="dxa"/>
            <w:tcBorders>
              <w:top w:val="single" w:sz="4" w:space="0" w:color="ADD6EA"/>
              <w:left w:val="nil"/>
              <w:bottom w:val="single" w:sz="4" w:space="0" w:color="ADD6EA"/>
              <w:right w:val="nil"/>
            </w:tcBorders>
            <w:shd w:val="clear" w:color="000000" w:fill="D6E7F0"/>
            <w:vAlign w:val="center"/>
            <w:hideMark/>
          </w:tcPr>
          <w:p w14:paraId="7674E09D"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-328</w:t>
            </w:r>
          </w:p>
        </w:tc>
        <w:tc>
          <w:tcPr>
            <w:tcW w:w="680" w:type="dxa"/>
            <w:tcBorders>
              <w:top w:val="single" w:sz="4" w:space="0" w:color="ADD6EA"/>
              <w:left w:val="nil"/>
              <w:bottom w:val="single" w:sz="4" w:space="0" w:color="ADD6EA"/>
              <w:right w:val="nil"/>
            </w:tcBorders>
            <w:shd w:val="clear" w:color="000000" w:fill="D6E7F0"/>
            <w:vAlign w:val="center"/>
            <w:hideMark/>
          </w:tcPr>
          <w:p w14:paraId="7CD9E489"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-2</w:t>
            </w:r>
          </w:p>
        </w:tc>
        <w:tc>
          <w:tcPr>
            <w:tcW w:w="680" w:type="dxa"/>
            <w:tcBorders>
              <w:top w:val="single" w:sz="4" w:space="0" w:color="ADD6EA"/>
              <w:left w:val="nil"/>
              <w:bottom w:val="single" w:sz="4" w:space="0" w:color="ADD6EA"/>
              <w:right w:val="nil"/>
            </w:tcBorders>
            <w:shd w:val="clear" w:color="000000" w:fill="D6E7F0"/>
            <w:vAlign w:val="center"/>
            <w:hideMark/>
          </w:tcPr>
          <w:p w14:paraId="4E216590"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70</w:t>
            </w:r>
          </w:p>
        </w:tc>
        <w:tc>
          <w:tcPr>
            <w:tcW w:w="680" w:type="dxa"/>
            <w:tcBorders>
              <w:top w:val="single" w:sz="4" w:space="0" w:color="ADD6EA"/>
              <w:left w:val="nil"/>
              <w:bottom w:val="single" w:sz="4" w:space="0" w:color="ADD6EA"/>
              <w:right w:val="nil"/>
            </w:tcBorders>
            <w:shd w:val="clear" w:color="000000" w:fill="D6E7F0"/>
            <w:vAlign w:val="center"/>
            <w:hideMark/>
          </w:tcPr>
          <w:p w14:paraId="724220A6"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93</w:t>
            </w:r>
          </w:p>
        </w:tc>
        <w:tc>
          <w:tcPr>
            <w:tcW w:w="680" w:type="dxa"/>
            <w:tcBorders>
              <w:top w:val="single" w:sz="4" w:space="0" w:color="ADD6EA"/>
              <w:left w:val="nil"/>
              <w:bottom w:val="single" w:sz="4" w:space="0" w:color="ADD6EA"/>
              <w:right w:val="nil"/>
            </w:tcBorders>
            <w:shd w:val="clear" w:color="000000" w:fill="D6E7F0"/>
            <w:vAlign w:val="center"/>
            <w:hideMark/>
          </w:tcPr>
          <w:p w14:paraId="6DEB6A40"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-6</w:t>
            </w:r>
          </w:p>
        </w:tc>
        <w:tc>
          <w:tcPr>
            <w:tcW w:w="680" w:type="dxa"/>
            <w:tcBorders>
              <w:top w:val="single" w:sz="4" w:space="0" w:color="ADD6EA"/>
              <w:left w:val="nil"/>
              <w:bottom w:val="single" w:sz="4" w:space="0" w:color="ADD6EA"/>
              <w:right w:val="nil"/>
            </w:tcBorders>
            <w:shd w:val="clear" w:color="000000" w:fill="D6E7F0"/>
            <w:vAlign w:val="center"/>
            <w:hideMark/>
          </w:tcPr>
          <w:p w14:paraId="7B581374" w14:textId="77777777" w:rsidR="000375B9" w:rsidRPr="000375B9" w:rsidRDefault="000375B9" w:rsidP="000375B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375B9">
              <w:rPr>
                <w:rFonts w:ascii="Open Sans Semibold" w:eastAsia="Times New Roman" w:hAnsi="Open Sans Semibold" w:cs="Open Sans Semibold"/>
                <w:color w:val="000000"/>
                <w:sz w:val="16"/>
                <w:szCs w:val="16"/>
                <w:lang w:eastAsia="en-AU"/>
              </w:rPr>
              <w:t>1,459</w:t>
            </w:r>
          </w:p>
        </w:tc>
      </w:tr>
    </w:tbl>
    <w:p w14:paraId="42F59CDE" w14:textId="77777777" w:rsidR="00A502D2" w:rsidRPr="00CB4080" w:rsidRDefault="00A502D2" w:rsidP="001E4212">
      <w:pPr>
        <w:pStyle w:val="Heading4"/>
      </w:pPr>
      <w:r w:rsidRPr="00CB4080">
        <w:t>Services to industry</w:t>
      </w:r>
    </w:p>
    <w:p w14:paraId="638FD1C1" w14:textId="7B13CDDB" w:rsidR="00A502D2" w:rsidRPr="00CB4080" w:rsidRDefault="00A502D2" w:rsidP="00A502D2">
      <w:r w:rsidRPr="00CB4080">
        <w:t>The Commission made several changes to the assessment method. The introduction of an actual per capita assessment of COVID-19 business support expenses had the largest impact, increasing the assessed GST needs of New South Wales, Victoria and the ACT. See</w:t>
      </w:r>
      <w:r w:rsidR="004D5D24">
        <w:t> </w:t>
      </w:r>
      <w:r w:rsidRPr="00CB4080">
        <w:t>Box 2-1 for an overview of the changes made to the assessment of COVID-19 related expenses.</w:t>
      </w:r>
    </w:p>
    <w:p w14:paraId="1F6EC28A" w14:textId="34E5688B" w:rsidR="00A502D2" w:rsidRPr="00CB4080" w:rsidRDefault="00A502D2" w:rsidP="00A502D2">
      <w:r w:rsidRPr="00CB4080">
        <w:t>The split of state expenses between business development and regulation was re</w:t>
      </w:r>
      <w:r w:rsidRPr="00CB4080">
        <w:noBreakHyphen/>
        <w:t>estimated with updated state data. The mining industry estimates showed</w:t>
      </w:r>
      <w:r w:rsidR="005B0772">
        <w:t xml:space="preserve"> that</w:t>
      </w:r>
      <w:r w:rsidRPr="00CB4080">
        <w:t xml:space="preserve"> regulation account</w:t>
      </w:r>
      <w:r w:rsidR="005B0772">
        <w:t>ed</w:t>
      </w:r>
      <w:r w:rsidRPr="00CB4080">
        <w:t xml:space="preserve"> for a greater share of state expenses than the estimates used in the 2020 Review. This increased the assessed GST needs of Queensland, Western Australia and the Northern Territory, which have relatively large mining sectors. </w:t>
      </w:r>
    </w:p>
    <w:p w14:paraId="7729F169" w14:textId="77777777" w:rsidR="00A502D2" w:rsidRPr="00CB4080" w:rsidRDefault="00A502D2" w:rsidP="00A502D2">
      <w:r w:rsidRPr="00CB4080">
        <w:t>In combination, method changes to the services to industry category increased the assessed GST needs of New South Wales, Victoria and the ACT, and reduced the assessed GST needs of the other states.</w:t>
      </w:r>
    </w:p>
    <w:p w14:paraId="1F1F3BB6" w14:textId="77777777" w:rsidR="00A502D2" w:rsidRPr="00CB4080" w:rsidRDefault="00A502D2" w:rsidP="001E4212">
      <w:pPr>
        <w:pStyle w:val="Heading4"/>
      </w:pPr>
      <w:r w:rsidRPr="00CB4080">
        <w:t>Health</w:t>
      </w:r>
    </w:p>
    <w:p w14:paraId="0C42849F" w14:textId="77777777" w:rsidR="00A502D2" w:rsidRPr="00CB4080" w:rsidRDefault="00A502D2" w:rsidP="00A502D2">
      <w:r w:rsidRPr="00CB4080">
        <w:t>The Commission made several changes to the assessment method. The introduction of an actual per capita assessment of COVID-19 health expenses had the largest impact, increasing the assessed GST needs of New South Wales and Victoria, while reducing the assessed GST needs of the other states. See Box 2-1 for an overview of the changes made to the assessment of COVID-19 related expenses.</w:t>
      </w:r>
    </w:p>
    <w:p w14:paraId="6EE67085" w14:textId="77777777" w:rsidR="00A502D2" w:rsidRPr="00CB4080" w:rsidRDefault="00A502D2" w:rsidP="00A502D2">
      <w:r w:rsidRPr="00CB4080">
        <w:t xml:space="preserve">Other major changes included changes to the method for calculating the </w:t>
      </w:r>
      <w:r w:rsidRPr="001A5B09">
        <w:t xml:space="preserve">impact of the non-state health sector on state health expense needs and changes to the </w:t>
      </w:r>
      <w:r w:rsidRPr="00A32992">
        <w:t>assessment</w:t>
      </w:r>
      <w:r w:rsidRPr="001A5B09">
        <w:t xml:space="preserve"> of community and public health expense needs. The changes to the non-state</w:t>
      </w:r>
      <w:r w:rsidRPr="00CB4080">
        <w:t xml:space="preserve"> health sector adjustments increased the assessed GST needs of Victoria, South Australia, the ACT and the Northern Territory. The changes to the measure of community and public health increased the assessed GST needs of New South Wales, Victoria and the ACT. </w:t>
      </w:r>
    </w:p>
    <w:p w14:paraId="4F65E264" w14:textId="3272A29F" w:rsidR="00BA4006" w:rsidRDefault="00BA4006">
      <w:pPr>
        <w:tabs>
          <w:tab w:val="clear" w:pos="567"/>
        </w:tabs>
        <w:spacing w:before="0" w:after="200" w:line="276" w:lineRule="auto"/>
      </w:pPr>
      <w:r>
        <w:rPr>
          <w:noProof/>
        </w:rPr>
        <w:lastRenderedPageBreak/>
        <mc:AlternateContent>
          <mc:Choice Requires="wps">
            <w:drawing>
              <wp:anchor distT="45720" distB="45720" distL="114300" distR="114300" simplePos="0" relativeHeight="251658255" behindDoc="0" locked="0" layoutInCell="1" allowOverlap="1" wp14:anchorId="72D57790" wp14:editId="646FB17D">
                <wp:simplePos x="0" y="0"/>
                <wp:positionH relativeFrom="margin">
                  <wp:posOffset>0</wp:posOffset>
                </wp:positionH>
                <wp:positionV relativeFrom="paragraph">
                  <wp:posOffset>0</wp:posOffset>
                </wp:positionV>
                <wp:extent cx="5853430" cy="9226550"/>
                <wp:effectExtent l="0" t="0" r="13970" b="12700"/>
                <wp:wrapSquare wrapText="bothSides"/>
                <wp:docPr id="134842422" name="Text Box 134842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430" cy="9226550"/>
                        </a:xfrm>
                        <a:prstGeom prst="rect">
                          <a:avLst/>
                        </a:prstGeom>
                        <a:solidFill>
                          <a:srgbClr val="E5F8FF"/>
                        </a:solidFill>
                        <a:ln w="9525">
                          <a:solidFill>
                            <a:schemeClr val="bg1"/>
                          </a:solidFill>
                          <a:miter lim="800000"/>
                          <a:headEnd/>
                          <a:tailEnd/>
                        </a:ln>
                      </wps:spPr>
                      <wps:txbx>
                        <w:txbxContent>
                          <w:p w14:paraId="12AB04B3" w14:textId="77777777" w:rsidR="00BA4006" w:rsidRPr="004E5FDB" w:rsidRDefault="00BA4006" w:rsidP="00CB5D5E">
                            <w:pPr>
                              <w:pStyle w:val="HeadingBox-Level3"/>
                            </w:pPr>
                            <w:bookmarkStart w:id="104" w:name="_Toc190780937"/>
                            <w:r w:rsidRPr="004E5FDB">
                              <w:t>Box 2-1</w:t>
                            </w:r>
                            <w:r w:rsidRPr="004E5FDB">
                              <w:tab/>
                              <w:t>COVID-19 method change</w:t>
                            </w:r>
                            <w:r>
                              <w:t>s</w:t>
                            </w:r>
                            <w:bookmarkEnd w:id="104"/>
                          </w:p>
                          <w:p w14:paraId="45E00FDC" w14:textId="77777777" w:rsidR="00BA4006" w:rsidRDefault="00BA4006" w:rsidP="00BA4006">
                            <w:r w:rsidRPr="004E5FDB">
                              <w:t>The COVID</w:t>
                            </w:r>
                            <w:r w:rsidRPr="004E5FDB">
                              <w:noBreakHyphen/>
                              <w:t xml:space="preserve">19 pandemic had a large effect on Australia’s economy and society. State </w:t>
                            </w:r>
                            <w:r>
                              <w:t>fiscal capacities</w:t>
                            </w:r>
                            <w:r w:rsidRPr="004E5FDB">
                              <w:t xml:space="preserve"> were also significantly </w:t>
                            </w:r>
                            <w:r>
                              <w:t>impacted</w:t>
                            </w:r>
                            <w:r w:rsidRPr="004E5FDB">
                              <w:t>.</w:t>
                            </w:r>
                            <w:r>
                              <w:t xml:space="preserve"> </w:t>
                            </w:r>
                          </w:p>
                          <w:p w14:paraId="3FCD33AD" w14:textId="77777777" w:rsidR="00BA4006" w:rsidRPr="004E5FDB" w:rsidRDefault="00BA4006" w:rsidP="00BA4006">
                            <w:r w:rsidRPr="004E5FDB">
                              <w:t xml:space="preserve">The </w:t>
                            </w:r>
                            <w:r>
                              <w:t xml:space="preserve">Commission’s </w:t>
                            </w:r>
                            <w:r w:rsidRPr="004E5FDB">
                              <w:t xml:space="preserve">2020 Review expense assessment methods captured some, but not all, COVID-19 related pressures on state </w:t>
                            </w:r>
                            <w:r>
                              <w:t>expenses</w:t>
                            </w:r>
                            <w:r w:rsidRPr="004E5FDB">
                              <w:t>. Specifically</w:t>
                            </w:r>
                            <w:r>
                              <w:t xml:space="preserve">, </w:t>
                            </w:r>
                            <w:r w:rsidRPr="004E5FDB">
                              <w:t>the usual drivers in the health assessment did not adequately reflect state expense needs for COVID</w:t>
                            </w:r>
                            <w:r w:rsidRPr="004E5FDB">
                              <w:noBreakHyphen/>
                              <w:t>19 related hospital and public health services</w:t>
                            </w:r>
                            <w:r>
                              <w:t xml:space="preserve"> and </w:t>
                            </w:r>
                            <w:r w:rsidRPr="004E5FDB">
                              <w:t>the usual drivers in the services to industry assessment did not adequately reflect state expense needs for COVID</w:t>
                            </w:r>
                            <w:r w:rsidRPr="004E5FDB">
                              <w:noBreakHyphen/>
                              <w:t>19 business support.</w:t>
                            </w:r>
                          </w:p>
                          <w:p w14:paraId="3E445C00" w14:textId="77777777" w:rsidR="00BA4006" w:rsidRPr="004E5FDB" w:rsidRDefault="00BA4006" w:rsidP="00BA4006">
                            <w:r w:rsidRPr="004E5FDB">
                              <w:t xml:space="preserve">The terms of reference for the 2021, 2022, 2023 and 2024 updates did not </w:t>
                            </w:r>
                            <w:r>
                              <w:t xml:space="preserve">allow </w:t>
                            </w:r>
                            <w:r w:rsidRPr="004E5FDB">
                              <w:t xml:space="preserve">a change in assessment method </w:t>
                            </w:r>
                            <w:r>
                              <w:t xml:space="preserve">that would have allowed the Commission </w:t>
                            </w:r>
                            <w:r w:rsidRPr="001A5B09">
                              <w:t xml:space="preserve">to </w:t>
                            </w:r>
                            <w:r w:rsidRPr="00E95564">
                              <w:t>specifically</w:t>
                            </w:r>
                            <w:r w:rsidRPr="001A5B09">
                              <w:t xml:space="preserve"> assess</w:t>
                            </w:r>
                            <w:r>
                              <w:t xml:space="preserve"> relative state fiscal capacities in light of the </w:t>
                            </w:r>
                            <w:r w:rsidRPr="004E5FDB">
                              <w:t>response</w:t>
                            </w:r>
                            <w:r>
                              <w:t>s</w:t>
                            </w:r>
                            <w:r w:rsidRPr="004E5FDB">
                              <w:t xml:space="preserve"> to COVID-19.</w:t>
                            </w:r>
                            <w:r>
                              <w:t xml:space="preserve"> </w:t>
                            </w:r>
                            <w:r w:rsidRPr="004E5FDB">
                              <w:t>The Commission decided to treat the Commonwealth payments under the National Partnership on COVID</w:t>
                            </w:r>
                            <w:r w:rsidRPr="004E5FDB">
                              <w:noBreakHyphen/>
                              <w:t>19 Response (health) and COVID</w:t>
                            </w:r>
                            <w:r w:rsidRPr="004E5FDB">
                              <w:noBreakHyphen/>
                              <w:t xml:space="preserve">19 Business Support national partnerships as having no impact on GST distribution because COVID-19 </w:t>
                            </w:r>
                            <w:r>
                              <w:t>expenses were</w:t>
                            </w:r>
                            <w:r w:rsidRPr="004E5FDB">
                              <w:t xml:space="preserve"> not specifically assessed </w:t>
                            </w:r>
                            <w:r>
                              <w:t xml:space="preserve">using </w:t>
                            </w:r>
                            <w:r w:rsidRPr="004E5FDB">
                              <w:t>the 2020 Review methods.</w:t>
                            </w:r>
                            <w:r>
                              <w:t xml:space="preserve"> </w:t>
                            </w:r>
                            <w:r w:rsidRPr="004E5FDB">
                              <w:t>The 2020 Review assessment methods were applied to state</w:t>
                            </w:r>
                            <w:r>
                              <w:t>-</w:t>
                            </w:r>
                            <w:r w:rsidRPr="004E5FDB">
                              <w:t xml:space="preserve">funded </w:t>
                            </w:r>
                            <w:r>
                              <w:t>COVID-19 expenses</w:t>
                            </w:r>
                            <w:r w:rsidRPr="004E5FDB">
                              <w:t xml:space="preserve"> </w:t>
                            </w:r>
                            <w:r w:rsidDel="00C93D76">
                              <w:t xml:space="preserve">for health and business </w:t>
                            </w:r>
                            <w:r w:rsidRPr="004E5FDB">
                              <w:t xml:space="preserve">under the </w:t>
                            </w:r>
                            <w:r>
                              <w:t xml:space="preserve">relevant </w:t>
                            </w:r>
                            <w:r w:rsidRPr="004E5FDB">
                              <w:t>national partnership</w:t>
                            </w:r>
                            <w:r>
                              <w:t xml:space="preserve"> agreements</w:t>
                            </w:r>
                            <w:r w:rsidRPr="004E5FDB">
                              <w:t>.</w:t>
                            </w:r>
                          </w:p>
                          <w:p w14:paraId="5F8A31E8" w14:textId="77777777" w:rsidR="00BA4006" w:rsidRPr="004E5FDB" w:rsidRDefault="00BA4006" w:rsidP="00BA4006">
                            <w:r w:rsidRPr="004E5FDB">
                              <w:t xml:space="preserve">With the </w:t>
                            </w:r>
                            <w:r>
                              <w:t>ability</w:t>
                            </w:r>
                            <w:r w:rsidRPr="004E5FDB">
                              <w:t xml:space="preserve"> to change assessment methods in the 2025 Review, the Commission was able to use alternative </w:t>
                            </w:r>
                            <w:r>
                              <w:t xml:space="preserve">methods to </w:t>
                            </w:r>
                            <w:r w:rsidRPr="004E5FDB">
                              <w:t xml:space="preserve">assess state </w:t>
                            </w:r>
                            <w:r>
                              <w:t>expenses</w:t>
                            </w:r>
                            <w:r w:rsidRPr="004E5FDB">
                              <w:t xml:space="preserve"> </w:t>
                            </w:r>
                            <w:r>
                              <w:t>under the national partnership agreements</w:t>
                            </w:r>
                            <w:r w:rsidRPr="004E5FDB">
                              <w:t xml:space="preserve"> related to COVID-19</w:t>
                            </w:r>
                            <w:r>
                              <w:t xml:space="preserve"> expenses</w:t>
                            </w:r>
                            <w:r w:rsidRPr="004E5FDB">
                              <w:t>. It decided to:</w:t>
                            </w:r>
                            <w:r>
                              <w:t xml:space="preserve"> </w:t>
                            </w:r>
                          </w:p>
                          <w:p w14:paraId="53A97D2D" w14:textId="77777777" w:rsidR="00BA4006" w:rsidRPr="00053936" w:rsidRDefault="00BA4006" w:rsidP="00BA4006">
                            <w:pPr>
                              <w:pStyle w:val="CGC2025Bullet1"/>
                            </w:pPr>
                            <w:r w:rsidRPr="004E5FDB">
                              <w:t xml:space="preserve">assess state </w:t>
                            </w:r>
                            <w:r w:rsidRPr="00053936">
                              <w:t xml:space="preserve">expenses associated with the national partnerships on an actual per capita basis – that is, needs were assessed as equalling actual expenses </w:t>
                            </w:r>
                          </w:p>
                          <w:p w14:paraId="283416C5" w14:textId="77777777" w:rsidR="00BA4006" w:rsidRPr="00053936" w:rsidRDefault="00BA4006" w:rsidP="00BA4006">
                            <w:pPr>
                              <w:pStyle w:val="CGC2025Bullet1"/>
                            </w:pPr>
                            <w:r w:rsidRPr="00053936">
                              <w:t>treat the Commonwealth payments under the relevant national partnership agreements as impacting the GST distribution given that the expenses were now specifically assessed.</w:t>
                            </w:r>
                          </w:p>
                          <w:p w14:paraId="715A3ADC" w14:textId="77777777" w:rsidR="00BA4006" w:rsidRPr="00053936" w:rsidRDefault="00BA4006" w:rsidP="00BA4006">
                            <w:r w:rsidRPr="00053936">
                              <w:t>The basis for this decision was that the differences in expenses between states on COVID</w:t>
                            </w:r>
                            <w:r w:rsidRPr="00053936">
                              <w:noBreakHyphen/>
                              <w:t>19 health and business support cannot be fully explained by the 2020 Review methods for assessing health and business support needs more generally. Further, the Commission considered state responses to the COVID-19 pandemic largely reflected circumstances outside of state control rather than being predominantly driven by state policy decisions. In this way, the unpredictable and varying impacts of the pandemic were similar in nature to the impacts of a natural disaster.</w:t>
                            </w:r>
                          </w:p>
                          <w:p w14:paraId="2D910C13" w14:textId="77777777" w:rsidR="00BA4006" w:rsidRPr="00053936" w:rsidRDefault="00BA4006" w:rsidP="00BA4006">
                            <w:r w:rsidRPr="00053936">
                              <w:t xml:space="preserve">Whether state responses to COVID-19 reflected state circumstances or state policy is a contested issue. In the 2021, 2022, 2023 and 2024 </w:t>
                            </w:r>
                            <w:r>
                              <w:t>u</w:t>
                            </w:r>
                            <w:r w:rsidRPr="00053936">
                              <w:t xml:space="preserve">pdates, the Commission considered state responses mainly reflected state circumstances rather than individual state policies. While some states had a similar view, others said that individual state policies predominantly drove differences in expenses between states, rather than circumstances outside states’ control. </w:t>
                            </w:r>
                          </w:p>
                          <w:p w14:paraId="3088FC03" w14:textId="0EF15F4F" w:rsidR="00BA4006" w:rsidRPr="00053936" w:rsidRDefault="00BA4006" w:rsidP="00BA4006">
                            <w:pPr>
                              <w:pStyle w:val="CGC2025Bullet1"/>
                              <w:numPr>
                                <w:ilvl w:val="0"/>
                                <w:numId w:val="0"/>
                              </w:numPr>
                            </w:pPr>
                            <w:r w:rsidRPr="00E95564">
                              <w:t xml:space="preserve">Recent </w:t>
                            </w:r>
                            <w:r w:rsidRPr="001A5B09">
                              <w:t>reviews have sought to identify policy lessons from the COVID-19 pandemic and how the</w:t>
                            </w:r>
                            <w:r w:rsidR="00043070" w:rsidRPr="001A5B09">
                              <w:t xml:space="preserve"> policy</w:t>
                            </w:r>
                            <w:r w:rsidRPr="001A5B09">
                              <w:t xml:space="preserve"> responses could have been improved. Overall, the Commission’s judgement is that in assessing COVID-19 related state expenses in the years 2021</w:t>
                            </w:r>
                            <w:r w:rsidR="001F7336">
                              <w:t>–</w:t>
                            </w:r>
                            <w:r w:rsidRPr="001A5B09">
                              <w:t>22 to 2023</w:t>
                            </w:r>
                            <w:r w:rsidR="001F7336">
                              <w:t>–</w:t>
                            </w:r>
                            <w:r w:rsidRPr="001A5B09">
                              <w:t xml:space="preserve">24, the view it expressed in previous updates remains appropriate. While there were differences in </w:t>
                            </w:r>
                            <w:r w:rsidR="00352D41" w:rsidRPr="001A5B09">
                              <w:t xml:space="preserve">states’ </w:t>
                            </w:r>
                            <w:r w:rsidRPr="001A5B09">
                              <w:t xml:space="preserve">policy settings at various stages of the pandemic, the Commission considers these often reflected different state circumstances. Moreover, it considers the </w:t>
                            </w:r>
                            <w:r w:rsidR="007846FD">
                              <w:t>n</w:t>
                            </w:r>
                            <w:r w:rsidRPr="001A5B09">
                              <w:t xml:space="preserve">ational </w:t>
                            </w:r>
                            <w:r w:rsidR="007846FD">
                              <w:t>p</w:t>
                            </w:r>
                            <w:r w:rsidRPr="001A5B09">
                              <w:t>artnership</w:t>
                            </w:r>
                            <w:r w:rsidRPr="00053936">
                              <w:t xml:space="preserve"> </w:t>
                            </w:r>
                            <w:r w:rsidR="007846FD">
                              <w:t>a</w:t>
                            </w:r>
                            <w:r w:rsidRPr="00053936">
                              <w:t>greements, which co</w:t>
                            </w:r>
                            <w:r w:rsidRPr="00053936">
                              <w:noBreakHyphen/>
                              <w:t>funded COVID-19 health and business support expenses, were sufficiently homogenous to support actual per capita assessment</w:t>
                            </w:r>
                            <w:r>
                              <w:t>s</w:t>
                            </w:r>
                            <w:r w:rsidRPr="00053936">
                              <w:t xml:space="preserve">. The Commission has not made any retrospective adjustments to COVID-19 related expenses </w:t>
                            </w:r>
                            <w:r>
                              <w:t xml:space="preserve">for </w:t>
                            </w:r>
                            <w:r w:rsidRPr="00053936">
                              <w:t xml:space="preserve">previous </w:t>
                            </w:r>
                            <w:r>
                              <w:t xml:space="preserve">GST distribution </w:t>
                            </w:r>
                            <w:r w:rsidRPr="00053936">
                              <w:t xml:space="preserve">years. </w:t>
                            </w:r>
                          </w:p>
                          <w:p w14:paraId="1238C108" w14:textId="77777777" w:rsidR="00BA4006" w:rsidRDefault="00BA4006" w:rsidP="00BA4006">
                            <w:pPr>
                              <w:rPr>
                                <w:i/>
                                <w:iCs/>
                              </w:rPr>
                            </w:pPr>
                            <w:r w:rsidRPr="00053936">
                              <w:t>Further information on the Commission’s rationale for the method changes</w:t>
                            </w:r>
                            <w:r w:rsidRPr="004E5FDB">
                              <w:t xml:space="preserve"> and state views on the issues can be found </w:t>
                            </w:r>
                            <w:r>
                              <w:t>in the health</w:t>
                            </w:r>
                            <w:r w:rsidRPr="004E5FDB">
                              <w:t xml:space="preserve"> and </w:t>
                            </w:r>
                            <w:r>
                              <w:t>s</w:t>
                            </w:r>
                            <w:r w:rsidRPr="004E5FDB">
                              <w:t xml:space="preserve">ervices to </w:t>
                            </w:r>
                            <w:r>
                              <w:t xml:space="preserve">industry chapters of </w:t>
                            </w:r>
                            <w:r w:rsidRPr="008F3C16">
                              <w:rPr>
                                <w:i/>
                                <w:iCs/>
                              </w:rPr>
                              <w:t>Review Outcomes.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57790" id="Text Box 134842422" o:spid="_x0000_s1037" type="#_x0000_t202" style="position:absolute;margin-left:0;margin-top:0;width:460.9pt;height:726.5pt;z-index:25165825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" fillcolor="#e5f8ff" strokecolor="white [3212]">
                <v:textbox>
                  <w:txbxContent>
                    <w:p w14:paraId="12AB04B3" w14:textId="77777777" w:rsidR="00BA4006" w:rsidRPr="004E5FDB" w:rsidRDefault="00BA4006" w:rsidP="00CB5D5E">
                      <w:pPr>
                        <w:pStyle w:val="HeadingBox-Level3"/>
                      </w:pPr>
                      <w:bookmarkStart w:id="117" w:name="_Toc190780937"/>
                      <w:r w:rsidRPr="004E5FDB">
                        <w:t>Box 2-1</w:t>
                      </w:r>
                      <w:r w:rsidRPr="004E5FDB">
                        <w:tab/>
                        <w:t>COVID-19 method change</w:t>
                      </w:r>
                      <w:r>
                        <w:t>s</w:t>
                      </w:r>
                      <w:bookmarkEnd w:id="117"/>
                    </w:p>
                    <w:p w14:paraId="45E00FDC" w14:textId="77777777" w:rsidR="00BA4006" w:rsidRDefault="00BA4006" w:rsidP="00BA4006">
                      <w:r w:rsidRPr="004E5FDB">
                        <w:t>The COVID</w:t>
                      </w:r>
                      <w:r w:rsidRPr="004E5FDB">
                        <w:noBreakHyphen/>
                        <w:t xml:space="preserve">19 pandemic had a large effect on Australia’s economy and society. State </w:t>
                      </w:r>
                      <w:r>
                        <w:t>fiscal capacities</w:t>
                      </w:r>
                      <w:r w:rsidRPr="004E5FDB">
                        <w:t xml:space="preserve"> were also significantly </w:t>
                      </w:r>
                      <w:r>
                        <w:t>impacted</w:t>
                      </w:r>
                      <w:r w:rsidRPr="004E5FDB">
                        <w:t>.</w:t>
                      </w:r>
                      <w:r>
                        <w:t xml:space="preserve"> </w:t>
                      </w:r>
                    </w:p>
                    <w:p w14:paraId="3FCD33AD" w14:textId="77777777" w:rsidR="00BA4006" w:rsidRPr="004E5FDB" w:rsidRDefault="00BA4006" w:rsidP="00BA4006">
                      <w:r w:rsidRPr="004E5FDB">
                        <w:t xml:space="preserve">The </w:t>
                      </w:r>
                      <w:r>
                        <w:t xml:space="preserve">Commission’s </w:t>
                      </w:r>
                      <w:r w:rsidRPr="004E5FDB">
                        <w:t xml:space="preserve">2020 Review expense assessment methods captured some, but not all, COVID-19 related pressures on state </w:t>
                      </w:r>
                      <w:r>
                        <w:t>expenses</w:t>
                      </w:r>
                      <w:r w:rsidRPr="004E5FDB">
                        <w:t>. Specifically</w:t>
                      </w:r>
                      <w:r>
                        <w:t xml:space="preserve">, </w:t>
                      </w:r>
                      <w:r w:rsidRPr="004E5FDB">
                        <w:t>the usual drivers in the health assessment did not adequately reflect state expense needs for COVID</w:t>
                      </w:r>
                      <w:r w:rsidRPr="004E5FDB">
                        <w:noBreakHyphen/>
                        <w:t>19 related hospital and public health services</w:t>
                      </w:r>
                      <w:r>
                        <w:t xml:space="preserve"> and </w:t>
                      </w:r>
                      <w:r w:rsidRPr="004E5FDB">
                        <w:t>the usual drivers in the services to industry assessment did not adequately reflect state expense needs for COVID</w:t>
                      </w:r>
                      <w:r w:rsidRPr="004E5FDB">
                        <w:noBreakHyphen/>
                        <w:t>19 business support.</w:t>
                      </w:r>
                    </w:p>
                    <w:p w14:paraId="3E445C00" w14:textId="77777777" w:rsidR="00BA4006" w:rsidRPr="004E5FDB" w:rsidRDefault="00BA4006" w:rsidP="00BA4006">
                      <w:r w:rsidRPr="004E5FDB">
                        <w:t xml:space="preserve">The terms of reference for the 2021, 2022, 2023 and 2024 updates did not </w:t>
                      </w:r>
                      <w:r>
                        <w:t xml:space="preserve">allow </w:t>
                      </w:r>
                      <w:r w:rsidRPr="004E5FDB">
                        <w:t xml:space="preserve">a change in assessment method </w:t>
                      </w:r>
                      <w:r>
                        <w:t xml:space="preserve">that would have allowed the Commission </w:t>
                      </w:r>
                      <w:r w:rsidRPr="001A5B09">
                        <w:t xml:space="preserve">to </w:t>
                      </w:r>
                      <w:r w:rsidRPr="00E95564">
                        <w:t>specifically</w:t>
                      </w:r>
                      <w:r w:rsidRPr="001A5B09">
                        <w:t xml:space="preserve"> assess</w:t>
                      </w:r>
                      <w:r>
                        <w:t xml:space="preserve"> relative state fiscal capacities in light of the </w:t>
                      </w:r>
                      <w:r w:rsidRPr="004E5FDB">
                        <w:t>response</w:t>
                      </w:r>
                      <w:r>
                        <w:t>s</w:t>
                      </w:r>
                      <w:r w:rsidRPr="004E5FDB">
                        <w:t xml:space="preserve"> to COVID-19.</w:t>
                      </w:r>
                      <w:r>
                        <w:t xml:space="preserve"> </w:t>
                      </w:r>
                      <w:r w:rsidRPr="004E5FDB">
                        <w:t>The Commission decided to treat the Commonwealth payments under the National Partnership on COVID</w:t>
                      </w:r>
                      <w:r w:rsidRPr="004E5FDB">
                        <w:noBreakHyphen/>
                        <w:t>19 Response (health) and COVID</w:t>
                      </w:r>
                      <w:r w:rsidRPr="004E5FDB">
                        <w:noBreakHyphen/>
                        <w:t xml:space="preserve">19 Business Support national partnerships as having no impact on GST distribution because COVID-19 </w:t>
                      </w:r>
                      <w:r>
                        <w:t>expenses were</w:t>
                      </w:r>
                      <w:r w:rsidRPr="004E5FDB">
                        <w:t xml:space="preserve"> not specifically assessed </w:t>
                      </w:r>
                      <w:r>
                        <w:t xml:space="preserve">using </w:t>
                      </w:r>
                      <w:r w:rsidRPr="004E5FDB">
                        <w:t>the 2020 Review methods.</w:t>
                      </w:r>
                      <w:r>
                        <w:t xml:space="preserve"> </w:t>
                      </w:r>
                      <w:r w:rsidRPr="004E5FDB">
                        <w:t>The 2020 Review assessment methods were applied to state</w:t>
                      </w:r>
                      <w:r>
                        <w:t>-</w:t>
                      </w:r>
                      <w:r w:rsidRPr="004E5FDB">
                        <w:t xml:space="preserve">funded </w:t>
                      </w:r>
                      <w:r>
                        <w:t>COVID-19 expenses</w:t>
                      </w:r>
                      <w:r w:rsidRPr="004E5FDB">
                        <w:t xml:space="preserve"> </w:t>
                      </w:r>
                      <w:r w:rsidDel="00C93D76">
                        <w:t xml:space="preserve">for health and business </w:t>
                      </w:r>
                      <w:r w:rsidRPr="004E5FDB">
                        <w:t xml:space="preserve">under the </w:t>
                      </w:r>
                      <w:r>
                        <w:t xml:space="preserve">relevant </w:t>
                      </w:r>
                      <w:r w:rsidRPr="004E5FDB">
                        <w:t>national partnership</w:t>
                      </w:r>
                      <w:r>
                        <w:t xml:space="preserve"> agreements</w:t>
                      </w:r>
                      <w:r w:rsidRPr="004E5FDB">
                        <w:t>.</w:t>
                      </w:r>
                    </w:p>
                    <w:p w14:paraId="5F8A31E8" w14:textId="77777777" w:rsidR="00BA4006" w:rsidRPr="004E5FDB" w:rsidRDefault="00BA4006" w:rsidP="00BA4006">
                      <w:r w:rsidRPr="004E5FDB">
                        <w:t xml:space="preserve">With the </w:t>
                      </w:r>
                      <w:r>
                        <w:t>ability</w:t>
                      </w:r>
                      <w:r w:rsidRPr="004E5FDB">
                        <w:t xml:space="preserve"> to change assessment methods in the 2025 Review, the Commission was able to use alternative </w:t>
                      </w:r>
                      <w:r>
                        <w:t xml:space="preserve">methods to </w:t>
                      </w:r>
                      <w:r w:rsidRPr="004E5FDB">
                        <w:t xml:space="preserve">assess state </w:t>
                      </w:r>
                      <w:r>
                        <w:t>expenses</w:t>
                      </w:r>
                      <w:r w:rsidRPr="004E5FDB">
                        <w:t xml:space="preserve"> </w:t>
                      </w:r>
                      <w:r>
                        <w:t>under the national partnership agreements</w:t>
                      </w:r>
                      <w:r w:rsidRPr="004E5FDB">
                        <w:t xml:space="preserve"> related to COVID-19</w:t>
                      </w:r>
                      <w:r>
                        <w:t xml:space="preserve"> expenses</w:t>
                      </w:r>
                      <w:r w:rsidRPr="004E5FDB">
                        <w:t>. It decided to:</w:t>
                      </w:r>
                      <w:r>
                        <w:t xml:space="preserve"> </w:t>
                      </w:r>
                    </w:p>
                    <w:p w14:paraId="53A97D2D" w14:textId="77777777" w:rsidR="00BA4006" w:rsidRPr="00053936" w:rsidRDefault="00BA4006" w:rsidP="00BA4006">
                      <w:pPr>
                        <w:pStyle w:val="CGC2025Bullet1"/>
                      </w:pPr>
                      <w:r w:rsidRPr="004E5FDB">
                        <w:t xml:space="preserve">assess state </w:t>
                      </w:r>
                      <w:r w:rsidRPr="00053936">
                        <w:t xml:space="preserve">expenses associated with the national partnerships on an actual per capita basis – that is, needs were assessed as equalling actual expenses </w:t>
                      </w:r>
                    </w:p>
                    <w:p w14:paraId="283416C5" w14:textId="77777777" w:rsidR="00BA4006" w:rsidRPr="00053936" w:rsidRDefault="00BA4006" w:rsidP="00BA4006">
                      <w:pPr>
                        <w:pStyle w:val="CGC2025Bullet1"/>
                      </w:pPr>
                      <w:r w:rsidRPr="00053936">
                        <w:t>treat the Commonwealth payments under the relevant national partnership agreements as impacting the GST distribution given that the expenses were now specifically assessed.</w:t>
                      </w:r>
                    </w:p>
                    <w:p w14:paraId="715A3ADC" w14:textId="77777777" w:rsidR="00BA4006" w:rsidRPr="00053936" w:rsidRDefault="00BA4006" w:rsidP="00BA4006">
                      <w:r w:rsidRPr="00053936">
                        <w:t>The basis for this decision was that the differences in expenses between states on COVID</w:t>
                      </w:r>
                      <w:r w:rsidRPr="00053936">
                        <w:noBreakHyphen/>
                        <w:t>19 health and business support cannot be fully explained by the 2020 Review methods for assessing health and business support needs more generally. Further, the Commission considered state responses to the COVID-19 pandemic largely reflected circumstances outside of state control rather than being predominantly driven by state policy decisions. In this way, the unpredictable and varying impacts of the pandemic were similar in nature to the impacts of a natural disaster.</w:t>
                      </w:r>
                    </w:p>
                    <w:p w14:paraId="2D910C13" w14:textId="77777777" w:rsidR="00BA4006" w:rsidRPr="00053936" w:rsidRDefault="00BA4006" w:rsidP="00BA4006">
                      <w:r w:rsidRPr="00053936">
                        <w:t xml:space="preserve">Whether state responses to COVID-19 reflected state circumstances or state policy is a contested issue. In the 2021, 2022, 2023 and 2024 </w:t>
                      </w:r>
                      <w:r>
                        <w:t>u</w:t>
                      </w:r>
                      <w:r w:rsidRPr="00053936">
                        <w:t xml:space="preserve">pdates, the Commission considered state responses mainly reflected state circumstances rather than individual state policies. While some states had a similar view, others said that individual state policies predominantly drove differences in expenses between states, rather than circumstances outside states’ control. </w:t>
                      </w:r>
                    </w:p>
                    <w:p w14:paraId="3088FC03" w14:textId="0EF15F4F" w:rsidR="00BA4006" w:rsidRPr="00053936" w:rsidRDefault="00BA4006" w:rsidP="00BA4006">
                      <w:pPr>
                        <w:pStyle w:val="CGC2025Bullet1"/>
                        <w:numPr>
                          <w:ilvl w:val="0"/>
                          <w:numId w:val="0"/>
                        </w:numPr>
                      </w:pPr>
                      <w:r w:rsidRPr="00E95564">
                        <w:t xml:space="preserve">Recent </w:t>
                      </w:r>
                      <w:r w:rsidRPr="001A5B09">
                        <w:t>reviews have sought to identify policy lessons from the COVID-19 pandemic and how the</w:t>
                      </w:r>
                      <w:r w:rsidR="00043070" w:rsidRPr="001A5B09">
                        <w:t xml:space="preserve"> policy</w:t>
                      </w:r>
                      <w:r w:rsidRPr="001A5B09">
                        <w:t xml:space="preserve"> responses could have been improved. Overall, the Commission’s judgement is that in assessing COVID-19 related state expenses in the years 2021</w:t>
                      </w:r>
                      <w:r w:rsidR="001F7336">
                        <w:t>–</w:t>
                      </w:r>
                      <w:r w:rsidRPr="001A5B09">
                        <w:t>22 to 2023</w:t>
                      </w:r>
                      <w:r w:rsidR="001F7336">
                        <w:t>–</w:t>
                      </w:r>
                      <w:r w:rsidRPr="001A5B09">
                        <w:t xml:space="preserve">24, the view it expressed in previous updates remains appropriate. While there were differences in </w:t>
                      </w:r>
                      <w:r w:rsidR="00352D41" w:rsidRPr="001A5B09">
                        <w:t xml:space="preserve">states’ </w:t>
                      </w:r>
                      <w:r w:rsidRPr="001A5B09">
                        <w:t xml:space="preserve">policy settings at various stages of the pandemic, the Commission considers these often reflected different state circumstances. Moreover, it considers the </w:t>
                      </w:r>
                      <w:r w:rsidR="007846FD">
                        <w:t>n</w:t>
                      </w:r>
                      <w:r w:rsidRPr="001A5B09">
                        <w:t xml:space="preserve">ational </w:t>
                      </w:r>
                      <w:r w:rsidR="007846FD">
                        <w:t>p</w:t>
                      </w:r>
                      <w:r w:rsidRPr="001A5B09">
                        <w:t>artnership</w:t>
                      </w:r>
                      <w:r w:rsidRPr="00053936">
                        <w:t xml:space="preserve"> </w:t>
                      </w:r>
                      <w:r w:rsidR="007846FD">
                        <w:t>a</w:t>
                      </w:r>
                      <w:r w:rsidRPr="00053936">
                        <w:t>greements, which co</w:t>
                      </w:r>
                      <w:r w:rsidRPr="00053936">
                        <w:noBreakHyphen/>
                        <w:t>funded COVID-19 health and business support expenses, were sufficiently homogenous to support actual per capita assessment</w:t>
                      </w:r>
                      <w:r>
                        <w:t>s</w:t>
                      </w:r>
                      <w:r w:rsidRPr="00053936">
                        <w:t xml:space="preserve">. The Commission has not made any retrospective adjustments to COVID-19 related expenses </w:t>
                      </w:r>
                      <w:r>
                        <w:t xml:space="preserve">for </w:t>
                      </w:r>
                      <w:r w:rsidRPr="00053936">
                        <w:t xml:space="preserve">previous </w:t>
                      </w:r>
                      <w:r>
                        <w:t xml:space="preserve">GST distribution </w:t>
                      </w:r>
                      <w:r w:rsidRPr="00053936">
                        <w:t xml:space="preserve">years. </w:t>
                      </w:r>
                    </w:p>
                    <w:p w14:paraId="1238C108" w14:textId="77777777" w:rsidR="00BA4006" w:rsidRDefault="00BA4006" w:rsidP="00BA4006">
                      <w:pPr>
                        <w:rPr>
                          <w:i/>
                          <w:iCs/>
                        </w:rPr>
                      </w:pPr>
                      <w:r w:rsidRPr="00053936">
                        <w:t>Further information on the Commission’s rationale for the method changes</w:t>
                      </w:r>
                      <w:r w:rsidRPr="004E5FDB">
                        <w:t xml:space="preserve"> and state views on the issues can be found </w:t>
                      </w:r>
                      <w:r>
                        <w:t>in the health</w:t>
                      </w:r>
                      <w:r w:rsidRPr="004E5FDB">
                        <w:t xml:space="preserve"> and </w:t>
                      </w:r>
                      <w:r>
                        <w:t>s</w:t>
                      </w:r>
                      <w:r w:rsidRPr="004E5FDB">
                        <w:t xml:space="preserve">ervices to </w:t>
                      </w:r>
                      <w:r>
                        <w:t xml:space="preserve">industry chapters of </w:t>
                      </w:r>
                      <w:r w:rsidRPr="008F3C16">
                        <w:rPr>
                          <w:i/>
                          <w:iCs/>
                        </w:rPr>
                        <w:t>Review Outcomes.</w:t>
                      </w:r>
                    </w:p>
                  </w:txbxContent>
                </v:textbox>
                <w10:wrap type="square" anchorx="margin"/>
              </v:shape>
            </w:pict>
          </mc:Fallback>
        </mc:AlternateContent>
      </w:r>
      <w:r>
        <w:br w:type="page"/>
      </w:r>
    </w:p>
    <w:p w14:paraId="56DB8587" w14:textId="70C3D634" w:rsidR="003E46D8" w:rsidRDefault="00097681">
      <w:pPr>
        <w:tabs>
          <w:tab w:val="clear" w:pos="567"/>
        </w:tabs>
        <w:spacing w:before="0" w:after="200" w:line="276" w:lineRule="auto"/>
        <w:rPr>
          <w:rFonts w:eastAsia="Times New Roman" w:cs="Open Sans"/>
          <w:b/>
          <w:bCs/>
          <w:color w:val="006991"/>
          <w:sz w:val="40"/>
          <w:szCs w:val="40"/>
        </w:rPr>
      </w:pPr>
      <w:r>
        <w:rPr>
          <w:noProof/>
        </w:rPr>
        <w:lastRenderedPageBreak/>
        <mc:AlternateContent>
          <mc:Choice Requires="wps">
            <w:drawing>
              <wp:anchor distT="45720" distB="45720" distL="114300" distR="114300" simplePos="0" relativeHeight="251658256" behindDoc="0" locked="0" layoutInCell="1" allowOverlap="1" wp14:anchorId="23FD758A" wp14:editId="47022178">
                <wp:simplePos x="0" y="0"/>
                <wp:positionH relativeFrom="margin">
                  <wp:align>left</wp:align>
                </wp:positionH>
                <wp:positionV relativeFrom="paragraph">
                  <wp:posOffset>0</wp:posOffset>
                </wp:positionV>
                <wp:extent cx="5853430" cy="9315450"/>
                <wp:effectExtent l="0" t="0" r="13970" b="19050"/>
                <wp:wrapSquare wrapText="bothSides"/>
                <wp:docPr id="504781802" name="Text Box 504781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430" cy="9315450"/>
                        </a:xfrm>
                        <a:prstGeom prst="rect">
                          <a:avLst/>
                        </a:prstGeom>
                        <a:solidFill>
                          <a:srgbClr val="E5F8FF"/>
                        </a:solidFill>
                        <a:ln w="9525">
                          <a:solidFill>
                            <a:schemeClr val="bg1"/>
                          </a:solidFill>
                          <a:miter lim="800000"/>
                          <a:headEnd/>
                          <a:tailEnd/>
                        </a:ln>
                      </wps:spPr>
                      <wps:txbx>
                        <w:txbxContent>
                          <w:p w14:paraId="678F39A5" w14:textId="77777777" w:rsidR="00097681" w:rsidRPr="004E5FDB" w:rsidRDefault="00097681" w:rsidP="00CB5D5E">
                            <w:pPr>
                              <w:pStyle w:val="HeadingBox-Level3"/>
                            </w:pPr>
                            <w:bookmarkStart w:id="105" w:name="_Toc190780938"/>
                            <w:r w:rsidRPr="004E5FDB">
                              <w:t>Box 2-1</w:t>
                            </w:r>
                            <w:r w:rsidRPr="004E5FDB">
                              <w:tab/>
                              <w:t>COVID-19 method change</w:t>
                            </w:r>
                            <w:r>
                              <w:t>s</w:t>
                            </w:r>
                            <w:r w:rsidRPr="004E5FDB">
                              <w:t xml:space="preserve"> </w:t>
                            </w:r>
                            <w:r>
                              <w:t>(</w:t>
                            </w:r>
                            <w:r w:rsidRPr="004E5FDB">
                              <w:t>continued</w:t>
                            </w:r>
                            <w:r>
                              <w:t>)</w:t>
                            </w:r>
                            <w:bookmarkEnd w:id="105"/>
                            <w:r w:rsidRPr="004E5FDB">
                              <w:t xml:space="preserve"> </w:t>
                            </w:r>
                          </w:p>
                          <w:p w14:paraId="1F5CD022" w14:textId="143B3D70" w:rsidR="00097681" w:rsidRPr="004E5FDB" w:rsidRDefault="00097681" w:rsidP="00097681">
                            <w:r w:rsidRPr="004E5FDB">
                              <w:t xml:space="preserve">The Commission’s separate assessment of </w:t>
                            </w:r>
                            <w:r>
                              <w:t>expenses</w:t>
                            </w:r>
                            <w:r w:rsidRPr="004E5FDB">
                              <w:t xml:space="preserve"> </w:t>
                            </w:r>
                            <w:r>
                              <w:t>under the Commonwealth</w:t>
                            </w:r>
                            <w:r w:rsidR="00E37E09">
                              <w:t xml:space="preserve"> </w:t>
                            </w:r>
                            <w:r w:rsidR="007846FD">
                              <w:t>n</w:t>
                            </w:r>
                            <w:r w:rsidR="00E37E09">
                              <w:t xml:space="preserve">ational </w:t>
                            </w:r>
                            <w:r w:rsidR="007846FD">
                              <w:t>p</w:t>
                            </w:r>
                            <w:r w:rsidR="00E37E09">
                              <w:t>artnership</w:t>
                            </w:r>
                            <w:r>
                              <w:t xml:space="preserve"> agreements </w:t>
                            </w:r>
                            <w:r w:rsidRPr="004E5FDB">
                              <w:t xml:space="preserve">will cease when the </w:t>
                            </w:r>
                            <w:r>
                              <w:t>expenses</w:t>
                            </w:r>
                            <w:r w:rsidRPr="004E5FDB">
                              <w:t xml:space="preserve"> drop out of the assessment period. The impact of the method changes is largely limited to </w:t>
                            </w:r>
                            <w:r>
                              <w:t xml:space="preserve">the GST distribution for </w:t>
                            </w:r>
                            <w:r w:rsidRPr="004E5FDB">
                              <w:t>2025</w:t>
                            </w:r>
                            <w:r w:rsidR="00405800">
                              <w:t>–</w:t>
                            </w:r>
                            <w:r w:rsidRPr="004E5FDB">
                              <w:t xml:space="preserve">26. This is because COVID-19 </w:t>
                            </w:r>
                            <w:r>
                              <w:t>related expenses</w:t>
                            </w:r>
                            <w:r w:rsidRPr="004E5FDB">
                              <w:t xml:space="preserve"> decline significantly after 2021</w:t>
                            </w:r>
                            <w:r w:rsidR="00405800">
                              <w:t>–</w:t>
                            </w:r>
                            <w:r w:rsidRPr="004E5FDB">
                              <w:t>22</w:t>
                            </w:r>
                            <w:r>
                              <w:t>,</w:t>
                            </w:r>
                            <w:r w:rsidR="003F59B9">
                              <w:t xml:space="preserve"> the year </w:t>
                            </w:r>
                            <w:r>
                              <w:t>which</w:t>
                            </w:r>
                            <w:r w:rsidRPr="004E5FDB">
                              <w:t xml:space="preserve"> drops out of the assessment period in 2026</w:t>
                            </w:r>
                            <w:r w:rsidR="00405800">
                              <w:t>–</w:t>
                            </w:r>
                            <w:r w:rsidRPr="004E5FDB">
                              <w:t>27</w:t>
                            </w:r>
                            <w:r w:rsidRPr="009201E8">
                              <w:t>.</w:t>
                            </w:r>
                            <w:r w:rsidR="007C336D" w:rsidRPr="009201E8">
                              <w:t xml:space="preserve"> </w:t>
                            </w:r>
                            <w:r w:rsidRPr="009201E8">
                              <w:t>The impact on the GST distribution from the method changes is shown in Table 2-4.</w:t>
                            </w:r>
                          </w:p>
                          <w:p w14:paraId="46A9621F" w14:textId="3030EB6F" w:rsidR="00097681" w:rsidRPr="00F438B0" w:rsidRDefault="00097681" w:rsidP="00540EFC">
                            <w:pPr>
                              <w:pStyle w:val="CGC2025Caption"/>
                              <w:spacing w:before="160"/>
                              <w:ind w:left="1418" w:hanging="1418"/>
                            </w:pPr>
                            <w:bookmarkStart w:id="106" w:name="_Hlk187233751"/>
                            <w:r w:rsidRPr="00F438B0">
                              <w:t>Table 2-4</w:t>
                            </w:r>
                            <w:r w:rsidRPr="00F438B0">
                              <w:tab/>
                              <w:t>Change in assessed GST needs due to COVID-19 method changes</w:t>
                            </w:r>
                            <w:r w:rsidR="00242163" w:rsidRPr="00F438B0">
                              <w:t xml:space="preserve">, </w:t>
                            </w:r>
                            <w:r w:rsidR="003D7A0A">
                              <w:br/>
                            </w:r>
                            <w:r w:rsidR="0046685A" w:rsidRPr="00F438B0">
                              <w:t>2024</w:t>
                            </w:r>
                            <w:r w:rsidR="00405800">
                              <w:t>–</w:t>
                            </w:r>
                            <w:r w:rsidR="0046685A" w:rsidRPr="00F438B0">
                              <w:t>25 to 2025</w:t>
                            </w:r>
                            <w:r w:rsidR="00405800">
                              <w:t>–</w:t>
                            </w:r>
                            <w:r w:rsidR="0046685A" w:rsidRPr="00F438B0">
                              <w:t>26</w:t>
                            </w:r>
                            <w:r w:rsidRPr="00F438B0">
                              <w:t xml:space="preserve"> </w:t>
                            </w:r>
                          </w:p>
                          <w:tbl>
                            <w:tblPr>
                              <w:tblW w:w="8944" w:type="dxa"/>
                              <w:tblCellMar>
                                <w:left w:w="0" w:type="dxa"/>
                                <w:right w:w="0" w:type="dxa"/>
                              </w:tblCellMar>
                              <w:tblLook w:val="04A0" w:firstRow="1" w:lastRow="0" w:firstColumn="1" w:lastColumn="0" w:noHBand="0" w:noVBand="1"/>
                            </w:tblPr>
                            <w:tblGrid>
                              <w:gridCol w:w="4005"/>
                              <w:gridCol w:w="472"/>
                              <w:gridCol w:w="582"/>
                              <w:gridCol w:w="529"/>
                              <w:gridCol w:w="581"/>
                              <w:gridCol w:w="529"/>
                              <w:gridCol w:w="529"/>
                              <w:gridCol w:w="529"/>
                              <w:gridCol w:w="529"/>
                              <w:gridCol w:w="659"/>
                            </w:tblGrid>
                            <w:tr w:rsidR="00D66BF5" w14:paraId="14812972" w14:textId="77777777" w:rsidTr="00152EA0">
                              <w:trPr>
                                <w:trHeight w:val="555"/>
                              </w:trPr>
                              <w:tc>
                                <w:tcPr>
                                  <w:tcW w:w="4025" w:type="dxa"/>
                                  <w:tcBorders>
                                    <w:top w:val="nil"/>
                                    <w:left w:val="nil"/>
                                    <w:bottom w:val="nil"/>
                                    <w:right w:val="nil"/>
                                  </w:tcBorders>
                                  <w:shd w:val="clear" w:color="000000" w:fill="006991"/>
                                  <w:tcMar>
                                    <w:top w:w="15" w:type="dxa"/>
                                    <w:left w:w="15" w:type="dxa"/>
                                    <w:bottom w:w="0" w:type="dxa"/>
                                    <w:right w:w="15" w:type="dxa"/>
                                  </w:tcMar>
                                  <w:vAlign w:val="center"/>
                                  <w:hideMark/>
                                </w:tcPr>
                                <w:bookmarkEnd w:id="106"/>
                                <w:p w14:paraId="6B261AD2" w14:textId="77777777" w:rsidR="00097681" w:rsidRDefault="00097681">
                                  <w:pPr>
                                    <w:tabs>
                                      <w:tab w:val="clear" w:pos="567"/>
                                    </w:tabs>
                                    <w:spacing w:before="0" w:line="240" w:lineRule="auto"/>
                                    <w:rPr>
                                      <w:rFonts w:ascii="Open Sans Semibold" w:hAnsi="Open Sans Semibold" w:cs="Open Sans Semibold"/>
                                      <w:color w:val="FFFFFF"/>
                                      <w:sz w:val="16"/>
                                      <w:szCs w:val="16"/>
                                    </w:rPr>
                                  </w:pPr>
                                  <w:r>
                                    <w:rPr>
                                      <w:rFonts w:ascii="Open Sans Semibold" w:hAnsi="Open Sans Semibold" w:cs="Open Sans Semibold"/>
                                      <w:color w:val="FFFFFF"/>
                                      <w:sz w:val="16"/>
                                      <w:szCs w:val="16"/>
                                    </w:rPr>
                                    <w:t> </w:t>
                                  </w:r>
                                </w:p>
                              </w:tc>
                              <w:tc>
                                <w:tcPr>
                                  <w:tcW w:w="473" w:type="dxa"/>
                                  <w:tcBorders>
                                    <w:top w:val="nil"/>
                                    <w:left w:val="nil"/>
                                    <w:bottom w:val="nil"/>
                                    <w:right w:val="nil"/>
                                  </w:tcBorders>
                                  <w:shd w:val="clear" w:color="000000" w:fill="006991"/>
                                  <w:tcMar>
                                    <w:top w:w="15" w:type="dxa"/>
                                    <w:left w:w="15" w:type="dxa"/>
                                    <w:bottom w:w="0" w:type="dxa"/>
                                    <w:right w:w="15" w:type="dxa"/>
                                  </w:tcMar>
                                  <w:vAlign w:val="center"/>
                                  <w:hideMark/>
                                </w:tcPr>
                                <w:p w14:paraId="2FDFE925"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NSW</w:t>
                                  </w:r>
                                </w:p>
                              </w:tc>
                              <w:tc>
                                <w:tcPr>
                                  <w:tcW w:w="583" w:type="dxa"/>
                                  <w:tcBorders>
                                    <w:top w:val="nil"/>
                                    <w:left w:val="nil"/>
                                    <w:bottom w:val="nil"/>
                                    <w:right w:val="nil"/>
                                  </w:tcBorders>
                                  <w:shd w:val="clear" w:color="000000" w:fill="006991"/>
                                  <w:tcMar>
                                    <w:top w:w="15" w:type="dxa"/>
                                    <w:left w:w="15" w:type="dxa"/>
                                    <w:bottom w:w="0" w:type="dxa"/>
                                    <w:right w:w="15" w:type="dxa"/>
                                  </w:tcMar>
                                  <w:vAlign w:val="center"/>
                                  <w:hideMark/>
                                </w:tcPr>
                                <w:p w14:paraId="3BFFF7D9"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Vic</w:t>
                                  </w:r>
                                </w:p>
                              </w:tc>
                              <w:tc>
                                <w:tcPr>
                                  <w:tcW w:w="531" w:type="dxa"/>
                                  <w:tcBorders>
                                    <w:top w:val="nil"/>
                                    <w:left w:val="nil"/>
                                    <w:bottom w:val="nil"/>
                                    <w:right w:val="nil"/>
                                  </w:tcBorders>
                                  <w:shd w:val="clear" w:color="000000" w:fill="006991"/>
                                  <w:tcMar>
                                    <w:top w:w="15" w:type="dxa"/>
                                    <w:left w:w="15" w:type="dxa"/>
                                    <w:bottom w:w="0" w:type="dxa"/>
                                    <w:right w:w="15" w:type="dxa"/>
                                  </w:tcMar>
                                  <w:vAlign w:val="center"/>
                                  <w:hideMark/>
                                </w:tcPr>
                                <w:p w14:paraId="65D41DA4"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Qld</w:t>
                                  </w:r>
                                </w:p>
                              </w:tc>
                              <w:tc>
                                <w:tcPr>
                                  <w:tcW w:w="583" w:type="dxa"/>
                                  <w:tcBorders>
                                    <w:top w:val="nil"/>
                                    <w:left w:val="nil"/>
                                    <w:bottom w:val="nil"/>
                                    <w:right w:val="nil"/>
                                  </w:tcBorders>
                                  <w:shd w:val="clear" w:color="000000" w:fill="006991"/>
                                  <w:tcMar>
                                    <w:top w:w="15" w:type="dxa"/>
                                    <w:left w:w="15" w:type="dxa"/>
                                    <w:bottom w:w="0" w:type="dxa"/>
                                    <w:right w:w="15" w:type="dxa"/>
                                  </w:tcMar>
                                  <w:vAlign w:val="center"/>
                                  <w:hideMark/>
                                </w:tcPr>
                                <w:p w14:paraId="1582064E"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WA</w:t>
                                  </w:r>
                                </w:p>
                              </w:tc>
                              <w:tc>
                                <w:tcPr>
                                  <w:tcW w:w="531" w:type="dxa"/>
                                  <w:tcBorders>
                                    <w:top w:val="nil"/>
                                    <w:left w:val="nil"/>
                                    <w:bottom w:val="nil"/>
                                    <w:right w:val="nil"/>
                                  </w:tcBorders>
                                  <w:shd w:val="clear" w:color="000000" w:fill="006991"/>
                                  <w:tcMar>
                                    <w:top w:w="15" w:type="dxa"/>
                                    <w:left w:w="15" w:type="dxa"/>
                                    <w:bottom w:w="0" w:type="dxa"/>
                                    <w:right w:w="15" w:type="dxa"/>
                                  </w:tcMar>
                                  <w:vAlign w:val="center"/>
                                  <w:hideMark/>
                                </w:tcPr>
                                <w:p w14:paraId="38389D20"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SA</w:t>
                                  </w:r>
                                </w:p>
                              </w:tc>
                              <w:tc>
                                <w:tcPr>
                                  <w:tcW w:w="531" w:type="dxa"/>
                                  <w:tcBorders>
                                    <w:top w:val="nil"/>
                                    <w:left w:val="nil"/>
                                    <w:bottom w:val="nil"/>
                                    <w:right w:val="nil"/>
                                  </w:tcBorders>
                                  <w:shd w:val="clear" w:color="000000" w:fill="006991"/>
                                  <w:tcMar>
                                    <w:top w:w="15" w:type="dxa"/>
                                    <w:left w:w="15" w:type="dxa"/>
                                    <w:bottom w:w="0" w:type="dxa"/>
                                    <w:right w:w="15" w:type="dxa"/>
                                  </w:tcMar>
                                  <w:vAlign w:val="center"/>
                                  <w:hideMark/>
                                </w:tcPr>
                                <w:p w14:paraId="6EF0B6B4"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Tas</w:t>
                                  </w:r>
                                </w:p>
                              </w:tc>
                              <w:tc>
                                <w:tcPr>
                                  <w:tcW w:w="531" w:type="dxa"/>
                                  <w:tcBorders>
                                    <w:top w:val="nil"/>
                                    <w:left w:val="nil"/>
                                    <w:bottom w:val="nil"/>
                                    <w:right w:val="nil"/>
                                  </w:tcBorders>
                                  <w:shd w:val="clear" w:color="000000" w:fill="006991"/>
                                  <w:tcMar>
                                    <w:top w:w="15" w:type="dxa"/>
                                    <w:left w:w="15" w:type="dxa"/>
                                    <w:bottom w:w="0" w:type="dxa"/>
                                    <w:right w:w="15" w:type="dxa"/>
                                  </w:tcMar>
                                  <w:vAlign w:val="center"/>
                                  <w:hideMark/>
                                </w:tcPr>
                                <w:p w14:paraId="239E0EAE"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ACT</w:t>
                                  </w:r>
                                </w:p>
                              </w:tc>
                              <w:tc>
                                <w:tcPr>
                                  <w:tcW w:w="531" w:type="dxa"/>
                                  <w:tcBorders>
                                    <w:top w:val="nil"/>
                                    <w:left w:val="nil"/>
                                    <w:bottom w:val="nil"/>
                                    <w:right w:val="nil"/>
                                  </w:tcBorders>
                                  <w:shd w:val="clear" w:color="000000" w:fill="006991"/>
                                  <w:tcMar>
                                    <w:top w:w="15" w:type="dxa"/>
                                    <w:left w:w="15" w:type="dxa"/>
                                    <w:bottom w:w="0" w:type="dxa"/>
                                    <w:right w:w="15" w:type="dxa"/>
                                  </w:tcMar>
                                  <w:vAlign w:val="center"/>
                                  <w:hideMark/>
                                </w:tcPr>
                                <w:p w14:paraId="01A5E349"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NT</w:t>
                                  </w:r>
                                </w:p>
                              </w:tc>
                              <w:tc>
                                <w:tcPr>
                                  <w:tcW w:w="625" w:type="dxa"/>
                                  <w:tcBorders>
                                    <w:top w:val="nil"/>
                                    <w:left w:val="nil"/>
                                    <w:bottom w:val="nil"/>
                                    <w:right w:val="nil"/>
                                  </w:tcBorders>
                                  <w:shd w:val="clear" w:color="000000" w:fill="006991"/>
                                  <w:tcMar>
                                    <w:top w:w="15" w:type="dxa"/>
                                    <w:left w:w="108" w:type="dxa"/>
                                    <w:bottom w:w="0" w:type="dxa"/>
                                    <w:right w:w="108" w:type="dxa"/>
                                  </w:tcMar>
                                  <w:vAlign w:val="center"/>
                                  <w:hideMark/>
                                </w:tcPr>
                                <w:p w14:paraId="540D123A"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Total effect</w:t>
                                  </w:r>
                                </w:p>
                              </w:tc>
                            </w:tr>
                            <w:tr w:rsidR="00C15A04" w14:paraId="7DE9D356" w14:textId="77777777" w:rsidTr="00152EA0">
                              <w:trPr>
                                <w:trHeight w:val="260"/>
                              </w:trPr>
                              <w:tc>
                                <w:tcPr>
                                  <w:tcW w:w="4025" w:type="dxa"/>
                                  <w:tcBorders>
                                    <w:top w:val="single" w:sz="4" w:space="0" w:color="ADD6EA"/>
                                    <w:left w:val="nil"/>
                                    <w:bottom w:val="nil"/>
                                    <w:right w:val="nil"/>
                                  </w:tcBorders>
                                  <w:shd w:val="clear" w:color="000000" w:fill="B6D5E4"/>
                                  <w:tcMar>
                                    <w:top w:w="15" w:type="dxa"/>
                                    <w:left w:w="15" w:type="dxa"/>
                                    <w:bottom w:w="0" w:type="dxa"/>
                                    <w:right w:w="15" w:type="dxa"/>
                                  </w:tcMar>
                                  <w:vAlign w:val="bottom"/>
                                  <w:hideMark/>
                                </w:tcPr>
                                <w:p w14:paraId="3A1FA859" w14:textId="77777777" w:rsidR="00097681" w:rsidRDefault="00097681">
                                  <w:pPr>
                                    <w:rPr>
                                      <w:rFonts w:ascii="Open Sans Semibold" w:hAnsi="Open Sans Semibold" w:cs="Open Sans Semibold"/>
                                      <w:color w:val="000000"/>
                                      <w:sz w:val="16"/>
                                      <w:szCs w:val="16"/>
                                    </w:rPr>
                                  </w:pPr>
                                  <w:r>
                                    <w:rPr>
                                      <w:rFonts w:ascii="Open Sans Semibold" w:hAnsi="Open Sans Semibold" w:cs="Open Sans Semibold"/>
                                      <w:color w:val="000000"/>
                                      <w:sz w:val="16"/>
                                      <w:szCs w:val="16"/>
                                    </w:rPr>
                                    <w:t> </w:t>
                                  </w:r>
                                </w:p>
                              </w:tc>
                              <w:tc>
                                <w:tcPr>
                                  <w:tcW w:w="473" w:type="dxa"/>
                                  <w:tcBorders>
                                    <w:top w:val="single" w:sz="4" w:space="0" w:color="ADD6EA"/>
                                    <w:left w:val="nil"/>
                                    <w:bottom w:val="nil"/>
                                    <w:right w:val="nil"/>
                                  </w:tcBorders>
                                  <w:shd w:val="clear" w:color="000000" w:fill="B6D5E4"/>
                                  <w:tcMar>
                                    <w:top w:w="15" w:type="dxa"/>
                                    <w:left w:w="15" w:type="dxa"/>
                                    <w:bottom w:w="0" w:type="dxa"/>
                                    <w:right w:w="15" w:type="dxa"/>
                                  </w:tcMar>
                                  <w:vAlign w:val="center"/>
                                  <w:hideMark/>
                                </w:tcPr>
                                <w:p w14:paraId="6B8A1F11"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583" w:type="dxa"/>
                                  <w:tcBorders>
                                    <w:top w:val="single" w:sz="4" w:space="0" w:color="ADD6EA"/>
                                    <w:left w:val="nil"/>
                                    <w:bottom w:val="nil"/>
                                    <w:right w:val="nil"/>
                                  </w:tcBorders>
                                  <w:shd w:val="clear" w:color="000000" w:fill="B6D5E4"/>
                                  <w:tcMar>
                                    <w:top w:w="15" w:type="dxa"/>
                                    <w:left w:w="15" w:type="dxa"/>
                                    <w:bottom w:w="0" w:type="dxa"/>
                                    <w:right w:w="15" w:type="dxa"/>
                                  </w:tcMar>
                                  <w:vAlign w:val="center"/>
                                  <w:hideMark/>
                                </w:tcPr>
                                <w:p w14:paraId="2CD6CCFB"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531" w:type="dxa"/>
                                  <w:tcBorders>
                                    <w:top w:val="single" w:sz="4" w:space="0" w:color="ADD6EA"/>
                                    <w:left w:val="nil"/>
                                    <w:bottom w:val="nil"/>
                                    <w:right w:val="nil"/>
                                  </w:tcBorders>
                                  <w:shd w:val="clear" w:color="000000" w:fill="B6D5E4"/>
                                  <w:tcMar>
                                    <w:top w:w="15" w:type="dxa"/>
                                    <w:left w:w="15" w:type="dxa"/>
                                    <w:bottom w:w="0" w:type="dxa"/>
                                    <w:right w:w="15" w:type="dxa"/>
                                  </w:tcMar>
                                  <w:vAlign w:val="center"/>
                                  <w:hideMark/>
                                </w:tcPr>
                                <w:p w14:paraId="47829220"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583" w:type="dxa"/>
                                  <w:tcBorders>
                                    <w:top w:val="single" w:sz="4" w:space="0" w:color="ADD6EA"/>
                                    <w:left w:val="nil"/>
                                    <w:bottom w:val="nil"/>
                                    <w:right w:val="nil"/>
                                  </w:tcBorders>
                                  <w:shd w:val="clear" w:color="000000" w:fill="B6D5E4"/>
                                  <w:tcMar>
                                    <w:top w:w="15" w:type="dxa"/>
                                    <w:left w:w="15" w:type="dxa"/>
                                    <w:bottom w:w="0" w:type="dxa"/>
                                    <w:right w:w="15" w:type="dxa"/>
                                  </w:tcMar>
                                  <w:vAlign w:val="center"/>
                                  <w:hideMark/>
                                </w:tcPr>
                                <w:p w14:paraId="772CA067"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531" w:type="dxa"/>
                                  <w:tcBorders>
                                    <w:top w:val="single" w:sz="4" w:space="0" w:color="ADD6EA"/>
                                    <w:left w:val="nil"/>
                                    <w:bottom w:val="nil"/>
                                    <w:right w:val="nil"/>
                                  </w:tcBorders>
                                  <w:shd w:val="clear" w:color="000000" w:fill="B6D5E4"/>
                                  <w:tcMar>
                                    <w:top w:w="15" w:type="dxa"/>
                                    <w:left w:w="15" w:type="dxa"/>
                                    <w:bottom w:w="0" w:type="dxa"/>
                                    <w:right w:w="15" w:type="dxa"/>
                                  </w:tcMar>
                                  <w:vAlign w:val="center"/>
                                  <w:hideMark/>
                                </w:tcPr>
                                <w:p w14:paraId="061273E7"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531" w:type="dxa"/>
                                  <w:tcBorders>
                                    <w:top w:val="single" w:sz="4" w:space="0" w:color="ADD6EA"/>
                                    <w:left w:val="nil"/>
                                    <w:bottom w:val="nil"/>
                                    <w:right w:val="nil"/>
                                  </w:tcBorders>
                                  <w:shd w:val="clear" w:color="000000" w:fill="B6D5E4"/>
                                  <w:tcMar>
                                    <w:top w:w="15" w:type="dxa"/>
                                    <w:left w:w="15" w:type="dxa"/>
                                    <w:bottom w:w="0" w:type="dxa"/>
                                    <w:right w:w="15" w:type="dxa"/>
                                  </w:tcMar>
                                  <w:vAlign w:val="center"/>
                                  <w:hideMark/>
                                </w:tcPr>
                                <w:p w14:paraId="0CF5085D"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531" w:type="dxa"/>
                                  <w:tcBorders>
                                    <w:top w:val="single" w:sz="4" w:space="0" w:color="ADD6EA"/>
                                    <w:left w:val="nil"/>
                                    <w:bottom w:val="nil"/>
                                    <w:right w:val="nil"/>
                                  </w:tcBorders>
                                  <w:shd w:val="clear" w:color="000000" w:fill="B6D5E4"/>
                                  <w:tcMar>
                                    <w:top w:w="15" w:type="dxa"/>
                                    <w:left w:w="15" w:type="dxa"/>
                                    <w:bottom w:w="0" w:type="dxa"/>
                                    <w:right w:w="15" w:type="dxa"/>
                                  </w:tcMar>
                                  <w:vAlign w:val="center"/>
                                  <w:hideMark/>
                                </w:tcPr>
                                <w:p w14:paraId="2F4E880A"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531" w:type="dxa"/>
                                  <w:tcBorders>
                                    <w:top w:val="single" w:sz="4" w:space="0" w:color="ADD6EA"/>
                                    <w:left w:val="nil"/>
                                    <w:bottom w:val="nil"/>
                                    <w:right w:val="nil"/>
                                  </w:tcBorders>
                                  <w:shd w:val="clear" w:color="000000" w:fill="B6D5E4"/>
                                  <w:tcMar>
                                    <w:top w:w="15" w:type="dxa"/>
                                    <w:left w:w="15" w:type="dxa"/>
                                    <w:bottom w:w="0" w:type="dxa"/>
                                    <w:right w:w="15" w:type="dxa"/>
                                  </w:tcMar>
                                  <w:vAlign w:val="center"/>
                                  <w:hideMark/>
                                </w:tcPr>
                                <w:p w14:paraId="72C5C092"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625" w:type="dxa"/>
                                  <w:tcBorders>
                                    <w:top w:val="single" w:sz="4" w:space="0" w:color="ADD6EA"/>
                                    <w:left w:val="nil"/>
                                    <w:bottom w:val="nil"/>
                                    <w:right w:val="nil"/>
                                  </w:tcBorders>
                                  <w:shd w:val="clear" w:color="000000" w:fill="B6D5E4"/>
                                  <w:tcMar>
                                    <w:top w:w="15" w:type="dxa"/>
                                    <w:left w:w="108" w:type="dxa"/>
                                    <w:bottom w:w="0" w:type="dxa"/>
                                    <w:right w:w="108" w:type="dxa"/>
                                  </w:tcMar>
                                  <w:vAlign w:val="center"/>
                                  <w:hideMark/>
                                </w:tcPr>
                                <w:p w14:paraId="2779922F"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r>
                            <w:tr w:rsidR="00D66BF5" w14:paraId="772F7884" w14:textId="77777777" w:rsidTr="00152EA0">
                              <w:trPr>
                                <w:trHeight w:val="555"/>
                              </w:trPr>
                              <w:tc>
                                <w:tcPr>
                                  <w:tcW w:w="4025"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0E5D8846" w14:textId="0B15B649" w:rsidR="00097681" w:rsidRDefault="00EA4223">
                                  <w:pPr>
                                    <w:rPr>
                                      <w:rFonts w:ascii="Open Sans Light" w:hAnsi="Open Sans Light" w:cs="Open Sans Light"/>
                                      <w:color w:val="000000"/>
                                      <w:sz w:val="16"/>
                                      <w:szCs w:val="16"/>
                                    </w:rPr>
                                  </w:pPr>
                                  <w:r>
                                    <w:rPr>
                                      <w:rFonts w:ascii="Open Sans Light" w:hAnsi="Open Sans Light" w:cs="Open Sans Light"/>
                                      <w:color w:val="000000"/>
                                      <w:sz w:val="16"/>
                                      <w:szCs w:val="16"/>
                                    </w:rPr>
                                    <w:t>Revenue effect for Commonwealth payment for COVID</w:t>
                                  </w:r>
                                  <w:r w:rsidR="007448A6">
                                    <w:rPr>
                                      <w:rFonts w:ascii="Open Sans Light" w:hAnsi="Open Sans Light" w:cs="Open Sans Light"/>
                                      <w:color w:val="000000"/>
                                      <w:sz w:val="16"/>
                                      <w:szCs w:val="16"/>
                                    </w:rPr>
                                    <w:noBreakHyphen/>
                                  </w:r>
                                  <w:r>
                                    <w:rPr>
                                      <w:rFonts w:ascii="Open Sans Light" w:hAnsi="Open Sans Light" w:cs="Open Sans Light"/>
                                      <w:color w:val="000000"/>
                                      <w:sz w:val="16"/>
                                      <w:szCs w:val="16"/>
                                    </w:rPr>
                                    <w:t>19 health spending</w:t>
                                  </w:r>
                                </w:p>
                              </w:tc>
                              <w:tc>
                                <w:tcPr>
                                  <w:tcW w:w="47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3541ACFD"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-154</w:t>
                                  </w:r>
                                </w:p>
                              </w:tc>
                              <w:tc>
                                <w:tcPr>
                                  <w:tcW w:w="58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33962B4B"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-206</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2307BDBB"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287</w:t>
                                  </w:r>
                                </w:p>
                              </w:tc>
                              <w:tc>
                                <w:tcPr>
                                  <w:tcW w:w="58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7B066E78"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15</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40C8F2FF"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67</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781EEEC9"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-7</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55BB802A"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7</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1530C1DF"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-10</w:t>
                                  </w:r>
                                </w:p>
                              </w:tc>
                              <w:tc>
                                <w:tcPr>
                                  <w:tcW w:w="625" w:type="dxa"/>
                                  <w:tcBorders>
                                    <w:top w:val="single" w:sz="4" w:space="0" w:color="ADD6EA"/>
                                    <w:left w:val="nil"/>
                                    <w:bottom w:val="nil"/>
                                    <w:right w:val="nil"/>
                                  </w:tcBorders>
                                  <w:shd w:val="clear" w:color="000000" w:fill="FFFFFF"/>
                                  <w:tcMar>
                                    <w:top w:w="15" w:type="dxa"/>
                                    <w:left w:w="108" w:type="dxa"/>
                                    <w:bottom w:w="0" w:type="dxa"/>
                                    <w:right w:w="108" w:type="dxa"/>
                                  </w:tcMar>
                                  <w:vAlign w:val="center"/>
                                  <w:hideMark/>
                                </w:tcPr>
                                <w:p w14:paraId="0A8A5019"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377</w:t>
                                  </w:r>
                                </w:p>
                              </w:tc>
                            </w:tr>
                            <w:tr w:rsidR="00D66BF5" w14:paraId="50C0E14D" w14:textId="77777777" w:rsidTr="00152EA0">
                              <w:trPr>
                                <w:trHeight w:val="320"/>
                              </w:trPr>
                              <w:tc>
                                <w:tcPr>
                                  <w:tcW w:w="4025"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732F4AF3" w14:textId="2E2B811D" w:rsidR="00097681" w:rsidRDefault="00481658">
                                  <w:pPr>
                                    <w:rPr>
                                      <w:rFonts w:ascii="Open Sans Light" w:hAnsi="Open Sans Light" w:cs="Open Sans Light"/>
                                      <w:color w:val="000000"/>
                                      <w:sz w:val="16"/>
                                      <w:szCs w:val="16"/>
                                    </w:rPr>
                                  </w:pPr>
                                  <w:r>
                                    <w:rPr>
                                      <w:rFonts w:ascii="Open Sans Light" w:hAnsi="Open Sans Light" w:cs="Open Sans Light"/>
                                      <w:color w:val="000000"/>
                                      <w:sz w:val="16"/>
                                      <w:szCs w:val="16"/>
                                    </w:rPr>
                                    <w:t>Expense effect of state (including Commonwealth Contribution) spending for COVID-19 in health</w:t>
                                  </w:r>
                                </w:p>
                              </w:tc>
                              <w:tc>
                                <w:tcPr>
                                  <w:tcW w:w="47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785B34CD"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363</w:t>
                                  </w:r>
                                </w:p>
                              </w:tc>
                              <w:tc>
                                <w:tcPr>
                                  <w:tcW w:w="58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5E05854C"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498</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14D792F2"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-611</w:t>
                                  </w:r>
                                </w:p>
                              </w:tc>
                              <w:tc>
                                <w:tcPr>
                                  <w:tcW w:w="58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2D2D1BB1"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-60</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368C1D9C"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-145</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3858A803"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-16</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3C3259BA"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-11</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72A8F7DA"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-18</w:t>
                                  </w:r>
                                </w:p>
                              </w:tc>
                              <w:tc>
                                <w:tcPr>
                                  <w:tcW w:w="625" w:type="dxa"/>
                                  <w:tcBorders>
                                    <w:top w:val="single" w:sz="4" w:space="0" w:color="ADD6EA"/>
                                    <w:left w:val="nil"/>
                                    <w:bottom w:val="nil"/>
                                    <w:right w:val="nil"/>
                                  </w:tcBorders>
                                  <w:shd w:val="clear" w:color="000000" w:fill="FFFFFF"/>
                                  <w:tcMar>
                                    <w:top w:w="15" w:type="dxa"/>
                                    <w:left w:w="108" w:type="dxa"/>
                                    <w:bottom w:w="0" w:type="dxa"/>
                                    <w:right w:w="108" w:type="dxa"/>
                                  </w:tcMar>
                                  <w:vAlign w:val="center"/>
                                  <w:hideMark/>
                                </w:tcPr>
                                <w:p w14:paraId="57396ABE"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861</w:t>
                                  </w:r>
                                </w:p>
                              </w:tc>
                            </w:tr>
                            <w:tr w:rsidR="00D66BF5" w14:paraId="719F27C1" w14:textId="77777777" w:rsidTr="00152EA0">
                              <w:trPr>
                                <w:trHeight w:val="320"/>
                              </w:trPr>
                              <w:tc>
                                <w:tcPr>
                                  <w:tcW w:w="4025"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12901E7E" w14:textId="77777777" w:rsidR="00097681" w:rsidRDefault="00097681">
                                  <w:pPr>
                                    <w:rPr>
                                      <w:rFonts w:ascii="Open Sans Semibold" w:hAnsi="Open Sans Semibold" w:cs="Open Sans Semibold"/>
                                      <w:color w:val="000000"/>
                                      <w:sz w:val="16"/>
                                      <w:szCs w:val="16"/>
                                    </w:rPr>
                                  </w:pPr>
                                  <w:r>
                                    <w:rPr>
                                      <w:rFonts w:ascii="Open Sans Semibold" w:hAnsi="Open Sans Semibold" w:cs="Open Sans Semibold"/>
                                      <w:color w:val="000000"/>
                                      <w:sz w:val="16"/>
                                      <w:szCs w:val="16"/>
                                    </w:rPr>
                                    <w:t>Total for health</w:t>
                                  </w:r>
                                </w:p>
                              </w:tc>
                              <w:tc>
                                <w:tcPr>
                                  <w:tcW w:w="473"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3DEE813E"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209</w:t>
                                  </w:r>
                                </w:p>
                              </w:tc>
                              <w:tc>
                                <w:tcPr>
                                  <w:tcW w:w="583"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01E10D94"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293</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31D2A961"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-324</w:t>
                                  </w:r>
                                </w:p>
                              </w:tc>
                              <w:tc>
                                <w:tcPr>
                                  <w:tcW w:w="583"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79B8B412"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-45</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3DE11279"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-78</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7E8E7037"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-23</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3973DA07"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-4</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2C8015B0"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-28</w:t>
                                  </w:r>
                                </w:p>
                              </w:tc>
                              <w:tc>
                                <w:tcPr>
                                  <w:tcW w:w="625" w:type="dxa"/>
                                  <w:tcBorders>
                                    <w:top w:val="single" w:sz="4" w:space="0" w:color="ADD6EA"/>
                                    <w:left w:val="nil"/>
                                    <w:bottom w:val="nil"/>
                                    <w:right w:val="nil"/>
                                  </w:tcBorders>
                                  <w:shd w:val="clear" w:color="000000" w:fill="D6E7F0"/>
                                  <w:tcMar>
                                    <w:top w:w="15" w:type="dxa"/>
                                    <w:left w:w="108" w:type="dxa"/>
                                    <w:bottom w:w="0" w:type="dxa"/>
                                    <w:right w:w="108" w:type="dxa"/>
                                  </w:tcMar>
                                  <w:vAlign w:val="center"/>
                                  <w:hideMark/>
                                </w:tcPr>
                                <w:p w14:paraId="48CCBDEE"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502</w:t>
                                  </w:r>
                                </w:p>
                              </w:tc>
                            </w:tr>
                            <w:tr w:rsidR="00D66BF5" w14:paraId="6D5E5164" w14:textId="77777777" w:rsidTr="00152EA0">
                              <w:trPr>
                                <w:trHeight w:val="555"/>
                              </w:trPr>
                              <w:tc>
                                <w:tcPr>
                                  <w:tcW w:w="4025"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01C4FE38" w14:textId="02AA9130" w:rsidR="00097681" w:rsidRDefault="002137BA">
                                  <w:pPr>
                                    <w:rPr>
                                      <w:rFonts w:ascii="Open Sans Light" w:hAnsi="Open Sans Light" w:cs="Open Sans Light"/>
                                      <w:color w:val="000000"/>
                                      <w:sz w:val="16"/>
                                      <w:szCs w:val="16"/>
                                    </w:rPr>
                                  </w:pPr>
                                  <w:r>
                                    <w:rPr>
                                      <w:rFonts w:ascii="Open Sans Light" w:hAnsi="Open Sans Light" w:cs="Open Sans Light"/>
                                      <w:color w:val="000000"/>
                                      <w:sz w:val="16"/>
                                      <w:szCs w:val="16"/>
                                    </w:rPr>
                                    <w:t xml:space="preserve">Revenue effect for </w:t>
                                  </w:r>
                                  <w:r w:rsidR="00097681">
                                    <w:rPr>
                                      <w:rFonts w:ascii="Open Sans Light" w:hAnsi="Open Sans Light" w:cs="Open Sans Light"/>
                                      <w:color w:val="000000"/>
                                      <w:sz w:val="16"/>
                                      <w:szCs w:val="16"/>
                                    </w:rPr>
                                    <w:t>Commonwealth payment for COVID</w:t>
                                  </w:r>
                                  <w:r w:rsidR="007448A6">
                                    <w:rPr>
                                      <w:rFonts w:ascii="Open Sans Light" w:hAnsi="Open Sans Light" w:cs="Open Sans Light"/>
                                      <w:color w:val="000000"/>
                                      <w:sz w:val="16"/>
                                      <w:szCs w:val="16"/>
                                    </w:rPr>
                                    <w:noBreakHyphen/>
                                  </w:r>
                                  <w:r w:rsidR="00097681">
                                    <w:rPr>
                                      <w:rFonts w:ascii="Open Sans Light" w:hAnsi="Open Sans Light" w:cs="Open Sans Light"/>
                                      <w:color w:val="000000"/>
                                      <w:sz w:val="16"/>
                                      <w:szCs w:val="16"/>
                                    </w:rPr>
                                    <w:t>19 spending on business support</w:t>
                                  </w:r>
                                  <w:r w:rsidDel="002137BA">
                                    <w:rPr>
                                      <w:rFonts w:ascii="Open Sans Light" w:hAnsi="Open Sans Light" w:cs="Open Sans Light"/>
                                      <w:color w:val="000000"/>
                                      <w:sz w:val="16"/>
                                      <w:szCs w:val="16"/>
                                    </w:rPr>
                                    <w:t xml:space="preserve"> </w:t>
                                  </w:r>
                                </w:p>
                              </w:tc>
                              <w:tc>
                                <w:tcPr>
                                  <w:tcW w:w="47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7D595B6B"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-501</w:t>
                                  </w:r>
                                </w:p>
                              </w:tc>
                              <w:tc>
                                <w:tcPr>
                                  <w:tcW w:w="58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68151719"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-580</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0C241B56"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509</w:t>
                                  </w:r>
                                </w:p>
                              </w:tc>
                              <w:tc>
                                <w:tcPr>
                                  <w:tcW w:w="58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60397261"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322</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16E5DFAA"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195</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0BC229DE"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47</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32CCEA76"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-18</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7A4B8F46"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26</w:t>
                                  </w:r>
                                </w:p>
                              </w:tc>
                              <w:tc>
                                <w:tcPr>
                                  <w:tcW w:w="625" w:type="dxa"/>
                                  <w:tcBorders>
                                    <w:top w:val="single" w:sz="4" w:space="0" w:color="ADD6EA"/>
                                    <w:left w:val="nil"/>
                                    <w:bottom w:val="nil"/>
                                    <w:right w:val="nil"/>
                                  </w:tcBorders>
                                  <w:shd w:val="clear" w:color="000000" w:fill="FFFFFF"/>
                                  <w:tcMar>
                                    <w:top w:w="15" w:type="dxa"/>
                                    <w:left w:w="108" w:type="dxa"/>
                                    <w:bottom w:w="0" w:type="dxa"/>
                                    <w:right w:w="108" w:type="dxa"/>
                                  </w:tcMar>
                                  <w:vAlign w:val="center"/>
                                  <w:hideMark/>
                                </w:tcPr>
                                <w:p w14:paraId="3FC46B8A"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1,099</w:t>
                                  </w:r>
                                </w:p>
                              </w:tc>
                            </w:tr>
                            <w:tr w:rsidR="00D66BF5" w14:paraId="59984927" w14:textId="77777777" w:rsidTr="00152EA0">
                              <w:trPr>
                                <w:trHeight w:val="320"/>
                              </w:trPr>
                              <w:tc>
                                <w:tcPr>
                                  <w:tcW w:w="4025"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56655560" w14:textId="21DB7D52" w:rsidR="00097681" w:rsidRDefault="00047BDA" w:rsidP="00694D5A">
                                  <w:pPr>
                                    <w:ind w:right="-100"/>
                                    <w:rPr>
                                      <w:rFonts w:ascii="Open Sans Light" w:hAnsi="Open Sans Light" w:cs="Open Sans Light"/>
                                      <w:color w:val="000000"/>
                                      <w:sz w:val="16"/>
                                      <w:szCs w:val="16"/>
                                    </w:rPr>
                                  </w:pPr>
                                  <w:r>
                                    <w:rPr>
                                      <w:rFonts w:ascii="Open Sans Light" w:hAnsi="Open Sans Light" w:cs="Open Sans Light"/>
                                      <w:color w:val="000000"/>
                                      <w:sz w:val="16"/>
                                      <w:szCs w:val="16"/>
                                    </w:rPr>
                                    <w:t>Expense effect of state (including Commonwealth Contribution) spending on COVID-19 business support</w:t>
                                  </w:r>
                                </w:p>
                              </w:tc>
                              <w:tc>
                                <w:tcPr>
                                  <w:tcW w:w="47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08891B05"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956</w:t>
                                  </w:r>
                                </w:p>
                              </w:tc>
                              <w:tc>
                                <w:tcPr>
                                  <w:tcW w:w="58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0EDE4BD0"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1,156</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010F187F"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-986</w:t>
                                  </w:r>
                                </w:p>
                              </w:tc>
                              <w:tc>
                                <w:tcPr>
                                  <w:tcW w:w="58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3B2B80E0"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-652</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0EFBE8D2"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-371</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711F7E41"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-86</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603B65C5"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36</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61BC0E9B"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-54</w:t>
                                  </w:r>
                                </w:p>
                              </w:tc>
                              <w:tc>
                                <w:tcPr>
                                  <w:tcW w:w="625" w:type="dxa"/>
                                  <w:tcBorders>
                                    <w:top w:val="single" w:sz="4" w:space="0" w:color="ADD6EA"/>
                                    <w:left w:val="nil"/>
                                    <w:bottom w:val="nil"/>
                                    <w:right w:val="nil"/>
                                  </w:tcBorders>
                                  <w:shd w:val="clear" w:color="000000" w:fill="FFFFFF"/>
                                  <w:tcMar>
                                    <w:top w:w="15" w:type="dxa"/>
                                    <w:left w:w="108" w:type="dxa"/>
                                    <w:bottom w:w="0" w:type="dxa"/>
                                    <w:right w:w="108" w:type="dxa"/>
                                  </w:tcMar>
                                  <w:vAlign w:val="center"/>
                                  <w:hideMark/>
                                </w:tcPr>
                                <w:p w14:paraId="06893A90"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2,149</w:t>
                                  </w:r>
                                </w:p>
                              </w:tc>
                            </w:tr>
                            <w:tr w:rsidR="00D66BF5" w14:paraId="340240B3" w14:textId="77777777" w:rsidTr="00152EA0">
                              <w:trPr>
                                <w:trHeight w:val="320"/>
                              </w:trPr>
                              <w:tc>
                                <w:tcPr>
                                  <w:tcW w:w="4025"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423B48C4" w14:textId="77777777" w:rsidR="00097681" w:rsidRDefault="00097681">
                                  <w:pPr>
                                    <w:rPr>
                                      <w:rFonts w:ascii="Open Sans Semibold" w:hAnsi="Open Sans Semibold" w:cs="Open Sans Semibold"/>
                                      <w:color w:val="000000"/>
                                      <w:sz w:val="16"/>
                                      <w:szCs w:val="16"/>
                                    </w:rPr>
                                  </w:pPr>
                                  <w:r>
                                    <w:rPr>
                                      <w:rFonts w:ascii="Open Sans Semibold" w:hAnsi="Open Sans Semibold" w:cs="Open Sans Semibold"/>
                                      <w:color w:val="000000"/>
                                      <w:sz w:val="16"/>
                                      <w:szCs w:val="16"/>
                                    </w:rPr>
                                    <w:t>Total for business support payments</w:t>
                                  </w:r>
                                </w:p>
                              </w:tc>
                              <w:tc>
                                <w:tcPr>
                                  <w:tcW w:w="473"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77635ABF"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456</w:t>
                                  </w:r>
                                </w:p>
                              </w:tc>
                              <w:tc>
                                <w:tcPr>
                                  <w:tcW w:w="583"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399D3F88"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577</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609B1ED8"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-478</w:t>
                                  </w:r>
                                </w:p>
                              </w:tc>
                              <w:tc>
                                <w:tcPr>
                                  <w:tcW w:w="583"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39FB2786"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-330</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73281E76"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-176</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65258C73"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-38</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6C8A1415"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17</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08315096"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-28</w:t>
                                  </w:r>
                                </w:p>
                              </w:tc>
                              <w:tc>
                                <w:tcPr>
                                  <w:tcW w:w="625" w:type="dxa"/>
                                  <w:tcBorders>
                                    <w:top w:val="single" w:sz="4" w:space="0" w:color="ADD6EA"/>
                                    <w:left w:val="nil"/>
                                    <w:bottom w:val="nil"/>
                                    <w:right w:val="nil"/>
                                  </w:tcBorders>
                                  <w:shd w:val="clear" w:color="000000" w:fill="D6E7F0"/>
                                  <w:tcMar>
                                    <w:top w:w="15" w:type="dxa"/>
                                    <w:left w:w="108" w:type="dxa"/>
                                    <w:bottom w:w="0" w:type="dxa"/>
                                    <w:right w:w="108" w:type="dxa"/>
                                  </w:tcMar>
                                  <w:vAlign w:val="center"/>
                                  <w:hideMark/>
                                </w:tcPr>
                                <w:p w14:paraId="66ED2DC8"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1,050</w:t>
                                  </w:r>
                                </w:p>
                              </w:tc>
                            </w:tr>
                            <w:tr w:rsidR="00D66BF5" w14:paraId="0EF94D6A" w14:textId="77777777" w:rsidTr="00152EA0">
                              <w:trPr>
                                <w:trHeight w:val="284"/>
                              </w:trPr>
                              <w:tc>
                                <w:tcPr>
                                  <w:tcW w:w="4025"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5578F435" w14:textId="77777777" w:rsidR="00097681" w:rsidRDefault="00097681">
                                  <w:pPr>
                                    <w:rPr>
                                      <w:rFonts w:ascii="Open Sans Semibold" w:hAnsi="Open Sans Semibold" w:cs="Open Sans Semibold"/>
                                      <w:color w:val="000000"/>
                                      <w:sz w:val="16"/>
                                      <w:szCs w:val="16"/>
                                    </w:rPr>
                                  </w:pPr>
                                  <w:r>
                                    <w:rPr>
                                      <w:rFonts w:ascii="Open Sans Semibold" w:hAnsi="Open Sans Semibold" w:cs="Open Sans Semibold"/>
                                      <w:color w:val="000000"/>
                                      <w:sz w:val="16"/>
                                      <w:szCs w:val="16"/>
                                    </w:rPr>
                                    <w:t>Total effect of COVID-19 changes</w:t>
                                  </w:r>
                                </w:p>
                              </w:tc>
                              <w:tc>
                                <w:tcPr>
                                  <w:tcW w:w="473"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1C3D85A6"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664</w:t>
                                  </w:r>
                                </w:p>
                              </w:tc>
                              <w:tc>
                                <w:tcPr>
                                  <w:tcW w:w="583"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7F3CF676"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870</w:t>
                                  </w:r>
                                </w:p>
                              </w:tc>
                              <w:tc>
                                <w:tcPr>
                                  <w:tcW w:w="531"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60C7FFCE"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-802</w:t>
                                  </w:r>
                                </w:p>
                              </w:tc>
                              <w:tc>
                                <w:tcPr>
                                  <w:tcW w:w="583"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73AD7440"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-375</w:t>
                                  </w:r>
                                </w:p>
                              </w:tc>
                              <w:tc>
                                <w:tcPr>
                                  <w:tcW w:w="531"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6051A319"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-254</w:t>
                                  </w:r>
                                </w:p>
                              </w:tc>
                              <w:tc>
                                <w:tcPr>
                                  <w:tcW w:w="531"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36EAECFE"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-61</w:t>
                                  </w:r>
                                </w:p>
                              </w:tc>
                              <w:tc>
                                <w:tcPr>
                                  <w:tcW w:w="531"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6D92B03A"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14</w:t>
                                  </w:r>
                                </w:p>
                              </w:tc>
                              <w:tc>
                                <w:tcPr>
                                  <w:tcW w:w="531"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2F7F86C0"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-56</w:t>
                                  </w:r>
                                </w:p>
                              </w:tc>
                              <w:tc>
                                <w:tcPr>
                                  <w:tcW w:w="625" w:type="dxa"/>
                                  <w:tcBorders>
                                    <w:top w:val="single" w:sz="4" w:space="0" w:color="ADD6EA"/>
                                    <w:left w:val="nil"/>
                                    <w:bottom w:val="single" w:sz="4" w:space="0" w:color="ADD6EA"/>
                                    <w:right w:val="nil"/>
                                  </w:tcBorders>
                                  <w:shd w:val="clear" w:color="000000" w:fill="B6D5E4"/>
                                  <w:tcMar>
                                    <w:top w:w="15" w:type="dxa"/>
                                    <w:left w:w="108" w:type="dxa"/>
                                    <w:bottom w:w="0" w:type="dxa"/>
                                    <w:right w:w="108" w:type="dxa"/>
                                  </w:tcMar>
                                  <w:vAlign w:val="center"/>
                                  <w:hideMark/>
                                </w:tcPr>
                                <w:p w14:paraId="4A6139F5"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1,548</w:t>
                                  </w:r>
                                </w:p>
                              </w:tc>
                            </w:tr>
                          </w:tbl>
                          <w:p w14:paraId="760CA26C" w14:textId="77777777" w:rsidR="00097681" w:rsidRPr="004E5FDB" w:rsidRDefault="00097681" w:rsidP="005923CA">
                            <w:pPr>
                              <w:pStyle w:val="Heading4"/>
                              <w:spacing w:before="120"/>
                            </w:pPr>
                            <w:r w:rsidRPr="004E5FDB">
                              <w:t xml:space="preserve">Health </w:t>
                            </w:r>
                          </w:p>
                          <w:p w14:paraId="5DBFFD4C" w14:textId="5F322D79" w:rsidR="00097681" w:rsidRPr="004E5FDB" w:rsidRDefault="00097681" w:rsidP="00097681">
                            <w:bookmarkStart w:id="107" w:name="_Hlk187236363"/>
                            <w:r w:rsidRPr="004E5FDB">
                              <w:t xml:space="preserve">Over the assessment years for the </w:t>
                            </w:r>
                            <w:bookmarkStart w:id="108" w:name="_Hlk187237733"/>
                            <w:r w:rsidRPr="004E5FDB">
                              <w:t>2025</w:t>
                            </w:r>
                            <w:bookmarkEnd w:id="107"/>
                            <w:r w:rsidR="00405800">
                              <w:t>–</w:t>
                            </w:r>
                            <w:r w:rsidRPr="004E5FDB">
                              <w:t>26 GST distribution</w:t>
                            </w:r>
                            <w:bookmarkEnd w:id="108"/>
                            <w:r w:rsidRPr="004E5FDB">
                              <w:t xml:space="preserve">, New South Wales, Victoria, Tasmania and the Northern Territory </w:t>
                            </w:r>
                            <w:bookmarkStart w:id="109" w:name="_Hlk187233013"/>
                            <w:r w:rsidRPr="004E5FDB">
                              <w:t>spent more than their population share on COVID-19 related health services</w:t>
                            </w:r>
                            <w:bookmarkEnd w:id="109"/>
                            <w:r w:rsidRPr="004E5FDB">
                              <w:t xml:space="preserve">. </w:t>
                            </w:r>
                            <w:bookmarkStart w:id="110" w:name="_Hlk187233108"/>
                            <w:r w:rsidRPr="004E5FDB">
                              <w:t xml:space="preserve">Under an actual per capita assessment, these states have </w:t>
                            </w:r>
                            <w:r>
                              <w:t>above</w:t>
                            </w:r>
                            <w:r w:rsidR="00D15432">
                              <w:noBreakHyphen/>
                            </w:r>
                            <w:r w:rsidRPr="004E5FDB">
                              <w:t>average assessed expenses for COVID-19 health services</w:t>
                            </w:r>
                            <w:bookmarkEnd w:id="110"/>
                            <w:r w:rsidRPr="004E5FDB">
                              <w:t>. For New South Wales and Victoria, this results in an increase in assessed GST needs in 2025</w:t>
                            </w:r>
                            <w:r w:rsidR="00405800">
                              <w:t>–</w:t>
                            </w:r>
                            <w:r w:rsidRPr="004E5FDB">
                              <w:t xml:space="preserve">26 compared </w:t>
                            </w:r>
                            <w:r>
                              <w:t>with</w:t>
                            </w:r>
                            <w:r w:rsidRPr="004E5FDB">
                              <w:t xml:space="preserve"> 2024</w:t>
                            </w:r>
                            <w:r w:rsidR="00405800">
                              <w:t>–</w:t>
                            </w:r>
                            <w:r w:rsidRPr="004E5FDB">
                              <w:t>25 because under the 2020 Review method they were assessed to need less than their population share of health expenses. However, for Tasmania and the Northern</w:t>
                            </w:r>
                            <w:r w:rsidR="00D15432">
                              <w:t> </w:t>
                            </w:r>
                            <w:r w:rsidRPr="004E5FDB">
                              <w:t xml:space="preserve">Territory, their assessed needs were larger under the 2020 Review method than an actual per capita assessment </w:t>
                            </w:r>
                            <w:bookmarkStart w:id="111" w:name="_Hlk187238348"/>
                            <w:r w:rsidRPr="004E5FDB">
                              <w:t>and so they receive less GST in 2025</w:t>
                            </w:r>
                            <w:r w:rsidR="00405800">
                              <w:t>–</w:t>
                            </w:r>
                            <w:r w:rsidRPr="004E5FDB">
                              <w:t xml:space="preserve">26 than </w:t>
                            </w:r>
                            <w:r>
                              <w:t>in</w:t>
                            </w:r>
                            <w:r w:rsidRPr="004E5FDB">
                              <w:t xml:space="preserve"> 2024</w:t>
                            </w:r>
                            <w:r w:rsidR="00405800">
                              <w:t>–</w:t>
                            </w:r>
                            <w:r w:rsidR="00405800">
                              <w:rPr>
                                <w:rFonts w:ascii="Times New Roman" w:hAnsi="Times New Roman" w:cs="Times New Roman" w:hint="eastAsia"/>
                                <w:rtl/>
                              </w:rPr>
                              <w:t>‍</w:t>
                            </w:r>
                            <w:r w:rsidRPr="004E5FDB">
                              <w:t>25</w:t>
                            </w:r>
                            <w:bookmarkEnd w:id="111"/>
                            <w:r w:rsidRPr="004E5FDB">
                              <w:t>.</w:t>
                            </w:r>
                          </w:p>
                          <w:p w14:paraId="2A978365" w14:textId="2E52C114" w:rsidR="00097681" w:rsidRPr="004E5FDB" w:rsidRDefault="00097681" w:rsidP="00097681">
                            <w:r w:rsidRPr="004E5FDB">
                              <w:t xml:space="preserve">Queensland, Western Australia, South Australia and the ACT spent less than their population share on COVID-19 related health services. Under an actual per capita assessment, these states have </w:t>
                            </w:r>
                            <w:r>
                              <w:t>below</w:t>
                            </w:r>
                            <w:r w:rsidRPr="004E5FDB">
                              <w:t>-average assessed expenses for COVID-19 health services and receive less GST in 2025</w:t>
                            </w:r>
                            <w:r w:rsidR="00405800">
                              <w:t>–</w:t>
                            </w:r>
                            <w:r w:rsidRPr="004E5FDB">
                              <w:t xml:space="preserve">26 than </w:t>
                            </w:r>
                            <w:r>
                              <w:t xml:space="preserve">in </w:t>
                            </w:r>
                            <w:r w:rsidRPr="004E5FDB">
                              <w:t>2024</w:t>
                            </w:r>
                            <w:r w:rsidR="00405800">
                              <w:t>–</w:t>
                            </w:r>
                            <w:r w:rsidRPr="004E5FDB">
                              <w:t>25.</w:t>
                            </w:r>
                            <w:r w:rsidR="002C0218">
                              <w:t xml:space="preserve"> </w:t>
                            </w:r>
                            <w:r w:rsidRPr="004E5FDB">
                              <w:t xml:space="preserve">For those states </w:t>
                            </w:r>
                            <w:r>
                              <w:t xml:space="preserve">with </w:t>
                            </w:r>
                            <w:r w:rsidRPr="004E5FDB">
                              <w:t>a reduced GST distribution from changes to health assessment methods in the 2025 Review, all are still assessed to need to spend more than their population share on health services in the 2025</w:t>
                            </w:r>
                            <w:r w:rsidR="00405800">
                              <w:t>–</w:t>
                            </w:r>
                            <w:r w:rsidRPr="004E5FDB">
                              <w:t xml:space="preserve">26 application year. </w:t>
                            </w:r>
                          </w:p>
                          <w:p w14:paraId="119893D5" w14:textId="77777777" w:rsidR="00097681" w:rsidRPr="004E5FDB" w:rsidRDefault="00097681" w:rsidP="00CB7FF4">
                            <w:pPr>
                              <w:pStyle w:val="Heading4"/>
                              <w:spacing w:before="120"/>
                            </w:pPr>
                            <w:r w:rsidRPr="004E5FDB">
                              <w:t>Services to industry</w:t>
                            </w:r>
                          </w:p>
                          <w:p w14:paraId="3F1D7238" w14:textId="1F03C080" w:rsidR="00097681" w:rsidRPr="004E5FDB" w:rsidRDefault="00097681" w:rsidP="00097681">
                            <w:r w:rsidRPr="004E5FDB">
                              <w:t>Over the assessment years for the 2025</w:t>
                            </w:r>
                            <w:r w:rsidR="00405800">
                              <w:t>–</w:t>
                            </w:r>
                            <w:r w:rsidRPr="004E5FDB">
                              <w:t>26 GST distribution, New South Wales, Victoria and the ACT spent more than their population share on COVID</w:t>
                            </w:r>
                            <w:r w:rsidRPr="004E5FDB">
                              <w:noBreakHyphen/>
                              <w:t xml:space="preserve">19 business support. Under an actual per capita assessment, these states have </w:t>
                            </w:r>
                            <w:r>
                              <w:t>above</w:t>
                            </w:r>
                            <w:r w:rsidRPr="004E5FDB">
                              <w:t xml:space="preserve">-average assessed expenses for COVID-19 business support. This has increased their assessed GST needs compared </w:t>
                            </w:r>
                            <w:r>
                              <w:t>with</w:t>
                            </w:r>
                            <w:r w:rsidRPr="004E5FDB">
                              <w:t xml:space="preserve"> the 2020 Review method and so they receive more GST in 2025</w:t>
                            </w:r>
                            <w:r w:rsidR="00405800">
                              <w:t>–</w:t>
                            </w:r>
                            <w:r w:rsidRPr="004E5FDB">
                              <w:t>26 than 2024</w:t>
                            </w:r>
                            <w:r w:rsidR="00405800">
                              <w:t>–</w:t>
                            </w:r>
                            <w:r w:rsidRPr="004E5FDB">
                              <w:t>25.</w:t>
                            </w:r>
                            <w:r w:rsidR="00F8460D">
                              <w:t xml:space="preserve"> </w:t>
                            </w:r>
                            <w:r w:rsidRPr="004E5FDB">
                              <w:t xml:space="preserve">The reverse is the case for Queensland, Western Australia, South Australia, Tasmania and the Northern Territory.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FD758A" id="Text Box 504781802" o:spid="_x0000_s1038" type="#_x0000_t202" style="position:absolute;margin-left:0;margin-top:0;width:460.9pt;height:733.5pt;z-index:2516582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" fillcolor="#e5f8ff" strokecolor="white [3212]">
                <v:textbox>
                  <w:txbxContent>
                    <w:p w14:paraId="678F39A5" w14:textId="77777777" w:rsidR="00097681" w:rsidRPr="004E5FDB" w:rsidRDefault="00097681" w:rsidP="00CB5D5E">
                      <w:pPr>
                        <w:pStyle w:val="HeadingBox-Level3"/>
                      </w:pPr>
                      <w:bookmarkStart w:id="112" w:name="_Toc190780938"/>
                      <w:r w:rsidRPr="004E5FDB">
                        <w:t>Box 2-1</w:t>
                      </w:r>
                      <w:r w:rsidRPr="004E5FDB">
                        <w:tab/>
                        <w:t>COVID-19 method change</w:t>
                      </w:r>
                      <w:r>
                        <w:t>s</w:t>
                      </w:r>
                      <w:r w:rsidRPr="004E5FDB">
                        <w:t xml:space="preserve"> </w:t>
                      </w:r>
                      <w:r>
                        <w:t>(</w:t>
                      </w:r>
                      <w:r w:rsidRPr="004E5FDB">
                        <w:t>continued</w:t>
                      </w:r>
                      <w:r>
                        <w:t>)</w:t>
                      </w:r>
                      <w:bookmarkEnd w:id="112"/>
                      <w:r w:rsidRPr="004E5FDB">
                        <w:t xml:space="preserve"> </w:t>
                      </w:r>
                    </w:p>
                    <w:p w14:paraId="1F5CD022" w14:textId="143B3D70" w:rsidR="00097681" w:rsidRPr="004E5FDB" w:rsidRDefault="00097681" w:rsidP="00097681">
                      <w:r w:rsidRPr="004E5FDB">
                        <w:t xml:space="preserve">The Commission’s separate assessment of </w:t>
                      </w:r>
                      <w:r>
                        <w:t>expenses</w:t>
                      </w:r>
                      <w:r w:rsidRPr="004E5FDB">
                        <w:t xml:space="preserve"> </w:t>
                      </w:r>
                      <w:r>
                        <w:t>under the Commonwealth</w:t>
                      </w:r>
                      <w:r w:rsidR="00E37E09">
                        <w:t xml:space="preserve"> </w:t>
                      </w:r>
                      <w:r w:rsidR="007846FD">
                        <w:t>n</w:t>
                      </w:r>
                      <w:r w:rsidR="00E37E09">
                        <w:t xml:space="preserve">ational </w:t>
                      </w:r>
                      <w:r w:rsidR="007846FD">
                        <w:t>p</w:t>
                      </w:r>
                      <w:r w:rsidR="00E37E09">
                        <w:t>artnership</w:t>
                      </w:r>
                      <w:r>
                        <w:t xml:space="preserve"> agreements </w:t>
                      </w:r>
                      <w:r w:rsidRPr="004E5FDB">
                        <w:t xml:space="preserve">will cease when the </w:t>
                      </w:r>
                      <w:r>
                        <w:t>expenses</w:t>
                      </w:r>
                      <w:r w:rsidRPr="004E5FDB">
                        <w:t xml:space="preserve"> drop out of the assessment period. The impact of the method changes is largely limited to </w:t>
                      </w:r>
                      <w:r>
                        <w:t xml:space="preserve">the GST distribution for </w:t>
                      </w:r>
                      <w:r w:rsidRPr="004E5FDB">
                        <w:t>2025</w:t>
                      </w:r>
                      <w:r w:rsidR="00405800">
                        <w:t>–</w:t>
                      </w:r>
                      <w:r w:rsidRPr="004E5FDB">
                        <w:t xml:space="preserve">26. This is because COVID-19 </w:t>
                      </w:r>
                      <w:r>
                        <w:t>related expenses</w:t>
                      </w:r>
                      <w:r w:rsidRPr="004E5FDB">
                        <w:t xml:space="preserve"> decline significantly after 2021</w:t>
                      </w:r>
                      <w:r w:rsidR="00405800">
                        <w:t>–</w:t>
                      </w:r>
                      <w:r w:rsidRPr="004E5FDB">
                        <w:t>22</w:t>
                      </w:r>
                      <w:r>
                        <w:t>,</w:t>
                      </w:r>
                      <w:r w:rsidR="003F59B9">
                        <w:t xml:space="preserve"> the year </w:t>
                      </w:r>
                      <w:r>
                        <w:t>which</w:t>
                      </w:r>
                      <w:r w:rsidRPr="004E5FDB">
                        <w:t xml:space="preserve"> drops out of the assessment period in 2026</w:t>
                      </w:r>
                      <w:r w:rsidR="00405800">
                        <w:t>–</w:t>
                      </w:r>
                      <w:r w:rsidRPr="004E5FDB">
                        <w:t>27</w:t>
                      </w:r>
                      <w:r w:rsidRPr="009201E8">
                        <w:t>.</w:t>
                      </w:r>
                      <w:r w:rsidR="007C336D" w:rsidRPr="009201E8">
                        <w:t xml:space="preserve"> </w:t>
                      </w:r>
                      <w:r w:rsidRPr="009201E8">
                        <w:t>The impact on the GST distribution from the method changes is shown in Table 2-4.</w:t>
                      </w:r>
                    </w:p>
                    <w:p w14:paraId="46A9621F" w14:textId="3030EB6F" w:rsidR="00097681" w:rsidRPr="00F438B0" w:rsidRDefault="00097681" w:rsidP="00540EFC">
                      <w:pPr>
                        <w:pStyle w:val="CGC2025Caption"/>
                        <w:spacing w:before="160"/>
                        <w:ind w:left="1418" w:hanging="1418"/>
                      </w:pPr>
                      <w:bookmarkStart w:id="113" w:name="_Hlk187233751"/>
                      <w:r w:rsidRPr="00F438B0">
                        <w:t>Table 2-4</w:t>
                      </w:r>
                      <w:r w:rsidRPr="00F438B0">
                        <w:tab/>
                        <w:t>Change in assessed GST needs due to COVID-19 method changes</w:t>
                      </w:r>
                      <w:r w:rsidR="00242163" w:rsidRPr="00F438B0">
                        <w:t xml:space="preserve">, </w:t>
                      </w:r>
                      <w:r w:rsidR="003D7A0A">
                        <w:br/>
                      </w:r>
                      <w:r w:rsidR="0046685A" w:rsidRPr="00F438B0">
                        <w:t>2024</w:t>
                      </w:r>
                      <w:r w:rsidR="00405800">
                        <w:t>–</w:t>
                      </w:r>
                      <w:r w:rsidR="0046685A" w:rsidRPr="00F438B0">
                        <w:t>25 to 2025</w:t>
                      </w:r>
                      <w:r w:rsidR="00405800">
                        <w:t>–</w:t>
                      </w:r>
                      <w:r w:rsidR="0046685A" w:rsidRPr="00F438B0">
                        <w:t>26</w:t>
                      </w:r>
                      <w:r w:rsidRPr="00F438B0">
                        <w:t xml:space="preserve"> </w:t>
                      </w:r>
                    </w:p>
                    <w:tbl>
                      <w:tblPr>
                        <w:tblW w:w="8944" w:type="dxa"/>
                        <w:tblCellMar>
                          <w:left w:w="0" w:type="dxa"/>
                          <w:right w:w="0" w:type="dxa"/>
                        </w:tblCellMar>
                        <w:tblLook w:val="04A0" w:firstRow="1" w:lastRow="0" w:firstColumn="1" w:lastColumn="0" w:noHBand="0" w:noVBand="1"/>
                      </w:tblPr>
                      <w:tblGrid>
                        <w:gridCol w:w="4005"/>
                        <w:gridCol w:w="472"/>
                        <w:gridCol w:w="582"/>
                        <w:gridCol w:w="529"/>
                        <w:gridCol w:w="581"/>
                        <w:gridCol w:w="529"/>
                        <w:gridCol w:w="529"/>
                        <w:gridCol w:w="529"/>
                        <w:gridCol w:w="529"/>
                        <w:gridCol w:w="659"/>
                      </w:tblGrid>
                      <w:tr w:rsidR="00D66BF5" w14:paraId="14812972" w14:textId="77777777" w:rsidTr="00152EA0">
                        <w:trPr>
                          <w:trHeight w:val="555"/>
                        </w:trPr>
                        <w:tc>
                          <w:tcPr>
                            <w:tcW w:w="4025" w:type="dxa"/>
                            <w:tcBorders>
                              <w:top w:val="nil"/>
                              <w:left w:val="nil"/>
                              <w:bottom w:val="nil"/>
                              <w:right w:val="nil"/>
                            </w:tcBorders>
                            <w:shd w:val="clear" w:color="000000" w:fill="006991"/>
                            <w:tcMar>
                              <w:top w:w="15" w:type="dxa"/>
                              <w:left w:w="15" w:type="dxa"/>
                              <w:bottom w:w="0" w:type="dxa"/>
                              <w:right w:w="15" w:type="dxa"/>
                            </w:tcMar>
                            <w:vAlign w:val="center"/>
                            <w:hideMark/>
                          </w:tcPr>
                          <w:bookmarkEnd w:id="113"/>
                          <w:p w14:paraId="6B261AD2" w14:textId="77777777" w:rsidR="00097681" w:rsidRDefault="00097681">
                            <w:pPr>
                              <w:tabs>
                                <w:tab w:val="clear" w:pos="567"/>
                              </w:tabs>
                              <w:spacing w:before="0" w:line="240" w:lineRule="auto"/>
                              <w:rPr>
                                <w:rFonts w:ascii="Open Sans Semibold" w:hAnsi="Open Sans Semibold" w:cs="Open Sans Semibold"/>
                                <w:color w:val="FFFFFF"/>
                                <w:sz w:val="16"/>
                                <w:szCs w:val="16"/>
                              </w:rPr>
                            </w:pPr>
                            <w:r>
                              <w:rPr>
                                <w:rFonts w:ascii="Open Sans Semibold" w:hAnsi="Open Sans Semibold" w:cs="Open Sans Semibold"/>
                                <w:color w:val="FFFFFF"/>
                                <w:sz w:val="16"/>
                                <w:szCs w:val="16"/>
                              </w:rPr>
                              <w:t> </w:t>
                            </w:r>
                          </w:p>
                        </w:tc>
                        <w:tc>
                          <w:tcPr>
                            <w:tcW w:w="473" w:type="dxa"/>
                            <w:tcBorders>
                              <w:top w:val="nil"/>
                              <w:left w:val="nil"/>
                              <w:bottom w:val="nil"/>
                              <w:right w:val="nil"/>
                            </w:tcBorders>
                            <w:shd w:val="clear" w:color="000000" w:fill="006991"/>
                            <w:tcMar>
                              <w:top w:w="15" w:type="dxa"/>
                              <w:left w:w="15" w:type="dxa"/>
                              <w:bottom w:w="0" w:type="dxa"/>
                              <w:right w:w="15" w:type="dxa"/>
                            </w:tcMar>
                            <w:vAlign w:val="center"/>
                            <w:hideMark/>
                          </w:tcPr>
                          <w:p w14:paraId="2FDFE925"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NSW</w:t>
                            </w:r>
                          </w:p>
                        </w:tc>
                        <w:tc>
                          <w:tcPr>
                            <w:tcW w:w="583" w:type="dxa"/>
                            <w:tcBorders>
                              <w:top w:val="nil"/>
                              <w:left w:val="nil"/>
                              <w:bottom w:val="nil"/>
                              <w:right w:val="nil"/>
                            </w:tcBorders>
                            <w:shd w:val="clear" w:color="000000" w:fill="006991"/>
                            <w:tcMar>
                              <w:top w:w="15" w:type="dxa"/>
                              <w:left w:w="15" w:type="dxa"/>
                              <w:bottom w:w="0" w:type="dxa"/>
                              <w:right w:w="15" w:type="dxa"/>
                            </w:tcMar>
                            <w:vAlign w:val="center"/>
                            <w:hideMark/>
                          </w:tcPr>
                          <w:p w14:paraId="3BFFF7D9"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Vic</w:t>
                            </w:r>
                          </w:p>
                        </w:tc>
                        <w:tc>
                          <w:tcPr>
                            <w:tcW w:w="531" w:type="dxa"/>
                            <w:tcBorders>
                              <w:top w:val="nil"/>
                              <w:left w:val="nil"/>
                              <w:bottom w:val="nil"/>
                              <w:right w:val="nil"/>
                            </w:tcBorders>
                            <w:shd w:val="clear" w:color="000000" w:fill="006991"/>
                            <w:tcMar>
                              <w:top w:w="15" w:type="dxa"/>
                              <w:left w:w="15" w:type="dxa"/>
                              <w:bottom w:w="0" w:type="dxa"/>
                              <w:right w:w="15" w:type="dxa"/>
                            </w:tcMar>
                            <w:vAlign w:val="center"/>
                            <w:hideMark/>
                          </w:tcPr>
                          <w:p w14:paraId="65D41DA4"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Qld</w:t>
                            </w:r>
                          </w:p>
                        </w:tc>
                        <w:tc>
                          <w:tcPr>
                            <w:tcW w:w="583" w:type="dxa"/>
                            <w:tcBorders>
                              <w:top w:val="nil"/>
                              <w:left w:val="nil"/>
                              <w:bottom w:val="nil"/>
                              <w:right w:val="nil"/>
                            </w:tcBorders>
                            <w:shd w:val="clear" w:color="000000" w:fill="006991"/>
                            <w:tcMar>
                              <w:top w:w="15" w:type="dxa"/>
                              <w:left w:w="15" w:type="dxa"/>
                              <w:bottom w:w="0" w:type="dxa"/>
                              <w:right w:w="15" w:type="dxa"/>
                            </w:tcMar>
                            <w:vAlign w:val="center"/>
                            <w:hideMark/>
                          </w:tcPr>
                          <w:p w14:paraId="1582064E"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WA</w:t>
                            </w:r>
                          </w:p>
                        </w:tc>
                        <w:tc>
                          <w:tcPr>
                            <w:tcW w:w="531" w:type="dxa"/>
                            <w:tcBorders>
                              <w:top w:val="nil"/>
                              <w:left w:val="nil"/>
                              <w:bottom w:val="nil"/>
                              <w:right w:val="nil"/>
                            </w:tcBorders>
                            <w:shd w:val="clear" w:color="000000" w:fill="006991"/>
                            <w:tcMar>
                              <w:top w:w="15" w:type="dxa"/>
                              <w:left w:w="15" w:type="dxa"/>
                              <w:bottom w:w="0" w:type="dxa"/>
                              <w:right w:w="15" w:type="dxa"/>
                            </w:tcMar>
                            <w:vAlign w:val="center"/>
                            <w:hideMark/>
                          </w:tcPr>
                          <w:p w14:paraId="38389D20"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SA</w:t>
                            </w:r>
                          </w:p>
                        </w:tc>
                        <w:tc>
                          <w:tcPr>
                            <w:tcW w:w="531" w:type="dxa"/>
                            <w:tcBorders>
                              <w:top w:val="nil"/>
                              <w:left w:val="nil"/>
                              <w:bottom w:val="nil"/>
                              <w:right w:val="nil"/>
                            </w:tcBorders>
                            <w:shd w:val="clear" w:color="000000" w:fill="006991"/>
                            <w:tcMar>
                              <w:top w:w="15" w:type="dxa"/>
                              <w:left w:w="15" w:type="dxa"/>
                              <w:bottom w:w="0" w:type="dxa"/>
                              <w:right w:w="15" w:type="dxa"/>
                            </w:tcMar>
                            <w:vAlign w:val="center"/>
                            <w:hideMark/>
                          </w:tcPr>
                          <w:p w14:paraId="6EF0B6B4"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Tas</w:t>
                            </w:r>
                          </w:p>
                        </w:tc>
                        <w:tc>
                          <w:tcPr>
                            <w:tcW w:w="531" w:type="dxa"/>
                            <w:tcBorders>
                              <w:top w:val="nil"/>
                              <w:left w:val="nil"/>
                              <w:bottom w:val="nil"/>
                              <w:right w:val="nil"/>
                            </w:tcBorders>
                            <w:shd w:val="clear" w:color="000000" w:fill="006991"/>
                            <w:tcMar>
                              <w:top w:w="15" w:type="dxa"/>
                              <w:left w:w="15" w:type="dxa"/>
                              <w:bottom w:w="0" w:type="dxa"/>
                              <w:right w:w="15" w:type="dxa"/>
                            </w:tcMar>
                            <w:vAlign w:val="center"/>
                            <w:hideMark/>
                          </w:tcPr>
                          <w:p w14:paraId="239E0EAE"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ACT</w:t>
                            </w:r>
                          </w:p>
                        </w:tc>
                        <w:tc>
                          <w:tcPr>
                            <w:tcW w:w="531" w:type="dxa"/>
                            <w:tcBorders>
                              <w:top w:val="nil"/>
                              <w:left w:val="nil"/>
                              <w:bottom w:val="nil"/>
                              <w:right w:val="nil"/>
                            </w:tcBorders>
                            <w:shd w:val="clear" w:color="000000" w:fill="006991"/>
                            <w:tcMar>
                              <w:top w:w="15" w:type="dxa"/>
                              <w:left w:w="15" w:type="dxa"/>
                              <w:bottom w:w="0" w:type="dxa"/>
                              <w:right w:w="15" w:type="dxa"/>
                            </w:tcMar>
                            <w:vAlign w:val="center"/>
                            <w:hideMark/>
                          </w:tcPr>
                          <w:p w14:paraId="01A5E349"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NT</w:t>
                            </w:r>
                          </w:p>
                        </w:tc>
                        <w:tc>
                          <w:tcPr>
                            <w:tcW w:w="625" w:type="dxa"/>
                            <w:tcBorders>
                              <w:top w:val="nil"/>
                              <w:left w:val="nil"/>
                              <w:bottom w:val="nil"/>
                              <w:right w:val="nil"/>
                            </w:tcBorders>
                            <w:shd w:val="clear" w:color="000000" w:fill="006991"/>
                            <w:tcMar>
                              <w:top w:w="15" w:type="dxa"/>
                              <w:left w:w="108" w:type="dxa"/>
                              <w:bottom w:w="0" w:type="dxa"/>
                              <w:right w:w="108" w:type="dxa"/>
                            </w:tcMar>
                            <w:vAlign w:val="center"/>
                            <w:hideMark/>
                          </w:tcPr>
                          <w:p w14:paraId="540D123A" w14:textId="77777777" w:rsidR="00097681" w:rsidRDefault="00097681">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Total effect</w:t>
                            </w:r>
                          </w:p>
                        </w:tc>
                      </w:tr>
                      <w:tr w:rsidR="00C15A04" w14:paraId="7DE9D356" w14:textId="77777777" w:rsidTr="00152EA0">
                        <w:trPr>
                          <w:trHeight w:val="260"/>
                        </w:trPr>
                        <w:tc>
                          <w:tcPr>
                            <w:tcW w:w="4025" w:type="dxa"/>
                            <w:tcBorders>
                              <w:top w:val="single" w:sz="4" w:space="0" w:color="ADD6EA"/>
                              <w:left w:val="nil"/>
                              <w:bottom w:val="nil"/>
                              <w:right w:val="nil"/>
                            </w:tcBorders>
                            <w:shd w:val="clear" w:color="000000" w:fill="B6D5E4"/>
                            <w:tcMar>
                              <w:top w:w="15" w:type="dxa"/>
                              <w:left w:w="15" w:type="dxa"/>
                              <w:bottom w:w="0" w:type="dxa"/>
                              <w:right w:w="15" w:type="dxa"/>
                            </w:tcMar>
                            <w:vAlign w:val="bottom"/>
                            <w:hideMark/>
                          </w:tcPr>
                          <w:p w14:paraId="3A1FA859" w14:textId="77777777" w:rsidR="00097681" w:rsidRDefault="00097681">
                            <w:pPr>
                              <w:rPr>
                                <w:rFonts w:ascii="Open Sans Semibold" w:hAnsi="Open Sans Semibold" w:cs="Open Sans Semibold"/>
                                <w:color w:val="000000"/>
                                <w:sz w:val="16"/>
                                <w:szCs w:val="16"/>
                              </w:rPr>
                            </w:pPr>
                            <w:r>
                              <w:rPr>
                                <w:rFonts w:ascii="Open Sans Semibold" w:hAnsi="Open Sans Semibold" w:cs="Open Sans Semibold"/>
                                <w:color w:val="000000"/>
                                <w:sz w:val="16"/>
                                <w:szCs w:val="16"/>
                              </w:rPr>
                              <w:t> </w:t>
                            </w:r>
                          </w:p>
                        </w:tc>
                        <w:tc>
                          <w:tcPr>
                            <w:tcW w:w="473" w:type="dxa"/>
                            <w:tcBorders>
                              <w:top w:val="single" w:sz="4" w:space="0" w:color="ADD6EA"/>
                              <w:left w:val="nil"/>
                              <w:bottom w:val="nil"/>
                              <w:right w:val="nil"/>
                            </w:tcBorders>
                            <w:shd w:val="clear" w:color="000000" w:fill="B6D5E4"/>
                            <w:tcMar>
                              <w:top w:w="15" w:type="dxa"/>
                              <w:left w:w="15" w:type="dxa"/>
                              <w:bottom w:w="0" w:type="dxa"/>
                              <w:right w:w="15" w:type="dxa"/>
                            </w:tcMar>
                            <w:vAlign w:val="center"/>
                            <w:hideMark/>
                          </w:tcPr>
                          <w:p w14:paraId="6B8A1F11"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583" w:type="dxa"/>
                            <w:tcBorders>
                              <w:top w:val="single" w:sz="4" w:space="0" w:color="ADD6EA"/>
                              <w:left w:val="nil"/>
                              <w:bottom w:val="nil"/>
                              <w:right w:val="nil"/>
                            </w:tcBorders>
                            <w:shd w:val="clear" w:color="000000" w:fill="B6D5E4"/>
                            <w:tcMar>
                              <w:top w:w="15" w:type="dxa"/>
                              <w:left w:w="15" w:type="dxa"/>
                              <w:bottom w:w="0" w:type="dxa"/>
                              <w:right w:w="15" w:type="dxa"/>
                            </w:tcMar>
                            <w:vAlign w:val="center"/>
                            <w:hideMark/>
                          </w:tcPr>
                          <w:p w14:paraId="2CD6CCFB"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531" w:type="dxa"/>
                            <w:tcBorders>
                              <w:top w:val="single" w:sz="4" w:space="0" w:color="ADD6EA"/>
                              <w:left w:val="nil"/>
                              <w:bottom w:val="nil"/>
                              <w:right w:val="nil"/>
                            </w:tcBorders>
                            <w:shd w:val="clear" w:color="000000" w:fill="B6D5E4"/>
                            <w:tcMar>
                              <w:top w:w="15" w:type="dxa"/>
                              <w:left w:w="15" w:type="dxa"/>
                              <w:bottom w:w="0" w:type="dxa"/>
                              <w:right w:w="15" w:type="dxa"/>
                            </w:tcMar>
                            <w:vAlign w:val="center"/>
                            <w:hideMark/>
                          </w:tcPr>
                          <w:p w14:paraId="47829220"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583" w:type="dxa"/>
                            <w:tcBorders>
                              <w:top w:val="single" w:sz="4" w:space="0" w:color="ADD6EA"/>
                              <w:left w:val="nil"/>
                              <w:bottom w:val="nil"/>
                              <w:right w:val="nil"/>
                            </w:tcBorders>
                            <w:shd w:val="clear" w:color="000000" w:fill="B6D5E4"/>
                            <w:tcMar>
                              <w:top w:w="15" w:type="dxa"/>
                              <w:left w:w="15" w:type="dxa"/>
                              <w:bottom w:w="0" w:type="dxa"/>
                              <w:right w:w="15" w:type="dxa"/>
                            </w:tcMar>
                            <w:vAlign w:val="center"/>
                            <w:hideMark/>
                          </w:tcPr>
                          <w:p w14:paraId="772CA067"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531" w:type="dxa"/>
                            <w:tcBorders>
                              <w:top w:val="single" w:sz="4" w:space="0" w:color="ADD6EA"/>
                              <w:left w:val="nil"/>
                              <w:bottom w:val="nil"/>
                              <w:right w:val="nil"/>
                            </w:tcBorders>
                            <w:shd w:val="clear" w:color="000000" w:fill="B6D5E4"/>
                            <w:tcMar>
                              <w:top w:w="15" w:type="dxa"/>
                              <w:left w:w="15" w:type="dxa"/>
                              <w:bottom w:w="0" w:type="dxa"/>
                              <w:right w:w="15" w:type="dxa"/>
                            </w:tcMar>
                            <w:vAlign w:val="center"/>
                            <w:hideMark/>
                          </w:tcPr>
                          <w:p w14:paraId="061273E7"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531" w:type="dxa"/>
                            <w:tcBorders>
                              <w:top w:val="single" w:sz="4" w:space="0" w:color="ADD6EA"/>
                              <w:left w:val="nil"/>
                              <w:bottom w:val="nil"/>
                              <w:right w:val="nil"/>
                            </w:tcBorders>
                            <w:shd w:val="clear" w:color="000000" w:fill="B6D5E4"/>
                            <w:tcMar>
                              <w:top w:w="15" w:type="dxa"/>
                              <w:left w:w="15" w:type="dxa"/>
                              <w:bottom w:w="0" w:type="dxa"/>
                              <w:right w:w="15" w:type="dxa"/>
                            </w:tcMar>
                            <w:vAlign w:val="center"/>
                            <w:hideMark/>
                          </w:tcPr>
                          <w:p w14:paraId="0CF5085D"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531" w:type="dxa"/>
                            <w:tcBorders>
                              <w:top w:val="single" w:sz="4" w:space="0" w:color="ADD6EA"/>
                              <w:left w:val="nil"/>
                              <w:bottom w:val="nil"/>
                              <w:right w:val="nil"/>
                            </w:tcBorders>
                            <w:shd w:val="clear" w:color="000000" w:fill="B6D5E4"/>
                            <w:tcMar>
                              <w:top w:w="15" w:type="dxa"/>
                              <w:left w:w="15" w:type="dxa"/>
                              <w:bottom w:w="0" w:type="dxa"/>
                              <w:right w:w="15" w:type="dxa"/>
                            </w:tcMar>
                            <w:vAlign w:val="center"/>
                            <w:hideMark/>
                          </w:tcPr>
                          <w:p w14:paraId="2F4E880A"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531" w:type="dxa"/>
                            <w:tcBorders>
                              <w:top w:val="single" w:sz="4" w:space="0" w:color="ADD6EA"/>
                              <w:left w:val="nil"/>
                              <w:bottom w:val="nil"/>
                              <w:right w:val="nil"/>
                            </w:tcBorders>
                            <w:shd w:val="clear" w:color="000000" w:fill="B6D5E4"/>
                            <w:tcMar>
                              <w:top w:w="15" w:type="dxa"/>
                              <w:left w:w="15" w:type="dxa"/>
                              <w:bottom w:w="0" w:type="dxa"/>
                              <w:right w:w="15" w:type="dxa"/>
                            </w:tcMar>
                            <w:vAlign w:val="center"/>
                            <w:hideMark/>
                          </w:tcPr>
                          <w:p w14:paraId="72C5C092"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625" w:type="dxa"/>
                            <w:tcBorders>
                              <w:top w:val="single" w:sz="4" w:space="0" w:color="ADD6EA"/>
                              <w:left w:val="nil"/>
                              <w:bottom w:val="nil"/>
                              <w:right w:val="nil"/>
                            </w:tcBorders>
                            <w:shd w:val="clear" w:color="000000" w:fill="B6D5E4"/>
                            <w:tcMar>
                              <w:top w:w="15" w:type="dxa"/>
                              <w:left w:w="108" w:type="dxa"/>
                              <w:bottom w:w="0" w:type="dxa"/>
                              <w:right w:w="108" w:type="dxa"/>
                            </w:tcMar>
                            <w:vAlign w:val="center"/>
                            <w:hideMark/>
                          </w:tcPr>
                          <w:p w14:paraId="2779922F"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r>
                      <w:tr w:rsidR="00D66BF5" w14:paraId="772F7884" w14:textId="77777777" w:rsidTr="00152EA0">
                        <w:trPr>
                          <w:trHeight w:val="555"/>
                        </w:trPr>
                        <w:tc>
                          <w:tcPr>
                            <w:tcW w:w="4025"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0E5D8846" w14:textId="0B15B649" w:rsidR="00097681" w:rsidRDefault="00EA4223">
                            <w:pPr>
                              <w:rPr>
                                <w:rFonts w:ascii="Open Sans Light" w:hAnsi="Open Sans Light" w:cs="Open Sans Light"/>
                                <w:color w:val="000000"/>
                                <w:sz w:val="16"/>
                                <w:szCs w:val="16"/>
                              </w:rPr>
                            </w:pPr>
                            <w:r>
                              <w:rPr>
                                <w:rFonts w:ascii="Open Sans Light" w:hAnsi="Open Sans Light" w:cs="Open Sans Light"/>
                                <w:color w:val="000000"/>
                                <w:sz w:val="16"/>
                                <w:szCs w:val="16"/>
                              </w:rPr>
                              <w:t>Revenue effect for Commonwealth payment for COVID</w:t>
                            </w:r>
                            <w:r w:rsidR="007448A6">
                              <w:rPr>
                                <w:rFonts w:ascii="Open Sans Light" w:hAnsi="Open Sans Light" w:cs="Open Sans Light"/>
                                <w:color w:val="000000"/>
                                <w:sz w:val="16"/>
                                <w:szCs w:val="16"/>
                              </w:rPr>
                              <w:noBreakHyphen/>
                            </w:r>
                            <w:r>
                              <w:rPr>
                                <w:rFonts w:ascii="Open Sans Light" w:hAnsi="Open Sans Light" w:cs="Open Sans Light"/>
                                <w:color w:val="000000"/>
                                <w:sz w:val="16"/>
                                <w:szCs w:val="16"/>
                              </w:rPr>
                              <w:t>19 health spending</w:t>
                            </w:r>
                          </w:p>
                        </w:tc>
                        <w:tc>
                          <w:tcPr>
                            <w:tcW w:w="47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3541ACFD"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-154</w:t>
                            </w:r>
                          </w:p>
                        </w:tc>
                        <w:tc>
                          <w:tcPr>
                            <w:tcW w:w="58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33962B4B"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-206</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2307BDBB"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287</w:t>
                            </w:r>
                          </w:p>
                        </w:tc>
                        <w:tc>
                          <w:tcPr>
                            <w:tcW w:w="58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7B066E78"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15</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40C8F2FF"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67</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781EEEC9"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-7</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55BB802A"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7</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1530C1DF"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-10</w:t>
                            </w:r>
                          </w:p>
                        </w:tc>
                        <w:tc>
                          <w:tcPr>
                            <w:tcW w:w="625" w:type="dxa"/>
                            <w:tcBorders>
                              <w:top w:val="single" w:sz="4" w:space="0" w:color="ADD6EA"/>
                              <w:left w:val="nil"/>
                              <w:bottom w:val="nil"/>
                              <w:right w:val="nil"/>
                            </w:tcBorders>
                            <w:shd w:val="clear" w:color="000000" w:fill="FFFFFF"/>
                            <w:tcMar>
                              <w:top w:w="15" w:type="dxa"/>
                              <w:left w:w="108" w:type="dxa"/>
                              <w:bottom w:w="0" w:type="dxa"/>
                              <w:right w:w="108" w:type="dxa"/>
                            </w:tcMar>
                            <w:vAlign w:val="center"/>
                            <w:hideMark/>
                          </w:tcPr>
                          <w:p w14:paraId="0A8A5019"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377</w:t>
                            </w:r>
                          </w:p>
                        </w:tc>
                      </w:tr>
                      <w:tr w:rsidR="00D66BF5" w14:paraId="50C0E14D" w14:textId="77777777" w:rsidTr="00152EA0">
                        <w:trPr>
                          <w:trHeight w:val="320"/>
                        </w:trPr>
                        <w:tc>
                          <w:tcPr>
                            <w:tcW w:w="4025"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732F4AF3" w14:textId="2E2B811D" w:rsidR="00097681" w:rsidRDefault="00481658">
                            <w:pPr>
                              <w:rPr>
                                <w:rFonts w:ascii="Open Sans Light" w:hAnsi="Open Sans Light" w:cs="Open Sans Light"/>
                                <w:color w:val="000000"/>
                                <w:sz w:val="16"/>
                                <w:szCs w:val="16"/>
                              </w:rPr>
                            </w:pPr>
                            <w:r>
                              <w:rPr>
                                <w:rFonts w:ascii="Open Sans Light" w:hAnsi="Open Sans Light" w:cs="Open Sans Light"/>
                                <w:color w:val="000000"/>
                                <w:sz w:val="16"/>
                                <w:szCs w:val="16"/>
                              </w:rPr>
                              <w:t>Expense effect of state (including Commonwealth Contribution) spending for COVID-19 in health</w:t>
                            </w:r>
                          </w:p>
                        </w:tc>
                        <w:tc>
                          <w:tcPr>
                            <w:tcW w:w="47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785B34CD"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363</w:t>
                            </w:r>
                          </w:p>
                        </w:tc>
                        <w:tc>
                          <w:tcPr>
                            <w:tcW w:w="58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5E05854C"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498</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14D792F2"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-611</w:t>
                            </w:r>
                          </w:p>
                        </w:tc>
                        <w:tc>
                          <w:tcPr>
                            <w:tcW w:w="58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2D2D1BB1"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-60</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368C1D9C"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-145</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3858A803"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-16</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3C3259BA"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-11</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72A8F7DA"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-18</w:t>
                            </w:r>
                          </w:p>
                        </w:tc>
                        <w:tc>
                          <w:tcPr>
                            <w:tcW w:w="625" w:type="dxa"/>
                            <w:tcBorders>
                              <w:top w:val="single" w:sz="4" w:space="0" w:color="ADD6EA"/>
                              <w:left w:val="nil"/>
                              <w:bottom w:val="nil"/>
                              <w:right w:val="nil"/>
                            </w:tcBorders>
                            <w:shd w:val="clear" w:color="000000" w:fill="FFFFFF"/>
                            <w:tcMar>
                              <w:top w:w="15" w:type="dxa"/>
                              <w:left w:w="108" w:type="dxa"/>
                              <w:bottom w:w="0" w:type="dxa"/>
                              <w:right w:w="108" w:type="dxa"/>
                            </w:tcMar>
                            <w:vAlign w:val="center"/>
                            <w:hideMark/>
                          </w:tcPr>
                          <w:p w14:paraId="57396ABE"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861</w:t>
                            </w:r>
                          </w:p>
                        </w:tc>
                      </w:tr>
                      <w:tr w:rsidR="00D66BF5" w14:paraId="719F27C1" w14:textId="77777777" w:rsidTr="00152EA0">
                        <w:trPr>
                          <w:trHeight w:val="320"/>
                        </w:trPr>
                        <w:tc>
                          <w:tcPr>
                            <w:tcW w:w="4025"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12901E7E" w14:textId="77777777" w:rsidR="00097681" w:rsidRDefault="00097681">
                            <w:pPr>
                              <w:rPr>
                                <w:rFonts w:ascii="Open Sans Semibold" w:hAnsi="Open Sans Semibold" w:cs="Open Sans Semibold"/>
                                <w:color w:val="000000"/>
                                <w:sz w:val="16"/>
                                <w:szCs w:val="16"/>
                              </w:rPr>
                            </w:pPr>
                            <w:r>
                              <w:rPr>
                                <w:rFonts w:ascii="Open Sans Semibold" w:hAnsi="Open Sans Semibold" w:cs="Open Sans Semibold"/>
                                <w:color w:val="000000"/>
                                <w:sz w:val="16"/>
                                <w:szCs w:val="16"/>
                              </w:rPr>
                              <w:t>Total for health</w:t>
                            </w:r>
                          </w:p>
                        </w:tc>
                        <w:tc>
                          <w:tcPr>
                            <w:tcW w:w="473"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3DEE813E"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209</w:t>
                            </w:r>
                          </w:p>
                        </w:tc>
                        <w:tc>
                          <w:tcPr>
                            <w:tcW w:w="583"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01E10D94"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293</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31D2A961"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-324</w:t>
                            </w:r>
                          </w:p>
                        </w:tc>
                        <w:tc>
                          <w:tcPr>
                            <w:tcW w:w="583"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79B8B412"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-45</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3DE11279"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-78</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7E8E7037"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-23</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3973DA07"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-4</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2C8015B0"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-28</w:t>
                            </w:r>
                          </w:p>
                        </w:tc>
                        <w:tc>
                          <w:tcPr>
                            <w:tcW w:w="625" w:type="dxa"/>
                            <w:tcBorders>
                              <w:top w:val="single" w:sz="4" w:space="0" w:color="ADD6EA"/>
                              <w:left w:val="nil"/>
                              <w:bottom w:val="nil"/>
                              <w:right w:val="nil"/>
                            </w:tcBorders>
                            <w:shd w:val="clear" w:color="000000" w:fill="D6E7F0"/>
                            <w:tcMar>
                              <w:top w:w="15" w:type="dxa"/>
                              <w:left w:w="108" w:type="dxa"/>
                              <w:bottom w:w="0" w:type="dxa"/>
                              <w:right w:w="108" w:type="dxa"/>
                            </w:tcMar>
                            <w:vAlign w:val="center"/>
                            <w:hideMark/>
                          </w:tcPr>
                          <w:p w14:paraId="48CCBDEE"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502</w:t>
                            </w:r>
                          </w:p>
                        </w:tc>
                      </w:tr>
                      <w:tr w:rsidR="00D66BF5" w14:paraId="6D5E5164" w14:textId="77777777" w:rsidTr="00152EA0">
                        <w:trPr>
                          <w:trHeight w:val="555"/>
                        </w:trPr>
                        <w:tc>
                          <w:tcPr>
                            <w:tcW w:w="4025"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01C4FE38" w14:textId="02AA9130" w:rsidR="00097681" w:rsidRDefault="002137BA">
                            <w:pPr>
                              <w:rPr>
                                <w:rFonts w:ascii="Open Sans Light" w:hAnsi="Open Sans Light" w:cs="Open Sans Light"/>
                                <w:color w:val="000000"/>
                                <w:sz w:val="16"/>
                                <w:szCs w:val="16"/>
                              </w:rPr>
                            </w:pPr>
                            <w:r>
                              <w:rPr>
                                <w:rFonts w:ascii="Open Sans Light" w:hAnsi="Open Sans Light" w:cs="Open Sans Light"/>
                                <w:color w:val="000000"/>
                                <w:sz w:val="16"/>
                                <w:szCs w:val="16"/>
                              </w:rPr>
                              <w:t xml:space="preserve">Revenue effect for </w:t>
                            </w:r>
                            <w:r w:rsidR="00097681">
                              <w:rPr>
                                <w:rFonts w:ascii="Open Sans Light" w:hAnsi="Open Sans Light" w:cs="Open Sans Light"/>
                                <w:color w:val="000000"/>
                                <w:sz w:val="16"/>
                                <w:szCs w:val="16"/>
                              </w:rPr>
                              <w:t>Commonwealth payment for COVID</w:t>
                            </w:r>
                            <w:r w:rsidR="007448A6">
                              <w:rPr>
                                <w:rFonts w:ascii="Open Sans Light" w:hAnsi="Open Sans Light" w:cs="Open Sans Light"/>
                                <w:color w:val="000000"/>
                                <w:sz w:val="16"/>
                                <w:szCs w:val="16"/>
                              </w:rPr>
                              <w:noBreakHyphen/>
                            </w:r>
                            <w:r w:rsidR="00097681">
                              <w:rPr>
                                <w:rFonts w:ascii="Open Sans Light" w:hAnsi="Open Sans Light" w:cs="Open Sans Light"/>
                                <w:color w:val="000000"/>
                                <w:sz w:val="16"/>
                                <w:szCs w:val="16"/>
                              </w:rPr>
                              <w:t>19 spending on business support</w:t>
                            </w:r>
                            <w:r w:rsidDel="002137BA">
                              <w:rPr>
                                <w:rFonts w:ascii="Open Sans Light" w:hAnsi="Open Sans Light" w:cs="Open Sans Light"/>
                                <w:color w:val="000000"/>
                                <w:sz w:val="16"/>
                                <w:szCs w:val="16"/>
                              </w:rPr>
                              <w:t xml:space="preserve"> </w:t>
                            </w:r>
                          </w:p>
                        </w:tc>
                        <w:tc>
                          <w:tcPr>
                            <w:tcW w:w="47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7D595B6B"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-501</w:t>
                            </w:r>
                          </w:p>
                        </w:tc>
                        <w:tc>
                          <w:tcPr>
                            <w:tcW w:w="58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68151719"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-580</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0C241B56"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509</w:t>
                            </w:r>
                          </w:p>
                        </w:tc>
                        <w:tc>
                          <w:tcPr>
                            <w:tcW w:w="58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60397261"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322</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16E5DFAA"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195</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0BC229DE"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47</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32CCEA76"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-18</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7A4B8F46"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26</w:t>
                            </w:r>
                          </w:p>
                        </w:tc>
                        <w:tc>
                          <w:tcPr>
                            <w:tcW w:w="625" w:type="dxa"/>
                            <w:tcBorders>
                              <w:top w:val="single" w:sz="4" w:space="0" w:color="ADD6EA"/>
                              <w:left w:val="nil"/>
                              <w:bottom w:val="nil"/>
                              <w:right w:val="nil"/>
                            </w:tcBorders>
                            <w:shd w:val="clear" w:color="000000" w:fill="FFFFFF"/>
                            <w:tcMar>
                              <w:top w:w="15" w:type="dxa"/>
                              <w:left w:w="108" w:type="dxa"/>
                              <w:bottom w:w="0" w:type="dxa"/>
                              <w:right w:w="108" w:type="dxa"/>
                            </w:tcMar>
                            <w:vAlign w:val="center"/>
                            <w:hideMark/>
                          </w:tcPr>
                          <w:p w14:paraId="3FC46B8A"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1,099</w:t>
                            </w:r>
                          </w:p>
                        </w:tc>
                      </w:tr>
                      <w:tr w:rsidR="00D66BF5" w14:paraId="59984927" w14:textId="77777777" w:rsidTr="00152EA0">
                        <w:trPr>
                          <w:trHeight w:val="320"/>
                        </w:trPr>
                        <w:tc>
                          <w:tcPr>
                            <w:tcW w:w="4025"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56655560" w14:textId="21DB7D52" w:rsidR="00097681" w:rsidRDefault="00047BDA" w:rsidP="00694D5A">
                            <w:pPr>
                              <w:ind w:right="-100"/>
                              <w:rPr>
                                <w:rFonts w:ascii="Open Sans Light" w:hAnsi="Open Sans Light" w:cs="Open Sans Light"/>
                                <w:color w:val="000000"/>
                                <w:sz w:val="16"/>
                                <w:szCs w:val="16"/>
                              </w:rPr>
                            </w:pPr>
                            <w:r>
                              <w:rPr>
                                <w:rFonts w:ascii="Open Sans Light" w:hAnsi="Open Sans Light" w:cs="Open Sans Light"/>
                                <w:color w:val="000000"/>
                                <w:sz w:val="16"/>
                                <w:szCs w:val="16"/>
                              </w:rPr>
                              <w:t>Expense effect of state (including Commonwealth Contribution) spending on COVID-19 business support</w:t>
                            </w:r>
                          </w:p>
                        </w:tc>
                        <w:tc>
                          <w:tcPr>
                            <w:tcW w:w="47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08891B05"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956</w:t>
                            </w:r>
                          </w:p>
                        </w:tc>
                        <w:tc>
                          <w:tcPr>
                            <w:tcW w:w="58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0EDE4BD0"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1,156</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010F187F"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-986</w:t>
                            </w:r>
                          </w:p>
                        </w:tc>
                        <w:tc>
                          <w:tcPr>
                            <w:tcW w:w="583"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3B2B80E0"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-652</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0EFBE8D2"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-371</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711F7E41"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-86</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603B65C5"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36</w:t>
                            </w:r>
                          </w:p>
                        </w:tc>
                        <w:tc>
                          <w:tcPr>
                            <w:tcW w:w="531" w:type="dxa"/>
                            <w:tcBorders>
                              <w:top w:val="single" w:sz="4" w:space="0" w:color="ADD6EA"/>
                              <w:left w:val="nil"/>
                              <w:bottom w:val="nil"/>
                              <w:right w:val="nil"/>
                            </w:tcBorders>
                            <w:shd w:val="clear" w:color="000000" w:fill="FFFFFF"/>
                            <w:tcMar>
                              <w:top w:w="15" w:type="dxa"/>
                              <w:left w:w="15" w:type="dxa"/>
                              <w:bottom w:w="0" w:type="dxa"/>
                              <w:right w:w="15" w:type="dxa"/>
                            </w:tcMar>
                            <w:vAlign w:val="center"/>
                            <w:hideMark/>
                          </w:tcPr>
                          <w:p w14:paraId="61BC0E9B"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-54</w:t>
                            </w:r>
                          </w:p>
                        </w:tc>
                        <w:tc>
                          <w:tcPr>
                            <w:tcW w:w="625" w:type="dxa"/>
                            <w:tcBorders>
                              <w:top w:val="single" w:sz="4" w:space="0" w:color="ADD6EA"/>
                              <w:left w:val="nil"/>
                              <w:bottom w:val="nil"/>
                              <w:right w:val="nil"/>
                            </w:tcBorders>
                            <w:shd w:val="clear" w:color="000000" w:fill="FFFFFF"/>
                            <w:tcMar>
                              <w:top w:w="15" w:type="dxa"/>
                              <w:left w:w="108" w:type="dxa"/>
                              <w:bottom w:w="0" w:type="dxa"/>
                              <w:right w:w="108" w:type="dxa"/>
                            </w:tcMar>
                            <w:vAlign w:val="center"/>
                            <w:hideMark/>
                          </w:tcPr>
                          <w:p w14:paraId="06893A90" w14:textId="77777777" w:rsidR="00097681" w:rsidRDefault="00097681">
                            <w:pPr>
                              <w:jc w:val="right"/>
                              <w:rPr>
                                <w:rFonts w:ascii="Open Sans Light" w:hAnsi="Open Sans Light" w:cs="Open Sans Light"/>
                                <w:color w:val="000000"/>
                                <w:sz w:val="16"/>
                                <w:szCs w:val="16"/>
                              </w:rPr>
                            </w:pPr>
                            <w:r>
                              <w:rPr>
                                <w:rFonts w:ascii="Open Sans Light" w:hAnsi="Open Sans Light" w:cs="Open Sans Light"/>
                                <w:color w:val="000000"/>
                                <w:sz w:val="16"/>
                                <w:szCs w:val="16"/>
                              </w:rPr>
                              <w:t>2,149</w:t>
                            </w:r>
                          </w:p>
                        </w:tc>
                      </w:tr>
                      <w:tr w:rsidR="00D66BF5" w14:paraId="340240B3" w14:textId="77777777" w:rsidTr="00152EA0">
                        <w:trPr>
                          <w:trHeight w:val="320"/>
                        </w:trPr>
                        <w:tc>
                          <w:tcPr>
                            <w:tcW w:w="4025"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423B48C4" w14:textId="77777777" w:rsidR="00097681" w:rsidRDefault="00097681">
                            <w:pPr>
                              <w:rPr>
                                <w:rFonts w:ascii="Open Sans Semibold" w:hAnsi="Open Sans Semibold" w:cs="Open Sans Semibold"/>
                                <w:color w:val="000000"/>
                                <w:sz w:val="16"/>
                                <w:szCs w:val="16"/>
                              </w:rPr>
                            </w:pPr>
                            <w:r>
                              <w:rPr>
                                <w:rFonts w:ascii="Open Sans Semibold" w:hAnsi="Open Sans Semibold" w:cs="Open Sans Semibold"/>
                                <w:color w:val="000000"/>
                                <w:sz w:val="16"/>
                                <w:szCs w:val="16"/>
                              </w:rPr>
                              <w:t>Total for business support payments</w:t>
                            </w:r>
                          </w:p>
                        </w:tc>
                        <w:tc>
                          <w:tcPr>
                            <w:tcW w:w="473"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77635ABF"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456</w:t>
                            </w:r>
                          </w:p>
                        </w:tc>
                        <w:tc>
                          <w:tcPr>
                            <w:tcW w:w="583"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399D3F88"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577</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609B1ED8"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-478</w:t>
                            </w:r>
                          </w:p>
                        </w:tc>
                        <w:tc>
                          <w:tcPr>
                            <w:tcW w:w="583"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39FB2786"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-330</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73281E76"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-176</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65258C73"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-38</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6C8A1415"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17</w:t>
                            </w:r>
                          </w:p>
                        </w:tc>
                        <w:tc>
                          <w:tcPr>
                            <w:tcW w:w="531" w:type="dxa"/>
                            <w:tcBorders>
                              <w:top w:val="single" w:sz="4" w:space="0" w:color="ADD6EA"/>
                              <w:left w:val="nil"/>
                              <w:bottom w:val="nil"/>
                              <w:right w:val="nil"/>
                            </w:tcBorders>
                            <w:shd w:val="clear" w:color="000000" w:fill="D6E7F0"/>
                            <w:tcMar>
                              <w:top w:w="15" w:type="dxa"/>
                              <w:left w:w="15" w:type="dxa"/>
                              <w:bottom w:w="0" w:type="dxa"/>
                              <w:right w:w="15" w:type="dxa"/>
                            </w:tcMar>
                            <w:vAlign w:val="center"/>
                            <w:hideMark/>
                          </w:tcPr>
                          <w:p w14:paraId="08315096"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-28</w:t>
                            </w:r>
                          </w:p>
                        </w:tc>
                        <w:tc>
                          <w:tcPr>
                            <w:tcW w:w="625" w:type="dxa"/>
                            <w:tcBorders>
                              <w:top w:val="single" w:sz="4" w:space="0" w:color="ADD6EA"/>
                              <w:left w:val="nil"/>
                              <w:bottom w:val="nil"/>
                              <w:right w:val="nil"/>
                            </w:tcBorders>
                            <w:shd w:val="clear" w:color="000000" w:fill="D6E7F0"/>
                            <w:tcMar>
                              <w:top w:w="15" w:type="dxa"/>
                              <w:left w:w="108" w:type="dxa"/>
                              <w:bottom w:w="0" w:type="dxa"/>
                              <w:right w:w="108" w:type="dxa"/>
                            </w:tcMar>
                            <w:vAlign w:val="center"/>
                            <w:hideMark/>
                          </w:tcPr>
                          <w:p w14:paraId="66ED2DC8"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1,050</w:t>
                            </w:r>
                          </w:p>
                        </w:tc>
                      </w:tr>
                      <w:tr w:rsidR="00D66BF5" w14:paraId="0EF94D6A" w14:textId="77777777" w:rsidTr="00152EA0">
                        <w:trPr>
                          <w:trHeight w:val="284"/>
                        </w:trPr>
                        <w:tc>
                          <w:tcPr>
                            <w:tcW w:w="4025"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5578F435" w14:textId="77777777" w:rsidR="00097681" w:rsidRDefault="00097681">
                            <w:pPr>
                              <w:rPr>
                                <w:rFonts w:ascii="Open Sans Semibold" w:hAnsi="Open Sans Semibold" w:cs="Open Sans Semibold"/>
                                <w:color w:val="000000"/>
                                <w:sz w:val="16"/>
                                <w:szCs w:val="16"/>
                              </w:rPr>
                            </w:pPr>
                            <w:r>
                              <w:rPr>
                                <w:rFonts w:ascii="Open Sans Semibold" w:hAnsi="Open Sans Semibold" w:cs="Open Sans Semibold"/>
                                <w:color w:val="000000"/>
                                <w:sz w:val="16"/>
                                <w:szCs w:val="16"/>
                              </w:rPr>
                              <w:t>Total effect of COVID-19 changes</w:t>
                            </w:r>
                          </w:p>
                        </w:tc>
                        <w:tc>
                          <w:tcPr>
                            <w:tcW w:w="473"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1C3D85A6"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664</w:t>
                            </w:r>
                          </w:p>
                        </w:tc>
                        <w:tc>
                          <w:tcPr>
                            <w:tcW w:w="583"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7F3CF676"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870</w:t>
                            </w:r>
                          </w:p>
                        </w:tc>
                        <w:tc>
                          <w:tcPr>
                            <w:tcW w:w="531"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60C7FFCE"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-802</w:t>
                            </w:r>
                          </w:p>
                        </w:tc>
                        <w:tc>
                          <w:tcPr>
                            <w:tcW w:w="583"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73AD7440"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-375</w:t>
                            </w:r>
                          </w:p>
                        </w:tc>
                        <w:tc>
                          <w:tcPr>
                            <w:tcW w:w="531"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6051A319"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-254</w:t>
                            </w:r>
                          </w:p>
                        </w:tc>
                        <w:tc>
                          <w:tcPr>
                            <w:tcW w:w="531"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36EAECFE"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-61</w:t>
                            </w:r>
                          </w:p>
                        </w:tc>
                        <w:tc>
                          <w:tcPr>
                            <w:tcW w:w="531"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6D92B03A"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14</w:t>
                            </w:r>
                          </w:p>
                        </w:tc>
                        <w:tc>
                          <w:tcPr>
                            <w:tcW w:w="531" w:type="dxa"/>
                            <w:tcBorders>
                              <w:top w:val="single" w:sz="4" w:space="0" w:color="ADD6EA"/>
                              <w:left w:val="nil"/>
                              <w:bottom w:val="single" w:sz="4" w:space="0" w:color="ADD6EA"/>
                              <w:right w:val="nil"/>
                            </w:tcBorders>
                            <w:shd w:val="clear" w:color="000000" w:fill="B6D5E4"/>
                            <w:tcMar>
                              <w:top w:w="15" w:type="dxa"/>
                              <w:left w:w="15" w:type="dxa"/>
                              <w:bottom w:w="0" w:type="dxa"/>
                              <w:right w:w="15" w:type="dxa"/>
                            </w:tcMar>
                            <w:vAlign w:val="center"/>
                            <w:hideMark/>
                          </w:tcPr>
                          <w:p w14:paraId="2F7F86C0"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-56</w:t>
                            </w:r>
                          </w:p>
                        </w:tc>
                        <w:tc>
                          <w:tcPr>
                            <w:tcW w:w="625" w:type="dxa"/>
                            <w:tcBorders>
                              <w:top w:val="single" w:sz="4" w:space="0" w:color="ADD6EA"/>
                              <w:left w:val="nil"/>
                              <w:bottom w:val="single" w:sz="4" w:space="0" w:color="ADD6EA"/>
                              <w:right w:val="nil"/>
                            </w:tcBorders>
                            <w:shd w:val="clear" w:color="000000" w:fill="B6D5E4"/>
                            <w:tcMar>
                              <w:top w:w="15" w:type="dxa"/>
                              <w:left w:w="108" w:type="dxa"/>
                              <w:bottom w:w="0" w:type="dxa"/>
                              <w:right w:w="108" w:type="dxa"/>
                            </w:tcMar>
                            <w:vAlign w:val="center"/>
                            <w:hideMark/>
                          </w:tcPr>
                          <w:p w14:paraId="4A6139F5" w14:textId="77777777" w:rsidR="00097681" w:rsidRDefault="00097681">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1,548</w:t>
                            </w:r>
                          </w:p>
                        </w:tc>
                      </w:tr>
                    </w:tbl>
                    <w:p w14:paraId="760CA26C" w14:textId="77777777" w:rsidR="00097681" w:rsidRPr="004E5FDB" w:rsidRDefault="00097681" w:rsidP="005923CA">
                      <w:pPr>
                        <w:pStyle w:val="Heading4"/>
                        <w:spacing w:before="120"/>
                      </w:pPr>
                      <w:r w:rsidRPr="004E5FDB">
                        <w:t xml:space="preserve">Health </w:t>
                      </w:r>
                    </w:p>
                    <w:p w14:paraId="5DBFFD4C" w14:textId="5F322D79" w:rsidR="00097681" w:rsidRPr="004E5FDB" w:rsidRDefault="00097681" w:rsidP="00097681">
                      <w:bookmarkStart w:id="114" w:name="_Hlk187236363"/>
                      <w:r w:rsidRPr="004E5FDB">
                        <w:t xml:space="preserve">Over the assessment years for the </w:t>
                      </w:r>
                      <w:bookmarkStart w:id="115" w:name="_Hlk187237733"/>
                      <w:r w:rsidRPr="004E5FDB">
                        <w:t>2025</w:t>
                      </w:r>
                      <w:bookmarkEnd w:id="114"/>
                      <w:r w:rsidR="00405800">
                        <w:t>–</w:t>
                      </w:r>
                      <w:r w:rsidRPr="004E5FDB">
                        <w:t>26 GST distribution</w:t>
                      </w:r>
                      <w:bookmarkEnd w:id="115"/>
                      <w:r w:rsidRPr="004E5FDB">
                        <w:t xml:space="preserve">, New South Wales, Victoria, Tasmania and the Northern Territory </w:t>
                      </w:r>
                      <w:bookmarkStart w:id="116" w:name="_Hlk187233013"/>
                      <w:r w:rsidRPr="004E5FDB">
                        <w:t>spent more than their population share on COVID-19 related health services</w:t>
                      </w:r>
                      <w:bookmarkEnd w:id="116"/>
                      <w:r w:rsidRPr="004E5FDB">
                        <w:t xml:space="preserve">. </w:t>
                      </w:r>
                      <w:bookmarkStart w:id="117" w:name="_Hlk187233108"/>
                      <w:r w:rsidRPr="004E5FDB">
                        <w:t xml:space="preserve">Under an actual per capita assessment, these states have </w:t>
                      </w:r>
                      <w:r>
                        <w:t>above</w:t>
                      </w:r>
                      <w:r w:rsidR="00D15432">
                        <w:noBreakHyphen/>
                      </w:r>
                      <w:r w:rsidRPr="004E5FDB">
                        <w:t>average assessed expenses for COVID-19 health services</w:t>
                      </w:r>
                      <w:bookmarkEnd w:id="117"/>
                      <w:r w:rsidRPr="004E5FDB">
                        <w:t>. For New South Wales and Victoria, this results in an increase in assessed GST needs in 2025</w:t>
                      </w:r>
                      <w:r w:rsidR="00405800">
                        <w:t>–</w:t>
                      </w:r>
                      <w:r w:rsidRPr="004E5FDB">
                        <w:t xml:space="preserve">26 compared </w:t>
                      </w:r>
                      <w:r>
                        <w:t>with</w:t>
                      </w:r>
                      <w:r w:rsidRPr="004E5FDB">
                        <w:t xml:space="preserve"> 2024</w:t>
                      </w:r>
                      <w:r w:rsidR="00405800">
                        <w:t>–</w:t>
                      </w:r>
                      <w:r w:rsidRPr="004E5FDB">
                        <w:t>25 because under the 2020 Review method they were assessed to need less than their population share of health expenses. However, for Tasmania and the Northern</w:t>
                      </w:r>
                      <w:r w:rsidR="00D15432">
                        <w:t> </w:t>
                      </w:r>
                      <w:r w:rsidRPr="004E5FDB">
                        <w:t xml:space="preserve">Territory, their assessed needs were larger under the 2020 Review method than an actual per capita assessment </w:t>
                      </w:r>
                      <w:bookmarkStart w:id="118" w:name="_Hlk187238348"/>
                      <w:r w:rsidRPr="004E5FDB">
                        <w:t>and so they receive less GST in 2025</w:t>
                      </w:r>
                      <w:r w:rsidR="00405800">
                        <w:t>–</w:t>
                      </w:r>
                      <w:r w:rsidRPr="004E5FDB">
                        <w:t xml:space="preserve">26 than </w:t>
                      </w:r>
                      <w:r>
                        <w:t>in</w:t>
                      </w:r>
                      <w:r w:rsidRPr="004E5FDB">
                        <w:t xml:space="preserve"> 2024</w:t>
                      </w:r>
                      <w:r w:rsidR="00405800">
                        <w:t>–</w:t>
                      </w:r>
                      <w:r w:rsidR="00405800">
                        <w:rPr>
                          <w:rFonts w:ascii="Times New Roman" w:hAnsi="Times New Roman" w:cs="Times New Roman" w:hint="eastAsia"/>
                          <w:rtl/>
                        </w:rPr>
                        <w:t>‍</w:t>
                      </w:r>
                      <w:r w:rsidRPr="004E5FDB">
                        <w:t>25</w:t>
                      </w:r>
                      <w:bookmarkEnd w:id="118"/>
                      <w:r w:rsidRPr="004E5FDB">
                        <w:t>.</w:t>
                      </w:r>
                    </w:p>
                    <w:p w14:paraId="2A978365" w14:textId="2E52C114" w:rsidR="00097681" w:rsidRPr="004E5FDB" w:rsidRDefault="00097681" w:rsidP="00097681">
                      <w:r w:rsidRPr="004E5FDB">
                        <w:t xml:space="preserve">Queensland, Western Australia, South Australia and the ACT spent less than their population share on COVID-19 related health services. Under an actual per capita assessment, these states have </w:t>
                      </w:r>
                      <w:r>
                        <w:t>below</w:t>
                      </w:r>
                      <w:r w:rsidRPr="004E5FDB">
                        <w:t>-average assessed expenses for COVID-19 health services and receive less GST in 2025</w:t>
                      </w:r>
                      <w:r w:rsidR="00405800">
                        <w:t>–</w:t>
                      </w:r>
                      <w:r w:rsidRPr="004E5FDB">
                        <w:t xml:space="preserve">26 than </w:t>
                      </w:r>
                      <w:r>
                        <w:t xml:space="preserve">in </w:t>
                      </w:r>
                      <w:r w:rsidRPr="004E5FDB">
                        <w:t>2024</w:t>
                      </w:r>
                      <w:r w:rsidR="00405800">
                        <w:t>–</w:t>
                      </w:r>
                      <w:r w:rsidRPr="004E5FDB">
                        <w:t>25.</w:t>
                      </w:r>
                      <w:r w:rsidR="002C0218">
                        <w:t xml:space="preserve"> </w:t>
                      </w:r>
                      <w:r w:rsidRPr="004E5FDB">
                        <w:t xml:space="preserve">For those states </w:t>
                      </w:r>
                      <w:r>
                        <w:t xml:space="preserve">with </w:t>
                      </w:r>
                      <w:r w:rsidRPr="004E5FDB">
                        <w:t>a reduced GST distribution from changes to health assessment methods in the 2025 Review, all are still assessed to need to spend more than their population share on health services in the 2025</w:t>
                      </w:r>
                      <w:r w:rsidR="00405800">
                        <w:t>–</w:t>
                      </w:r>
                      <w:r w:rsidRPr="004E5FDB">
                        <w:t xml:space="preserve">26 application year. </w:t>
                      </w:r>
                    </w:p>
                    <w:p w14:paraId="119893D5" w14:textId="77777777" w:rsidR="00097681" w:rsidRPr="004E5FDB" w:rsidRDefault="00097681" w:rsidP="00CB7FF4">
                      <w:pPr>
                        <w:pStyle w:val="Heading4"/>
                        <w:spacing w:before="120"/>
                      </w:pPr>
                      <w:r w:rsidRPr="004E5FDB">
                        <w:t>Services to industry</w:t>
                      </w:r>
                    </w:p>
                    <w:p w14:paraId="3F1D7238" w14:textId="1F03C080" w:rsidR="00097681" w:rsidRPr="004E5FDB" w:rsidRDefault="00097681" w:rsidP="00097681">
                      <w:r w:rsidRPr="004E5FDB">
                        <w:t>Over the assessment years for the 2025</w:t>
                      </w:r>
                      <w:r w:rsidR="00405800">
                        <w:t>–</w:t>
                      </w:r>
                      <w:r w:rsidRPr="004E5FDB">
                        <w:t>26 GST distribution, New South Wales, Victoria and the ACT spent more than their population share on COVID</w:t>
                      </w:r>
                      <w:r w:rsidRPr="004E5FDB">
                        <w:noBreakHyphen/>
                        <w:t xml:space="preserve">19 business support. Under an actual per capita assessment, these states have </w:t>
                      </w:r>
                      <w:r>
                        <w:t>above</w:t>
                      </w:r>
                      <w:r w:rsidRPr="004E5FDB">
                        <w:t xml:space="preserve">-average assessed expenses for COVID-19 business support. This has increased their assessed GST needs compared </w:t>
                      </w:r>
                      <w:r>
                        <w:t>with</w:t>
                      </w:r>
                      <w:r w:rsidRPr="004E5FDB">
                        <w:t xml:space="preserve"> the 2020 Review method and so they receive more GST in 2025</w:t>
                      </w:r>
                      <w:r w:rsidR="00405800">
                        <w:t>–</w:t>
                      </w:r>
                      <w:r w:rsidRPr="004E5FDB">
                        <w:t>26 than 2024</w:t>
                      </w:r>
                      <w:r w:rsidR="00405800">
                        <w:t>–</w:t>
                      </w:r>
                      <w:r w:rsidRPr="004E5FDB">
                        <w:t>25.</w:t>
                      </w:r>
                      <w:r w:rsidR="00F8460D">
                        <w:t xml:space="preserve"> </w:t>
                      </w:r>
                      <w:r w:rsidRPr="004E5FDB">
                        <w:t xml:space="preserve">The reverse is the case for Queensland, Western Australia, South Australia, Tasmania and the Northern Territory. </w:t>
                      </w:r>
                    </w:p>
                  </w:txbxContent>
                </v:textbox>
                <w10:wrap type="square" anchorx="margin"/>
              </v:shape>
            </w:pict>
          </mc:Fallback>
        </mc:AlternateContent>
      </w:r>
      <w:r w:rsidR="003E46D8">
        <w:br w:type="page"/>
      </w:r>
    </w:p>
    <w:p w14:paraId="3C3D9897" w14:textId="77777777" w:rsidR="00277B36" w:rsidRPr="00CB4080" w:rsidRDefault="00277B36" w:rsidP="00825CD6">
      <w:pPr>
        <w:pStyle w:val="Heading4"/>
      </w:pPr>
      <w:r w:rsidRPr="00CB4080">
        <w:lastRenderedPageBreak/>
        <w:t>Wage costs</w:t>
      </w:r>
    </w:p>
    <w:p w14:paraId="2213B04D" w14:textId="77777777" w:rsidR="00277B36" w:rsidRPr="00CB4080" w:rsidRDefault="00277B36" w:rsidP="00277B36">
      <w:r w:rsidRPr="00CB4080">
        <w:t xml:space="preserve">The wage costs </w:t>
      </w:r>
      <w:r w:rsidRPr="00CB4080" w:rsidDel="00E11205">
        <w:t xml:space="preserve">assessment </w:t>
      </w:r>
      <w:r w:rsidRPr="00CB4080">
        <w:t xml:space="preserve">recognises that public sector wages are different across states, partly due to differences in labour markets beyond the control of state governments. The Commission made several changes to the regression model used to estimate these different wage pressures. Because wage costs are assessed in all expense categories and represent a large proportion of total state expenses, changes to the wage costs assessment method can have large effects on GST distribution. </w:t>
      </w:r>
    </w:p>
    <w:p w14:paraId="685F2C79" w14:textId="77777777" w:rsidR="00277B36" w:rsidRPr="00D209CC" w:rsidRDefault="00277B36" w:rsidP="00277B36">
      <w:r w:rsidRPr="00CB4080">
        <w:t xml:space="preserve">The largest effects of changing the model were from the shift from usual hours to paid hours worked. The changes to the model more appropriately capture the effects of hours worked on wages, preventing the higher wages of individuals working longer hours being inappropriately attributed to other factors, such as their state of residence. Changes to the wage costs model increased the assessed GST needs of Victoria, South Australia, Tasmania and the ACT, in part because more workers in these states work part time </w:t>
      </w:r>
      <w:r w:rsidRPr="00D209CC">
        <w:t>compared with the national average, and this difference was not fully accounted for in the previous model.</w:t>
      </w:r>
    </w:p>
    <w:p w14:paraId="263A0822" w14:textId="77777777" w:rsidR="00277B36" w:rsidRPr="00D209CC" w:rsidRDefault="00277B36" w:rsidP="00277B36">
      <w:r w:rsidRPr="00D209CC">
        <w:t>A weighted average of several years of data was introduced to increase the effective sample size and reduce volatility in the wage cost estimates. This smoothing reduced the assessed GST needs of New South Wales and Western Australia, which had average estimated relative wages in 2020–21, 2021–22 and 2022–23 above their trend levels. This impact is temporary and reflects the specific circumstances of states in the assessment years. As the model has moved to a longer-term trend by using the weighted average of several years of data, the annual volatility in the assessment will be reduced, while the net impact of the change on states’ assessed GST needs will be negligible in the long-term.</w:t>
      </w:r>
    </w:p>
    <w:p w14:paraId="1B56C297" w14:textId="77777777" w:rsidR="00277B36" w:rsidRPr="00D209CC" w:rsidRDefault="00277B36" w:rsidP="00277B36">
      <w:r w:rsidRPr="00D209CC">
        <w:t xml:space="preserve">In combination, changes to the wage costs assessment method increased the assessed GST needs of Victoria, South Australia, Tasmania and the ACT. </w:t>
      </w:r>
    </w:p>
    <w:p w14:paraId="6A73E435" w14:textId="77777777" w:rsidR="00277B36" w:rsidRPr="00D209CC" w:rsidRDefault="00277B36" w:rsidP="00825CD6">
      <w:pPr>
        <w:pStyle w:val="Heading4"/>
      </w:pPr>
      <w:r w:rsidRPr="00D209CC">
        <w:t>Transport</w:t>
      </w:r>
    </w:p>
    <w:p w14:paraId="7B06BEC9" w14:textId="77777777" w:rsidR="00277B36" w:rsidRPr="00D209CC" w:rsidRDefault="00277B36" w:rsidP="00277B36">
      <w:r w:rsidRPr="00D209CC">
        <w:t xml:space="preserve">The Commission made several changes to the method for assessing state expense needs for urban transport, which reduced the assessed GST needs of New South Wales and Victoria and increased those of the other states. </w:t>
      </w:r>
    </w:p>
    <w:p w14:paraId="4CD216AF" w14:textId="77777777" w:rsidR="00277B36" w:rsidRPr="00D209CC" w:rsidRDefault="00277B36" w:rsidP="00277B36">
      <w:r w:rsidRPr="00D209CC">
        <w:t>A large driver of these needs is urban population-weighted density. The measure of population</w:t>
      </w:r>
      <w:r w:rsidRPr="00D209CC">
        <w:noBreakHyphen/>
        <w:t xml:space="preserve">weighted density was changed to a square kilometre grid, rather than Statistical Areas Level 1 (SA1s), so as to provide a more consistent and less volatile measure of density. This change reduced the assessed GST needs of New South Wales and Victoria, which both had more dense urban areas under the previous method. </w:t>
      </w:r>
    </w:p>
    <w:p w14:paraId="32BD268B" w14:textId="77777777" w:rsidR="00277B36" w:rsidRPr="00D209CC" w:rsidRDefault="00277B36" w:rsidP="00277B36">
      <w:r w:rsidRPr="00D209CC">
        <w:t>The urban centre characteristics regression was rerun with new data to maintain contemporaneity. This produced new cost weights for the urban centre characteristics variables (population-weighted density, bus and light rail passengers, heavy rail passengers, presence of a ferry service, distance to work and slope). This increased the assessed GST needs of New South Wales, Tasmania and the ACT.</w:t>
      </w:r>
    </w:p>
    <w:p w14:paraId="1D7C7CB6" w14:textId="49301A92" w:rsidR="00277B36" w:rsidRPr="00D209CC" w:rsidRDefault="00277B36" w:rsidP="00277B36">
      <w:r w:rsidRPr="00D209CC">
        <w:t>The blending level between the regression model (75%) and urban populations (25%) was temporarily changed to 65% and 35% respectively, to recognise greater uncertainty in the 2021 Census data, which were impacted by the COVID-19 pandemic. This reduced the assessed GST needs of New South Wales and Victoria. Once fit</w:t>
      </w:r>
      <w:r w:rsidR="005E7EE4" w:rsidRPr="00D209CC">
        <w:t>-</w:t>
      </w:r>
      <w:r w:rsidRPr="00D209CC">
        <w:t>for</w:t>
      </w:r>
      <w:r w:rsidR="005E7EE4" w:rsidRPr="00D209CC">
        <w:t>-</w:t>
      </w:r>
      <w:r w:rsidRPr="00D209CC">
        <w:t>purpose 2026 Census data become available in 2028, the blending ratio will return to the 75:25 split.</w:t>
      </w:r>
    </w:p>
    <w:p w14:paraId="4BC92044" w14:textId="77777777" w:rsidR="00277B36" w:rsidRPr="00D209CC" w:rsidRDefault="00277B36" w:rsidP="00825CD6">
      <w:pPr>
        <w:pStyle w:val="Heading4"/>
      </w:pPr>
      <w:r w:rsidRPr="00D209CC">
        <w:t>Investment</w:t>
      </w:r>
    </w:p>
    <w:p w14:paraId="7DE7BBD9" w14:textId="79F3C104" w:rsidR="00277B36" w:rsidRPr="00CB4080" w:rsidRDefault="00277B36" w:rsidP="00277B36">
      <w:r w:rsidRPr="00D209CC">
        <w:t>The Commission’s investment assessment estimates the capital investment required for each state if it were to provide services at the average level. No changes were made to the general investment assessment method, but changes to recurrent expense assessment methods affected the investment assessment. These changes increased the assessed GST</w:t>
      </w:r>
      <w:r w:rsidR="004D5D24">
        <w:t> </w:t>
      </w:r>
      <w:r w:rsidRPr="00D209CC">
        <w:t xml:space="preserve">needs of New South Wales, Western Australia, South Australia and Tasmania and </w:t>
      </w:r>
      <w:r w:rsidRPr="00D209CC">
        <w:lastRenderedPageBreak/>
        <w:t>reduced those of the other states. The most</w:t>
      </w:r>
      <w:r w:rsidRPr="00CB4080">
        <w:t xml:space="preserve"> significant changes were from the transport assessment.</w:t>
      </w:r>
    </w:p>
    <w:p w14:paraId="3E1E6A4B" w14:textId="129952F6" w:rsidR="00277B36" w:rsidRPr="00CB4080" w:rsidRDefault="00277B36" w:rsidP="00277B36">
      <w:r w:rsidRPr="00CB4080">
        <w:t xml:space="preserve">The changes in the transport assessment increased the assessed GST needs of New South Wales, Western Australia, South Australia and Tasmania in the investment assessment, and reduced those of the other states. For some states, the direction of the impact of method changes in the investment assessment does not match the direction in the assessment of recurrent transport needs. For Queensland, this mostly reflects the change in method of modelling passenger numbers. Under the previous method, Brisbane’s assessed passenger numbers increased when it changed from being a city of 1-2.5 million people, like Adelaide and Perth, to a city of over 2.5 million, like Sydney and Melbourne. In the 2024 Update, Queensland was assessed as needing the infrastructure spending for this growth in assessed passengers. The new method better accounts for continuous growth rather than relying on step changes. </w:t>
      </w:r>
    </w:p>
    <w:p w14:paraId="2FE09FD4" w14:textId="77777777" w:rsidR="00277B36" w:rsidRPr="00CB4080" w:rsidRDefault="00277B36" w:rsidP="00277B36">
      <w:r w:rsidRPr="00CB4080">
        <w:t xml:space="preserve">Differences between the pattern for recurrent transport needs and investment needs were also driven by changes to the measure of population-weighted density. For example, the ACT’s high growth in density for SA1s was replaced by a slower growth in density for the square kilometre grid. </w:t>
      </w:r>
    </w:p>
    <w:p w14:paraId="57606706" w14:textId="77777777" w:rsidR="00277B36" w:rsidRPr="00CB4080" w:rsidRDefault="00277B36" w:rsidP="00277B36">
      <w:r w:rsidRPr="00CB4080">
        <w:t xml:space="preserve">The investment and transport chapters of </w:t>
      </w:r>
      <w:r w:rsidRPr="00EE452E">
        <w:rPr>
          <w:i/>
        </w:rPr>
        <w:t xml:space="preserve">Review Outcomes </w:t>
      </w:r>
      <w:r w:rsidRPr="00CB4080">
        <w:t xml:space="preserve">describe the various changes made to the transport assessment and their impact on GST distribution. </w:t>
      </w:r>
    </w:p>
    <w:p w14:paraId="285D374F" w14:textId="77777777" w:rsidR="00277B36" w:rsidRPr="00CB4080" w:rsidRDefault="00277B36" w:rsidP="00825CD6">
      <w:pPr>
        <w:pStyle w:val="Heading4"/>
      </w:pPr>
      <w:r w:rsidRPr="00CB4080">
        <w:t>Motor taxes</w:t>
      </w:r>
    </w:p>
    <w:p w14:paraId="1B1F9B48" w14:textId="77777777" w:rsidR="00277B36" w:rsidRPr="00CB4080" w:rsidRDefault="00277B36" w:rsidP="00277B36">
      <w:r w:rsidRPr="00CB4080">
        <w:t>The 2020 Review method did not include a separate assessment of state revenues from motor vehicle transfers as it would not have materially changed the GST distribution. In the 2025 Review, a differential assessment of stamp duty on motor vehicle transfers became material and was reintroduced as a separate component within the motor taxes category.</w:t>
      </w:r>
    </w:p>
    <w:p w14:paraId="2694DADF" w14:textId="77777777" w:rsidR="00277B36" w:rsidRPr="00CB4080" w:rsidRDefault="00277B36" w:rsidP="00277B36">
      <w:r w:rsidRPr="00CB4080">
        <w:t>New South Wales, Victoria, and the ACT had below</w:t>
      </w:r>
      <w:r w:rsidRPr="00CB4080">
        <w:noBreakHyphen/>
        <w:t>average per capita values of vehicle transfers, which increased their assessed GST needs. Queensland and Western Australia had above</w:t>
      </w:r>
      <w:r w:rsidRPr="00CB4080">
        <w:noBreakHyphen/>
        <w:t xml:space="preserve">average per capita values of vehicle transfers, which reduced their assessed GST needs. The value of vehicle transfers was close to average in the other states. </w:t>
      </w:r>
    </w:p>
    <w:p w14:paraId="379D5BF4" w14:textId="77777777" w:rsidR="00277B36" w:rsidRPr="00CB4080" w:rsidRDefault="00277B36" w:rsidP="00825CD6">
      <w:pPr>
        <w:pStyle w:val="Heading4"/>
      </w:pPr>
      <w:r w:rsidRPr="00CB4080">
        <w:t>Mining revenue</w:t>
      </w:r>
    </w:p>
    <w:p w14:paraId="2ADD694C" w14:textId="3481A6EE" w:rsidR="00277B36" w:rsidRPr="00A32992" w:rsidRDefault="00277B36" w:rsidP="00277B36">
      <w:r w:rsidRPr="00CB4080">
        <w:t xml:space="preserve">The Commission made several changes to the assessment method. It set Victoria’s coal capacity equal to the revenue it raised. Victoria is the only state to produce brown coal and cannot </w:t>
      </w:r>
      <w:r w:rsidRPr="00A32992">
        <w:t xml:space="preserve">provide a value of production because it is largely an internal transfer within mining/generation entities. This </w:t>
      </w:r>
      <w:r w:rsidR="002455D8" w:rsidRPr="00A32992">
        <w:t xml:space="preserve">method change </w:t>
      </w:r>
      <w:r w:rsidRPr="00A32992">
        <w:t xml:space="preserve">reduced the revenue raising capacity of Victoria. </w:t>
      </w:r>
    </w:p>
    <w:p w14:paraId="0B1D514B" w14:textId="13054AE7" w:rsidR="00277B36" w:rsidRPr="00CB4080" w:rsidRDefault="00277B36" w:rsidP="00277B36">
      <w:r w:rsidRPr="00A32992">
        <w:t>For the remaining states, the change involved assessed coal royalties being based on their value of production in 2 price bands (above and below $A200</w:t>
      </w:r>
      <w:r w:rsidR="00A743F1">
        <w:t xml:space="preserve"> per tonne</w:t>
      </w:r>
      <w:r w:rsidRPr="00A32992">
        <w:t>). This split recognises that states with high-value coal have greater revenue raising capacity than states with low</w:t>
      </w:r>
      <w:r w:rsidR="0093121B" w:rsidRPr="00A32992">
        <w:noBreakHyphen/>
      </w:r>
      <w:r w:rsidRPr="00A32992">
        <w:t xml:space="preserve">value coal. This </w:t>
      </w:r>
      <w:r w:rsidR="00693E01" w:rsidRPr="00A32992">
        <w:t>method change</w:t>
      </w:r>
      <w:r w:rsidRPr="00A32992">
        <w:t xml:space="preserve"> reduced the revenue raising capacity of New South Wales</w:t>
      </w:r>
      <w:r w:rsidRPr="00A32992" w:rsidDel="00E36FE1">
        <w:t xml:space="preserve"> and </w:t>
      </w:r>
      <w:r w:rsidRPr="00A32992">
        <w:t>increased the revenue raising capacity of Queensland. This</w:t>
      </w:r>
      <w:r w:rsidRPr="00CB4080">
        <w:t xml:space="preserve"> had a relatively small effect on GST distribution in 2025</w:t>
      </w:r>
      <w:r w:rsidR="005E4A92">
        <w:t>–</w:t>
      </w:r>
      <w:r w:rsidRPr="00CB4080">
        <w:t>26 because the divergence of coal prices in 2022</w:t>
      </w:r>
      <w:r w:rsidR="005E4A92">
        <w:t>–</w:t>
      </w:r>
      <w:r w:rsidRPr="00CB4080">
        <w:t xml:space="preserve">23 was small (see Box 2-2). </w:t>
      </w:r>
    </w:p>
    <w:p w14:paraId="7EC46510" w14:textId="77777777" w:rsidR="00277B36" w:rsidRPr="00CB4080" w:rsidRDefault="00277B36" w:rsidP="00A45D9D">
      <w:pPr>
        <w:pStyle w:val="Heading3"/>
      </w:pPr>
      <w:r w:rsidRPr="00CB4080">
        <w:t>Data revisions</w:t>
      </w:r>
    </w:p>
    <w:p w14:paraId="4F660734" w14:textId="2E0A6A3C" w:rsidR="00277B36" w:rsidRPr="00CB4080" w:rsidRDefault="00277B36" w:rsidP="00277B36">
      <w:r w:rsidRPr="00CB4080">
        <w:t>Since the 2024 Update, data providers have released updated data for 2020–21 to 2022</w:t>
      </w:r>
      <w:r w:rsidR="005E4A92">
        <w:t>–</w:t>
      </w:r>
      <w:r w:rsidR="005E4A92">
        <w:rPr>
          <w:rFonts w:ascii="Times New Roman" w:hAnsi="Times New Roman" w:cs="Times New Roman" w:hint="eastAsia"/>
          <w:rtl/>
        </w:rPr>
        <w:t>‍</w:t>
      </w:r>
      <w:r w:rsidRPr="00CB4080">
        <w:t xml:space="preserve">23. The Commission has revised its assessments using the latest available data. The impact on GST distribution from most data revisions was small </w:t>
      </w:r>
      <w:r w:rsidRPr="00A32992">
        <w:t>compared with method changes</w:t>
      </w:r>
      <w:r w:rsidRPr="00CB4080">
        <w:t xml:space="preserve"> and changes in circumstances. The </w:t>
      </w:r>
      <w:r w:rsidR="00B85F04">
        <w:t>largest</w:t>
      </w:r>
      <w:r w:rsidRPr="00CB4080">
        <w:t xml:space="preserve"> impact was from revising expenses on natural</w:t>
      </w:r>
      <w:r w:rsidR="004A7C14">
        <w:t> </w:t>
      </w:r>
      <w:r w:rsidRPr="00CB4080">
        <w:t>disaster relief (see Table 2-5).</w:t>
      </w:r>
    </w:p>
    <w:p w14:paraId="578B23E1" w14:textId="77777777" w:rsidR="00593267" w:rsidRPr="00CB4080" w:rsidRDefault="00593267" w:rsidP="00F04C12">
      <w:pPr>
        <w:pStyle w:val="CGC2025Caption"/>
        <w:keepNext/>
      </w:pPr>
      <w:bookmarkStart w:id="119" w:name="Table_2_4"/>
      <w:r w:rsidRPr="00CB4080">
        <w:lastRenderedPageBreak/>
        <w:t>Table 2-</w:t>
      </w:r>
      <w:bookmarkEnd w:id="119"/>
      <w:r w:rsidRPr="00CB4080">
        <w:t>5</w:t>
      </w:r>
      <w:r w:rsidRPr="00CB4080">
        <w:tab/>
        <w:t>Changes to assessed GST needs due to data revisions, 2024–25 to 2025–26</w:t>
      </w:r>
    </w:p>
    <w:tbl>
      <w:tblPr>
        <w:tblW w:w="8940" w:type="dxa"/>
        <w:tblCellMar>
          <w:left w:w="0" w:type="dxa"/>
          <w:right w:w="0" w:type="dxa"/>
        </w:tblCellMar>
        <w:tblLook w:val="04A0" w:firstRow="1" w:lastRow="0" w:firstColumn="1" w:lastColumn="0" w:noHBand="0" w:noVBand="1"/>
      </w:tblPr>
      <w:tblGrid>
        <w:gridCol w:w="2820"/>
        <w:gridCol w:w="680"/>
        <w:gridCol w:w="680"/>
        <w:gridCol w:w="680"/>
        <w:gridCol w:w="680"/>
        <w:gridCol w:w="680"/>
        <w:gridCol w:w="680"/>
        <w:gridCol w:w="680"/>
        <w:gridCol w:w="680"/>
        <w:gridCol w:w="680"/>
      </w:tblGrid>
      <w:tr w:rsidR="00426D3A" w14:paraId="2CDEC5A6" w14:textId="77777777" w:rsidTr="00757085">
        <w:trPr>
          <w:trHeight w:val="555"/>
        </w:trPr>
        <w:tc>
          <w:tcPr>
            <w:tcW w:w="2820" w:type="dxa"/>
            <w:tcBorders>
              <w:top w:val="nil"/>
              <w:left w:val="nil"/>
              <w:bottom w:val="nil"/>
              <w:right w:val="nil"/>
            </w:tcBorders>
            <w:shd w:val="clear" w:color="000000" w:fill="006991"/>
            <w:tcMar>
              <w:top w:w="15" w:type="dxa"/>
              <w:left w:w="108" w:type="dxa"/>
              <w:bottom w:w="0" w:type="dxa"/>
              <w:right w:w="108" w:type="dxa"/>
            </w:tcMar>
            <w:vAlign w:val="center"/>
            <w:hideMark/>
          </w:tcPr>
          <w:p w14:paraId="37189839" w14:textId="77777777" w:rsidR="00426D3A" w:rsidRDefault="00426D3A">
            <w:pPr>
              <w:tabs>
                <w:tab w:val="clear" w:pos="567"/>
              </w:tabs>
              <w:spacing w:before="0" w:line="240" w:lineRule="auto"/>
              <w:rPr>
                <w:rFonts w:ascii="Open Sans Semibold" w:hAnsi="Open Sans Semibold" w:cs="Open Sans Semibold"/>
                <w:color w:val="FFFFFF"/>
                <w:sz w:val="16"/>
                <w:szCs w:val="16"/>
              </w:rPr>
            </w:pPr>
            <w:r>
              <w:rPr>
                <w:rFonts w:ascii="Open Sans Semibold" w:hAnsi="Open Sans Semibold" w:cs="Open Sans Semibold"/>
                <w:color w:val="FFFFFF"/>
                <w:sz w:val="16"/>
                <w:szCs w:val="16"/>
              </w:rPr>
              <w:t> </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4594950E" w14:textId="77777777" w:rsidR="00426D3A" w:rsidRDefault="00426D3A">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NSW</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70270576" w14:textId="77777777" w:rsidR="00426D3A" w:rsidRDefault="00426D3A">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Vic</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240975BB" w14:textId="77777777" w:rsidR="00426D3A" w:rsidRDefault="00426D3A">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Qld</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19F65623" w14:textId="77777777" w:rsidR="00426D3A" w:rsidRDefault="00426D3A">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WA</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1A532FF8" w14:textId="77777777" w:rsidR="00426D3A" w:rsidRDefault="00426D3A">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SA</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0463F9DD" w14:textId="77777777" w:rsidR="00426D3A" w:rsidRDefault="00426D3A">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Tas</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0A7552AE" w14:textId="77777777" w:rsidR="00426D3A" w:rsidRDefault="00426D3A">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ACT</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51F183F3" w14:textId="77777777" w:rsidR="00426D3A" w:rsidRDefault="00426D3A">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NT</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395FD798" w14:textId="77777777" w:rsidR="00426D3A" w:rsidRDefault="00426D3A">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Total effect</w:t>
            </w:r>
          </w:p>
        </w:tc>
      </w:tr>
      <w:tr w:rsidR="00426D3A" w14:paraId="5B73BCED" w14:textId="77777777" w:rsidTr="00757085">
        <w:trPr>
          <w:trHeight w:val="259"/>
        </w:trPr>
        <w:tc>
          <w:tcPr>
            <w:tcW w:w="2820" w:type="dxa"/>
            <w:tcBorders>
              <w:top w:val="single" w:sz="4" w:space="0" w:color="ADD6EA"/>
              <w:left w:val="nil"/>
              <w:bottom w:val="nil"/>
              <w:right w:val="nil"/>
            </w:tcBorders>
            <w:shd w:val="clear" w:color="000000" w:fill="B6D5E4"/>
            <w:tcMar>
              <w:top w:w="15" w:type="dxa"/>
              <w:left w:w="108" w:type="dxa"/>
              <w:bottom w:w="0" w:type="dxa"/>
              <w:right w:w="108" w:type="dxa"/>
            </w:tcMar>
            <w:vAlign w:val="center"/>
            <w:hideMark/>
          </w:tcPr>
          <w:p w14:paraId="79514C90" w14:textId="77777777" w:rsidR="00426D3A" w:rsidRDefault="00426D3A">
            <w:pPr>
              <w:rPr>
                <w:rFonts w:ascii="Open Sans Semibold" w:hAnsi="Open Sans Semibold" w:cs="Open Sans Semibold"/>
                <w:color w:val="000000"/>
                <w:sz w:val="16"/>
                <w:szCs w:val="16"/>
              </w:rPr>
            </w:pPr>
            <w:r>
              <w:rPr>
                <w:rFonts w:ascii="Open Sans Semibold" w:hAnsi="Open Sans Semibold" w:cs="Open Sans Semibold"/>
                <w:color w:val="000000"/>
                <w:sz w:val="16"/>
                <w:szCs w:val="16"/>
              </w:rPr>
              <w:t> </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3EF339A8"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13F7B9ED"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21A46F0C"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3C44F0CF"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3BD6F9AF"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4135892A"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3DDBDAE3"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36690D02"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7724D7B2"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r>
      <w:tr w:rsidR="00426D3A" w14:paraId="338D2897" w14:textId="77777777" w:rsidTr="00757085">
        <w:trPr>
          <w:trHeight w:val="315"/>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0223B448" w14:textId="77777777" w:rsidR="00426D3A" w:rsidRDefault="00426D3A">
            <w:pPr>
              <w:rPr>
                <w:rFonts w:ascii="Open Sans Light" w:hAnsi="Open Sans Light" w:cs="Open Sans Light"/>
                <w:color w:val="000000"/>
                <w:sz w:val="16"/>
                <w:szCs w:val="16"/>
              </w:rPr>
            </w:pPr>
            <w:r>
              <w:rPr>
                <w:rFonts w:ascii="Open Sans Light" w:hAnsi="Open Sans Light" w:cs="Open Sans Light"/>
                <w:color w:val="000000"/>
                <w:sz w:val="16"/>
                <w:szCs w:val="16"/>
              </w:rPr>
              <w:t>Natural disaster relief</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EC7DC04"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611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4503F3A"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-292</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5966045"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-175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4F82CDC"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24</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FDD95B7"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-114</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2C56440"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-26</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9A3ABC3"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-21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70140BD"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61D77E4"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636</w:t>
            </w:r>
          </w:p>
        </w:tc>
      </w:tr>
      <w:tr w:rsidR="00426D3A" w14:paraId="46F73259" w14:textId="77777777" w:rsidTr="00757085">
        <w:trPr>
          <w:trHeight w:val="315"/>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495AFCA0" w14:textId="77777777" w:rsidR="00426D3A" w:rsidRDefault="00426D3A">
            <w:pPr>
              <w:rPr>
                <w:rFonts w:ascii="Open Sans Light" w:hAnsi="Open Sans Light" w:cs="Open Sans Light"/>
                <w:color w:val="000000"/>
                <w:sz w:val="16"/>
                <w:szCs w:val="16"/>
              </w:rPr>
            </w:pPr>
            <w:r>
              <w:rPr>
                <w:rFonts w:ascii="Open Sans Light" w:hAnsi="Open Sans Light" w:cs="Open Sans Light"/>
                <w:color w:val="000000"/>
                <w:sz w:val="16"/>
                <w:szCs w:val="16"/>
              </w:rPr>
              <w:t>Other revisions</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29A62D0"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118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7CD937D"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-50</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49FF8A7"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78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812FB21"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-106</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B39005F"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-2</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4D01F1F"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F469D3D"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-21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30AF0BF"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-7</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5C2A314" w14:textId="77777777" w:rsidR="00426D3A" w:rsidRDefault="00426D3A">
            <w:pPr>
              <w:jc w:val="right"/>
              <w:rPr>
                <w:rFonts w:ascii="Open Sans Light" w:hAnsi="Open Sans Light" w:cs="Open Sans Light"/>
                <w:color w:val="000000"/>
                <w:sz w:val="16"/>
                <w:szCs w:val="16"/>
              </w:rPr>
            </w:pPr>
            <w:r>
              <w:rPr>
                <w:rFonts w:ascii="Open Sans Light" w:hAnsi="Open Sans Light" w:cs="Open Sans Light"/>
                <w:color w:val="000000"/>
                <w:sz w:val="16"/>
                <w:szCs w:val="16"/>
              </w:rPr>
              <w:t>196</w:t>
            </w:r>
          </w:p>
        </w:tc>
      </w:tr>
      <w:tr w:rsidR="00426D3A" w14:paraId="65FB3272" w14:textId="77777777" w:rsidTr="00757085">
        <w:trPr>
          <w:trHeight w:val="315"/>
        </w:trPr>
        <w:tc>
          <w:tcPr>
            <w:tcW w:w="2820" w:type="dxa"/>
            <w:tcBorders>
              <w:top w:val="single" w:sz="4" w:space="0" w:color="ADD6EA"/>
              <w:left w:val="nil"/>
              <w:bottom w:val="single" w:sz="4" w:space="0" w:color="ADD6EA"/>
              <w:right w:val="nil"/>
            </w:tcBorders>
            <w:shd w:val="clear" w:color="000000" w:fill="D6E7F0"/>
            <w:tcMar>
              <w:top w:w="15" w:type="dxa"/>
              <w:left w:w="108" w:type="dxa"/>
              <w:bottom w:w="0" w:type="dxa"/>
              <w:right w:w="108" w:type="dxa"/>
            </w:tcMar>
            <w:vAlign w:val="center"/>
            <w:hideMark/>
          </w:tcPr>
          <w:p w14:paraId="14535262" w14:textId="77777777" w:rsidR="00426D3A" w:rsidRDefault="00426D3A">
            <w:pPr>
              <w:rPr>
                <w:rFonts w:ascii="Open Sans Semibold" w:hAnsi="Open Sans Semibold" w:cs="Open Sans Semibold"/>
                <w:color w:val="000000"/>
                <w:sz w:val="16"/>
                <w:szCs w:val="16"/>
              </w:rPr>
            </w:pPr>
            <w:r>
              <w:rPr>
                <w:rFonts w:ascii="Open Sans Semibold" w:hAnsi="Open Sans Semibold" w:cs="Open Sans Semibold"/>
                <w:color w:val="000000"/>
                <w:sz w:val="16"/>
                <w:szCs w:val="16"/>
              </w:rPr>
              <w:t>Total</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5B8C291B"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729</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2B11D0CB"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-342</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6583C95F"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-98</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0BD1223F"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-81</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711B9177"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-116</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49A8867B"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-35</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613BE716"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-42</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521D1EFE"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-15</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423AD49C" w14:textId="77777777" w:rsidR="00426D3A" w:rsidRDefault="00426D3A">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729</w:t>
            </w:r>
          </w:p>
        </w:tc>
      </w:tr>
    </w:tbl>
    <w:p w14:paraId="6F26FFEE" w14:textId="7D539F51" w:rsidR="00B351EC" w:rsidRPr="00DD14CC" w:rsidRDefault="00B351EC" w:rsidP="005C2A30">
      <w:pPr>
        <w:pStyle w:val="Heading4"/>
      </w:pPr>
      <w:r w:rsidRPr="00DD14CC">
        <w:t>Revisions to natural disaster relief data</w:t>
      </w:r>
    </w:p>
    <w:p w14:paraId="4635445F" w14:textId="1B458136" w:rsidR="00B351EC" w:rsidRPr="007315C0" w:rsidRDefault="00B351EC" w:rsidP="00B351EC">
      <w:r w:rsidRPr="00DD14CC">
        <w:t xml:space="preserve">Revisions by states to their natural disaster relief </w:t>
      </w:r>
      <w:r w:rsidRPr="007315C0">
        <w:t xml:space="preserve">data resulted in large changes to assessed GST needs. A significant upward revision was made </w:t>
      </w:r>
      <w:r w:rsidR="00693E01" w:rsidRPr="007315C0">
        <w:t>by</w:t>
      </w:r>
      <w:r w:rsidRPr="007315C0">
        <w:t xml:space="preserve"> New South Wales’ </w:t>
      </w:r>
      <w:r w:rsidR="00693E01" w:rsidRPr="007315C0">
        <w:t xml:space="preserve">to </w:t>
      </w:r>
      <w:r w:rsidR="00370735" w:rsidRPr="007315C0">
        <w:t xml:space="preserve">its </w:t>
      </w:r>
      <w:r w:rsidRPr="007315C0">
        <w:t>expenses in 2022</w:t>
      </w:r>
      <w:r w:rsidR="005E4A92">
        <w:t>–</w:t>
      </w:r>
      <w:r w:rsidRPr="007315C0">
        <w:t xml:space="preserve">23, which was due in part to delays in finalising costs for multiple floods in the Northern Rivers region. Smaller upward revisions were made by Victoria, Queensland, Western Australia and the Northern Territory. </w:t>
      </w:r>
    </w:p>
    <w:p w14:paraId="048CD48C" w14:textId="1DA006F8" w:rsidR="00B351EC" w:rsidRPr="00DD14CC" w:rsidRDefault="00B351EC" w:rsidP="00B351EC">
      <w:r w:rsidRPr="007315C0">
        <w:t>Data on natural disaster expenses are subject to revision, partly because the Disaster</w:t>
      </w:r>
      <w:r w:rsidR="002C1B14">
        <w:t xml:space="preserve"> </w:t>
      </w:r>
      <w:r w:rsidRPr="007315C0">
        <w:t xml:space="preserve">Recovery Funding Arrangements require multiple levels of auditing, often resulting in the data for the assessment years being incomplete at the time of reporting. As per usual practice, the Commission incorporates the revised data into its calculations when available. For this particular assessment, the Commission also makes an adjustment (where material) to correct for having used the unrevised data in previous updates. The upward revisions by New South Wales, Victoria, Queensland, Western Australia, and the Northern Territory, as well as a downward revision </w:t>
      </w:r>
      <w:r w:rsidR="002B2C6E" w:rsidRPr="007315C0">
        <w:t>by</w:t>
      </w:r>
      <w:r w:rsidRPr="007315C0">
        <w:t xml:space="preserve"> South</w:t>
      </w:r>
      <w:r w:rsidRPr="00DD14CC">
        <w:t xml:space="preserve"> Australia, were </w:t>
      </w:r>
      <w:r w:rsidR="007E6401">
        <w:t xml:space="preserve">material and therefore </w:t>
      </w:r>
      <w:r w:rsidRPr="00DD14CC">
        <w:t>large enough</w:t>
      </w:r>
      <w:r w:rsidR="00125FAA">
        <w:t xml:space="preserve"> </w:t>
      </w:r>
      <w:r w:rsidRPr="00DD14CC">
        <w:t>to trigger adjustments for the incorrect data being used in the 2023</w:t>
      </w:r>
      <w:r w:rsidR="00AC3380">
        <w:t> </w:t>
      </w:r>
      <w:r w:rsidRPr="00DD14CC">
        <w:t>and 2024 updates.</w:t>
      </w:r>
      <w:r w:rsidRPr="004305F3">
        <w:rPr>
          <w:vertAlign w:val="superscript"/>
        </w:rPr>
        <w:footnoteReference w:id="7"/>
      </w:r>
      <w:r w:rsidRPr="00DD14CC">
        <w:t xml:space="preserve"> </w:t>
      </w:r>
    </w:p>
    <w:p w14:paraId="29C29EC8" w14:textId="77777777" w:rsidR="00B351EC" w:rsidRPr="00DD14CC" w:rsidRDefault="00B351EC" w:rsidP="005C2A30">
      <w:pPr>
        <w:pStyle w:val="Heading3"/>
      </w:pPr>
      <w:r w:rsidRPr="00DD14CC">
        <w:t>Changes in state circumstances</w:t>
      </w:r>
    </w:p>
    <w:p w14:paraId="2A5220AB" w14:textId="11B8774A" w:rsidR="00B351EC" w:rsidRPr="00DD14CC" w:rsidRDefault="00B351EC" w:rsidP="00B351EC">
      <w:r w:rsidRPr="00DD14CC">
        <w:t>This section describes the main changes in state circumstances since the 2024 Update. These are the changes that occurred when revised 2020–21 data were replaced with 2023</w:t>
      </w:r>
      <w:r w:rsidR="00405800">
        <w:t>–</w:t>
      </w:r>
      <w:r w:rsidR="00405800">
        <w:rPr>
          <w:rFonts w:ascii="Times New Roman" w:hAnsi="Times New Roman" w:cs="Times New Roman" w:hint="eastAsia"/>
          <w:rtl/>
        </w:rPr>
        <w:t>‍</w:t>
      </w:r>
      <w:r w:rsidRPr="00DD14CC">
        <w:t>24 data (see Table 2-6 and Table 2-7).</w:t>
      </w:r>
    </w:p>
    <w:p w14:paraId="2BBC1AF0" w14:textId="77777777" w:rsidR="00B351EC" w:rsidRPr="00DD14CC" w:rsidRDefault="00B351EC" w:rsidP="005C2A30">
      <w:pPr>
        <w:pStyle w:val="CGC2025Caption"/>
      </w:pPr>
      <w:bookmarkStart w:id="120" w:name="Table_2_6"/>
      <w:r w:rsidRPr="00DD14CC">
        <w:t>Table 2-</w:t>
      </w:r>
      <w:bookmarkEnd w:id="120"/>
      <w:r w:rsidRPr="00DD14CC">
        <w:t>6</w:t>
      </w:r>
      <w:r w:rsidRPr="00DD14CC">
        <w:tab/>
        <w:t>Composition of changes in state circumstances, 2024–25 to 2025–26</w:t>
      </w:r>
    </w:p>
    <w:tbl>
      <w:tblPr>
        <w:tblW w:w="8940" w:type="dxa"/>
        <w:tblLook w:val="04A0" w:firstRow="1" w:lastRow="0" w:firstColumn="1" w:lastColumn="0" w:noHBand="0" w:noVBand="1"/>
      </w:tblPr>
      <w:tblGrid>
        <w:gridCol w:w="2820"/>
        <w:gridCol w:w="680"/>
        <w:gridCol w:w="680"/>
        <w:gridCol w:w="680"/>
        <w:gridCol w:w="680"/>
        <w:gridCol w:w="680"/>
        <w:gridCol w:w="680"/>
        <w:gridCol w:w="680"/>
        <w:gridCol w:w="680"/>
        <w:gridCol w:w="680"/>
      </w:tblGrid>
      <w:tr w:rsidR="00763605" w:rsidRPr="00763605" w14:paraId="763D8DD5" w14:textId="77777777" w:rsidTr="00763605">
        <w:trPr>
          <w:trHeight w:val="552"/>
        </w:trPr>
        <w:tc>
          <w:tcPr>
            <w:tcW w:w="2820" w:type="dxa"/>
            <w:tcBorders>
              <w:top w:val="nil"/>
              <w:left w:val="nil"/>
              <w:bottom w:val="nil"/>
              <w:right w:val="nil"/>
            </w:tcBorders>
            <w:shd w:val="clear" w:color="000000" w:fill="006991"/>
            <w:vAlign w:val="center"/>
            <w:hideMark/>
          </w:tcPr>
          <w:p w14:paraId="48308D8C" w14:textId="77777777" w:rsidR="00763605" w:rsidRPr="00763605" w:rsidRDefault="00763605" w:rsidP="00763605">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121" w:name="RANGE!A4:J11"/>
            <w:r w:rsidRPr="00763605">
              <w:rPr>
                <w:rFonts w:ascii="Open Sans Semibold" w:eastAsia="Times New Roman" w:hAnsi="Open Sans Semibold" w:cs="Open Sans Semibold"/>
                <w:color w:val="FFFFFF"/>
                <w:sz w:val="16"/>
                <w:szCs w:val="16"/>
                <w:lang w:eastAsia="en-AU"/>
              </w:rPr>
              <w:t> </w:t>
            </w:r>
            <w:bookmarkEnd w:id="121"/>
          </w:p>
        </w:tc>
        <w:tc>
          <w:tcPr>
            <w:tcW w:w="680" w:type="dxa"/>
            <w:tcBorders>
              <w:top w:val="nil"/>
              <w:left w:val="nil"/>
              <w:bottom w:val="nil"/>
              <w:right w:val="nil"/>
            </w:tcBorders>
            <w:shd w:val="clear" w:color="000000" w:fill="006991"/>
            <w:vAlign w:val="center"/>
            <w:hideMark/>
          </w:tcPr>
          <w:p w14:paraId="09B3078F"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763605">
              <w:rPr>
                <w:rFonts w:ascii="Open Sans Semibold" w:eastAsia="Times New Roman" w:hAnsi="Open Sans Semibold" w:cs="Open Sans Semibold"/>
                <w:color w:val="FFFFFF"/>
                <w:sz w:val="16"/>
                <w:szCs w:val="16"/>
                <w:lang w:eastAsia="en-AU"/>
              </w:rPr>
              <w:t>NSW</w:t>
            </w:r>
          </w:p>
        </w:tc>
        <w:tc>
          <w:tcPr>
            <w:tcW w:w="680" w:type="dxa"/>
            <w:tcBorders>
              <w:top w:val="nil"/>
              <w:left w:val="nil"/>
              <w:bottom w:val="nil"/>
              <w:right w:val="nil"/>
            </w:tcBorders>
            <w:shd w:val="clear" w:color="000000" w:fill="006991"/>
            <w:vAlign w:val="center"/>
            <w:hideMark/>
          </w:tcPr>
          <w:p w14:paraId="3435A84E"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763605">
              <w:rPr>
                <w:rFonts w:ascii="Open Sans Semibold" w:eastAsia="Times New Roman" w:hAnsi="Open Sans Semibold" w:cs="Open Sans Semibold"/>
                <w:color w:val="FFFFFF"/>
                <w:sz w:val="16"/>
                <w:szCs w:val="16"/>
                <w:lang w:eastAsia="en-AU"/>
              </w:rPr>
              <w:t>Vic</w:t>
            </w:r>
          </w:p>
        </w:tc>
        <w:tc>
          <w:tcPr>
            <w:tcW w:w="680" w:type="dxa"/>
            <w:tcBorders>
              <w:top w:val="nil"/>
              <w:left w:val="nil"/>
              <w:bottom w:val="nil"/>
              <w:right w:val="nil"/>
            </w:tcBorders>
            <w:shd w:val="clear" w:color="000000" w:fill="006991"/>
            <w:vAlign w:val="center"/>
            <w:hideMark/>
          </w:tcPr>
          <w:p w14:paraId="09868A63"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763605">
              <w:rPr>
                <w:rFonts w:ascii="Open Sans Semibold" w:eastAsia="Times New Roman" w:hAnsi="Open Sans Semibold" w:cs="Open Sans Semibold"/>
                <w:color w:val="FFFFFF"/>
                <w:sz w:val="16"/>
                <w:szCs w:val="16"/>
                <w:lang w:eastAsia="en-AU"/>
              </w:rPr>
              <w:t>Qld</w:t>
            </w:r>
          </w:p>
        </w:tc>
        <w:tc>
          <w:tcPr>
            <w:tcW w:w="680" w:type="dxa"/>
            <w:tcBorders>
              <w:top w:val="nil"/>
              <w:left w:val="nil"/>
              <w:bottom w:val="nil"/>
              <w:right w:val="nil"/>
            </w:tcBorders>
            <w:shd w:val="clear" w:color="000000" w:fill="006991"/>
            <w:vAlign w:val="center"/>
            <w:hideMark/>
          </w:tcPr>
          <w:p w14:paraId="0977A779"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763605">
              <w:rPr>
                <w:rFonts w:ascii="Open Sans Semibold" w:eastAsia="Times New Roman" w:hAnsi="Open Sans Semibold" w:cs="Open Sans Semibold"/>
                <w:color w:val="FFFFFF"/>
                <w:sz w:val="16"/>
                <w:szCs w:val="16"/>
                <w:lang w:eastAsia="en-AU"/>
              </w:rPr>
              <w:t>WA</w:t>
            </w:r>
          </w:p>
        </w:tc>
        <w:tc>
          <w:tcPr>
            <w:tcW w:w="680" w:type="dxa"/>
            <w:tcBorders>
              <w:top w:val="nil"/>
              <w:left w:val="nil"/>
              <w:bottom w:val="nil"/>
              <w:right w:val="nil"/>
            </w:tcBorders>
            <w:shd w:val="clear" w:color="000000" w:fill="006991"/>
            <w:vAlign w:val="center"/>
            <w:hideMark/>
          </w:tcPr>
          <w:p w14:paraId="4E608694"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763605">
              <w:rPr>
                <w:rFonts w:ascii="Open Sans Semibold" w:eastAsia="Times New Roman" w:hAnsi="Open Sans Semibold" w:cs="Open Sans Semibold"/>
                <w:color w:val="FFFFFF"/>
                <w:sz w:val="16"/>
                <w:szCs w:val="16"/>
                <w:lang w:eastAsia="en-AU"/>
              </w:rPr>
              <w:t>SA</w:t>
            </w:r>
          </w:p>
        </w:tc>
        <w:tc>
          <w:tcPr>
            <w:tcW w:w="680" w:type="dxa"/>
            <w:tcBorders>
              <w:top w:val="nil"/>
              <w:left w:val="nil"/>
              <w:bottom w:val="nil"/>
              <w:right w:val="nil"/>
            </w:tcBorders>
            <w:shd w:val="clear" w:color="000000" w:fill="006991"/>
            <w:vAlign w:val="center"/>
            <w:hideMark/>
          </w:tcPr>
          <w:p w14:paraId="6817A964"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763605">
              <w:rPr>
                <w:rFonts w:ascii="Open Sans Semibold" w:eastAsia="Times New Roman" w:hAnsi="Open Sans Semibold" w:cs="Open Sans Semibold"/>
                <w:color w:val="FFFFFF"/>
                <w:sz w:val="16"/>
                <w:szCs w:val="16"/>
                <w:lang w:eastAsia="en-AU"/>
              </w:rPr>
              <w:t>Tas</w:t>
            </w:r>
          </w:p>
        </w:tc>
        <w:tc>
          <w:tcPr>
            <w:tcW w:w="680" w:type="dxa"/>
            <w:tcBorders>
              <w:top w:val="nil"/>
              <w:left w:val="nil"/>
              <w:bottom w:val="nil"/>
              <w:right w:val="nil"/>
            </w:tcBorders>
            <w:shd w:val="clear" w:color="000000" w:fill="006991"/>
            <w:vAlign w:val="center"/>
            <w:hideMark/>
          </w:tcPr>
          <w:p w14:paraId="6ECA420F"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763605">
              <w:rPr>
                <w:rFonts w:ascii="Open Sans Semibold" w:eastAsia="Times New Roman" w:hAnsi="Open Sans Semibold" w:cs="Open Sans Semibold"/>
                <w:color w:val="FFFFFF"/>
                <w:sz w:val="16"/>
                <w:szCs w:val="16"/>
                <w:lang w:eastAsia="en-AU"/>
              </w:rPr>
              <w:t>ACT</w:t>
            </w:r>
          </w:p>
        </w:tc>
        <w:tc>
          <w:tcPr>
            <w:tcW w:w="680" w:type="dxa"/>
            <w:tcBorders>
              <w:top w:val="nil"/>
              <w:left w:val="nil"/>
              <w:bottom w:val="nil"/>
              <w:right w:val="nil"/>
            </w:tcBorders>
            <w:shd w:val="clear" w:color="000000" w:fill="006991"/>
            <w:vAlign w:val="center"/>
            <w:hideMark/>
          </w:tcPr>
          <w:p w14:paraId="60552665"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763605">
              <w:rPr>
                <w:rFonts w:ascii="Open Sans Semibold" w:eastAsia="Times New Roman" w:hAnsi="Open Sans Semibold" w:cs="Open Sans Semibold"/>
                <w:color w:val="FFFFFF"/>
                <w:sz w:val="16"/>
                <w:szCs w:val="16"/>
                <w:lang w:eastAsia="en-AU"/>
              </w:rPr>
              <w:t>NT</w:t>
            </w:r>
          </w:p>
        </w:tc>
        <w:tc>
          <w:tcPr>
            <w:tcW w:w="680" w:type="dxa"/>
            <w:tcBorders>
              <w:top w:val="nil"/>
              <w:left w:val="nil"/>
              <w:bottom w:val="nil"/>
              <w:right w:val="nil"/>
            </w:tcBorders>
            <w:shd w:val="clear" w:color="000000" w:fill="006991"/>
            <w:vAlign w:val="center"/>
            <w:hideMark/>
          </w:tcPr>
          <w:p w14:paraId="3DAECEBA"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763605">
              <w:rPr>
                <w:rFonts w:ascii="Open Sans Semibold" w:eastAsia="Times New Roman" w:hAnsi="Open Sans Semibold" w:cs="Open Sans Semibold"/>
                <w:color w:val="FFFFFF"/>
                <w:sz w:val="16"/>
                <w:szCs w:val="16"/>
                <w:lang w:eastAsia="en-AU"/>
              </w:rPr>
              <w:t>Total effect</w:t>
            </w:r>
          </w:p>
        </w:tc>
      </w:tr>
      <w:tr w:rsidR="00763605" w:rsidRPr="00763605" w14:paraId="61BFA956" w14:textId="77777777" w:rsidTr="00763605">
        <w:trPr>
          <w:trHeight w:val="259"/>
        </w:trPr>
        <w:tc>
          <w:tcPr>
            <w:tcW w:w="2820" w:type="dxa"/>
            <w:tcBorders>
              <w:top w:val="single" w:sz="4" w:space="0" w:color="ADD6EA"/>
              <w:left w:val="nil"/>
              <w:bottom w:val="nil"/>
              <w:right w:val="nil"/>
            </w:tcBorders>
            <w:shd w:val="clear" w:color="000000" w:fill="B6D5E4"/>
            <w:vAlign w:val="center"/>
            <w:hideMark/>
          </w:tcPr>
          <w:p w14:paraId="32772389" w14:textId="77777777" w:rsidR="00763605" w:rsidRPr="00763605" w:rsidRDefault="00763605" w:rsidP="00763605">
            <w:pPr>
              <w:tabs>
                <w:tab w:val="clear" w:pos="567"/>
              </w:tabs>
              <w:spacing w:before="0" w:line="240" w:lineRule="auto"/>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 </w:t>
            </w:r>
          </w:p>
        </w:tc>
        <w:tc>
          <w:tcPr>
            <w:tcW w:w="680" w:type="dxa"/>
            <w:tcBorders>
              <w:top w:val="single" w:sz="4" w:space="0" w:color="ADD6EA"/>
              <w:left w:val="nil"/>
              <w:bottom w:val="nil"/>
              <w:right w:val="nil"/>
            </w:tcBorders>
            <w:shd w:val="clear" w:color="000000" w:fill="B6D5E4"/>
            <w:noWrap/>
            <w:vAlign w:val="center"/>
            <w:hideMark/>
          </w:tcPr>
          <w:p w14:paraId="1F9AFBB0"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17B65C44"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49FE6190"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3EF1A861"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57D56DA0"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31DB6B8B"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49B973DC"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6A9E99E2"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61826092"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$m</w:t>
            </w:r>
          </w:p>
        </w:tc>
      </w:tr>
      <w:tr w:rsidR="00763605" w:rsidRPr="00763605" w14:paraId="3BC5B74E" w14:textId="77777777" w:rsidTr="00763605">
        <w:trPr>
          <w:trHeight w:val="315"/>
        </w:trPr>
        <w:tc>
          <w:tcPr>
            <w:tcW w:w="2820" w:type="dxa"/>
            <w:tcBorders>
              <w:top w:val="single" w:sz="4" w:space="0" w:color="ADD6EA"/>
              <w:left w:val="nil"/>
              <w:bottom w:val="nil"/>
              <w:right w:val="nil"/>
            </w:tcBorders>
            <w:shd w:val="clear" w:color="auto" w:fill="auto"/>
            <w:vAlign w:val="center"/>
            <w:hideMark/>
          </w:tcPr>
          <w:p w14:paraId="10D04274" w14:textId="77777777" w:rsidR="00763605" w:rsidRPr="00763605" w:rsidRDefault="00763605" w:rsidP="00763605">
            <w:pPr>
              <w:tabs>
                <w:tab w:val="clear" w:pos="567"/>
              </w:tabs>
              <w:spacing w:before="0" w:line="240" w:lineRule="auto"/>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Expense needs</w:t>
            </w:r>
          </w:p>
        </w:tc>
        <w:tc>
          <w:tcPr>
            <w:tcW w:w="680" w:type="dxa"/>
            <w:tcBorders>
              <w:top w:val="single" w:sz="4" w:space="0" w:color="ADD6EA"/>
              <w:left w:val="nil"/>
              <w:bottom w:val="nil"/>
              <w:right w:val="nil"/>
            </w:tcBorders>
            <w:shd w:val="clear" w:color="auto" w:fill="auto"/>
            <w:noWrap/>
            <w:vAlign w:val="center"/>
            <w:hideMark/>
          </w:tcPr>
          <w:p w14:paraId="2092196F"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-177</w:t>
            </w:r>
          </w:p>
        </w:tc>
        <w:tc>
          <w:tcPr>
            <w:tcW w:w="680" w:type="dxa"/>
            <w:tcBorders>
              <w:top w:val="single" w:sz="4" w:space="0" w:color="ADD6EA"/>
              <w:left w:val="nil"/>
              <w:bottom w:val="nil"/>
              <w:right w:val="nil"/>
            </w:tcBorders>
            <w:shd w:val="clear" w:color="auto" w:fill="auto"/>
            <w:noWrap/>
            <w:vAlign w:val="center"/>
            <w:hideMark/>
          </w:tcPr>
          <w:p w14:paraId="1FE68122"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-349</w:t>
            </w:r>
          </w:p>
        </w:tc>
        <w:tc>
          <w:tcPr>
            <w:tcW w:w="680" w:type="dxa"/>
            <w:tcBorders>
              <w:top w:val="single" w:sz="4" w:space="0" w:color="ADD6EA"/>
              <w:left w:val="nil"/>
              <w:bottom w:val="nil"/>
              <w:right w:val="nil"/>
            </w:tcBorders>
            <w:shd w:val="clear" w:color="auto" w:fill="auto"/>
            <w:noWrap/>
            <w:vAlign w:val="center"/>
            <w:hideMark/>
          </w:tcPr>
          <w:p w14:paraId="68F4A59A"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296</w:t>
            </w:r>
          </w:p>
        </w:tc>
        <w:tc>
          <w:tcPr>
            <w:tcW w:w="680" w:type="dxa"/>
            <w:tcBorders>
              <w:top w:val="single" w:sz="4" w:space="0" w:color="ADD6EA"/>
              <w:left w:val="nil"/>
              <w:bottom w:val="nil"/>
              <w:right w:val="nil"/>
            </w:tcBorders>
            <w:shd w:val="clear" w:color="auto" w:fill="auto"/>
            <w:noWrap/>
            <w:vAlign w:val="center"/>
            <w:hideMark/>
          </w:tcPr>
          <w:p w14:paraId="0C820440"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114</w:t>
            </w:r>
          </w:p>
        </w:tc>
        <w:tc>
          <w:tcPr>
            <w:tcW w:w="680" w:type="dxa"/>
            <w:tcBorders>
              <w:top w:val="single" w:sz="4" w:space="0" w:color="ADD6EA"/>
              <w:left w:val="nil"/>
              <w:bottom w:val="nil"/>
              <w:right w:val="nil"/>
            </w:tcBorders>
            <w:shd w:val="clear" w:color="auto" w:fill="auto"/>
            <w:noWrap/>
            <w:vAlign w:val="center"/>
            <w:hideMark/>
          </w:tcPr>
          <w:p w14:paraId="72E9D607"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18</w:t>
            </w:r>
          </w:p>
        </w:tc>
        <w:tc>
          <w:tcPr>
            <w:tcW w:w="680" w:type="dxa"/>
            <w:tcBorders>
              <w:top w:val="single" w:sz="4" w:space="0" w:color="ADD6EA"/>
              <w:left w:val="nil"/>
              <w:bottom w:val="nil"/>
              <w:right w:val="nil"/>
            </w:tcBorders>
            <w:shd w:val="clear" w:color="auto" w:fill="auto"/>
            <w:noWrap/>
            <w:vAlign w:val="center"/>
            <w:hideMark/>
          </w:tcPr>
          <w:p w14:paraId="0FC4AF06"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41</w:t>
            </w:r>
          </w:p>
        </w:tc>
        <w:tc>
          <w:tcPr>
            <w:tcW w:w="680" w:type="dxa"/>
            <w:tcBorders>
              <w:top w:val="single" w:sz="4" w:space="0" w:color="ADD6EA"/>
              <w:left w:val="nil"/>
              <w:bottom w:val="nil"/>
              <w:right w:val="nil"/>
            </w:tcBorders>
            <w:shd w:val="clear" w:color="auto" w:fill="auto"/>
            <w:noWrap/>
            <w:vAlign w:val="center"/>
            <w:hideMark/>
          </w:tcPr>
          <w:p w14:paraId="077B42FD"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-67</w:t>
            </w:r>
          </w:p>
        </w:tc>
        <w:tc>
          <w:tcPr>
            <w:tcW w:w="680" w:type="dxa"/>
            <w:tcBorders>
              <w:top w:val="single" w:sz="4" w:space="0" w:color="ADD6EA"/>
              <w:left w:val="nil"/>
              <w:bottom w:val="nil"/>
              <w:right w:val="nil"/>
            </w:tcBorders>
            <w:shd w:val="clear" w:color="auto" w:fill="auto"/>
            <w:noWrap/>
            <w:vAlign w:val="center"/>
            <w:hideMark/>
          </w:tcPr>
          <w:p w14:paraId="1EC5942B"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123</w:t>
            </w:r>
          </w:p>
        </w:tc>
        <w:tc>
          <w:tcPr>
            <w:tcW w:w="680" w:type="dxa"/>
            <w:tcBorders>
              <w:top w:val="single" w:sz="4" w:space="0" w:color="ADD6EA"/>
              <w:left w:val="nil"/>
              <w:bottom w:val="nil"/>
              <w:right w:val="nil"/>
            </w:tcBorders>
            <w:shd w:val="clear" w:color="auto" w:fill="auto"/>
            <w:noWrap/>
            <w:vAlign w:val="center"/>
            <w:hideMark/>
          </w:tcPr>
          <w:p w14:paraId="1CD1E833"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593</w:t>
            </w:r>
          </w:p>
        </w:tc>
      </w:tr>
      <w:tr w:rsidR="00763605" w:rsidRPr="00763605" w14:paraId="6BC8802A" w14:textId="77777777" w:rsidTr="00763605">
        <w:trPr>
          <w:trHeight w:val="315"/>
        </w:trPr>
        <w:tc>
          <w:tcPr>
            <w:tcW w:w="2820" w:type="dxa"/>
            <w:tcBorders>
              <w:top w:val="single" w:sz="4" w:space="0" w:color="ADD6EA"/>
              <w:left w:val="nil"/>
              <w:bottom w:val="nil"/>
              <w:right w:val="nil"/>
            </w:tcBorders>
            <w:shd w:val="clear" w:color="auto" w:fill="auto"/>
            <w:vAlign w:val="center"/>
            <w:hideMark/>
          </w:tcPr>
          <w:p w14:paraId="2B160FD1" w14:textId="77777777" w:rsidR="00763605" w:rsidRPr="00763605" w:rsidRDefault="00763605" w:rsidP="00763605">
            <w:pPr>
              <w:tabs>
                <w:tab w:val="clear" w:pos="567"/>
              </w:tabs>
              <w:spacing w:before="0" w:line="240" w:lineRule="auto"/>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Investment needs</w:t>
            </w:r>
          </w:p>
        </w:tc>
        <w:tc>
          <w:tcPr>
            <w:tcW w:w="680" w:type="dxa"/>
            <w:tcBorders>
              <w:top w:val="single" w:sz="4" w:space="0" w:color="ADD6EA"/>
              <w:left w:val="nil"/>
              <w:bottom w:val="nil"/>
              <w:right w:val="nil"/>
            </w:tcBorders>
            <w:shd w:val="clear" w:color="auto" w:fill="auto"/>
            <w:noWrap/>
            <w:vAlign w:val="center"/>
            <w:hideMark/>
          </w:tcPr>
          <w:p w14:paraId="08698EA9"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-195</w:t>
            </w:r>
          </w:p>
        </w:tc>
        <w:tc>
          <w:tcPr>
            <w:tcW w:w="680" w:type="dxa"/>
            <w:tcBorders>
              <w:top w:val="single" w:sz="4" w:space="0" w:color="ADD6EA"/>
              <w:left w:val="nil"/>
              <w:bottom w:val="nil"/>
              <w:right w:val="nil"/>
            </w:tcBorders>
            <w:shd w:val="clear" w:color="auto" w:fill="auto"/>
            <w:noWrap/>
            <w:vAlign w:val="center"/>
            <w:hideMark/>
          </w:tcPr>
          <w:p w14:paraId="549292AE"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1,058</w:t>
            </w:r>
          </w:p>
        </w:tc>
        <w:tc>
          <w:tcPr>
            <w:tcW w:w="680" w:type="dxa"/>
            <w:tcBorders>
              <w:top w:val="single" w:sz="4" w:space="0" w:color="ADD6EA"/>
              <w:left w:val="nil"/>
              <w:bottom w:val="nil"/>
              <w:right w:val="nil"/>
            </w:tcBorders>
            <w:shd w:val="clear" w:color="auto" w:fill="auto"/>
            <w:noWrap/>
            <w:vAlign w:val="center"/>
            <w:hideMark/>
          </w:tcPr>
          <w:p w14:paraId="1611FA46"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-322</w:t>
            </w:r>
          </w:p>
        </w:tc>
        <w:tc>
          <w:tcPr>
            <w:tcW w:w="680" w:type="dxa"/>
            <w:tcBorders>
              <w:top w:val="single" w:sz="4" w:space="0" w:color="ADD6EA"/>
              <w:left w:val="nil"/>
              <w:bottom w:val="nil"/>
              <w:right w:val="nil"/>
            </w:tcBorders>
            <w:shd w:val="clear" w:color="auto" w:fill="auto"/>
            <w:noWrap/>
            <w:vAlign w:val="center"/>
            <w:hideMark/>
          </w:tcPr>
          <w:p w14:paraId="4ABB19D5"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17</w:t>
            </w:r>
          </w:p>
        </w:tc>
        <w:tc>
          <w:tcPr>
            <w:tcW w:w="680" w:type="dxa"/>
            <w:tcBorders>
              <w:top w:val="single" w:sz="4" w:space="0" w:color="ADD6EA"/>
              <w:left w:val="nil"/>
              <w:bottom w:val="nil"/>
              <w:right w:val="nil"/>
            </w:tcBorders>
            <w:shd w:val="clear" w:color="auto" w:fill="auto"/>
            <w:noWrap/>
            <w:vAlign w:val="center"/>
            <w:hideMark/>
          </w:tcPr>
          <w:p w14:paraId="06DAE862"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-301</w:t>
            </w:r>
          </w:p>
        </w:tc>
        <w:tc>
          <w:tcPr>
            <w:tcW w:w="680" w:type="dxa"/>
            <w:tcBorders>
              <w:top w:val="single" w:sz="4" w:space="0" w:color="ADD6EA"/>
              <w:left w:val="nil"/>
              <w:bottom w:val="nil"/>
              <w:right w:val="nil"/>
            </w:tcBorders>
            <w:shd w:val="clear" w:color="auto" w:fill="auto"/>
            <w:noWrap/>
            <w:vAlign w:val="center"/>
            <w:hideMark/>
          </w:tcPr>
          <w:p w14:paraId="1711AF93"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-142</w:t>
            </w:r>
          </w:p>
        </w:tc>
        <w:tc>
          <w:tcPr>
            <w:tcW w:w="680" w:type="dxa"/>
            <w:tcBorders>
              <w:top w:val="single" w:sz="4" w:space="0" w:color="ADD6EA"/>
              <w:left w:val="nil"/>
              <w:bottom w:val="nil"/>
              <w:right w:val="nil"/>
            </w:tcBorders>
            <w:shd w:val="clear" w:color="auto" w:fill="auto"/>
            <w:noWrap/>
            <w:vAlign w:val="center"/>
            <w:hideMark/>
          </w:tcPr>
          <w:p w14:paraId="1C89682E"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-102</w:t>
            </w:r>
          </w:p>
        </w:tc>
        <w:tc>
          <w:tcPr>
            <w:tcW w:w="680" w:type="dxa"/>
            <w:tcBorders>
              <w:top w:val="single" w:sz="4" w:space="0" w:color="ADD6EA"/>
              <w:left w:val="nil"/>
              <w:bottom w:val="nil"/>
              <w:right w:val="nil"/>
            </w:tcBorders>
            <w:shd w:val="clear" w:color="auto" w:fill="auto"/>
            <w:noWrap/>
            <w:vAlign w:val="center"/>
            <w:hideMark/>
          </w:tcPr>
          <w:p w14:paraId="5E6E7504"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-14</w:t>
            </w:r>
          </w:p>
        </w:tc>
        <w:tc>
          <w:tcPr>
            <w:tcW w:w="680" w:type="dxa"/>
            <w:tcBorders>
              <w:top w:val="single" w:sz="4" w:space="0" w:color="ADD6EA"/>
              <w:left w:val="nil"/>
              <w:bottom w:val="nil"/>
              <w:right w:val="nil"/>
            </w:tcBorders>
            <w:shd w:val="clear" w:color="auto" w:fill="auto"/>
            <w:noWrap/>
            <w:vAlign w:val="center"/>
            <w:hideMark/>
          </w:tcPr>
          <w:p w14:paraId="4E8BFF28"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1,075</w:t>
            </w:r>
          </w:p>
        </w:tc>
      </w:tr>
      <w:tr w:rsidR="00763605" w:rsidRPr="00763605" w14:paraId="2AD0E38E" w14:textId="77777777" w:rsidTr="00763605">
        <w:trPr>
          <w:trHeight w:val="315"/>
        </w:trPr>
        <w:tc>
          <w:tcPr>
            <w:tcW w:w="2820" w:type="dxa"/>
            <w:tcBorders>
              <w:top w:val="single" w:sz="4" w:space="0" w:color="ADD6EA"/>
              <w:left w:val="nil"/>
              <w:bottom w:val="nil"/>
              <w:right w:val="nil"/>
            </w:tcBorders>
            <w:shd w:val="clear" w:color="auto" w:fill="auto"/>
            <w:vAlign w:val="center"/>
            <w:hideMark/>
          </w:tcPr>
          <w:p w14:paraId="05E9B4E9" w14:textId="77777777" w:rsidR="00763605" w:rsidRPr="00763605" w:rsidRDefault="00763605" w:rsidP="00763605">
            <w:pPr>
              <w:tabs>
                <w:tab w:val="clear" w:pos="567"/>
              </w:tabs>
              <w:spacing w:before="0" w:line="240" w:lineRule="auto"/>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Net borrowing</w:t>
            </w:r>
          </w:p>
        </w:tc>
        <w:tc>
          <w:tcPr>
            <w:tcW w:w="680" w:type="dxa"/>
            <w:tcBorders>
              <w:top w:val="single" w:sz="4" w:space="0" w:color="ADD6EA"/>
              <w:left w:val="nil"/>
              <w:bottom w:val="nil"/>
              <w:right w:val="nil"/>
            </w:tcBorders>
            <w:shd w:val="clear" w:color="auto" w:fill="auto"/>
            <w:noWrap/>
            <w:vAlign w:val="center"/>
            <w:hideMark/>
          </w:tcPr>
          <w:p w14:paraId="71CE069D"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33</w:t>
            </w:r>
          </w:p>
        </w:tc>
        <w:tc>
          <w:tcPr>
            <w:tcW w:w="680" w:type="dxa"/>
            <w:tcBorders>
              <w:top w:val="single" w:sz="4" w:space="0" w:color="ADD6EA"/>
              <w:left w:val="nil"/>
              <w:bottom w:val="nil"/>
              <w:right w:val="nil"/>
            </w:tcBorders>
            <w:shd w:val="clear" w:color="auto" w:fill="auto"/>
            <w:noWrap/>
            <w:vAlign w:val="center"/>
            <w:hideMark/>
          </w:tcPr>
          <w:p w14:paraId="07E0A92E"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-244</w:t>
            </w:r>
          </w:p>
        </w:tc>
        <w:tc>
          <w:tcPr>
            <w:tcW w:w="680" w:type="dxa"/>
            <w:tcBorders>
              <w:top w:val="single" w:sz="4" w:space="0" w:color="ADD6EA"/>
              <w:left w:val="nil"/>
              <w:bottom w:val="nil"/>
              <w:right w:val="nil"/>
            </w:tcBorders>
            <w:shd w:val="clear" w:color="auto" w:fill="auto"/>
            <w:noWrap/>
            <w:vAlign w:val="center"/>
            <w:hideMark/>
          </w:tcPr>
          <w:p w14:paraId="50C6EBCD"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47</w:t>
            </w:r>
          </w:p>
        </w:tc>
        <w:tc>
          <w:tcPr>
            <w:tcW w:w="680" w:type="dxa"/>
            <w:tcBorders>
              <w:top w:val="single" w:sz="4" w:space="0" w:color="ADD6EA"/>
              <w:left w:val="nil"/>
              <w:bottom w:val="nil"/>
              <w:right w:val="nil"/>
            </w:tcBorders>
            <w:shd w:val="clear" w:color="auto" w:fill="auto"/>
            <w:noWrap/>
            <w:vAlign w:val="center"/>
            <w:hideMark/>
          </w:tcPr>
          <w:p w14:paraId="7A510A1C"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-35</w:t>
            </w:r>
          </w:p>
        </w:tc>
        <w:tc>
          <w:tcPr>
            <w:tcW w:w="680" w:type="dxa"/>
            <w:tcBorders>
              <w:top w:val="single" w:sz="4" w:space="0" w:color="ADD6EA"/>
              <w:left w:val="nil"/>
              <w:bottom w:val="nil"/>
              <w:right w:val="nil"/>
            </w:tcBorders>
            <w:shd w:val="clear" w:color="auto" w:fill="auto"/>
            <w:noWrap/>
            <w:vAlign w:val="center"/>
            <w:hideMark/>
          </w:tcPr>
          <w:p w14:paraId="11FDD0EE"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86</w:t>
            </w:r>
          </w:p>
        </w:tc>
        <w:tc>
          <w:tcPr>
            <w:tcW w:w="680" w:type="dxa"/>
            <w:tcBorders>
              <w:top w:val="single" w:sz="4" w:space="0" w:color="ADD6EA"/>
              <w:left w:val="nil"/>
              <w:bottom w:val="nil"/>
              <w:right w:val="nil"/>
            </w:tcBorders>
            <w:shd w:val="clear" w:color="auto" w:fill="auto"/>
            <w:noWrap/>
            <w:vAlign w:val="center"/>
            <w:hideMark/>
          </w:tcPr>
          <w:p w14:paraId="5144FE92"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70</w:t>
            </w:r>
          </w:p>
        </w:tc>
        <w:tc>
          <w:tcPr>
            <w:tcW w:w="680" w:type="dxa"/>
            <w:tcBorders>
              <w:top w:val="single" w:sz="4" w:space="0" w:color="ADD6EA"/>
              <w:left w:val="nil"/>
              <w:bottom w:val="nil"/>
              <w:right w:val="nil"/>
            </w:tcBorders>
            <w:shd w:val="clear" w:color="auto" w:fill="auto"/>
            <w:noWrap/>
            <w:vAlign w:val="center"/>
            <w:hideMark/>
          </w:tcPr>
          <w:p w14:paraId="5EE70526"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26</w:t>
            </w:r>
          </w:p>
        </w:tc>
        <w:tc>
          <w:tcPr>
            <w:tcW w:w="680" w:type="dxa"/>
            <w:tcBorders>
              <w:top w:val="single" w:sz="4" w:space="0" w:color="ADD6EA"/>
              <w:left w:val="nil"/>
              <w:bottom w:val="nil"/>
              <w:right w:val="nil"/>
            </w:tcBorders>
            <w:shd w:val="clear" w:color="auto" w:fill="auto"/>
            <w:noWrap/>
            <w:vAlign w:val="center"/>
            <w:hideMark/>
          </w:tcPr>
          <w:p w14:paraId="5FBD6209"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18</w:t>
            </w:r>
          </w:p>
        </w:tc>
        <w:tc>
          <w:tcPr>
            <w:tcW w:w="680" w:type="dxa"/>
            <w:tcBorders>
              <w:top w:val="single" w:sz="4" w:space="0" w:color="ADD6EA"/>
              <w:left w:val="nil"/>
              <w:bottom w:val="nil"/>
              <w:right w:val="nil"/>
            </w:tcBorders>
            <w:shd w:val="clear" w:color="auto" w:fill="auto"/>
            <w:noWrap/>
            <w:vAlign w:val="center"/>
            <w:hideMark/>
          </w:tcPr>
          <w:p w14:paraId="7F66EE4C"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280</w:t>
            </w:r>
          </w:p>
        </w:tc>
      </w:tr>
      <w:tr w:rsidR="00763605" w:rsidRPr="00763605" w14:paraId="448EE2AA" w14:textId="77777777" w:rsidTr="00763605">
        <w:trPr>
          <w:trHeight w:val="315"/>
        </w:trPr>
        <w:tc>
          <w:tcPr>
            <w:tcW w:w="2820" w:type="dxa"/>
            <w:tcBorders>
              <w:top w:val="single" w:sz="4" w:space="0" w:color="ADD6EA"/>
              <w:left w:val="nil"/>
              <w:bottom w:val="nil"/>
              <w:right w:val="nil"/>
            </w:tcBorders>
            <w:shd w:val="clear" w:color="auto" w:fill="auto"/>
            <w:vAlign w:val="center"/>
            <w:hideMark/>
          </w:tcPr>
          <w:p w14:paraId="2AB68180" w14:textId="77777777" w:rsidR="00763605" w:rsidRPr="00763605" w:rsidRDefault="00763605" w:rsidP="00763605">
            <w:pPr>
              <w:tabs>
                <w:tab w:val="clear" w:pos="567"/>
              </w:tabs>
              <w:spacing w:before="0" w:line="240" w:lineRule="auto"/>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Revenue raising capacity</w:t>
            </w:r>
          </w:p>
        </w:tc>
        <w:tc>
          <w:tcPr>
            <w:tcW w:w="680" w:type="dxa"/>
            <w:tcBorders>
              <w:top w:val="single" w:sz="4" w:space="0" w:color="ADD6EA"/>
              <w:left w:val="nil"/>
              <w:bottom w:val="nil"/>
              <w:right w:val="nil"/>
            </w:tcBorders>
            <w:shd w:val="clear" w:color="auto" w:fill="auto"/>
            <w:vAlign w:val="center"/>
            <w:hideMark/>
          </w:tcPr>
          <w:p w14:paraId="3692C6D8"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-474</w:t>
            </w:r>
          </w:p>
        </w:tc>
        <w:tc>
          <w:tcPr>
            <w:tcW w:w="680" w:type="dxa"/>
            <w:tcBorders>
              <w:top w:val="single" w:sz="4" w:space="0" w:color="ADD6EA"/>
              <w:left w:val="nil"/>
              <w:bottom w:val="nil"/>
              <w:right w:val="nil"/>
            </w:tcBorders>
            <w:shd w:val="clear" w:color="auto" w:fill="auto"/>
            <w:vAlign w:val="center"/>
            <w:hideMark/>
          </w:tcPr>
          <w:p w14:paraId="37E320EA"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1,186</w:t>
            </w:r>
          </w:p>
        </w:tc>
        <w:tc>
          <w:tcPr>
            <w:tcW w:w="680" w:type="dxa"/>
            <w:tcBorders>
              <w:top w:val="single" w:sz="4" w:space="0" w:color="ADD6EA"/>
              <w:left w:val="nil"/>
              <w:bottom w:val="nil"/>
              <w:right w:val="nil"/>
            </w:tcBorders>
            <w:shd w:val="clear" w:color="auto" w:fill="auto"/>
            <w:vAlign w:val="center"/>
            <w:hideMark/>
          </w:tcPr>
          <w:p w14:paraId="1F727FAF"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-2,340</w:t>
            </w:r>
          </w:p>
        </w:tc>
        <w:tc>
          <w:tcPr>
            <w:tcW w:w="680" w:type="dxa"/>
            <w:tcBorders>
              <w:top w:val="single" w:sz="4" w:space="0" w:color="ADD6EA"/>
              <w:left w:val="nil"/>
              <w:bottom w:val="nil"/>
              <w:right w:val="nil"/>
            </w:tcBorders>
            <w:shd w:val="clear" w:color="auto" w:fill="auto"/>
            <w:vAlign w:val="center"/>
            <w:hideMark/>
          </w:tcPr>
          <w:p w14:paraId="06992BC7"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1,191</w:t>
            </w:r>
          </w:p>
        </w:tc>
        <w:tc>
          <w:tcPr>
            <w:tcW w:w="680" w:type="dxa"/>
            <w:tcBorders>
              <w:top w:val="single" w:sz="4" w:space="0" w:color="ADD6EA"/>
              <w:left w:val="nil"/>
              <w:bottom w:val="nil"/>
              <w:right w:val="nil"/>
            </w:tcBorders>
            <w:shd w:val="clear" w:color="auto" w:fill="auto"/>
            <w:vAlign w:val="center"/>
            <w:hideMark/>
          </w:tcPr>
          <w:p w14:paraId="3D31248B"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250</w:t>
            </w:r>
          </w:p>
        </w:tc>
        <w:tc>
          <w:tcPr>
            <w:tcW w:w="680" w:type="dxa"/>
            <w:tcBorders>
              <w:top w:val="single" w:sz="4" w:space="0" w:color="ADD6EA"/>
              <w:left w:val="nil"/>
              <w:bottom w:val="nil"/>
              <w:right w:val="nil"/>
            </w:tcBorders>
            <w:shd w:val="clear" w:color="auto" w:fill="auto"/>
            <w:vAlign w:val="center"/>
            <w:hideMark/>
          </w:tcPr>
          <w:p w14:paraId="2153CBA1"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78</w:t>
            </w:r>
          </w:p>
        </w:tc>
        <w:tc>
          <w:tcPr>
            <w:tcW w:w="680" w:type="dxa"/>
            <w:tcBorders>
              <w:top w:val="single" w:sz="4" w:space="0" w:color="ADD6EA"/>
              <w:left w:val="nil"/>
              <w:bottom w:val="nil"/>
              <w:right w:val="nil"/>
            </w:tcBorders>
            <w:shd w:val="clear" w:color="auto" w:fill="auto"/>
            <w:vAlign w:val="center"/>
            <w:hideMark/>
          </w:tcPr>
          <w:p w14:paraId="26B79EE1"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73</w:t>
            </w:r>
          </w:p>
        </w:tc>
        <w:tc>
          <w:tcPr>
            <w:tcW w:w="680" w:type="dxa"/>
            <w:tcBorders>
              <w:top w:val="single" w:sz="4" w:space="0" w:color="ADD6EA"/>
              <w:left w:val="nil"/>
              <w:bottom w:val="nil"/>
              <w:right w:val="nil"/>
            </w:tcBorders>
            <w:shd w:val="clear" w:color="auto" w:fill="auto"/>
            <w:vAlign w:val="center"/>
            <w:hideMark/>
          </w:tcPr>
          <w:p w14:paraId="6D56EAD6"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36</w:t>
            </w:r>
          </w:p>
        </w:tc>
        <w:tc>
          <w:tcPr>
            <w:tcW w:w="680" w:type="dxa"/>
            <w:tcBorders>
              <w:top w:val="single" w:sz="4" w:space="0" w:color="ADD6EA"/>
              <w:left w:val="nil"/>
              <w:bottom w:val="nil"/>
              <w:right w:val="nil"/>
            </w:tcBorders>
            <w:shd w:val="clear" w:color="auto" w:fill="auto"/>
            <w:vAlign w:val="center"/>
            <w:hideMark/>
          </w:tcPr>
          <w:p w14:paraId="3A7C106C"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2,814</w:t>
            </w:r>
          </w:p>
        </w:tc>
      </w:tr>
      <w:tr w:rsidR="00763605" w:rsidRPr="00763605" w14:paraId="04AA14B6" w14:textId="77777777" w:rsidTr="00763605">
        <w:trPr>
          <w:trHeight w:val="315"/>
        </w:trPr>
        <w:tc>
          <w:tcPr>
            <w:tcW w:w="2820" w:type="dxa"/>
            <w:tcBorders>
              <w:top w:val="single" w:sz="4" w:space="0" w:color="ADD6EA"/>
              <w:left w:val="nil"/>
              <w:bottom w:val="nil"/>
              <w:right w:val="nil"/>
            </w:tcBorders>
            <w:shd w:val="clear" w:color="auto" w:fill="auto"/>
            <w:vAlign w:val="center"/>
            <w:hideMark/>
          </w:tcPr>
          <w:p w14:paraId="389A6F05" w14:textId="77777777" w:rsidR="00763605" w:rsidRPr="00763605" w:rsidRDefault="00763605" w:rsidP="00763605">
            <w:pPr>
              <w:tabs>
                <w:tab w:val="clear" w:pos="567"/>
              </w:tabs>
              <w:spacing w:before="0" w:line="240" w:lineRule="auto"/>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Commonwealth payments</w:t>
            </w:r>
          </w:p>
        </w:tc>
        <w:tc>
          <w:tcPr>
            <w:tcW w:w="680" w:type="dxa"/>
            <w:tcBorders>
              <w:top w:val="single" w:sz="4" w:space="0" w:color="ADD6EA"/>
              <w:left w:val="nil"/>
              <w:bottom w:val="nil"/>
              <w:right w:val="nil"/>
            </w:tcBorders>
            <w:shd w:val="clear" w:color="auto" w:fill="auto"/>
            <w:noWrap/>
            <w:vAlign w:val="center"/>
            <w:hideMark/>
          </w:tcPr>
          <w:p w14:paraId="17A1F5CD"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-152</w:t>
            </w:r>
          </w:p>
        </w:tc>
        <w:tc>
          <w:tcPr>
            <w:tcW w:w="680" w:type="dxa"/>
            <w:tcBorders>
              <w:top w:val="single" w:sz="4" w:space="0" w:color="ADD6EA"/>
              <w:left w:val="nil"/>
              <w:bottom w:val="nil"/>
              <w:right w:val="nil"/>
            </w:tcBorders>
            <w:shd w:val="clear" w:color="auto" w:fill="auto"/>
            <w:noWrap/>
            <w:vAlign w:val="center"/>
            <w:hideMark/>
          </w:tcPr>
          <w:p w14:paraId="3B5F6AED"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309</w:t>
            </w:r>
          </w:p>
        </w:tc>
        <w:tc>
          <w:tcPr>
            <w:tcW w:w="680" w:type="dxa"/>
            <w:tcBorders>
              <w:top w:val="single" w:sz="4" w:space="0" w:color="ADD6EA"/>
              <w:left w:val="nil"/>
              <w:bottom w:val="nil"/>
              <w:right w:val="nil"/>
            </w:tcBorders>
            <w:shd w:val="clear" w:color="auto" w:fill="auto"/>
            <w:noWrap/>
            <w:vAlign w:val="center"/>
            <w:hideMark/>
          </w:tcPr>
          <w:p w14:paraId="5695DB71"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145</w:t>
            </w:r>
          </w:p>
        </w:tc>
        <w:tc>
          <w:tcPr>
            <w:tcW w:w="680" w:type="dxa"/>
            <w:tcBorders>
              <w:top w:val="single" w:sz="4" w:space="0" w:color="ADD6EA"/>
              <w:left w:val="nil"/>
              <w:bottom w:val="nil"/>
              <w:right w:val="nil"/>
            </w:tcBorders>
            <w:shd w:val="clear" w:color="auto" w:fill="auto"/>
            <w:noWrap/>
            <w:vAlign w:val="center"/>
            <w:hideMark/>
          </w:tcPr>
          <w:p w14:paraId="4E10539E"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-170</w:t>
            </w:r>
          </w:p>
        </w:tc>
        <w:tc>
          <w:tcPr>
            <w:tcW w:w="680" w:type="dxa"/>
            <w:tcBorders>
              <w:top w:val="single" w:sz="4" w:space="0" w:color="ADD6EA"/>
              <w:left w:val="nil"/>
              <w:bottom w:val="nil"/>
              <w:right w:val="nil"/>
            </w:tcBorders>
            <w:shd w:val="clear" w:color="auto" w:fill="auto"/>
            <w:noWrap/>
            <w:vAlign w:val="center"/>
            <w:hideMark/>
          </w:tcPr>
          <w:p w14:paraId="6364BEDF"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11</w:t>
            </w:r>
          </w:p>
        </w:tc>
        <w:tc>
          <w:tcPr>
            <w:tcW w:w="680" w:type="dxa"/>
            <w:tcBorders>
              <w:top w:val="single" w:sz="4" w:space="0" w:color="ADD6EA"/>
              <w:left w:val="nil"/>
              <w:bottom w:val="nil"/>
              <w:right w:val="nil"/>
            </w:tcBorders>
            <w:shd w:val="clear" w:color="auto" w:fill="auto"/>
            <w:noWrap/>
            <w:vAlign w:val="center"/>
            <w:hideMark/>
          </w:tcPr>
          <w:p w14:paraId="2AFB4F20"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-50</w:t>
            </w:r>
          </w:p>
        </w:tc>
        <w:tc>
          <w:tcPr>
            <w:tcW w:w="680" w:type="dxa"/>
            <w:tcBorders>
              <w:top w:val="single" w:sz="4" w:space="0" w:color="ADD6EA"/>
              <w:left w:val="nil"/>
              <w:bottom w:val="nil"/>
              <w:right w:val="nil"/>
            </w:tcBorders>
            <w:shd w:val="clear" w:color="auto" w:fill="auto"/>
            <w:noWrap/>
            <w:vAlign w:val="center"/>
            <w:hideMark/>
          </w:tcPr>
          <w:p w14:paraId="06173780"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-24</w:t>
            </w:r>
          </w:p>
        </w:tc>
        <w:tc>
          <w:tcPr>
            <w:tcW w:w="680" w:type="dxa"/>
            <w:tcBorders>
              <w:top w:val="single" w:sz="4" w:space="0" w:color="ADD6EA"/>
              <w:left w:val="nil"/>
              <w:bottom w:val="nil"/>
              <w:right w:val="nil"/>
            </w:tcBorders>
            <w:shd w:val="clear" w:color="auto" w:fill="auto"/>
            <w:noWrap/>
            <w:vAlign w:val="center"/>
            <w:hideMark/>
          </w:tcPr>
          <w:p w14:paraId="43B8D7CE"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-69</w:t>
            </w:r>
          </w:p>
        </w:tc>
        <w:tc>
          <w:tcPr>
            <w:tcW w:w="680" w:type="dxa"/>
            <w:tcBorders>
              <w:top w:val="single" w:sz="4" w:space="0" w:color="ADD6EA"/>
              <w:left w:val="nil"/>
              <w:bottom w:val="nil"/>
              <w:right w:val="nil"/>
            </w:tcBorders>
            <w:shd w:val="clear" w:color="auto" w:fill="auto"/>
            <w:noWrap/>
            <w:vAlign w:val="center"/>
            <w:hideMark/>
          </w:tcPr>
          <w:p w14:paraId="253BDD6B" w14:textId="77777777" w:rsidR="00763605" w:rsidRPr="00763605" w:rsidRDefault="00763605" w:rsidP="0076360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763605">
              <w:rPr>
                <w:rFonts w:ascii="Open Sans Light" w:eastAsia="Times New Roman" w:hAnsi="Open Sans Light" w:cs="Open Sans Light"/>
                <w:color w:val="000000"/>
                <w:sz w:val="16"/>
                <w:szCs w:val="16"/>
                <w:lang w:eastAsia="en-AU"/>
              </w:rPr>
              <w:t>465</w:t>
            </w:r>
          </w:p>
        </w:tc>
      </w:tr>
      <w:tr w:rsidR="00763605" w:rsidRPr="00763605" w14:paraId="356FE220" w14:textId="77777777" w:rsidTr="00763605">
        <w:trPr>
          <w:trHeight w:val="315"/>
        </w:trPr>
        <w:tc>
          <w:tcPr>
            <w:tcW w:w="2820" w:type="dxa"/>
            <w:tcBorders>
              <w:top w:val="single" w:sz="4" w:space="0" w:color="ADD6EA"/>
              <w:left w:val="nil"/>
              <w:bottom w:val="single" w:sz="4" w:space="0" w:color="ADD6EA"/>
              <w:right w:val="nil"/>
            </w:tcBorders>
            <w:shd w:val="clear" w:color="000000" w:fill="D6E7F0"/>
            <w:vAlign w:val="center"/>
            <w:hideMark/>
          </w:tcPr>
          <w:p w14:paraId="0BE93E7F" w14:textId="77777777" w:rsidR="00763605" w:rsidRPr="00763605" w:rsidRDefault="00763605" w:rsidP="00763605">
            <w:pPr>
              <w:tabs>
                <w:tab w:val="clear" w:pos="567"/>
              </w:tabs>
              <w:spacing w:before="0" w:line="240" w:lineRule="auto"/>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Total</w:t>
            </w:r>
          </w:p>
        </w:tc>
        <w:tc>
          <w:tcPr>
            <w:tcW w:w="680" w:type="dxa"/>
            <w:tcBorders>
              <w:top w:val="single" w:sz="4" w:space="0" w:color="ADD6EA"/>
              <w:left w:val="nil"/>
              <w:bottom w:val="single" w:sz="4" w:space="0" w:color="ADD6EA"/>
              <w:right w:val="nil"/>
            </w:tcBorders>
            <w:shd w:val="clear" w:color="000000" w:fill="D6E7F0"/>
            <w:noWrap/>
            <w:vAlign w:val="center"/>
            <w:hideMark/>
          </w:tcPr>
          <w:p w14:paraId="0E0F4058"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-966</w:t>
            </w:r>
          </w:p>
        </w:tc>
        <w:tc>
          <w:tcPr>
            <w:tcW w:w="680" w:type="dxa"/>
            <w:tcBorders>
              <w:top w:val="single" w:sz="4" w:space="0" w:color="ADD6EA"/>
              <w:left w:val="nil"/>
              <w:bottom w:val="single" w:sz="4" w:space="0" w:color="ADD6EA"/>
              <w:right w:val="nil"/>
            </w:tcBorders>
            <w:shd w:val="clear" w:color="000000" w:fill="D6E7F0"/>
            <w:noWrap/>
            <w:vAlign w:val="center"/>
            <w:hideMark/>
          </w:tcPr>
          <w:p w14:paraId="7A2417E7"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1,957</w:t>
            </w:r>
          </w:p>
        </w:tc>
        <w:tc>
          <w:tcPr>
            <w:tcW w:w="680" w:type="dxa"/>
            <w:tcBorders>
              <w:top w:val="single" w:sz="4" w:space="0" w:color="ADD6EA"/>
              <w:left w:val="nil"/>
              <w:bottom w:val="single" w:sz="4" w:space="0" w:color="ADD6EA"/>
              <w:right w:val="nil"/>
            </w:tcBorders>
            <w:shd w:val="clear" w:color="000000" w:fill="D6E7F0"/>
            <w:noWrap/>
            <w:vAlign w:val="center"/>
            <w:hideMark/>
          </w:tcPr>
          <w:p w14:paraId="55B5F200"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-2,170</w:t>
            </w:r>
          </w:p>
        </w:tc>
        <w:tc>
          <w:tcPr>
            <w:tcW w:w="680" w:type="dxa"/>
            <w:tcBorders>
              <w:top w:val="single" w:sz="4" w:space="0" w:color="ADD6EA"/>
              <w:left w:val="nil"/>
              <w:bottom w:val="single" w:sz="4" w:space="0" w:color="ADD6EA"/>
              <w:right w:val="nil"/>
            </w:tcBorders>
            <w:shd w:val="clear" w:color="000000" w:fill="D6E7F0"/>
            <w:noWrap/>
            <w:vAlign w:val="center"/>
            <w:hideMark/>
          </w:tcPr>
          <w:p w14:paraId="4011D838"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1,116</w:t>
            </w:r>
          </w:p>
        </w:tc>
        <w:tc>
          <w:tcPr>
            <w:tcW w:w="680" w:type="dxa"/>
            <w:tcBorders>
              <w:top w:val="single" w:sz="4" w:space="0" w:color="ADD6EA"/>
              <w:left w:val="nil"/>
              <w:bottom w:val="single" w:sz="4" w:space="0" w:color="ADD6EA"/>
              <w:right w:val="nil"/>
            </w:tcBorders>
            <w:shd w:val="clear" w:color="000000" w:fill="D6E7F0"/>
            <w:noWrap/>
            <w:vAlign w:val="center"/>
            <w:hideMark/>
          </w:tcPr>
          <w:p w14:paraId="07A0BD9B"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64</w:t>
            </w:r>
          </w:p>
        </w:tc>
        <w:tc>
          <w:tcPr>
            <w:tcW w:w="680" w:type="dxa"/>
            <w:tcBorders>
              <w:top w:val="single" w:sz="4" w:space="0" w:color="ADD6EA"/>
              <w:left w:val="nil"/>
              <w:bottom w:val="single" w:sz="4" w:space="0" w:color="ADD6EA"/>
              <w:right w:val="nil"/>
            </w:tcBorders>
            <w:shd w:val="clear" w:color="000000" w:fill="D6E7F0"/>
            <w:noWrap/>
            <w:vAlign w:val="center"/>
            <w:hideMark/>
          </w:tcPr>
          <w:p w14:paraId="3C968DF1"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-1</w:t>
            </w:r>
          </w:p>
        </w:tc>
        <w:tc>
          <w:tcPr>
            <w:tcW w:w="680" w:type="dxa"/>
            <w:tcBorders>
              <w:top w:val="single" w:sz="4" w:space="0" w:color="ADD6EA"/>
              <w:left w:val="nil"/>
              <w:bottom w:val="single" w:sz="4" w:space="0" w:color="ADD6EA"/>
              <w:right w:val="nil"/>
            </w:tcBorders>
            <w:shd w:val="clear" w:color="000000" w:fill="D6E7F0"/>
            <w:noWrap/>
            <w:vAlign w:val="center"/>
            <w:hideMark/>
          </w:tcPr>
          <w:p w14:paraId="76D03DF3"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-93</w:t>
            </w:r>
          </w:p>
        </w:tc>
        <w:tc>
          <w:tcPr>
            <w:tcW w:w="680" w:type="dxa"/>
            <w:tcBorders>
              <w:top w:val="single" w:sz="4" w:space="0" w:color="ADD6EA"/>
              <w:left w:val="nil"/>
              <w:bottom w:val="single" w:sz="4" w:space="0" w:color="ADD6EA"/>
              <w:right w:val="nil"/>
            </w:tcBorders>
            <w:shd w:val="clear" w:color="000000" w:fill="D6E7F0"/>
            <w:noWrap/>
            <w:vAlign w:val="center"/>
            <w:hideMark/>
          </w:tcPr>
          <w:p w14:paraId="2DE58698"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93</w:t>
            </w:r>
          </w:p>
        </w:tc>
        <w:tc>
          <w:tcPr>
            <w:tcW w:w="680" w:type="dxa"/>
            <w:tcBorders>
              <w:top w:val="single" w:sz="4" w:space="0" w:color="ADD6EA"/>
              <w:left w:val="nil"/>
              <w:bottom w:val="single" w:sz="4" w:space="0" w:color="ADD6EA"/>
              <w:right w:val="nil"/>
            </w:tcBorders>
            <w:shd w:val="clear" w:color="000000" w:fill="D6E7F0"/>
            <w:noWrap/>
            <w:vAlign w:val="center"/>
            <w:hideMark/>
          </w:tcPr>
          <w:p w14:paraId="59693DAC" w14:textId="77777777" w:rsidR="00763605" w:rsidRPr="00763605" w:rsidRDefault="00763605" w:rsidP="0076360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63605">
              <w:rPr>
                <w:rFonts w:ascii="Open Sans Semibold" w:eastAsia="Times New Roman" w:hAnsi="Open Sans Semibold" w:cs="Open Sans Semibold"/>
                <w:color w:val="000000"/>
                <w:sz w:val="16"/>
                <w:szCs w:val="16"/>
                <w:lang w:eastAsia="en-AU"/>
              </w:rPr>
              <w:t>3,230</w:t>
            </w:r>
          </w:p>
        </w:tc>
      </w:tr>
    </w:tbl>
    <w:p w14:paraId="28B5BDB9" w14:textId="77777777" w:rsidR="00FE37D4" w:rsidRDefault="00FE37D4" w:rsidP="00FE37D4">
      <w:pPr>
        <w:pStyle w:val="CGC2025Caption"/>
        <w:ind w:left="1440" w:hanging="1440"/>
      </w:pPr>
    </w:p>
    <w:p w14:paraId="23293D6F" w14:textId="77777777" w:rsidR="00FE37D4" w:rsidRDefault="00FE37D4">
      <w:pPr>
        <w:tabs>
          <w:tab w:val="clear" w:pos="567"/>
        </w:tabs>
        <w:spacing w:before="0" w:after="200" w:line="276" w:lineRule="auto"/>
        <w:rPr>
          <w:b/>
        </w:rPr>
      </w:pPr>
      <w:r>
        <w:br w:type="page"/>
      </w:r>
    </w:p>
    <w:p w14:paraId="09F219DD" w14:textId="5F3C30CE" w:rsidR="00FE37D4" w:rsidRPr="00DD14CC" w:rsidRDefault="00FE37D4" w:rsidP="00FE37D4">
      <w:pPr>
        <w:pStyle w:val="CGC2025Caption"/>
        <w:ind w:left="1440" w:hanging="1440"/>
      </w:pPr>
      <w:r w:rsidRPr="00DD14CC">
        <w:lastRenderedPageBreak/>
        <w:t>Table 2-7</w:t>
      </w:r>
      <w:r w:rsidRPr="00DD14CC">
        <w:tab/>
        <w:t>Change to assessed GST needs due to changes in state circumstances, 2024–</w:t>
      </w:r>
      <w:r w:rsidRPr="00DD14CC">
        <w:rPr>
          <w:rFonts w:hint="cs"/>
          <w:rtl/>
        </w:rPr>
        <w:t>‍</w:t>
      </w:r>
      <w:r w:rsidRPr="00DD14CC">
        <w:t>25 to 2025–26</w:t>
      </w:r>
    </w:p>
    <w:tbl>
      <w:tblPr>
        <w:tblW w:w="8940" w:type="dxa"/>
        <w:tblCellMar>
          <w:left w:w="0" w:type="dxa"/>
          <w:right w:w="0" w:type="dxa"/>
        </w:tblCellMar>
        <w:tblLook w:val="04A0" w:firstRow="1" w:lastRow="0" w:firstColumn="1" w:lastColumn="0" w:noHBand="0" w:noVBand="1"/>
      </w:tblPr>
      <w:tblGrid>
        <w:gridCol w:w="2820"/>
        <w:gridCol w:w="680"/>
        <w:gridCol w:w="680"/>
        <w:gridCol w:w="680"/>
        <w:gridCol w:w="680"/>
        <w:gridCol w:w="680"/>
        <w:gridCol w:w="680"/>
        <w:gridCol w:w="680"/>
        <w:gridCol w:w="680"/>
        <w:gridCol w:w="680"/>
      </w:tblGrid>
      <w:tr w:rsidR="00763605" w14:paraId="191DDC78" w14:textId="77777777" w:rsidTr="00071119">
        <w:trPr>
          <w:trHeight w:val="555"/>
        </w:trPr>
        <w:tc>
          <w:tcPr>
            <w:tcW w:w="2820" w:type="dxa"/>
            <w:tcBorders>
              <w:top w:val="nil"/>
              <w:left w:val="nil"/>
              <w:bottom w:val="nil"/>
              <w:right w:val="nil"/>
            </w:tcBorders>
            <w:shd w:val="clear" w:color="000000" w:fill="006991"/>
            <w:tcMar>
              <w:top w:w="15" w:type="dxa"/>
              <w:left w:w="108" w:type="dxa"/>
              <w:bottom w:w="0" w:type="dxa"/>
              <w:right w:w="108" w:type="dxa"/>
            </w:tcMar>
            <w:vAlign w:val="center"/>
            <w:hideMark/>
          </w:tcPr>
          <w:p w14:paraId="0658023C" w14:textId="77777777" w:rsidR="00763605" w:rsidRDefault="00763605">
            <w:pPr>
              <w:tabs>
                <w:tab w:val="clear" w:pos="567"/>
              </w:tabs>
              <w:spacing w:before="0" w:line="240" w:lineRule="auto"/>
              <w:rPr>
                <w:rFonts w:ascii="Open Sans Semibold" w:hAnsi="Open Sans Semibold" w:cs="Open Sans Semibold"/>
                <w:color w:val="FFFFFF"/>
                <w:sz w:val="16"/>
                <w:szCs w:val="16"/>
              </w:rPr>
            </w:pPr>
            <w:r>
              <w:rPr>
                <w:rFonts w:ascii="Open Sans Semibold" w:hAnsi="Open Sans Semibold" w:cs="Open Sans Semibold"/>
                <w:color w:val="FFFFFF"/>
                <w:sz w:val="16"/>
                <w:szCs w:val="16"/>
              </w:rPr>
              <w:t> </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795A649A" w14:textId="77777777" w:rsidR="00763605" w:rsidRDefault="00763605">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NSW</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1BD2599D" w14:textId="77777777" w:rsidR="00763605" w:rsidRDefault="00763605">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Vic</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6FC4A4A3" w14:textId="77777777" w:rsidR="00763605" w:rsidRDefault="00763605">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Qld</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65ED01CA" w14:textId="77777777" w:rsidR="00763605" w:rsidRDefault="00763605">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WA</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506A96E5" w14:textId="77777777" w:rsidR="00763605" w:rsidRDefault="00763605">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SA</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242BBA57" w14:textId="77777777" w:rsidR="00763605" w:rsidRDefault="00763605">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Tas</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3C986BB4" w14:textId="77777777" w:rsidR="00763605" w:rsidRDefault="00763605">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ACT</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3E68B8E6" w14:textId="77777777" w:rsidR="00763605" w:rsidRDefault="00763605">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NT</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528A2798" w14:textId="77777777" w:rsidR="00763605" w:rsidRDefault="00763605">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Total effect</w:t>
            </w:r>
          </w:p>
        </w:tc>
      </w:tr>
      <w:tr w:rsidR="00763605" w14:paraId="19DA332A" w14:textId="77777777" w:rsidTr="00071119">
        <w:trPr>
          <w:trHeight w:val="259"/>
        </w:trPr>
        <w:tc>
          <w:tcPr>
            <w:tcW w:w="2820" w:type="dxa"/>
            <w:tcBorders>
              <w:top w:val="single" w:sz="4" w:space="0" w:color="ADD6EA"/>
              <w:left w:val="nil"/>
              <w:bottom w:val="nil"/>
              <w:right w:val="nil"/>
            </w:tcBorders>
            <w:shd w:val="clear" w:color="000000" w:fill="B6D5E4"/>
            <w:tcMar>
              <w:top w:w="15" w:type="dxa"/>
              <w:left w:w="108" w:type="dxa"/>
              <w:bottom w:w="0" w:type="dxa"/>
              <w:right w:w="108" w:type="dxa"/>
            </w:tcMar>
            <w:vAlign w:val="center"/>
            <w:hideMark/>
          </w:tcPr>
          <w:p w14:paraId="299FB0CD" w14:textId="77777777" w:rsidR="00763605" w:rsidRDefault="00763605">
            <w:pPr>
              <w:rPr>
                <w:rFonts w:ascii="Open Sans Semibold" w:hAnsi="Open Sans Semibold" w:cs="Open Sans Semibold"/>
                <w:color w:val="000000"/>
                <w:sz w:val="16"/>
                <w:szCs w:val="16"/>
              </w:rPr>
            </w:pPr>
            <w:r>
              <w:rPr>
                <w:rFonts w:ascii="Open Sans Semibold" w:hAnsi="Open Sans Semibold" w:cs="Open Sans Semibold"/>
                <w:color w:val="000000"/>
                <w:sz w:val="16"/>
                <w:szCs w:val="16"/>
              </w:rPr>
              <w:t> </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6E4E6DB4"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51D38C4C"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3BBA2DD4"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707CFF45"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0659F16E"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438FCA13"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7E480ED2"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2D6D78EA"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5BC46EC4"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r>
      <w:tr w:rsidR="00763605" w14:paraId="55D0F964" w14:textId="77777777" w:rsidTr="00071119">
        <w:trPr>
          <w:trHeight w:val="319"/>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62E9A38E" w14:textId="77777777" w:rsidR="00763605" w:rsidRDefault="00763605">
            <w:pPr>
              <w:rPr>
                <w:rFonts w:ascii="Open Sans Light" w:hAnsi="Open Sans Light" w:cs="Open Sans Light"/>
                <w:color w:val="000000"/>
                <w:sz w:val="16"/>
                <w:szCs w:val="16"/>
              </w:rPr>
            </w:pPr>
            <w:r>
              <w:rPr>
                <w:rFonts w:ascii="Open Sans Light" w:hAnsi="Open Sans Light" w:cs="Open Sans Light"/>
                <w:color w:val="000000"/>
                <w:sz w:val="16"/>
                <w:szCs w:val="16"/>
              </w:rPr>
              <w:t>Mining production</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8345B7F"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-156</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BA6F9F7"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831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FD068F9"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-2,283</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957F60B"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1,268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E86D8D1"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197</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6389514"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53</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3BC0139"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E87C332"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36</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95826B0"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2,439</w:t>
            </w:r>
          </w:p>
        </w:tc>
      </w:tr>
      <w:tr w:rsidR="00763605" w14:paraId="65F94B32" w14:textId="77777777" w:rsidTr="00071119">
        <w:trPr>
          <w:trHeight w:val="319"/>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4CFC47CB" w14:textId="77777777" w:rsidR="00763605" w:rsidRDefault="00763605">
            <w:pPr>
              <w:rPr>
                <w:rFonts w:ascii="Open Sans Light" w:hAnsi="Open Sans Light" w:cs="Open Sans Light"/>
                <w:color w:val="000000"/>
                <w:sz w:val="16"/>
                <w:szCs w:val="16"/>
              </w:rPr>
            </w:pPr>
            <w:r>
              <w:rPr>
                <w:rFonts w:ascii="Open Sans Light" w:hAnsi="Open Sans Light" w:cs="Open Sans Light"/>
                <w:color w:val="000000"/>
                <w:sz w:val="16"/>
                <w:szCs w:val="16"/>
              </w:rPr>
              <w:t>Population growth</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55B281E"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-188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51EB38F"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896</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5DB3251"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-328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5261E33"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-95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2615D06"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-166</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C3A887E"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-66</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C933765"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6C0ED91"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2669F47"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901</w:t>
            </w:r>
          </w:p>
        </w:tc>
      </w:tr>
      <w:tr w:rsidR="00763605" w14:paraId="4AF01A80" w14:textId="77777777" w:rsidTr="00071119">
        <w:trPr>
          <w:trHeight w:val="319"/>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27C6A64A" w14:textId="77777777" w:rsidR="00763605" w:rsidRDefault="00763605">
            <w:pPr>
              <w:rPr>
                <w:rFonts w:ascii="Open Sans Light" w:hAnsi="Open Sans Light" w:cs="Open Sans Light"/>
                <w:color w:val="000000"/>
                <w:sz w:val="16"/>
                <w:szCs w:val="16"/>
              </w:rPr>
            </w:pPr>
            <w:r>
              <w:rPr>
                <w:rFonts w:ascii="Open Sans Light" w:hAnsi="Open Sans Light" w:cs="Open Sans Light"/>
                <w:color w:val="000000"/>
                <w:sz w:val="16"/>
                <w:szCs w:val="16"/>
              </w:rPr>
              <w:t>Taxable land values</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AE638A8"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-597</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D183B5B"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120</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5A9DFFB"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208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1029CCA"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196</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C45CDD9"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27</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CF6B6DA"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FD1ABCD"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21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9B8B2D0"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7</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DB09927"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597</w:t>
            </w:r>
          </w:p>
        </w:tc>
      </w:tr>
      <w:tr w:rsidR="00763605" w14:paraId="64D962A9" w14:textId="77777777" w:rsidTr="00071119">
        <w:trPr>
          <w:trHeight w:val="319"/>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78357637" w14:textId="77777777" w:rsidR="00763605" w:rsidRDefault="00763605">
            <w:pPr>
              <w:rPr>
                <w:rFonts w:ascii="Open Sans Light" w:hAnsi="Open Sans Light" w:cs="Open Sans Light"/>
                <w:color w:val="000000"/>
                <w:sz w:val="16"/>
                <w:szCs w:val="16"/>
              </w:rPr>
            </w:pPr>
            <w:r>
              <w:rPr>
                <w:rFonts w:ascii="Open Sans Light" w:hAnsi="Open Sans Light" w:cs="Open Sans Light"/>
                <w:color w:val="000000"/>
                <w:sz w:val="16"/>
                <w:szCs w:val="16"/>
              </w:rPr>
              <w:t>Commonwealth payments</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6051464"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-152</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BEC1644"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309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B1F3C05"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145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84E5578"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-170</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031CBA4"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15E0D66"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-50</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034CC17"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-24</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4862D28"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-69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A7EFDBF"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465</w:t>
            </w:r>
          </w:p>
        </w:tc>
      </w:tr>
      <w:tr w:rsidR="00763605" w14:paraId="0E6FB777" w14:textId="77777777" w:rsidTr="00071119">
        <w:trPr>
          <w:trHeight w:val="319"/>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02AAD1FD" w14:textId="77777777" w:rsidR="00763605" w:rsidRDefault="00763605">
            <w:pPr>
              <w:rPr>
                <w:rFonts w:ascii="Open Sans Light" w:hAnsi="Open Sans Light" w:cs="Open Sans Light"/>
                <w:color w:val="000000"/>
                <w:sz w:val="16"/>
                <w:szCs w:val="16"/>
              </w:rPr>
            </w:pPr>
            <w:r>
              <w:rPr>
                <w:rFonts w:ascii="Open Sans Light" w:hAnsi="Open Sans Light" w:cs="Open Sans Light"/>
                <w:color w:val="000000"/>
                <w:sz w:val="16"/>
                <w:szCs w:val="16"/>
              </w:rPr>
              <w:t>Property sales</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E4697F2"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205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540123C"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143</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60840D2"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-157</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5AB7489"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-99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DA260BF"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-98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96642FA"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3241E28"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BA593E3"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A273D84"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358</w:t>
            </w:r>
          </w:p>
        </w:tc>
      </w:tr>
      <w:tr w:rsidR="00763605" w14:paraId="79B581F5" w14:textId="77777777" w:rsidTr="00071119">
        <w:trPr>
          <w:trHeight w:val="319"/>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6EDE00C8" w14:textId="77777777" w:rsidR="00763605" w:rsidRDefault="00763605">
            <w:pPr>
              <w:rPr>
                <w:rFonts w:ascii="Open Sans Light" w:hAnsi="Open Sans Light" w:cs="Open Sans Light"/>
                <w:color w:val="000000"/>
                <w:sz w:val="16"/>
                <w:szCs w:val="16"/>
              </w:rPr>
            </w:pPr>
            <w:r>
              <w:rPr>
                <w:rFonts w:ascii="Open Sans Light" w:hAnsi="Open Sans Light" w:cs="Open Sans Light"/>
                <w:color w:val="000000"/>
                <w:sz w:val="16"/>
                <w:szCs w:val="16"/>
              </w:rPr>
              <w:t>Taxable payrolls</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5D0ED78"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B32F553"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160</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CFA5E18"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-89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BF8C2F8"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-173</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15C6E80"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129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207E623"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414AB0E"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7F2EAF6"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D2CC605"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289</w:t>
            </w:r>
          </w:p>
        </w:tc>
      </w:tr>
      <w:tr w:rsidR="00763605" w14:paraId="300EDB79" w14:textId="77777777" w:rsidTr="00071119">
        <w:trPr>
          <w:trHeight w:val="319"/>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43479388" w14:textId="77777777" w:rsidR="00763605" w:rsidRDefault="00763605">
            <w:pPr>
              <w:rPr>
                <w:rFonts w:ascii="Open Sans Light" w:hAnsi="Open Sans Light" w:cs="Open Sans Light"/>
                <w:color w:val="000000"/>
                <w:sz w:val="16"/>
                <w:szCs w:val="16"/>
              </w:rPr>
            </w:pPr>
            <w:r>
              <w:rPr>
                <w:rFonts w:ascii="Open Sans Light" w:hAnsi="Open Sans Light" w:cs="Open Sans Light"/>
                <w:color w:val="000000"/>
                <w:sz w:val="16"/>
                <w:szCs w:val="16"/>
              </w:rPr>
              <w:t>Indigenous status</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BF3A83E"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D8A1237"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-195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4E98A97"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82</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E76AF0D"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A266AA6"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-17</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ED655D8"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FA81CC1"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F63F76C"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61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917C5DF"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221</w:t>
            </w:r>
          </w:p>
        </w:tc>
      </w:tr>
      <w:tr w:rsidR="00763605" w14:paraId="609EDCA7" w14:textId="77777777" w:rsidTr="00071119">
        <w:trPr>
          <w:trHeight w:val="319"/>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4506742B" w14:textId="77777777" w:rsidR="00763605" w:rsidRDefault="00763605">
            <w:pPr>
              <w:rPr>
                <w:rFonts w:ascii="Open Sans Light" w:hAnsi="Open Sans Light" w:cs="Open Sans Light"/>
                <w:color w:val="000000"/>
                <w:sz w:val="16"/>
                <w:szCs w:val="16"/>
              </w:rPr>
            </w:pPr>
            <w:r>
              <w:rPr>
                <w:rFonts w:ascii="Open Sans Light" w:hAnsi="Open Sans Light" w:cs="Open Sans Light"/>
                <w:color w:val="000000"/>
                <w:sz w:val="16"/>
                <w:szCs w:val="16"/>
              </w:rPr>
              <w:t>Wage costs</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3A36CD7"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-57</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F933811"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93</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DDAB459"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105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A45A1CF"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-37</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C5D561E"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3BDA786"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-26</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DD0855E"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39917C8"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33202B5"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198</w:t>
            </w:r>
          </w:p>
        </w:tc>
      </w:tr>
      <w:tr w:rsidR="00763605" w14:paraId="33B3FB31" w14:textId="77777777" w:rsidTr="00071119">
        <w:trPr>
          <w:trHeight w:val="319"/>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4983D918" w14:textId="77777777" w:rsidR="00763605" w:rsidRDefault="00763605">
            <w:pPr>
              <w:rPr>
                <w:rFonts w:ascii="Open Sans Light" w:hAnsi="Open Sans Light" w:cs="Open Sans Light"/>
                <w:color w:val="000000"/>
                <w:sz w:val="16"/>
                <w:szCs w:val="16"/>
              </w:rPr>
            </w:pPr>
            <w:r>
              <w:rPr>
                <w:rFonts w:ascii="Open Sans Light" w:hAnsi="Open Sans Light" w:cs="Open Sans Light"/>
                <w:color w:val="000000"/>
                <w:sz w:val="16"/>
                <w:szCs w:val="16"/>
              </w:rPr>
              <w:t>Natural disaster relief</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22C532B"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159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97F9693"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-141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EC06C35"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14</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703E8D3"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-37</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C07A9A4"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16</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D03BAE5"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-10</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3258D26"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2A4E038"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A3A9005"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194</w:t>
            </w:r>
          </w:p>
        </w:tc>
      </w:tr>
      <w:tr w:rsidR="00763605" w14:paraId="765577F8" w14:textId="77777777" w:rsidTr="00071119">
        <w:trPr>
          <w:trHeight w:val="319"/>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1AB84585" w14:textId="77777777" w:rsidR="00763605" w:rsidRDefault="00763605">
            <w:pPr>
              <w:rPr>
                <w:rFonts w:ascii="Open Sans Light" w:hAnsi="Open Sans Light" w:cs="Open Sans Light"/>
                <w:color w:val="000000"/>
                <w:sz w:val="16"/>
                <w:szCs w:val="16"/>
              </w:rPr>
            </w:pPr>
            <w:r>
              <w:rPr>
                <w:rFonts w:ascii="Open Sans Light" w:hAnsi="Open Sans Light" w:cs="Open Sans Light"/>
                <w:color w:val="000000"/>
                <w:sz w:val="16"/>
                <w:szCs w:val="16"/>
              </w:rPr>
              <w:t>Population dispersion</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A4FB411"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-102</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EBBC538"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-68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489D568"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59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6CCA504"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3</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3E340B3"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-2</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0360058"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60</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2B830C5"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F33D8B2"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70</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30D0A6B"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192</w:t>
            </w:r>
          </w:p>
        </w:tc>
      </w:tr>
      <w:tr w:rsidR="00763605" w14:paraId="40674FA1" w14:textId="77777777" w:rsidTr="00071119">
        <w:trPr>
          <w:trHeight w:val="319"/>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47E861C6" w14:textId="77777777" w:rsidR="00763605" w:rsidRDefault="00763605">
            <w:pPr>
              <w:rPr>
                <w:rFonts w:ascii="Open Sans Light" w:hAnsi="Open Sans Light" w:cs="Open Sans Light"/>
                <w:color w:val="000000"/>
                <w:sz w:val="16"/>
                <w:szCs w:val="16"/>
              </w:rPr>
            </w:pPr>
            <w:r>
              <w:rPr>
                <w:rFonts w:ascii="Open Sans Light" w:hAnsi="Open Sans Light" w:cs="Open Sans Light"/>
                <w:color w:val="000000"/>
                <w:sz w:val="16"/>
                <w:szCs w:val="16"/>
              </w:rPr>
              <w:t>Other changes in circumstances</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38FBCC5C"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-136</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2EDBC0B0"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-189</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3F7BDC8E"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72</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0DC90B68"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255</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74C743C2"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26</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1B7F6569"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01623169"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-29</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2F0E2877"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D333439" w14:textId="77777777" w:rsidR="00763605" w:rsidRDefault="00763605">
            <w:pPr>
              <w:jc w:val="right"/>
              <w:rPr>
                <w:rFonts w:ascii="Open Sans Light" w:hAnsi="Open Sans Light" w:cs="Open Sans Light"/>
                <w:color w:val="000000"/>
                <w:sz w:val="16"/>
                <w:szCs w:val="16"/>
              </w:rPr>
            </w:pPr>
            <w:r>
              <w:rPr>
                <w:rFonts w:ascii="Open Sans Light" w:hAnsi="Open Sans Light" w:cs="Open Sans Light"/>
                <w:color w:val="000000"/>
                <w:sz w:val="16"/>
                <w:szCs w:val="16"/>
              </w:rPr>
              <w:t>355</w:t>
            </w:r>
          </w:p>
        </w:tc>
      </w:tr>
      <w:tr w:rsidR="00763605" w14:paraId="3775FBAC" w14:textId="77777777" w:rsidTr="00071119">
        <w:trPr>
          <w:trHeight w:val="319"/>
        </w:trPr>
        <w:tc>
          <w:tcPr>
            <w:tcW w:w="2820" w:type="dxa"/>
            <w:tcBorders>
              <w:top w:val="single" w:sz="4" w:space="0" w:color="ADD6EA"/>
              <w:left w:val="nil"/>
              <w:bottom w:val="single" w:sz="4" w:space="0" w:color="ADD6EA"/>
              <w:right w:val="nil"/>
            </w:tcBorders>
            <w:shd w:val="clear" w:color="000000" w:fill="D6E7F0"/>
            <w:tcMar>
              <w:top w:w="15" w:type="dxa"/>
              <w:left w:w="108" w:type="dxa"/>
              <w:bottom w:w="0" w:type="dxa"/>
              <w:right w:w="108" w:type="dxa"/>
            </w:tcMar>
            <w:vAlign w:val="center"/>
            <w:hideMark/>
          </w:tcPr>
          <w:p w14:paraId="56669845" w14:textId="77777777" w:rsidR="00763605" w:rsidRDefault="00763605">
            <w:pPr>
              <w:rPr>
                <w:rFonts w:ascii="Open Sans Semibold" w:hAnsi="Open Sans Semibold" w:cs="Open Sans Semibold"/>
                <w:color w:val="000000"/>
                <w:sz w:val="16"/>
                <w:szCs w:val="16"/>
              </w:rPr>
            </w:pPr>
            <w:r>
              <w:rPr>
                <w:rFonts w:ascii="Open Sans Semibold" w:hAnsi="Open Sans Semibold" w:cs="Open Sans Semibold"/>
                <w:color w:val="000000"/>
                <w:sz w:val="16"/>
                <w:szCs w:val="16"/>
              </w:rPr>
              <w:t>Total</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38EC8587"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-966</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64CB6C8C"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1,957</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6B103543"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-2,170</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67D83596"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1,116</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6C8CAB35"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64</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6B9109C9"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363155D6"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-93</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1DB6C949"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93</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0854C77F" w14:textId="77777777" w:rsidR="00763605" w:rsidRDefault="00763605">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3,230</w:t>
            </w:r>
          </w:p>
        </w:tc>
      </w:tr>
    </w:tbl>
    <w:p w14:paraId="3C0790BC" w14:textId="0C13E1E9" w:rsidR="0039177F" w:rsidRPr="00DD14CC" w:rsidRDefault="0039177F" w:rsidP="0039177F">
      <w:pPr>
        <w:pStyle w:val="Heading4"/>
      </w:pPr>
      <w:r w:rsidRPr="00DD14CC">
        <w:t>Mining production</w:t>
      </w:r>
    </w:p>
    <w:p w14:paraId="09483EFD" w14:textId="6CEECA33" w:rsidR="0039177F" w:rsidRPr="00DD14CC" w:rsidRDefault="0039177F" w:rsidP="0039177F">
      <w:r w:rsidRPr="00DD14CC">
        <w:t>Total mining revenues have been growing strongly. Table 2-</w:t>
      </w:r>
      <w:r w:rsidR="00165A5A">
        <w:t>8</w:t>
      </w:r>
      <w:r w:rsidRPr="00DD14CC">
        <w:t xml:space="preserve"> outlines the estimated aggregate effect of changes in the value of mining production on the distribution of GST in 2025</w:t>
      </w:r>
      <w:r w:rsidR="00F5516A">
        <w:t>–</w:t>
      </w:r>
      <w:r w:rsidRPr="00DD14CC">
        <w:t xml:space="preserve">26. The GST effects of each component of the assessment varied across states. </w:t>
      </w:r>
    </w:p>
    <w:p w14:paraId="000BDD65" w14:textId="3A8B9142" w:rsidR="005F1857" w:rsidRDefault="005F1857" w:rsidP="005F1857">
      <w:pPr>
        <w:pStyle w:val="CGC2025Caption"/>
        <w:ind w:left="1440" w:hanging="1440"/>
      </w:pPr>
      <w:r w:rsidRPr="00DD14CC">
        <w:t>Table 2-8</w:t>
      </w:r>
      <w:r w:rsidRPr="00DD14CC">
        <w:tab/>
        <w:t>Change to assessed GST needs due to changes in value of mineral production, 2024–25 to 2025–26</w:t>
      </w:r>
    </w:p>
    <w:tbl>
      <w:tblPr>
        <w:tblW w:w="8940" w:type="dxa"/>
        <w:tblCellMar>
          <w:left w:w="0" w:type="dxa"/>
          <w:right w:w="0" w:type="dxa"/>
        </w:tblCellMar>
        <w:tblLook w:val="04A0" w:firstRow="1" w:lastRow="0" w:firstColumn="1" w:lastColumn="0" w:noHBand="0" w:noVBand="1"/>
      </w:tblPr>
      <w:tblGrid>
        <w:gridCol w:w="2820"/>
        <w:gridCol w:w="680"/>
        <w:gridCol w:w="680"/>
        <w:gridCol w:w="680"/>
        <w:gridCol w:w="680"/>
        <w:gridCol w:w="680"/>
        <w:gridCol w:w="680"/>
        <w:gridCol w:w="680"/>
        <w:gridCol w:w="680"/>
        <w:gridCol w:w="680"/>
      </w:tblGrid>
      <w:tr w:rsidR="00F31F04" w14:paraId="7A185D38" w14:textId="77777777" w:rsidTr="00071119">
        <w:trPr>
          <w:trHeight w:val="540"/>
        </w:trPr>
        <w:tc>
          <w:tcPr>
            <w:tcW w:w="2820" w:type="dxa"/>
            <w:tcBorders>
              <w:top w:val="nil"/>
              <w:left w:val="nil"/>
              <w:bottom w:val="nil"/>
              <w:right w:val="nil"/>
            </w:tcBorders>
            <w:shd w:val="clear" w:color="000000" w:fill="006991"/>
            <w:tcMar>
              <w:top w:w="15" w:type="dxa"/>
              <w:left w:w="108" w:type="dxa"/>
              <w:bottom w:w="0" w:type="dxa"/>
              <w:right w:w="108" w:type="dxa"/>
            </w:tcMar>
            <w:vAlign w:val="center"/>
            <w:hideMark/>
          </w:tcPr>
          <w:p w14:paraId="18D35A5C" w14:textId="77777777" w:rsidR="00F31F04" w:rsidRDefault="00F31F04">
            <w:pPr>
              <w:tabs>
                <w:tab w:val="clear" w:pos="567"/>
              </w:tabs>
              <w:spacing w:before="0" w:line="240" w:lineRule="auto"/>
              <w:rPr>
                <w:rFonts w:ascii="Open Sans Semibold" w:hAnsi="Open Sans Semibold" w:cs="Open Sans Semibold"/>
                <w:color w:val="FFFFFF"/>
                <w:sz w:val="16"/>
                <w:szCs w:val="16"/>
              </w:rPr>
            </w:pPr>
            <w:r>
              <w:rPr>
                <w:rFonts w:ascii="Open Sans Semibold" w:hAnsi="Open Sans Semibold" w:cs="Open Sans Semibold"/>
                <w:color w:val="FFFFFF"/>
                <w:sz w:val="16"/>
                <w:szCs w:val="16"/>
              </w:rPr>
              <w:t> </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7F3E2DB2" w14:textId="77777777" w:rsidR="00F31F04" w:rsidRDefault="00F31F04">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NSW</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0F6C014D" w14:textId="77777777" w:rsidR="00F31F04" w:rsidRDefault="00F31F04">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Vic</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3D7A8F5C" w14:textId="77777777" w:rsidR="00F31F04" w:rsidRDefault="00F31F04">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Qld</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21DA9297" w14:textId="77777777" w:rsidR="00F31F04" w:rsidRDefault="00F31F04">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WA</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59368059" w14:textId="77777777" w:rsidR="00F31F04" w:rsidRDefault="00F31F04">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SA</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1AE6B9D7" w14:textId="77777777" w:rsidR="00F31F04" w:rsidRDefault="00F31F04">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Tas</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207428FA" w14:textId="77777777" w:rsidR="00F31F04" w:rsidRDefault="00F31F04">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ACT</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2354B751" w14:textId="77777777" w:rsidR="00F31F04" w:rsidRDefault="00F31F04">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NT</w:t>
            </w:r>
          </w:p>
        </w:tc>
        <w:tc>
          <w:tcPr>
            <w:tcW w:w="680" w:type="dxa"/>
            <w:tcBorders>
              <w:top w:val="nil"/>
              <w:left w:val="nil"/>
              <w:bottom w:val="nil"/>
              <w:right w:val="nil"/>
            </w:tcBorders>
            <w:shd w:val="clear" w:color="000000" w:fill="006991"/>
            <w:tcMar>
              <w:top w:w="15" w:type="dxa"/>
              <w:left w:w="108" w:type="dxa"/>
              <w:bottom w:w="0" w:type="dxa"/>
              <w:right w:w="108" w:type="dxa"/>
            </w:tcMar>
            <w:vAlign w:val="center"/>
            <w:hideMark/>
          </w:tcPr>
          <w:p w14:paraId="0409769F" w14:textId="77777777" w:rsidR="00F31F04" w:rsidRDefault="00F31F04">
            <w:pPr>
              <w:jc w:val="right"/>
              <w:rPr>
                <w:rFonts w:ascii="Open Sans Semibold" w:hAnsi="Open Sans Semibold" w:cs="Open Sans Semibold"/>
                <w:color w:val="FFFFFF"/>
                <w:sz w:val="16"/>
                <w:szCs w:val="16"/>
              </w:rPr>
            </w:pPr>
            <w:r>
              <w:rPr>
                <w:rFonts w:ascii="Open Sans Semibold" w:hAnsi="Open Sans Semibold" w:cs="Open Sans Semibold"/>
                <w:color w:val="FFFFFF"/>
                <w:sz w:val="16"/>
                <w:szCs w:val="16"/>
              </w:rPr>
              <w:t>Total effect</w:t>
            </w:r>
          </w:p>
        </w:tc>
      </w:tr>
      <w:tr w:rsidR="00F31F04" w14:paraId="73DB3BC4" w14:textId="77777777" w:rsidTr="00071119">
        <w:trPr>
          <w:trHeight w:val="259"/>
        </w:trPr>
        <w:tc>
          <w:tcPr>
            <w:tcW w:w="2820" w:type="dxa"/>
            <w:tcBorders>
              <w:top w:val="single" w:sz="4" w:space="0" w:color="ADD6EA"/>
              <w:left w:val="nil"/>
              <w:bottom w:val="nil"/>
              <w:right w:val="nil"/>
            </w:tcBorders>
            <w:shd w:val="clear" w:color="000000" w:fill="B6D5E4"/>
            <w:tcMar>
              <w:top w:w="15" w:type="dxa"/>
              <w:left w:w="108" w:type="dxa"/>
              <w:bottom w:w="0" w:type="dxa"/>
              <w:right w:w="108" w:type="dxa"/>
            </w:tcMar>
            <w:vAlign w:val="center"/>
            <w:hideMark/>
          </w:tcPr>
          <w:p w14:paraId="13BD14AC" w14:textId="77777777" w:rsidR="00F31F04" w:rsidRDefault="00F31F04">
            <w:pPr>
              <w:rPr>
                <w:rFonts w:ascii="Open Sans Semibold" w:hAnsi="Open Sans Semibold" w:cs="Open Sans Semibold"/>
                <w:color w:val="000000"/>
                <w:sz w:val="16"/>
                <w:szCs w:val="16"/>
              </w:rPr>
            </w:pPr>
            <w:r>
              <w:rPr>
                <w:rFonts w:ascii="Open Sans Semibold" w:hAnsi="Open Sans Semibold" w:cs="Open Sans Semibold"/>
                <w:color w:val="000000"/>
                <w:sz w:val="16"/>
                <w:szCs w:val="16"/>
              </w:rPr>
              <w:t> </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57CED08B"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342337F8"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4626E5E8"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5D4ED3B0"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341C020C"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31874A8C"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2E439B93"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72B43183"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c>
          <w:tcPr>
            <w:tcW w:w="0" w:type="auto"/>
            <w:tcBorders>
              <w:top w:val="single" w:sz="4" w:space="0" w:color="ADD6EA"/>
              <w:left w:val="nil"/>
              <w:bottom w:val="nil"/>
              <w:right w:val="nil"/>
            </w:tcBorders>
            <w:shd w:val="clear" w:color="000000" w:fill="B6D5E4"/>
            <w:noWrap/>
            <w:tcMar>
              <w:top w:w="15" w:type="dxa"/>
              <w:left w:w="108" w:type="dxa"/>
              <w:bottom w:w="0" w:type="dxa"/>
              <w:right w:w="108" w:type="dxa"/>
            </w:tcMar>
            <w:vAlign w:val="center"/>
            <w:hideMark/>
          </w:tcPr>
          <w:p w14:paraId="05DC6A00"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$m</w:t>
            </w:r>
          </w:p>
        </w:tc>
      </w:tr>
      <w:tr w:rsidR="00F31F04" w14:paraId="494FAD7A" w14:textId="77777777" w:rsidTr="00071119">
        <w:trPr>
          <w:trHeight w:val="315"/>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3C90D021" w14:textId="77777777" w:rsidR="00F31F04" w:rsidRDefault="00F31F04">
            <w:pPr>
              <w:rPr>
                <w:rFonts w:ascii="Open Sans Light" w:hAnsi="Open Sans Light" w:cs="Open Sans Light"/>
                <w:color w:val="000000"/>
                <w:sz w:val="16"/>
                <w:szCs w:val="16"/>
              </w:rPr>
            </w:pPr>
            <w:r>
              <w:rPr>
                <w:rFonts w:ascii="Open Sans Light" w:hAnsi="Open Sans Light" w:cs="Open Sans Light"/>
                <w:color w:val="000000"/>
                <w:sz w:val="16"/>
                <w:szCs w:val="16"/>
              </w:rPr>
              <w:t>Grants in lieu of royalties</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A8D5AA2"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24</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BDAA7C2"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20</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E628C13"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16</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5A4A37F"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-69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8211CE0"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95D79C4"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2</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2153D7B"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3E4531A"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954E7DB"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69</w:t>
            </w:r>
          </w:p>
        </w:tc>
      </w:tr>
      <w:tr w:rsidR="00F31F04" w14:paraId="2CB57F6E" w14:textId="77777777" w:rsidTr="00071119">
        <w:trPr>
          <w:trHeight w:val="315"/>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10BEF0F9" w14:textId="77777777" w:rsidR="00F31F04" w:rsidRDefault="00F31F04">
            <w:pPr>
              <w:rPr>
                <w:rFonts w:ascii="Open Sans Light" w:hAnsi="Open Sans Light" w:cs="Open Sans Light"/>
                <w:color w:val="000000"/>
                <w:sz w:val="16"/>
                <w:szCs w:val="16"/>
              </w:rPr>
            </w:pPr>
            <w:r>
              <w:rPr>
                <w:rFonts w:ascii="Open Sans Light" w:hAnsi="Open Sans Light" w:cs="Open Sans Light"/>
                <w:color w:val="000000"/>
                <w:sz w:val="16"/>
                <w:szCs w:val="16"/>
              </w:rPr>
              <w:t>Iron Ore</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82F3729"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-369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663C3F0"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-305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C608FD4"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-244</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F7A6FFC"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1,049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7270AB0"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-69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FD1CA65"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-31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E4E50F7"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-21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D85107C"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4D64F86"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1,049</w:t>
            </w:r>
          </w:p>
        </w:tc>
      </w:tr>
      <w:tr w:rsidR="00F31F04" w14:paraId="554C7337" w14:textId="77777777" w:rsidTr="00071119">
        <w:trPr>
          <w:trHeight w:val="315"/>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49E657D5" w14:textId="77777777" w:rsidR="00F31F04" w:rsidRDefault="00F31F04">
            <w:pPr>
              <w:rPr>
                <w:rFonts w:ascii="Open Sans Light" w:hAnsi="Open Sans Light" w:cs="Open Sans Light"/>
                <w:color w:val="000000"/>
                <w:sz w:val="16"/>
                <w:szCs w:val="16"/>
              </w:rPr>
            </w:pPr>
            <w:r>
              <w:rPr>
                <w:rFonts w:ascii="Open Sans Light" w:hAnsi="Open Sans Light" w:cs="Open Sans Light"/>
                <w:color w:val="000000"/>
                <w:sz w:val="16"/>
                <w:szCs w:val="16"/>
              </w:rPr>
              <w:t>Coal</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4C45B0D"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-17</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BE5BEF1"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939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7DAE663"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-1,735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3C53EB5"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394</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10357F5"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248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852204E"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75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1AE230F"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63</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083BE4E"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34</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9289797"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1,753</w:t>
            </w:r>
          </w:p>
        </w:tc>
      </w:tr>
      <w:tr w:rsidR="00F31F04" w14:paraId="080D1BDD" w14:textId="77777777" w:rsidTr="00071119">
        <w:trPr>
          <w:trHeight w:val="315"/>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70ECEC61" w14:textId="77777777" w:rsidR="00F31F04" w:rsidRDefault="00F31F04">
            <w:pPr>
              <w:rPr>
                <w:rFonts w:ascii="Open Sans Light" w:hAnsi="Open Sans Light" w:cs="Open Sans Light"/>
                <w:color w:val="000000"/>
                <w:sz w:val="16"/>
                <w:szCs w:val="16"/>
              </w:rPr>
            </w:pPr>
            <w:r>
              <w:rPr>
                <w:rFonts w:ascii="Open Sans Light" w:hAnsi="Open Sans Light" w:cs="Open Sans Light"/>
                <w:color w:val="000000"/>
                <w:sz w:val="16"/>
                <w:szCs w:val="16"/>
              </w:rPr>
              <w:t>Gold</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4C35388D"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0</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30C7680B"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8</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6CEF3A45"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-5</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309B65D3"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-3</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549E13C3"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4F68FDF3"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09E33284"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0</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6C15A042"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w:t>
            </w:r>
          </w:p>
        </w:tc>
        <w:tc>
          <w:tcPr>
            <w:tcW w:w="68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14B1E78F"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10</w:t>
            </w:r>
          </w:p>
        </w:tc>
      </w:tr>
      <w:tr w:rsidR="00F31F04" w14:paraId="000A27EE" w14:textId="77777777" w:rsidTr="00071119">
        <w:trPr>
          <w:trHeight w:val="315"/>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79F2A8A0" w14:textId="77777777" w:rsidR="00F31F04" w:rsidRDefault="00F31F04">
            <w:pPr>
              <w:rPr>
                <w:rFonts w:ascii="Open Sans Light" w:hAnsi="Open Sans Light" w:cs="Open Sans Light"/>
                <w:color w:val="000000"/>
                <w:sz w:val="16"/>
                <w:szCs w:val="16"/>
              </w:rPr>
            </w:pPr>
            <w:r>
              <w:rPr>
                <w:rFonts w:ascii="Open Sans Light" w:hAnsi="Open Sans Light" w:cs="Open Sans Light"/>
                <w:color w:val="000000"/>
                <w:sz w:val="16"/>
                <w:szCs w:val="16"/>
              </w:rPr>
              <w:t>Copper</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D3BFCEE"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-3</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1632B93"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-7</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48B7CA5"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639A267"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C1828CD"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-2</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5E22315"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F68919A"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0</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9A6AAE6"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0</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9F6E70A"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13</w:t>
            </w:r>
          </w:p>
        </w:tc>
      </w:tr>
      <w:tr w:rsidR="00F31F04" w14:paraId="0E303D2B" w14:textId="77777777" w:rsidTr="00071119">
        <w:trPr>
          <w:trHeight w:val="315"/>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20AA78E7" w14:textId="77777777" w:rsidR="00F31F04" w:rsidRDefault="00F31F04">
            <w:pPr>
              <w:rPr>
                <w:rFonts w:ascii="Open Sans Light" w:hAnsi="Open Sans Light" w:cs="Open Sans Light"/>
                <w:color w:val="000000"/>
                <w:sz w:val="16"/>
                <w:szCs w:val="16"/>
              </w:rPr>
            </w:pPr>
            <w:r>
              <w:rPr>
                <w:rFonts w:ascii="Open Sans Light" w:hAnsi="Open Sans Light" w:cs="Open Sans Light"/>
                <w:color w:val="000000"/>
                <w:sz w:val="16"/>
                <w:szCs w:val="16"/>
              </w:rPr>
              <w:t>Lithium</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6ED0C89"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59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F06CA5A"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49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28D855D"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39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5A41E9C5"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-168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DB2121E"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13</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36DE3CA"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4</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9C87C85"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3</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2B5DE6BD"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2</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C69B421"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168</w:t>
            </w:r>
          </w:p>
        </w:tc>
      </w:tr>
      <w:tr w:rsidR="00F31F04" w14:paraId="4FDF2369" w14:textId="77777777" w:rsidTr="00071119">
        <w:trPr>
          <w:trHeight w:val="315"/>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6BA752AA" w14:textId="77777777" w:rsidR="00F31F04" w:rsidRDefault="00F31F04">
            <w:pPr>
              <w:rPr>
                <w:rFonts w:ascii="Open Sans Light" w:hAnsi="Open Sans Light" w:cs="Open Sans Light"/>
                <w:color w:val="000000"/>
                <w:sz w:val="16"/>
                <w:szCs w:val="16"/>
              </w:rPr>
            </w:pPr>
            <w:r>
              <w:rPr>
                <w:rFonts w:ascii="Open Sans Light" w:hAnsi="Open Sans Light" w:cs="Open Sans Light"/>
                <w:color w:val="000000"/>
                <w:sz w:val="16"/>
                <w:szCs w:val="16"/>
              </w:rPr>
              <w:t>Nickel</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D1B3EDE"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9478EE8"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9424653"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E90DB81"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3</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641DFB9"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0</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830796C"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6AF0D6E"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0</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34A33610"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0</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745DDC73"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3</w:t>
            </w:r>
          </w:p>
        </w:tc>
      </w:tr>
      <w:tr w:rsidR="00F31F04" w14:paraId="24549D4A" w14:textId="77777777" w:rsidTr="00071119">
        <w:trPr>
          <w:trHeight w:val="315"/>
        </w:trPr>
        <w:tc>
          <w:tcPr>
            <w:tcW w:w="2820" w:type="dxa"/>
            <w:tcBorders>
              <w:top w:val="single" w:sz="4" w:space="0" w:color="ADD6EA"/>
              <w:left w:val="nil"/>
              <w:bottom w:val="nil"/>
              <w:right w:val="nil"/>
            </w:tcBorders>
            <w:shd w:val="clear" w:color="auto" w:fill="auto"/>
            <w:tcMar>
              <w:top w:w="15" w:type="dxa"/>
              <w:left w:w="108" w:type="dxa"/>
              <w:bottom w:w="0" w:type="dxa"/>
              <w:right w:w="108" w:type="dxa"/>
            </w:tcMar>
            <w:vAlign w:val="center"/>
            <w:hideMark/>
          </w:tcPr>
          <w:p w14:paraId="3E5E41E5" w14:textId="77777777" w:rsidR="00F31F04" w:rsidRDefault="00F31F04">
            <w:pPr>
              <w:rPr>
                <w:rFonts w:ascii="Open Sans Light" w:hAnsi="Open Sans Light" w:cs="Open Sans Light"/>
                <w:color w:val="000000"/>
                <w:sz w:val="16"/>
                <w:szCs w:val="16"/>
              </w:rPr>
            </w:pPr>
            <w:r>
              <w:rPr>
                <w:rFonts w:ascii="Open Sans Light" w:hAnsi="Open Sans Light" w:cs="Open Sans Light"/>
                <w:color w:val="000000"/>
                <w:sz w:val="16"/>
                <w:szCs w:val="16"/>
              </w:rPr>
              <w:t>Other minerals (a)</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112C45C"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151</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803D2EB"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128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15BF3E84"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-358</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4CE09D2"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53</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4F5B9C26"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3</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8823600"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5</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65E4976"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9</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6A34F4D4"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10</w:t>
            </w:r>
          </w:p>
        </w:tc>
        <w:tc>
          <w:tcPr>
            <w:tcW w:w="0" w:type="auto"/>
            <w:tcBorders>
              <w:top w:val="single" w:sz="4" w:space="0" w:color="ADD6EA"/>
              <w:left w:val="nil"/>
              <w:bottom w:val="nil"/>
              <w:right w:val="nil"/>
            </w:tcBorders>
            <w:shd w:val="clear" w:color="auto" w:fill="auto"/>
            <w:noWrap/>
            <w:tcMar>
              <w:top w:w="15" w:type="dxa"/>
              <w:left w:w="108" w:type="dxa"/>
              <w:bottom w:w="0" w:type="dxa"/>
              <w:right w:w="108" w:type="dxa"/>
            </w:tcMar>
            <w:vAlign w:val="center"/>
            <w:hideMark/>
          </w:tcPr>
          <w:p w14:paraId="0CA1555E" w14:textId="77777777" w:rsidR="00F31F04" w:rsidRDefault="00F31F04">
            <w:pPr>
              <w:jc w:val="right"/>
              <w:rPr>
                <w:rFonts w:ascii="Open Sans Light" w:hAnsi="Open Sans Light" w:cs="Open Sans Light"/>
                <w:color w:val="000000"/>
                <w:sz w:val="16"/>
                <w:szCs w:val="16"/>
              </w:rPr>
            </w:pPr>
            <w:r>
              <w:rPr>
                <w:rFonts w:ascii="Open Sans Light" w:hAnsi="Open Sans Light" w:cs="Open Sans Light"/>
                <w:color w:val="000000"/>
                <w:sz w:val="16"/>
                <w:szCs w:val="16"/>
              </w:rPr>
              <w:t>358</w:t>
            </w:r>
          </w:p>
        </w:tc>
      </w:tr>
      <w:tr w:rsidR="00F31F04" w14:paraId="158C093F" w14:textId="77777777" w:rsidTr="00071119">
        <w:trPr>
          <w:trHeight w:val="315"/>
        </w:trPr>
        <w:tc>
          <w:tcPr>
            <w:tcW w:w="2820" w:type="dxa"/>
            <w:tcBorders>
              <w:top w:val="single" w:sz="4" w:space="0" w:color="ADD6EA"/>
              <w:left w:val="nil"/>
              <w:bottom w:val="single" w:sz="4" w:space="0" w:color="ADD6EA"/>
              <w:right w:val="nil"/>
            </w:tcBorders>
            <w:shd w:val="clear" w:color="000000" w:fill="D6E7F0"/>
            <w:tcMar>
              <w:top w:w="15" w:type="dxa"/>
              <w:left w:w="108" w:type="dxa"/>
              <w:bottom w:w="0" w:type="dxa"/>
              <w:right w:w="108" w:type="dxa"/>
            </w:tcMar>
            <w:vAlign w:val="center"/>
            <w:hideMark/>
          </w:tcPr>
          <w:p w14:paraId="5D22E4D1" w14:textId="77777777" w:rsidR="00F31F04" w:rsidRDefault="00F31F04">
            <w:pPr>
              <w:rPr>
                <w:rFonts w:ascii="Open Sans Semibold" w:hAnsi="Open Sans Semibold" w:cs="Open Sans Semibold"/>
                <w:color w:val="000000"/>
                <w:sz w:val="16"/>
                <w:szCs w:val="16"/>
              </w:rPr>
            </w:pPr>
            <w:r>
              <w:rPr>
                <w:rFonts w:ascii="Open Sans Semibold" w:hAnsi="Open Sans Semibold" w:cs="Open Sans Semibold"/>
                <w:color w:val="000000"/>
                <w:sz w:val="16"/>
                <w:szCs w:val="16"/>
              </w:rPr>
              <w:t>Total</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1EB103F7"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-156</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07F1CCA3"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831</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62443BA4"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-2,283</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6EB0E5C8"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1,268</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136C1661"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197</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34A3504B"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53</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784C2AE7"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55</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1D16E212"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36</w:t>
            </w:r>
          </w:p>
        </w:tc>
        <w:tc>
          <w:tcPr>
            <w:tcW w:w="0" w:type="auto"/>
            <w:tcBorders>
              <w:top w:val="single" w:sz="4" w:space="0" w:color="ADD6EA"/>
              <w:left w:val="nil"/>
              <w:bottom w:val="single" w:sz="4" w:space="0" w:color="ADD6EA"/>
              <w:right w:val="nil"/>
            </w:tcBorders>
            <w:shd w:val="clear" w:color="000000" w:fill="D6E7F0"/>
            <w:noWrap/>
            <w:tcMar>
              <w:top w:w="15" w:type="dxa"/>
              <w:left w:w="108" w:type="dxa"/>
              <w:bottom w:w="0" w:type="dxa"/>
              <w:right w:w="108" w:type="dxa"/>
            </w:tcMar>
            <w:vAlign w:val="center"/>
            <w:hideMark/>
          </w:tcPr>
          <w:p w14:paraId="11EB93A6" w14:textId="77777777" w:rsidR="00F31F04" w:rsidRDefault="00F31F04">
            <w:pPr>
              <w:jc w:val="right"/>
              <w:rPr>
                <w:rFonts w:ascii="Open Sans Semibold" w:hAnsi="Open Sans Semibold" w:cs="Open Sans Semibold"/>
                <w:color w:val="000000"/>
                <w:sz w:val="16"/>
                <w:szCs w:val="16"/>
              </w:rPr>
            </w:pPr>
            <w:r>
              <w:rPr>
                <w:rFonts w:ascii="Open Sans Semibold" w:hAnsi="Open Sans Semibold" w:cs="Open Sans Semibold"/>
                <w:color w:val="000000"/>
                <w:sz w:val="16"/>
                <w:szCs w:val="16"/>
              </w:rPr>
              <w:t>2,439</w:t>
            </w:r>
          </w:p>
        </w:tc>
      </w:tr>
    </w:tbl>
    <w:p w14:paraId="04C156FF" w14:textId="384B635E" w:rsidR="00453B90" w:rsidRDefault="00F31F04" w:rsidP="00453B90">
      <w:pPr>
        <w:pStyle w:val="CGC2025TableNote"/>
        <w:numPr>
          <w:ilvl w:val="0"/>
          <w:numId w:val="29"/>
        </w:numPr>
      </w:pPr>
      <w:r w:rsidRPr="004F396A">
        <w:t xml:space="preserve"> </w:t>
      </w:r>
      <w:r w:rsidR="00594B22" w:rsidRPr="004F396A">
        <w:t>For confidentiality reasons, the Commission does not publish data on its bauxite and onshore oil and gas assessments. This assessment is an aggregation of the bauxite, onshore oil and gas and other minerals assessments.</w:t>
      </w:r>
    </w:p>
    <w:p w14:paraId="3FE1CA52" w14:textId="77777777" w:rsidR="00453B90" w:rsidRPr="00DD14CC" w:rsidRDefault="00453B90" w:rsidP="00453B90">
      <w:pPr>
        <w:rPr>
          <w:highlight w:val="yellow"/>
        </w:rPr>
      </w:pPr>
      <w:r w:rsidRPr="007315C0">
        <w:t>Compared with 2020</w:t>
      </w:r>
      <w:r w:rsidRPr="00DD14CC">
        <w:t xml:space="preserve">–21, iron ore royalties decreased by 8% in 2023–24. This reduced Western Australia’s assessed iron ore capacity (and increased its assessed GST needs). The assessed GST needs of the other states reduced. </w:t>
      </w:r>
    </w:p>
    <w:p w14:paraId="541B84BA" w14:textId="77777777" w:rsidR="00453B90" w:rsidRPr="00DD14CC" w:rsidRDefault="00453B90" w:rsidP="00453B90">
      <w:r w:rsidRPr="00DD14CC">
        <w:lastRenderedPageBreak/>
        <w:t xml:space="preserve">Coal royalties have grown strongly in recent years, reaching a peak in 2022–23. Despite retreating from that peak, 2023–24 coal royalties remained significantly higher than in 2020–21. This significantly increased the assessed revenue capacities of the coal producing states of New South Wales, and particularly Queensland, reducing their assessed GST needs and increasing those of the other states. The impact was larger for Queensland due to its larger share of the production of high-value coal. See Box 2-2 for an explanation on the effects of increasing coal royalties on GST distribution. </w:t>
      </w:r>
    </w:p>
    <w:p w14:paraId="3EBFC4B6" w14:textId="77777777" w:rsidR="00453B90" w:rsidRPr="007315C0" w:rsidRDefault="00453B90" w:rsidP="00453B90">
      <w:r w:rsidRPr="00DD14CC">
        <w:t>Although also falling from 2022–23 peaks, lithium royalties and onshore oil and gas royalties were higher in 2023–24 th</w:t>
      </w:r>
      <w:r w:rsidRPr="007315C0">
        <w:t>an in 2020–21. This reduced the assessed GST needs of Queensland and Western Australia, respectively, and increased those of the other states.</w:t>
      </w:r>
    </w:p>
    <w:p w14:paraId="7BE773E0" w14:textId="0BBCE8A6" w:rsidR="00453B90" w:rsidRPr="00453B90" w:rsidRDefault="00453B90" w:rsidP="00453B90">
      <w:r w:rsidRPr="007315C0">
        <w:t>Overall, the changes in states’ mining royalties</w:t>
      </w:r>
      <w:r w:rsidRPr="00DD14CC">
        <w:t xml:space="preserve"> reduced the assessed GST needs of New</w:t>
      </w:r>
      <w:r w:rsidR="00EB2F60">
        <w:t> </w:t>
      </w:r>
      <w:r w:rsidRPr="00DD14CC">
        <w:t>South Wales and Queensland and increased those of the other states.</w:t>
      </w:r>
    </w:p>
    <w:p w14:paraId="45148FE9" w14:textId="4696835B" w:rsidR="00F568A9" w:rsidRPr="00F568A9" w:rsidRDefault="00FA6D4D" w:rsidP="00F568A9">
      <w:r>
        <w:rPr>
          <w:noProof/>
        </w:rPr>
        <mc:AlternateContent>
          <mc:Choice Requires="wps">
            <w:drawing>
              <wp:anchor distT="45720" distB="45720" distL="114300" distR="114300" simplePos="0" relativeHeight="251658259" behindDoc="0" locked="0" layoutInCell="1" allowOverlap="1" wp14:anchorId="49298934" wp14:editId="0CECA444">
                <wp:simplePos x="0" y="0"/>
                <wp:positionH relativeFrom="margin">
                  <wp:align>left</wp:align>
                </wp:positionH>
                <wp:positionV relativeFrom="paragraph">
                  <wp:posOffset>323850</wp:posOffset>
                </wp:positionV>
                <wp:extent cx="5853600" cy="5907600"/>
                <wp:effectExtent l="0" t="0" r="13970" b="17145"/>
                <wp:wrapSquare wrapText="bothSides"/>
                <wp:docPr id="862309828" name="Text Box 862309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600" cy="5907600"/>
                        </a:xfrm>
                        <a:prstGeom prst="rect">
                          <a:avLst/>
                        </a:prstGeom>
                        <a:solidFill>
                          <a:srgbClr val="E5F8FF"/>
                        </a:solidFill>
                        <a:ln w="9525">
                          <a:solidFill>
                            <a:schemeClr val="bg1"/>
                          </a:solidFill>
                          <a:miter lim="800000"/>
                          <a:headEnd/>
                          <a:tailEnd/>
                        </a:ln>
                      </wps:spPr>
                      <wps:txbx>
                        <w:txbxContent>
                          <w:p w14:paraId="1EC22BDD" w14:textId="77777777" w:rsidR="00F568A9" w:rsidRDefault="00F568A9" w:rsidP="00CB5D5E">
                            <w:pPr>
                              <w:pStyle w:val="HeadingBox-Level3"/>
                            </w:pPr>
                            <w:bookmarkStart w:id="122" w:name="_Toc190780941"/>
                            <w:r>
                              <w:t>Box 2-2</w:t>
                            </w:r>
                            <w:r>
                              <w:tab/>
                              <w:t>Coal royalties and GST distribution</w:t>
                            </w:r>
                            <w:bookmarkEnd w:id="122"/>
                            <w:r>
                              <w:t xml:space="preserve"> </w:t>
                            </w:r>
                          </w:p>
                          <w:p w14:paraId="1A1972DD" w14:textId="77777777" w:rsidR="00F568A9" w:rsidRDefault="00F568A9" w:rsidP="00F568A9">
                            <w:r>
                              <w:t>Mining activity</w:t>
                            </w:r>
                            <w:r w:rsidDel="00331E24">
                              <w:t xml:space="preserve"> </w:t>
                            </w:r>
                            <w:r>
                              <w:t>has a large influence on state GST shares</w:t>
                            </w:r>
                            <w:r w:rsidRPr="003E6C4F">
                              <w:t>.</w:t>
                            </w:r>
                            <w:r>
                              <w:t xml:space="preserve"> When states experience strong growth in the value of mining production, their revenue capacity rises and, in response, the GST distribution arrangements assess them to require less GST. Other states’ assessed GST needs increase.</w:t>
                            </w:r>
                          </w:p>
                          <w:p w14:paraId="5D5836E4" w14:textId="77777777" w:rsidR="00F568A9" w:rsidRDefault="00F568A9" w:rsidP="00F568A9">
                            <w:r>
                              <w:t>Figure 2-1 shows coal royalty revenue rising substantially</w:t>
                            </w:r>
                            <w:r w:rsidRPr="00515103">
                              <w:t xml:space="preserve"> </w:t>
                            </w:r>
                            <w:r>
                              <w:t>in recent years, increasing the revenues in coal producing states. However, the increases have not been uniform. Queensland’s coal royalties rose significantly faster than those of other states.</w:t>
                            </w:r>
                          </w:p>
                          <w:p w14:paraId="1C3EA1EC" w14:textId="77777777" w:rsidR="00F568A9" w:rsidRPr="00721520" w:rsidRDefault="00F568A9" w:rsidP="00AD325C">
                            <w:pPr>
                              <w:pStyle w:val="CGC2025Caption"/>
                            </w:pPr>
                            <w:r w:rsidRPr="00721520">
                              <w:t>Figure 2-</w:t>
                            </w:r>
                            <w:r>
                              <w:t>1</w:t>
                            </w:r>
                            <w:r w:rsidRPr="00721520">
                              <w:tab/>
                            </w:r>
                            <w:r>
                              <w:t>Per capita coal r</w:t>
                            </w:r>
                            <w:r w:rsidRPr="00721520">
                              <w:t>oyalty revenue, 201</w:t>
                            </w:r>
                            <w:r>
                              <w:t>0–</w:t>
                            </w:r>
                            <w:r w:rsidRPr="00721520">
                              <w:t>1</w:t>
                            </w:r>
                            <w:r>
                              <w:t>1</w:t>
                            </w:r>
                            <w:r w:rsidRPr="00721520">
                              <w:t xml:space="preserve"> to 202</w:t>
                            </w:r>
                            <w:r>
                              <w:t>3–</w:t>
                            </w:r>
                            <w:r w:rsidRPr="00721520">
                              <w:t>2</w:t>
                            </w:r>
                            <w:r>
                              <w:t>4</w:t>
                            </w:r>
                          </w:p>
                          <w:p w14:paraId="29D68D16" w14:textId="77777777" w:rsidR="00F568A9" w:rsidRDefault="00F568A9" w:rsidP="00F568A9">
                            <w:r>
                              <w:rPr>
                                <w:noProof/>
                                <w14:ligatures w14:val="standardContextual"/>
                              </w:rPr>
                              <w:drawing>
                                <wp:inline distT="0" distB="0" distL="0" distR="0" wp14:anchorId="53817F9D" wp14:editId="2A098440">
                                  <wp:extent cx="5652000" cy="3564000"/>
                                  <wp:effectExtent l="0" t="0" r="6350" b="17780"/>
                                  <wp:docPr id="271295653" name="Chart 1">
                                    <a:extLst xmlns:a="http://schemas.openxmlformats.org/drawingml/2006/main">
                                      <a:ext uri="{FF2B5EF4-FFF2-40B4-BE49-F238E27FC236}">
                                        <a16:creationId xmlns:a16="http://schemas.microsoft.com/office/drawing/2014/main" id="{6DBE0E0A-219A-A6CE-D4B2-E1CF6267E8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782D9D">
                              <w:t xml:space="preserve"> </w:t>
                            </w:r>
                          </w:p>
                          <w:p w14:paraId="26EF613B" w14:textId="77777777" w:rsidR="00F568A9" w:rsidRDefault="00F568A9" w:rsidP="00A1350C">
                            <w:pPr>
                              <w:pStyle w:val="CGC2025TableNote"/>
                            </w:pPr>
                            <w:r w:rsidRPr="003E6C4F">
                              <w:t xml:space="preserve">Source: </w:t>
                            </w:r>
                            <w:r>
                              <w:t>A</w:t>
                            </w:r>
                            <w:r w:rsidRPr="003E6C4F">
                              <w:t>nnual data provided by states</w:t>
                            </w:r>
                            <w:r>
                              <w:t>.</w:t>
                            </w:r>
                          </w:p>
                          <w:p w14:paraId="4871DEEA" w14:textId="77777777" w:rsidR="00F568A9" w:rsidRPr="00B70129" w:rsidRDefault="00F568A9" w:rsidP="00F568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298934" id="Text Box 862309828" o:spid="_x0000_s1039" type="#_x0000_t202" style="position:absolute;margin-left:0;margin-top:25.5pt;width:460.9pt;height:465.15pt;z-index:25165825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" fillcolor="#e5f8ff" strokecolor="white [3212]">
                <v:textbox>
                  <w:txbxContent>
                    <w:p w14:paraId="1EC22BDD" w14:textId="77777777" w:rsidR="00F568A9" w:rsidRDefault="00F568A9" w:rsidP="00CB5D5E">
                      <w:pPr>
                        <w:pStyle w:val="HeadingBox-Level3"/>
                      </w:pPr>
                      <w:bookmarkStart w:id="136" w:name="_Toc190780941"/>
                      <w:r>
                        <w:t>Box 2-2</w:t>
                      </w:r>
                      <w:r>
                        <w:tab/>
                        <w:t>Coal royalties and GST distribution</w:t>
                      </w:r>
                      <w:bookmarkEnd w:id="136"/>
                      <w:r>
                        <w:t xml:space="preserve"> </w:t>
                      </w:r>
                    </w:p>
                    <w:p w14:paraId="1A1972DD" w14:textId="77777777" w:rsidR="00F568A9" w:rsidRDefault="00F568A9" w:rsidP="00F568A9">
                      <w:r>
                        <w:t>Mining activity</w:t>
                      </w:r>
                      <w:r w:rsidDel="00331E24">
                        <w:t xml:space="preserve"> </w:t>
                      </w:r>
                      <w:r>
                        <w:t>has a large influence on state GST shares</w:t>
                      </w:r>
                      <w:r w:rsidRPr="003E6C4F">
                        <w:t>.</w:t>
                      </w:r>
                      <w:r>
                        <w:t xml:space="preserve"> When states experience strong growth in the value of mining production, their revenue capacity rises and, in response, the GST distribution arrangements assess them to require less GST. Other states’ assessed GST needs increase.</w:t>
                      </w:r>
                    </w:p>
                    <w:p w14:paraId="5D5836E4" w14:textId="77777777" w:rsidR="00F568A9" w:rsidRDefault="00F568A9" w:rsidP="00F568A9">
                      <w:r>
                        <w:t>Figure 2-1 shows coal royalty revenue rising substantially</w:t>
                      </w:r>
                      <w:r w:rsidRPr="00515103">
                        <w:t xml:space="preserve"> </w:t>
                      </w:r>
                      <w:r>
                        <w:t>in recent years, increasing the revenues in coal producing states. However, the increases have not been uniform. Queensland’s coal royalties rose significantly faster than those of other states.</w:t>
                      </w:r>
                    </w:p>
                    <w:p w14:paraId="1C3EA1EC" w14:textId="77777777" w:rsidR="00F568A9" w:rsidRPr="00721520" w:rsidRDefault="00F568A9" w:rsidP="00AD325C">
                      <w:pPr>
                        <w:pStyle w:val="CGC2025Caption"/>
                      </w:pPr>
                      <w:r w:rsidRPr="00721520">
                        <w:t>Figure 2-</w:t>
                      </w:r>
                      <w:r>
                        <w:t>1</w:t>
                      </w:r>
                      <w:r w:rsidRPr="00721520">
                        <w:tab/>
                      </w:r>
                      <w:r>
                        <w:t>Per capita coal r</w:t>
                      </w:r>
                      <w:r w:rsidRPr="00721520">
                        <w:t>oyalty revenue, 201</w:t>
                      </w:r>
                      <w:r>
                        <w:t>0–</w:t>
                      </w:r>
                      <w:r w:rsidRPr="00721520">
                        <w:t>1</w:t>
                      </w:r>
                      <w:r>
                        <w:t>1</w:t>
                      </w:r>
                      <w:r w:rsidRPr="00721520">
                        <w:t xml:space="preserve"> to 202</w:t>
                      </w:r>
                      <w:r>
                        <w:t>3–</w:t>
                      </w:r>
                      <w:r w:rsidRPr="00721520">
                        <w:t>2</w:t>
                      </w:r>
                      <w:r>
                        <w:t>4</w:t>
                      </w:r>
                    </w:p>
                    <w:p w14:paraId="29D68D16" w14:textId="77777777" w:rsidR="00F568A9" w:rsidRDefault="00F568A9" w:rsidP="00F568A9">
                      <w:r>
                        <w:rPr>
                          <w:noProof/>
                          <w14:ligatures w14:val="standardContextual"/>
                        </w:rPr>
                        <w:drawing>
                          <wp:inline distT="0" distB="0" distL="0" distR="0" wp14:anchorId="53817F9D" wp14:editId="2A098440">
                            <wp:extent cx="5652000" cy="3564000"/>
                            <wp:effectExtent l="0" t="0" r="6350" b="17780"/>
                            <wp:docPr id="271295653" name="Chart 1">
                              <a:extLst xmlns:a="http://schemas.openxmlformats.org/drawingml/2006/main">
                                <a:ext uri="{FF2B5EF4-FFF2-40B4-BE49-F238E27FC236}">
                                  <a16:creationId xmlns:a16="http://schemas.microsoft.com/office/drawing/2014/main" id="{6DBE0E0A-219A-A6CE-D4B2-E1CF6267E8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782D9D">
                        <w:t xml:space="preserve"> </w:t>
                      </w:r>
                    </w:p>
                    <w:p w14:paraId="26EF613B" w14:textId="77777777" w:rsidR="00F568A9" w:rsidRDefault="00F568A9" w:rsidP="00A1350C">
                      <w:pPr>
                        <w:pStyle w:val="CGC2025TableNote"/>
                      </w:pPr>
                      <w:r w:rsidRPr="003E6C4F">
                        <w:t xml:space="preserve">Source: </w:t>
                      </w:r>
                      <w:r>
                        <w:t>A</w:t>
                      </w:r>
                      <w:r w:rsidRPr="003E6C4F">
                        <w:t>nnual data provided by states</w:t>
                      </w:r>
                      <w:r>
                        <w:t>.</w:t>
                      </w:r>
                    </w:p>
                    <w:p w14:paraId="4871DEEA" w14:textId="77777777" w:rsidR="00F568A9" w:rsidRPr="00B70129" w:rsidRDefault="00F568A9" w:rsidP="00F568A9"/>
                  </w:txbxContent>
                </v:textbox>
                <w10:wrap type="square" anchorx="margin"/>
              </v:shape>
            </w:pict>
          </mc:Fallback>
        </mc:AlternateContent>
      </w:r>
    </w:p>
    <w:bookmarkStart w:id="123" w:name="_Hlk189734657"/>
    <w:p w14:paraId="7460D4BF" w14:textId="06B79535" w:rsidR="00C4510A" w:rsidRPr="00DD14CC" w:rsidRDefault="001E7265" w:rsidP="00251235">
      <w:pPr>
        <w:pStyle w:val="Heading4"/>
      </w:pPr>
      <w:r>
        <w:rPr>
          <w:noProof/>
        </w:rPr>
        <w:lastRenderedPageBreak/>
        <mc:AlternateContent>
          <mc:Choice Requires="wps">
            <w:drawing>
              <wp:anchor distT="45720" distB="45720" distL="114300" distR="114300" simplePos="0" relativeHeight="251658262" behindDoc="0" locked="0" layoutInCell="1" allowOverlap="1" wp14:anchorId="31334105" wp14:editId="0498F183">
                <wp:simplePos x="0" y="0"/>
                <wp:positionH relativeFrom="margin">
                  <wp:posOffset>0</wp:posOffset>
                </wp:positionH>
                <wp:positionV relativeFrom="paragraph">
                  <wp:posOffset>224155</wp:posOffset>
                </wp:positionV>
                <wp:extent cx="5853430" cy="6724650"/>
                <wp:effectExtent l="0" t="0" r="13970" b="19050"/>
                <wp:wrapSquare wrapText="bothSides"/>
                <wp:docPr id="753360831" name="Text Box 753360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430" cy="6724650"/>
                        </a:xfrm>
                        <a:prstGeom prst="rect">
                          <a:avLst/>
                        </a:prstGeom>
                        <a:solidFill>
                          <a:srgbClr val="E5F8FF"/>
                        </a:solidFill>
                        <a:ln w="9525">
                          <a:solidFill>
                            <a:schemeClr val="bg1"/>
                          </a:solidFill>
                          <a:miter lim="800000"/>
                          <a:headEnd/>
                          <a:tailEnd/>
                        </a:ln>
                      </wps:spPr>
                      <wps:txbx>
                        <w:txbxContent>
                          <w:p w14:paraId="7456926D" w14:textId="77777777" w:rsidR="001E7265" w:rsidRDefault="001E7265" w:rsidP="00CB5D5E">
                            <w:pPr>
                              <w:pStyle w:val="HeadingBox-Level3"/>
                            </w:pPr>
                            <w:bookmarkStart w:id="124" w:name="_Toc190780942"/>
                            <w:r>
                              <w:t>Box 2-2</w:t>
                            </w:r>
                            <w:r>
                              <w:tab/>
                              <w:t>Coal royalties and GST distribution (continued)</w:t>
                            </w:r>
                            <w:bookmarkEnd w:id="124"/>
                          </w:p>
                          <w:p w14:paraId="383C5862" w14:textId="77777777" w:rsidR="001E7265" w:rsidRDefault="001E7265" w:rsidP="001E7265">
                            <w:r>
                              <w:t>Queensland’s royalties grew faster for 2 reasons. First, it produces more high-value coal and the price for high-value coal rose more than low-value coal (see Figure 2-2). Second, Queensland increased its royalty rates from July 2022.</w:t>
                            </w:r>
                          </w:p>
                          <w:p w14:paraId="7E1779F2" w14:textId="25757E05" w:rsidR="001E7265" w:rsidRDefault="001E7265" w:rsidP="001E7265">
                            <w:r>
                              <w:t>The Commission changed its approach to assessing coal royalties in response to the recent coal price increases. The change in approach aims to capture the effect of any divergence in coal prices on state royalties</w:t>
                            </w:r>
                            <w:r w:rsidRPr="003E6C4F">
                              <w:t>.</w:t>
                            </w:r>
                            <w:r>
                              <w:t xml:space="preserve"> This split </w:t>
                            </w:r>
                            <w:r w:rsidRPr="00053936">
                              <w:t>recognises that states with high</w:t>
                            </w:r>
                            <w:r w:rsidRPr="00053936">
                              <w:noBreakHyphen/>
                              <w:t xml:space="preserve">value coal have greater revenue raising capacity than states with low-value coal. The impact of the changed approach will increase </w:t>
                            </w:r>
                            <w:r>
                              <w:t>if</w:t>
                            </w:r>
                            <w:r w:rsidRPr="00053936">
                              <w:t xml:space="preserve"> coal prices diverge. While material</w:t>
                            </w:r>
                            <w:r w:rsidR="00090F31">
                              <w:t xml:space="preserve"> in the </w:t>
                            </w:r>
                            <w:r w:rsidR="00B151D3">
                              <w:t>3-year</w:t>
                            </w:r>
                            <w:r w:rsidR="00AB3E6C">
                              <w:t xml:space="preserve"> assessment </w:t>
                            </w:r>
                            <w:r w:rsidR="006834DF">
                              <w:t>period</w:t>
                            </w:r>
                            <w:r w:rsidR="00AB3E6C">
                              <w:t xml:space="preserve"> for </w:t>
                            </w:r>
                            <w:r w:rsidR="00090F31">
                              <w:t>2025</w:t>
                            </w:r>
                            <w:r w:rsidR="006B47F9">
                              <w:t>–</w:t>
                            </w:r>
                            <w:r w:rsidR="00090F31">
                              <w:t>26 GST distribution</w:t>
                            </w:r>
                            <w:r w:rsidRPr="00053936">
                              <w:t>, the change did not have a big effect on assessed GST needs because the divergence of coal prices in 2022</w:t>
                            </w:r>
                            <w:r w:rsidR="00071119">
                              <w:t>–</w:t>
                            </w:r>
                            <w:r w:rsidRPr="00053936">
                              <w:t>23 was small.</w:t>
                            </w:r>
                            <w:r>
                              <w:t xml:space="preserve"> </w:t>
                            </w:r>
                          </w:p>
                          <w:p w14:paraId="65AE2AA7" w14:textId="77777777" w:rsidR="001E7265" w:rsidRPr="00721520" w:rsidRDefault="001E7265" w:rsidP="00AD325C">
                            <w:pPr>
                              <w:pStyle w:val="CGC2025Caption"/>
                            </w:pPr>
                            <w:r w:rsidRPr="00721520">
                              <w:t xml:space="preserve">Figure </w:t>
                            </w:r>
                            <w:r w:rsidRPr="00ED1E82">
                              <w:t>2-</w:t>
                            </w:r>
                            <w:r>
                              <w:t>2</w:t>
                            </w:r>
                            <w:r w:rsidRPr="00721520">
                              <w:tab/>
                            </w:r>
                            <w:r>
                              <w:t>Coal prices</w:t>
                            </w:r>
                            <w:r w:rsidRPr="00721520">
                              <w:t>, 201</w:t>
                            </w:r>
                            <w:r>
                              <w:t>0-11</w:t>
                            </w:r>
                            <w:r w:rsidRPr="00721520">
                              <w:t xml:space="preserve"> to 202</w:t>
                            </w:r>
                            <w:r>
                              <w:t>3–</w:t>
                            </w:r>
                            <w:r w:rsidRPr="00721520">
                              <w:t>2</w:t>
                            </w:r>
                            <w:r>
                              <w:t>4</w:t>
                            </w:r>
                          </w:p>
                          <w:p w14:paraId="65A73EAE" w14:textId="77777777" w:rsidR="001E7265" w:rsidRDefault="001E7265" w:rsidP="001E7265">
                            <w:r>
                              <w:rPr>
                                <w:noProof/>
                                <w14:ligatures w14:val="standardContextual"/>
                              </w:rPr>
                              <w:drawing>
                                <wp:inline distT="0" distB="0" distL="0" distR="0" wp14:anchorId="46A24461" wp14:editId="5A261B92">
                                  <wp:extent cx="5652000" cy="3564000"/>
                                  <wp:effectExtent l="0" t="0" r="6350" b="17780"/>
                                  <wp:docPr id="1505757612" name="Chart 1">
                                    <a:extLst xmlns:a="http://schemas.openxmlformats.org/drawingml/2006/main">
                                      <a:ext uri="{FF2B5EF4-FFF2-40B4-BE49-F238E27FC236}">
                                        <a16:creationId xmlns:a16="http://schemas.microsoft.com/office/drawing/2014/main" id="{94137258-4256-10A3-6F67-74C086A165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C1C7645" w14:textId="77777777" w:rsidR="001E7265" w:rsidRDefault="001E7265" w:rsidP="00C76070">
                            <w:pPr>
                              <w:pStyle w:val="CGC2025TableNote"/>
                            </w:pPr>
                            <w:r w:rsidRPr="003E6C4F">
                              <w:t xml:space="preserve">Source: </w:t>
                            </w:r>
                            <w:r w:rsidRPr="0053546D">
                              <w:t>Department of Industry, Sciences and Resources, Resources and energy quarterly: December 2024, historical data</w:t>
                            </w:r>
                            <w:r>
                              <w:t>.</w:t>
                            </w:r>
                          </w:p>
                          <w:p w14:paraId="4AF225D5" w14:textId="23D102F3" w:rsidR="001E7265" w:rsidRPr="00B70129" w:rsidRDefault="001E7265" w:rsidP="00C76070">
                            <w:pPr>
                              <w:pStyle w:val="CGC2025TableNote"/>
                              <w:ind w:left="680" w:hanging="567"/>
                            </w:pPr>
                            <w:r w:rsidRPr="000A6D6A">
                              <w:t xml:space="preserve">Note: </w:t>
                            </w:r>
                            <w:r w:rsidR="000A6D6A">
                              <w:tab/>
                            </w:r>
                            <w:r w:rsidR="000A6D6A">
                              <w:tab/>
                            </w:r>
                            <w:r w:rsidRPr="000A6D6A">
                              <w:t>The prices shown in the chart are based on average monthly spot prices. They do not necessarily reflect prices producers receive, which are based on contract prices and the quality of the coal sold.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334105" id="Text Box 753360831" o:spid="_x0000_s1040" type="#_x0000_t202" style="position:absolute;margin-left:0;margin-top:17.65pt;width:460.9pt;height:529.5pt;z-index:25165826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" fillcolor="#e5f8ff" strokecolor="white [3212]">
                <v:textbox>
                  <w:txbxContent>
                    <w:p w14:paraId="7456926D" w14:textId="77777777" w:rsidR="001E7265" w:rsidRDefault="001E7265" w:rsidP="00CB5D5E">
                      <w:pPr>
                        <w:pStyle w:val="HeadingBox-Level3"/>
                      </w:pPr>
                      <w:bookmarkStart w:id="139" w:name="_Toc190780942"/>
                      <w:r>
                        <w:t>Box 2-2</w:t>
                      </w:r>
                      <w:r>
                        <w:tab/>
                        <w:t>Coal royalties and GST distribution (continued)</w:t>
                      </w:r>
                      <w:bookmarkEnd w:id="139"/>
                    </w:p>
                    <w:p w14:paraId="383C5862" w14:textId="77777777" w:rsidR="001E7265" w:rsidRDefault="001E7265" w:rsidP="001E7265">
                      <w:r>
                        <w:t>Queensland’s royalties grew faster for 2 reasons. First, it produces more high-value coal and the price for high-value coal rose more than low-value coal (see Figure 2-2). Second, Queensland increased its royalty rates from July 2022.</w:t>
                      </w:r>
                    </w:p>
                    <w:p w14:paraId="7E1779F2" w14:textId="25757E05" w:rsidR="001E7265" w:rsidRDefault="001E7265" w:rsidP="001E7265">
                      <w:r>
                        <w:t>The Commission changed its approach to assessing coal royalties in response to the recent coal price increases. The change in approach aims to capture the effect of any divergence in coal prices on state royalties</w:t>
                      </w:r>
                      <w:r w:rsidRPr="003E6C4F">
                        <w:t>.</w:t>
                      </w:r>
                      <w:r>
                        <w:t xml:space="preserve"> This split </w:t>
                      </w:r>
                      <w:r w:rsidRPr="00053936">
                        <w:t>recognises that states with high</w:t>
                      </w:r>
                      <w:r w:rsidRPr="00053936">
                        <w:noBreakHyphen/>
                        <w:t xml:space="preserve">value coal have greater revenue raising capacity than states with low-value coal. The impact of the changed approach will increase </w:t>
                      </w:r>
                      <w:r>
                        <w:t>if</w:t>
                      </w:r>
                      <w:r w:rsidRPr="00053936">
                        <w:t xml:space="preserve"> coal prices diverge. While material</w:t>
                      </w:r>
                      <w:r w:rsidR="00090F31">
                        <w:t xml:space="preserve"> in the </w:t>
                      </w:r>
                      <w:r w:rsidR="00B151D3">
                        <w:t>3-year</w:t>
                      </w:r>
                      <w:r w:rsidR="00AB3E6C">
                        <w:t xml:space="preserve"> assessment </w:t>
                      </w:r>
                      <w:r w:rsidR="006834DF">
                        <w:t>period</w:t>
                      </w:r>
                      <w:r w:rsidR="00AB3E6C">
                        <w:t xml:space="preserve"> for </w:t>
                      </w:r>
                      <w:r w:rsidR="00090F31">
                        <w:t>2025</w:t>
                      </w:r>
                      <w:r w:rsidR="006B47F9">
                        <w:t>–</w:t>
                      </w:r>
                      <w:r w:rsidR="00090F31">
                        <w:t>26 GST distribution</w:t>
                      </w:r>
                      <w:r w:rsidRPr="00053936">
                        <w:t>, the change did not have a big effect on assessed GST needs because the divergence of coal prices in 2022</w:t>
                      </w:r>
                      <w:r w:rsidR="00071119">
                        <w:t>–</w:t>
                      </w:r>
                      <w:r w:rsidRPr="00053936">
                        <w:t>23 was small.</w:t>
                      </w:r>
                      <w:r>
                        <w:t xml:space="preserve"> </w:t>
                      </w:r>
                    </w:p>
                    <w:p w14:paraId="65AE2AA7" w14:textId="77777777" w:rsidR="001E7265" w:rsidRPr="00721520" w:rsidRDefault="001E7265" w:rsidP="00AD325C">
                      <w:pPr>
                        <w:pStyle w:val="CGC2025Caption"/>
                      </w:pPr>
                      <w:r w:rsidRPr="00721520">
                        <w:t xml:space="preserve">Figure </w:t>
                      </w:r>
                      <w:r w:rsidRPr="00ED1E82">
                        <w:t>2-</w:t>
                      </w:r>
                      <w:r>
                        <w:t>2</w:t>
                      </w:r>
                      <w:r w:rsidRPr="00721520">
                        <w:tab/>
                      </w:r>
                      <w:r>
                        <w:t>Coal prices</w:t>
                      </w:r>
                      <w:r w:rsidRPr="00721520">
                        <w:t>, 201</w:t>
                      </w:r>
                      <w:r>
                        <w:t>0-11</w:t>
                      </w:r>
                      <w:r w:rsidRPr="00721520">
                        <w:t xml:space="preserve"> to 202</w:t>
                      </w:r>
                      <w:r>
                        <w:t>3–</w:t>
                      </w:r>
                      <w:r w:rsidRPr="00721520">
                        <w:t>2</w:t>
                      </w:r>
                      <w:r>
                        <w:t>4</w:t>
                      </w:r>
                    </w:p>
                    <w:p w14:paraId="65A73EAE" w14:textId="77777777" w:rsidR="001E7265" w:rsidRDefault="001E7265" w:rsidP="001E7265">
                      <w:r>
                        <w:rPr>
                          <w:noProof/>
                          <w14:ligatures w14:val="standardContextual"/>
                        </w:rPr>
                        <w:drawing>
                          <wp:inline distT="0" distB="0" distL="0" distR="0" wp14:anchorId="46A24461" wp14:editId="5A261B92">
                            <wp:extent cx="5652000" cy="3564000"/>
                            <wp:effectExtent l="0" t="0" r="6350" b="17780"/>
                            <wp:docPr id="1505757612" name="Chart 1">
                              <a:extLst xmlns:a="http://schemas.openxmlformats.org/drawingml/2006/main">
                                <a:ext uri="{FF2B5EF4-FFF2-40B4-BE49-F238E27FC236}">
                                  <a16:creationId xmlns:a16="http://schemas.microsoft.com/office/drawing/2014/main" id="{94137258-4256-10A3-6F67-74C086A165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C1C7645" w14:textId="77777777" w:rsidR="001E7265" w:rsidRDefault="001E7265" w:rsidP="00C76070">
                      <w:pPr>
                        <w:pStyle w:val="CGC2025TableNote"/>
                      </w:pPr>
                      <w:r w:rsidRPr="003E6C4F">
                        <w:t xml:space="preserve">Source: </w:t>
                      </w:r>
                      <w:r w:rsidRPr="0053546D">
                        <w:t>Department of Industry, Sciences and Resources, Resources and energy quarterly: December 2024, historical data</w:t>
                      </w:r>
                      <w:r>
                        <w:t>.</w:t>
                      </w:r>
                    </w:p>
                    <w:p w14:paraId="4AF225D5" w14:textId="23D102F3" w:rsidR="001E7265" w:rsidRPr="00B70129" w:rsidRDefault="001E7265" w:rsidP="00C76070">
                      <w:pPr>
                        <w:pStyle w:val="CGC2025TableNote"/>
                        <w:ind w:left="680" w:hanging="567"/>
                      </w:pPr>
                      <w:r w:rsidRPr="000A6D6A">
                        <w:t xml:space="preserve">Note: </w:t>
                      </w:r>
                      <w:r w:rsidR="000A6D6A">
                        <w:tab/>
                      </w:r>
                      <w:r w:rsidR="000A6D6A">
                        <w:tab/>
                      </w:r>
                      <w:r w:rsidRPr="000A6D6A">
                        <w:t>The prices shown in the chart are based on average monthly spot prices. They do not necessarily reflect prices producers receive, which are based on contract prices and the quality of the coal sold.</w:t>
                      </w:r>
                    </w:p>
                  </w:txbxContent>
                </v:textbox>
                <w10:wrap type="square" anchorx="margin"/>
              </v:shape>
            </w:pict>
          </mc:Fallback>
        </mc:AlternateContent>
      </w:r>
      <w:r w:rsidR="00C4510A" w:rsidRPr="00DD14CC">
        <w:t>Population growth</w:t>
      </w:r>
    </w:p>
    <w:p w14:paraId="41CE998D" w14:textId="7482FC53" w:rsidR="00C4510A" w:rsidRPr="00DD14CC" w:rsidRDefault="00C4510A" w:rsidP="00C4510A">
      <w:r w:rsidRPr="00DD14CC">
        <w:t>Population growth directly affects states’ investment needs (see Box 2-3). Victoria’s share of population growth in 2020</w:t>
      </w:r>
      <w:r w:rsidR="00071119">
        <w:t>–</w:t>
      </w:r>
      <w:r w:rsidRPr="00DD14CC">
        <w:t>21 (when its population declined) was significantly lower than its share of population growth in 2023</w:t>
      </w:r>
      <w:r w:rsidR="00071119">
        <w:t>–</w:t>
      </w:r>
      <w:r w:rsidRPr="00DD14CC">
        <w:t xml:space="preserve">24. The recent increase in its relative population growth resulted in an increase in Victoria’s assessed investment needs. Different measures of population growth are used for different services. For example, change in population-weighted density is the major driver of urban transport investment, while change in student numbers is the major driver of investment in schools. Victoria experienced an increase in almost all measures of population growth. </w:t>
      </w:r>
    </w:p>
    <w:p w14:paraId="2DE57AEF" w14:textId="77777777" w:rsidR="00C4510A" w:rsidRPr="00DD14CC" w:rsidRDefault="00C4510A" w:rsidP="00C4510A">
      <w:r w:rsidRPr="00DD14CC">
        <w:t>Population growth is a driver of net borrowing in the opposite direction, so it has partially offsetting effects.</w:t>
      </w:r>
    </w:p>
    <w:bookmarkEnd w:id="123"/>
    <w:p w14:paraId="3F879AAB" w14:textId="024157A0" w:rsidR="007D5215" w:rsidRDefault="007E706B">
      <w:pPr>
        <w:tabs>
          <w:tab w:val="clear" w:pos="567"/>
        </w:tabs>
        <w:spacing w:before="0" w:after="200" w:line="276" w:lineRule="auto"/>
        <w:rPr>
          <w:rFonts w:eastAsia="Times New Roman" w:cs="Open Sans"/>
          <w:b/>
          <w:bCs/>
          <w:color w:val="006991"/>
          <w:sz w:val="28"/>
          <w:szCs w:val="28"/>
        </w:rPr>
      </w:pPr>
      <w:r w:rsidRPr="0002152B">
        <w:rPr>
          <w:noProof/>
        </w:rPr>
        <w:lastRenderedPageBreak/>
        <mc:AlternateContent>
          <mc:Choice Requires="wps">
            <w:drawing>
              <wp:anchor distT="0" distB="0" distL="114300" distR="114300" simplePos="0" relativeHeight="251658257" behindDoc="0" locked="0" layoutInCell="1" allowOverlap="1" wp14:anchorId="1FCB4FA5" wp14:editId="6B25F00C">
                <wp:simplePos x="0" y="0"/>
                <wp:positionH relativeFrom="margin">
                  <wp:align>left</wp:align>
                </wp:positionH>
                <wp:positionV relativeFrom="paragraph">
                  <wp:posOffset>0</wp:posOffset>
                </wp:positionV>
                <wp:extent cx="5853430" cy="9378950"/>
                <wp:effectExtent l="0" t="0" r="13970" b="12700"/>
                <wp:wrapSquare wrapText="bothSides"/>
                <wp:docPr id="2121596315" name="Text Box 2121596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430" cy="9378950"/>
                        </a:xfrm>
                        <a:prstGeom prst="rect">
                          <a:avLst/>
                        </a:prstGeom>
                        <a:solidFill>
                          <a:srgbClr val="E5F8FF"/>
                        </a:solidFill>
                        <a:ln w="9525">
                          <a:solidFill>
                            <a:schemeClr val="bg1"/>
                          </a:solidFill>
                          <a:miter lim="800000"/>
                          <a:headEnd/>
                          <a:tailEnd/>
                        </a:ln>
                      </wps:spPr>
                      <wps:txbx>
                        <w:txbxContent>
                          <w:p w14:paraId="00550D2A" w14:textId="77777777" w:rsidR="007E706B" w:rsidRPr="004E5FDB" w:rsidRDefault="007E706B" w:rsidP="00742FFB">
                            <w:pPr>
                              <w:pStyle w:val="HeadingBox-Level3"/>
                            </w:pPr>
                            <w:bookmarkStart w:id="125" w:name="_Toc190780943"/>
                            <w:r w:rsidRPr="004E5FDB">
                              <w:t>Box 2-</w:t>
                            </w:r>
                            <w:r>
                              <w:t>3</w:t>
                            </w:r>
                            <w:r w:rsidRPr="004E5FDB">
                              <w:tab/>
                            </w:r>
                            <w:r>
                              <w:t>Population growth</w:t>
                            </w:r>
                            <w:bookmarkEnd w:id="125"/>
                          </w:p>
                          <w:p w14:paraId="59E6B064" w14:textId="77777777" w:rsidR="007E706B" w:rsidRDefault="007E706B" w:rsidP="007E706B">
                            <w:r>
                              <w:t xml:space="preserve">Population growth is a driver of need for the investment and net borrowing assessments. States with higher population growth have greater GST needs for new capital investment (investment assessment) and have lower GST needs to service liabilities (net borrowing assessment). The investment assessment is much larger than the net borrowing assessment so a state with a higher share of population growth has higher net GST needs </w:t>
                            </w:r>
                            <w:r w:rsidRPr="00030CD6">
                              <w:t>from the population growth driver</w:t>
                            </w:r>
                            <w:r>
                              <w:t xml:space="preserve"> across capital assessments.</w:t>
                            </w:r>
                          </w:p>
                          <w:p w14:paraId="0209C5A6" w14:textId="77777777" w:rsidR="007E706B" w:rsidRDefault="007E706B" w:rsidP="007E706B">
                            <w:r>
                              <w:t xml:space="preserve">Population growth is measured differently between the various components of investment. For example, growth in students drives needs for schools infrastructure and growth in urban populations and in urban population density drive needs for urban transport infrastructure. While the rates of growth for different aspects of population vary, they tend to move in related ways. </w:t>
                            </w:r>
                          </w:p>
                          <w:p w14:paraId="4BF02096" w14:textId="224CB4CB" w:rsidR="007E706B" w:rsidRDefault="007E706B" w:rsidP="007E706B">
                            <w:r>
                              <w:t xml:space="preserve">Victoria experienced population decline </w:t>
                            </w:r>
                            <w:r w:rsidR="00493446">
                              <w:t xml:space="preserve">in </w:t>
                            </w:r>
                            <w:r>
                              <w:t>2020</w:t>
                            </w:r>
                            <w:r w:rsidR="00071119">
                              <w:t>–</w:t>
                            </w:r>
                            <w:r>
                              <w:t>21 and 2021</w:t>
                            </w:r>
                            <w:r w:rsidR="00071119">
                              <w:t>–</w:t>
                            </w:r>
                            <w:r>
                              <w:t>22 during the COVID-19 pandemic and has since returned to growth rates slightly above the national average (see</w:t>
                            </w:r>
                            <w:r w:rsidR="00742790">
                              <w:t> </w:t>
                            </w:r>
                            <w:r>
                              <w:t>Figure 2-3).</w:t>
                            </w:r>
                          </w:p>
                          <w:p w14:paraId="561EE592" w14:textId="6512F427" w:rsidR="007E706B" w:rsidRDefault="007E706B" w:rsidP="00BE242E">
                            <w:pPr>
                              <w:pStyle w:val="CGC2025Caption"/>
                              <w:spacing w:before="160"/>
                            </w:pPr>
                            <w:r>
                              <w:t>Figure 2-3</w:t>
                            </w:r>
                            <w:r>
                              <w:tab/>
                              <w:t>Population growth 2017</w:t>
                            </w:r>
                            <w:r w:rsidR="00071119">
                              <w:t>–</w:t>
                            </w:r>
                            <w:r>
                              <w:t>18 to 2023</w:t>
                            </w:r>
                            <w:r w:rsidR="00071119">
                              <w:t>–</w:t>
                            </w:r>
                            <w:r>
                              <w:t xml:space="preserve">24 </w:t>
                            </w:r>
                          </w:p>
                          <w:p w14:paraId="7A5A0307" w14:textId="725125F6" w:rsidR="007E706B" w:rsidRDefault="00C32039" w:rsidP="007E706B">
                            <w:pPr>
                              <w:pStyle w:val="Tableheading"/>
                            </w:pPr>
                            <w:r>
                              <w:rPr>
                                <w:noProof/>
                              </w:rPr>
                              <w:drawing>
                                <wp:inline distT="0" distB="0" distL="0" distR="0" wp14:anchorId="2E2A35D8" wp14:editId="29C3C799">
                                  <wp:extent cx="5661660" cy="3300095"/>
                                  <wp:effectExtent l="0" t="0" r="15240" b="14605"/>
                                  <wp:docPr id="230143034" name="Chart 1">
                                    <a:extLst xmlns:a="http://schemas.openxmlformats.org/drawingml/2006/main">
                                      <a:ext uri="{FF2B5EF4-FFF2-40B4-BE49-F238E27FC236}">
                                        <a16:creationId xmlns:a16="http://schemas.microsoft.com/office/drawing/2014/main" id="{AC5C8E32-5F97-4848-988E-B0B6EBAAFD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A332072" w14:textId="422D692E" w:rsidR="007E706B" w:rsidRDefault="007E706B" w:rsidP="007E706B">
                            <w:r>
                              <w:t>Growth well below the national average implies investment needs well below the national average. In the 2023 and 2024 Updates, when Victoria’s population decline was reflected in 2 of the 3 assessment years, Victoria had below-average investment needs. For GST distribution in 2025</w:t>
                            </w:r>
                            <w:r w:rsidR="00071119">
                              <w:t>–</w:t>
                            </w:r>
                            <w:r>
                              <w:t xml:space="preserve">26, this only affects one of the </w:t>
                            </w:r>
                            <w:r w:rsidR="00C256B3">
                              <w:t>3</w:t>
                            </w:r>
                            <w:r>
                              <w:t xml:space="preserve"> assessment years (see Table</w:t>
                            </w:r>
                            <w:r w:rsidR="00887274">
                              <w:t> </w:t>
                            </w:r>
                            <w:r>
                              <w:t>2-‍9). Variations in population growth have affected all states.</w:t>
                            </w:r>
                          </w:p>
                          <w:p w14:paraId="4670ADD3" w14:textId="2F8A1E73" w:rsidR="007E706B" w:rsidRDefault="007E706B" w:rsidP="000D0D5D">
                            <w:pPr>
                              <w:pStyle w:val="Tableheading"/>
                              <w:spacing w:before="80" w:after="80"/>
                              <w:ind w:left="1440" w:hanging="1440"/>
                            </w:pPr>
                            <w:r>
                              <w:t>Table 2-9</w:t>
                            </w:r>
                            <w:r>
                              <w:tab/>
                              <w:t>Investment needs driven by population growth: difference from an equal per capita distribution</w:t>
                            </w:r>
                          </w:p>
                          <w:tbl>
                            <w:tblPr>
                              <w:tblW w:w="8941" w:type="dxa"/>
                              <w:tblLook w:val="04A0" w:firstRow="1" w:lastRow="0" w:firstColumn="1" w:lastColumn="0" w:noHBand="0" w:noVBand="1"/>
                            </w:tblPr>
                            <w:tblGrid>
                              <w:gridCol w:w="2806"/>
                              <w:gridCol w:w="682"/>
                              <w:gridCol w:w="679"/>
                              <w:gridCol w:w="679"/>
                              <w:gridCol w:w="679"/>
                              <w:gridCol w:w="679"/>
                              <w:gridCol w:w="679"/>
                              <w:gridCol w:w="679"/>
                              <w:gridCol w:w="679"/>
                              <w:gridCol w:w="700"/>
                            </w:tblGrid>
                            <w:tr w:rsidR="007E706B" w:rsidRPr="00462835" w14:paraId="276058AD" w14:textId="77777777" w:rsidTr="009906ED">
                              <w:trPr>
                                <w:trHeight w:val="553"/>
                              </w:trPr>
                              <w:tc>
                                <w:tcPr>
                                  <w:tcW w:w="2806" w:type="dxa"/>
                                  <w:tcBorders>
                                    <w:top w:val="nil"/>
                                    <w:left w:val="nil"/>
                                    <w:bottom w:val="nil"/>
                                    <w:right w:val="nil"/>
                                  </w:tcBorders>
                                  <w:shd w:val="clear" w:color="000000" w:fill="006991"/>
                                  <w:vAlign w:val="center"/>
                                  <w:hideMark/>
                                </w:tcPr>
                                <w:p w14:paraId="6BC94D85" w14:textId="77777777" w:rsidR="007E706B" w:rsidRPr="00462835" w:rsidRDefault="007E706B">
                                  <w:pPr>
                                    <w:tabs>
                                      <w:tab w:val="clear" w:pos="567"/>
                                    </w:tabs>
                                    <w:spacing w:before="0" w:line="240" w:lineRule="auto"/>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 </w:t>
                                  </w:r>
                                </w:p>
                              </w:tc>
                              <w:tc>
                                <w:tcPr>
                                  <w:tcW w:w="682" w:type="dxa"/>
                                  <w:tcBorders>
                                    <w:top w:val="nil"/>
                                    <w:left w:val="nil"/>
                                    <w:bottom w:val="nil"/>
                                    <w:right w:val="nil"/>
                                  </w:tcBorders>
                                  <w:shd w:val="clear" w:color="000000" w:fill="006991"/>
                                  <w:vAlign w:val="center"/>
                                  <w:hideMark/>
                                </w:tcPr>
                                <w:p w14:paraId="24AFC74D"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NSW</w:t>
                                  </w:r>
                                </w:p>
                              </w:tc>
                              <w:tc>
                                <w:tcPr>
                                  <w:tcW w:w="679" w:type="dxa"/>
                                  <w:tcBorders>
                                    <w:top w:val="nil"/>
                                    <w:left w:val="nil"/>
                                    <w:bottom w:val="nil"/>
                                    <w:right w:val="nil"/>
                                  </w:tcBorders>
                                  <w:shd w:val="clear" w:color="000000" w:fill="006991"/>
                                  <w:vAlign w:val="center"/>
                                  <w:hideMark/>
                                </w:tcPr>
                                <w:p w14:paraId="067DA2AD"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Vic</w:t>
                                  </w:r>
                                </w:p>
                              </w:tc>
                              <w:tc>
                                <w:tcPr>
                                  <w:tcW w:w="679" w:type="dxa"/>
                                  <w:tcBorders>
                                    <w:top w:val="nil"/>
                                    <w:left w:val="nil"/>
                                    <w:bottom w:val="nil"/>
                                    <w:right w:val="nil"/>
                                  </w:tcBorders>
                                  <w:shd w:val="clear" w:color="000000" w:fill="006991"/>
                                  <w:vAlign w:val="center"/>
                                  <w:hideMark/>
                                </w:tcPr>
                                <w:p w14:paraId="1CD68830"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Qld</w:t>
                                  </w:r>
                                </w:p>
                              </w:tc>
                              <w:tc>
                                <w:tcPr>
                                  <w:tcW w:w="679" w:type="dxa"/>
                                  <w:tcBorders>
                                    <w:top w:val="nil"/>
                                    <w:left w:val="nil"/>
                                    <w:bottom w:val="nil"/>
                                    <w:right w:val="nil"/>
                                  </w:tcBorders>
                                  <w:shd w:val="clear" w:color="000000" w:fill="006991"/>
                                  <w:vAlign w:val="center"/>
                                  <w:hideMark/>
                                </w:tcPr>
                                <w:p w14:paraId="6D335BE5"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WA</w:t>
                                  </w:r>
                                </w:p>
                              </w:tc>
                              <w:tc>
                                <w:tcPr>
                                  <w:tcW w:w="679" w:type="dxa"/>
                                  <w:tcBorders>
                                    <w:top w:val="nil"/>
                                    <w:left w:val="nil"/>
                                    <w:bottom w:val="nil"/>
                                    <w:right w:val="nil"/>
                                  </w:tcBorders>
                                  <w:shd w:val="clear" w:color="000000" w:fill="006991"/>
                                  <w:vAlign w:val="center"/>
                                  <w:hideMark/>
                                </w:tcPr>
                                <w:p w14:paraId="665964D0"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SA</w:t>
                                  </w:r>
                                </w:p>
                              </w:tc>
                              <w:tc>
                                <w:tcPr>
                                  <w:tcW w:w="679" w:type="dxa"/>
                                  <w:tcBorders>
                                    <w:top w:val="nil"/>
                                    <w:left w:val="nil"/>
                                    <w:bottom w:val="nil"/>
                                    <w:right w:val="nil"/>
                                  </w:tcBorders>
                                  <w:shd w:val="clear" w:color="000000" w:fill="006991"/>
                                  <w:vAlign w:val="center"/>
                                  <w:hideMark/>
                                </w:tcPr>
                                <w:p w14:paraId="0E7D6CE3"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Tas</w:t>
                                  </w:r>
                                </w:p>
                              </w:tc>
                              <w:tc>
                                <w:tcPr>
                                  <w:tcW w:w="679" w:type="dxa"/>
                                  <w:tcBorders>
                                    <w:top w:val="nil"/>
                                    <w:left w:val="nil"/>
                                    <w:bottom w:val="nil"/>
                                    <w:right w:val="nil"/>
                                  </w:tcBorders>
                                  <w:shd w:val="clear" w:color="000000" w:fill="006991"/>
                                  <w:vAlign w:val="center"/>
                                  <w:hideMark/>
                                </w:tcPr>
                                <w:p w14:paraId="7CC6F476"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ACT</w:t>
                                  </w:r>
                                </w:p>
                              </w:tc>
                              <w:tc>
                                <w:tcPr>
                                  <w:tcW w:w="679" w:type="dxa"/>
                                  <w:tcBorders>
                                    <w:top w:val="nil"/>
                                    <w:left w:val="nil"/>
                                    <w:bottom w:val="nil"/>
                                    <w:right w:val="nil"/>
                                  </w:tcBorders>
                                  <w:shd w:val="clear" w:color="000000" w:fill="006991"/>
                                  <w:vAlign w:val="center"/>
                                  <w:hideMark/>
                                </w:tcPr>
                                <w:p w14:paraId="779D5550"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NT</w:t>
                                  </w:r>
                                </w:p>
                              </w:tc>
                              <w:tc>
                                <w:tcPr>
                                  <w:tcW w:w="700" w:type="dxa"/>
                                  <w:tcBorders>
                                    <w:top w:val="nil"/>
                                    <w:left w:val="nil"/>
                                    <w:bottom w:val="nil"/>
                                    <w:right w:val="nil"/>
                                  </w:tcBorders>
                                  <w:shd w:val="clear" w:color="000000" w:fill="006991"/>
                                  <w:vAlign w:val="center"/>
                                  <w:hideMark/>
                                </w:tcPr>
                                <w:p w14:paraId="69DEE767" w14:textId="3056E5CA"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 xml:space="preserve">Total </w:t>
                                  </w:r>
                                  <w:r w:rsidR="00E24B9E">
                                    <w:rPr>
                                      <w:rFonts w:ascii="Open Sans Semibold" w:eastAsia="Times New Roman" w:hAnsi="Open Sans Semibold" w:cs="Open Sans Semibold"/>
                                      <w:color w:val="FFFFFF"/>
                                      <w:sz w:val="16"/>
                                      <w:szCs w:val="16"/>
                                      <w:lang w:eastAsia="en-AU"/>
                                    </w:rPr>
                                    <w:t>e</w:t>
                                  </w:r>
                                  <w:r w:rsidRPr="00462835">
                                    <w:rPr>
                                      <w:rFonts w:ascii="Open Sans Semibold" w:eastAsia="Times New Roman" w:hAnsi="Open Sans Semibold" w:cs="Open Sans Semibold"/>
                                      <w:color w:val="FFFFFF"/>
                                      <w:sz w:val="16"/>
                                      <w:szCs w:val="16"/>
                                      <w:lang w:eastAsia="en-AU"/>
                                    </w:rPr>
                                    <w:t>ffect</w:t>
                                  </w:r>
                                </w:p>
                              </w:tc>
                            </w:tr>
                            <w:tr w:rsidR="007E706B" w:rsidRPr="00462835" w14:paraId="2DCB70F9" w14:textId="77777777" w:rsidTr="009906ED">
                              <w:trPr>
                                <w:trHeight w:val="260"/>
                              </w:trPr>
                              <w:tc>
                                <w:tcPr>
                                  <w:tcW w:w="2806" w:type="dxa"/>
                                  <w:tcBorders>
                                    <w:top w:val="single" w:sz="4" w:space="0" w:color="ADD6EA"/>
                                    <w:left w:val="nil"/>
                                    <w:bottom w:val="nil"/>
                                    <w:right w:val="nil"/>
                                  </w:tcBorders>
                                  <w:shd w:val="clear" w:color="000000" w:fill="B6D5E4"/>
                                  <w:vAlign w:val="bottom"/>
                                  <w:hideMark/>
                                </w:tcPr>
                                <w:p w14:paraId="36369ACC" w14:textId="77777777" w:rsidR="007E706B" w:rsidRPr="00462835" w:rsidRDefault="007E706B">
                                  <w:pPr>
                                    <w:tabs>
                                      <w:tab w:val="clear" w:pos="567"/>
                                    </w:tabs>
                                    <w:spacing w:before="0" w:line="240" w:lineRule="auto"/>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 </w:t>
                                  </w:r>
                                </w:p>
                              </w:tc>
                              <w:tc>
                                <w:tcPr>
                                  <w:tcW w:w="682" w:type="dxa"/>
                                  <w:tcBorders>
                                    <w:top w:val="single" w:sz="4" w:space="0" w:color="ADD6EA"/>
                                    <w:left w:val="nil"/>
                                    <w:bottom w:val="nil"/>
                                    <w:right w:val="nil"/>
                                  </w:tcBorders>
                                  <w:shd w:val="clear" w:color="000000" w:fill="B6D5E4"/>
                                  <w:vAlign w:val="bottom"/>
                                  <w:hideMark/>
                                </w:tcPr>
                                <w:p w14:paraId="67DD558E"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c>
                                <w:tcPr>
                                  <w:tcW w:w="679" w:type="dxa"/>
                                  <w:tcBorders>
                                    <w:top w:val="single" w:sz="4" w:space="0" w:color="ADD6EA"/>
                                    <w:left w:val="nil"/>
                                    <w:bottom w:val="nil"/>
                                    <w:right w:val="nil"/>
                                  </w:tcBorders>
                                  <w:shd w:val="clear" w:color="000000" w:fill="B6D5E4"/>
                                  <w:vAlign w:val="bottom"/>
                                  <w:hideMark/>
                                </w:tcPr>
                                <w:p w14:paraId="3128136F"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c>
                                <w:tcPr>
                                  <w:tcW w:w="679" w:type="dxa"/>
                                  <w:tcBorders>
                                    <w:top w:val="single" w:sz="4" w:space="0" w:color="ADD6EA"/>
                                    <w:left w:val="nil"/>
                                    <w:bottom w:val="nil"/>
                                    <w:right w:val="nil"/>
                                  </w:tcBorders>
                                  <w:shd w:val="clear" w:color="000000" w:fill="B6D5E4"/>
                                  <w:vAlign w:val="bottom"/>
                                  <w:hideMark/>
                                </w:tcPr>
                                <w:p w14:paraId="697E63E9"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c>
                                <w:tcPr>
                                  <w:tcW w:w="679" w:type="dxa"/>
                                  <w:tcBorders>
                                    <w:top w:val="single" w:sz="4" w:space="0" w:color="ADD6EA"/>
                                    <w:left w:val="nil"/>
                                    <w:bottom w:val="nil"/>
                                    <w:right w:val="nil"/>
                                  </w:tcBorders>
                                  <w:shd w:val="clear" w:color="000000" w:fill="B6D5E4"/>
                                  <w:vAlign w:val="bottom"/>
                                  <w:hideMark/>
                                </w:tcPr>
                                <w:p w14:paraId="30CBD2A3"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c>
                                <w:tcPr>
                                  <w:tcW w:w="679" w:type="dxa"/>
                                  <w:tcBorders>
                                    <w:top w:val="single" w:sz="4" w:space="0" w:color="ADD6EA"/>
                                    <w:left w:val="nil"/>
                                    <w:bottom w:val="nil"/>
                                    <w:right w:val="nil"/>
                                  </w:tcBorders>
                                  <w:shd w:val="clear" w:color="000000" w:fill="B6D5E4"/>
                                  <w:vAlign w:val="bottom"/>
                                  <w:hideMark/>
                                </w:tcPr>
                                <w:p w14:paraId="165C8DC3"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c>
                                <w:tcPr>
                                  <w:tcW w:w="679" w:type="dxa"/>
                                  <w:tcBorders>
                                    <w:top w:val="single" w:sz="4" w:space="0" w:color="ADD6EA"/>
                                    <w:left w:val="nil"/>
                                    <w:bottom w:val="nil"/>
                                    <w:right w:val="nil"/>
                                  </w:tcBorders>
                                  <w:shd w:val="clear" w:color="000000" w:fill="B6D5E4"/>
                                  <w:vAlign w:val="bottom"/>
                                  <w:hideMark/>
                                </w:tcPr>
                                <w:p w14:paraId="77B71D72"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c>
                                <w:tcPr>
                                  <w:tcW w:w="679" w:type="dxa"/>
                                  <w:tcBorders>
                                    <w:top w:val="single" w:sz="4" w:space="0" w:color="ADD6EA"/>
                                    <w:left w:val="nil"/>
                                    <w:bottom w:val="nil"/>
                                    <w:right w:val="nil"/>
                                  </w:tcBorders>
                                  <w:shd w:val="clear" w:color="000000" w:fill="B6D5E4"/>
                                  <w:vAlign w:val="bottom"/>
                                  <w:hideMark/>
                                </w:tcPr>
                                <w:p w14:paraId="46F193AD"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c>
                                <w:tcPr>
                                  <w:tcW w:w="679" w:type="dxa"/>
                                  <w:tcBorders>
                                    <w:top w:val="single" w:sz="4" w:space="0" w:color="ADD6EA"/>
                                    <w:left w:val="nil"/>
                                    <w:bottom w:val="nil"/>
                                    <w:right w:val="nil"/>
                                  </w:tcBorders>
                                  <w:shd w:val="clear" w:color="000000" w:fill="B6D5E4"/>
                                  <w:vAlign w:val="bottom"/>
                                  <w:hideMark/>
                                </w:tcPr>
                                <w:p w14:paraId="3CBB3807"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c>
                                <w:tcPr>
                                  <w:tcW w:w="700" w:type="dxa"/>
                                  <w:tcBorders>
                                    <w:top w:val="single" w:sz="4" w:space="0" w:color="ADD6EA"/>
                                    <w:left w:val="nil"/>
                                    <w:bottom w:val="nil"/>
                                    <w:right w:val="nil"/>
                                  </w:tcBorders>
                                  <w:shd w:val="clear" w:color="000000" w:fill="B6D5E4"/>
                                  <w:vAlign w:val="bottom"/>
                                  <w:hideMark/>
                                </w:tcPr>
                                <w:p w14:paraId="756138C2"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r>
                            <w:tr w:rsidR="007E706B" w:rsidRPr="00462835" w14:paraId="51BE1BC0" w14:textId="77777777" w:rsidTr="009906ED">
                              <w:trPr>
                                <w:trHeight w:val="320"/>
                              </w:trPr>
                              <w:tc>
                                <w:tcPr>
                                  <w:tcW w:w="2806" w:type="dxa"/>
                                  <w:tcBorders>
                                    <w:top w:val="single" w:sz="4" w:space="0" w:color="ADD6EA"/>
                                    <w:left w:val="nil"/>
                                    <w:bottom w:val="nil"/>
                                    <w:right w:val="nil"/>
                                  </w:tcBorders>
                                  <w:shd w:val="clear" w:color="000000" w:fill="FFFFFF"/>
                                  <w:vAlign w:val="bottom"/>
                                  <w:hideMark/>
                                </w:tcPr>
                                <w:p w14:paraId="70B9DC17" w14:textId="77777777" w:rsidR="007E706B" w:rsidRPr="00462835" w:rsidRDefault="007E706B">
                                  <w:pPr>
                                    <w:tabs>
                                      <w:tab w:val="clear" w:pos="567"/>
                                    </w:tabs>
                                    <w:spacing w:before="0" w:line="240" w:lineRule="auto"/>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U2021</w:t>
                                  </w:r>
                                </w:p>
                              </w:tc>
                              <w:tc>
                                <w:tcPr>
                                  <w:tcW w:w="682" w:type="dxa"/>
                                  <w:tcBorders>
                                    <w:top w:val="single" w:sz="4" w:space="0" w:color="ADD6EA"/>
                                    <w:left w:val="nil"/>
                                    <w:bottom w:val="nil"/>
                                    <w:right w:val="nil"/>
                                  </w:tcBorders>
                                  <w:shd w:val="clear" w:color="000000" w:fill="FFFFFF"/>
                                  <w:vAlign w:val="bottom"/>
                                  <w:hideMark/>
                                </w:tcPr>
                                <w:p w14:paraId="253D642E"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-16</w:t>
                                  </w:r>
                                </w:p>
                              </w:tc>
                              <w:tc>
                                <w:tcPr>
                                  <w:tcW w:w="679" w:type="dxa"/>
                                  <w:tcBorders>
                                    <w:top w:val="single" w:sz="4" w:space="0" w:color="ADD6EA"/>
                                    <w:left w:val="nil"/>
                                    <w:bottom w:val="nil"/>
                                    <w:right w:val="nil"/>
                                  </w:tcBorders>
                                  <w:shd w:val="clear" w:color="000000" w:fill="FFFFFF"/>
                                  <w:vAlign w:val="bottom"/>
                                  <w:hideMark/>
                                </w:tcPr>
                                <w:p w14:paraId="3F38FC12"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133</w:t>
                                  </w:r>
                                </w:p>
                              </w:tc>
                              <w:tc>
                                <w:tcPr>
                                  <w:tcW w:w="679" w:type="dxa"/>
                                  <w:tcBorders>
                                    <w:top w:val="single" w:sz="4" w:space="0" w:color="ADD6EA"/>
                                    <w:left w:val="nil"/>
                                    <w:bottom w:val="nil"/>
                                    <w:right w:val="nil"/>
                                  </w:tcBorders>
                                  <w:shd w:val="clear" w:color="000000" w:fill="FFFFFF"/>
                                  <w:vAlign w:val="bottom"/>
                                  <w:hideMark/>
                                </w:tcPr>
                                <w:p w14:paraId="082B23B2"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-6</w:t>
                                  </w:r>
                                </w:p>
                              </w:tc>
                              <w:tc>
                                <w:tcPr>
                                  <w:tcW w:w="679" w:type="dxa"/>
                                  <w:tcBorders>
                                    <w:top w:val="single" w:sz="4" w:space="0" w:color="ADD6EA"/>
                                    <w:left w:val="nil"/>
                                    <w:bottom w:val="nil"/>
                                    <w:right w:val="nil"/>
                                  </w:tcBorders>
                                  <w:shd w:val="clear" w:color="000000" w:fill="FFFFFF"/>
                                  <w:vAlign w:val="bottom"/>
                                  <w:hideMark/>
                                </w:tcPr>
                                <w:p w14:paraId="7A051F61"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-116</w:t>
                                  </w:r>
                                </w:p>
                              </w:tc>
                              <w:tc>
                                <w:tcPr>
                                  <w:tcW w:w="679" w:type="dxa"/>
                                  <w:tcBorders>
                                    <w:top w:val="single" w:sz="4" w:space="0" w:color="ADD6EA"/>
                                    <w:left w:val="nil"/>
                                    <w:bottom w:val="nil"/>
                                    <w:right w:val="nil"/>
                                  </w:tcBorders>
                                  <w:shd w:val="clear" w:color="000000" w:fill="FFFFFF"/>
                                  <w:vAlign w:val="bottom"/>
                                  <w:hideMark/>
                                </w:tcPr>
                                <w:p w14:paraId="3191C386"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-155</w:t>
                                  </w:r>
                                </w:p>
                              </w:tc>
                              <w:tc>
                                <w:tcPr>
                                  <w:tcW w:w="679" w:type="dxa"/>
                                  <w:tcBorders>
                                    <w:top w:val="single" w:sz="4" w:space="0" w:color="ADD6EA"/>
                                    <w:left w:val="nil"/>
                                    <w:bottom w:val="nil"/>
                                    <w:right w:val="nil"/>
                                  </w:tcBorders>
                                  <w:shd w:val="clear" w:color="000000" w:fill="FFFFFF"/>
                                  <w:vAlign w:val="bottom"/>
                                  <w:hideMark/>
                                </w:tcPr>
                                <w:p w14:paraId="4006CC1D"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-85</w:t>
                                  </w:r>
                                </w:p>
                              </w:tc>
                              <w:tc>
                                <w:tcPr>
                                  <w:tcW w:w="679" w:type="dxa"/>
                                  <w:tcBorders>
                                    <w:top w:val="single" w:sz="4" w:space="0" w:color="ADD6EA"/>
                                    <w:left w:val="nil"/>
                                    <w:bottom w:val="nil"/>
                                    <w:right w:val="nil"/>
                                  </w:tcBorders>
                                  <w:shd w:val="clear" w:color="000000" w:fill="FFFFFF"/>
                                  <w:vAlign w:val="bottom"/>
                                  <w:hideMark/>
                                </w:tcPr>
                                <w:p w14:paraId="5FD1459B"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-47</w:t>
                                  </w:r>
                                </w:p>
                              </w:tc>
                              <w:tc>
                                <w:tcPr>
                                  <w:tcW w:w="679" w:type="dxa"/>
                                  <w:tcBorders>
                                    <w:top w:val="single" w:sz="4" w:space="0" w:color="ADD6EA"/>
                                    <w:left w:val="nil"/>
                                    <w:bottom w:val="nil"/>
                                    <w:right w:val="nil"/>
                                  </w:tcBorders>
                                  <w:shd w:val="clear" w:color="000000" w:fill="FFFFFF"/>
                                  <w:vAlign w:val="bottom"/>
                                  <w:hideMark/>
                                </w:tcPr>
                                <w:p w14:paraId="7A6839AD"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-182</w:t>
                                  </w:r>
                                </w:p>
                              </w:tc>
                              <w:tc>
                                <w:tcPr>
                                  <w:tcW w:w="700" w:type="dxa"/>
                                  <w:tcBorders>
                                    <w:top w:val="single" w:sz="4" w:space="0" w:color="ADD6EA"/>
                                    <w:left w:val="nil"/>
                                    <w:bottom w:val="nil"/>
                                    <w:right w:val="nil"/>
                                  </w:tcBorders>
                                  <w:shd w:val="clear" w:color="000000" w:fill="FFFFFF"/>
                                  <w:vAlign w:val="bottom"/>
                                  <w:hideMark/>
                                </w:tcPr>
                                <w:p w14:paraId="0B79910B"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34</w:t>
                                  </w:r>
                                </w:p>
                              </w:tc>
                            </w:tr>
                            <w:tr w:rsidR="007E706B" w:rsidRPr="00462835" w14:paraId="45F463F1" w14:textId="77777777" w:rsidTr="009906ED">
                              <w:trPr>
                                <w:trHeight w:val="320"/>
                              </w:trPr>
                              <w:tc>
                                <w:tcPr>
                                  <w:tcW w:w="2806" w:type="dxa"/>
                                  <w:tcBorders>
                                    <w:top w:val="single" w:sz="4" w:space="0" w:color="ADD6EA"/>
                                    <w:left w:val="nil"/>
                                    <w:bottom w:val="nil"/>
                                    <w:right w:val="nil"/>
                                  </w:tcBorders>
                                  <w:shd w:val="clear" w:color="000000" w:fill="FFFFFF"/>
                                  <w:vAlign w:val="bottom"/>
                                  <w:hideMark/>
                                </w:tcPr>
                                <w:p w14:paraId="053B7CE7" w14:textId="77777777" w:rsidR="007E706B" w:rsidRPr="00462835" w:rsidRDefault="007E706B">
                                  <w:pPr>
                                    <w:tabs>
                                      <w:tab w:val="clear" w:pos="567"/>
                                    </w:tabs>
                                    <w:spacing w:before="0" w:line="240" w:lineRule="auto"/>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U2022</w:t>
                                  </w:r>
                                </w:p>
                              </w:tc>
                              <w:tc>
                                <w:tcPr>
                                  <w:tcW w:w="682" w:type="dxa"/>
                                  <w:tcBorders>
                                    <w:top w:val="single" w:sz="4" w:space="0" w:color="ADD6EA"/>
                                    <w:left w:val="nil"/>
                                    <w:bottom w:val="nil"/>
                                    <w:right w:val="nil"/>
                                  </w:tcBorders>
                                  <w:shd w:val="clear" w:color="000000" w:fill="FFFFFF"/>
                                  <w:vAlign w:val="bottom"/>
                                  <w:hideMark/>
                                </w:tcPr>
                                <w:p w14:paraId="56336FD3"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-29</w:t>
                                  </w:r>
                                </w:p>
                              </w:tc>
                              <w:tc>
                                <w:tcPr>
                                  <w:tcW w:w="679" w:type="dxa"/>
                                  <w:tcBorders>
                                    <w:top w:val="single" w:sz="4" w:space="0" w:color="ADD6EA"/>
                                    <w:left w:val="nil"/>
                                    <w:bottom w:val="nil"/>
                                    <w:right w:val="nil"/>
                                  </w:tcBorders>
                                  <w:shd w:val="clear" w:color="000000" w:fill="FFFFFF"/>
                                  <w:vAlign w:val="bottom"/>
                                  <w:hideMark/>
                                </w:tcPr>
                                <w:p w14:paraId="0E55DD8D"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55</w:t>
                                  </w:r>
                                </w:p>
                              </w:tc>
                              <w:tc>
                                <w:tcPr>
                                  <w:tcW w:w="679" w:type="dxa"/>
                                  <w:tcBorders>
                                    <w:top w:val="single" w:sz="4" w:space="0" w:color="ADD6EA"/>
                                    <w:left w:val="nil"/>
                                    <w:bottom w:val="nil"/>
                                    <w:right w:val="nil"/>
                                  </w:tcBorders>
                                  <w:shd w:val="clear" w:color="000000" w:fill="FFFFFF"/>
                                  <w:vAlign w:val="bottom"/>
                                  <w:hideMark/>
                                </w:tcPr>
                                <w:p w14:paraId="0F213348"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48</w:t>
                                  </w:r>
                                </w:p>
                              </w:tc>
                              <w:tc>
                                <w:tcPr>
                                  <w:tcW w:w="679" w:type="dxa"/>
                                  <w:tcBorders>
                                    <w:top w:val="single" w:sz="4" w:space="0" w:color="ADD6EA"/>
                                    <w:left w:val="nil"/>
                                    <w:bottom w:val="nil"/>
                                    <w:right w:val="nil"/>
                                  </w:tcBorders>
                                  <w:shd w:val="clear" w:color="000000" w:fill="FFFFFF"/>
                                  <w:vAlign w:val="bottom"/>
                                  <w:hideMark/>
                                </w:tcPr>
                                <w:p w14:paraId="07B90875"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-14</w:t>
                                  </w:r>
                                </w:p>
                              </w:tc>
                              <w:tc>
                                <w:tcPr>
                                  <w:tcW w:w="679" w:type="dxa"/>
                                  <w:tcBorders>
                                    <w:top w:val="single" w:sz="4" w:space="0" w:color="ADD6EA"/>
                                    <w:left w:val="nil"/>
                                    <w:bottom w:val="nil"/>
                                    <w:right w:val="nil"/>
                                  </w:tcBorders>
                                  <w:shd w:val="clear" w:color="000000" w:fill="FFFFFF"/>
                                  <w:vAlign w:val="bottom"/>
                                  <w:hideMark/>
                                </w:tcPr>
                                <w:p w14:paraId="608625ED"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-125</w:t>
                                  </w:r>
                                </w:p>
                              </w:tc>
                              <w:tc>
                                <w:tcPr>
                                  <w:tcW w:w="679" w:type="dxa"/>
                                  <w:tcBorders>
                                    <w:top w:val="single" w:sz="4" w:space="0" w:color="ADD6EA"/>
                                    <w:left w:val="nil"/>
                                    <w:bottom w:val="nil"/>
                                    <w:right w:val="nil"/>
                                  </w:tcBorders>
                                  <w:shd w:val="clear" w:color="000000" w:fill="FFFFFF"/>
                                  <w:vAlign w:val="bottom"/>
                                  <w:hideMark/>
                                </w:tcPr>
                                <w:p w14:paraId="1569E27F"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-89</w:t>
                                  </w:r>
                                </w:p>
                              </w:tc>
                              <w:tc>
                                <w:tcPr>
                                  <w:tcW w:w="679" w:type="dxa"/>
                                  <w:tcBorders>
                                    <w:top w:val="single" w:sz="4" w:space="0" w:color="ADD6EA"/>
                                    <w:left w:val="nil"/>
                                    <w:bottom w:val="nil"/>
                                    <w:right w:val="nil"/>
                                  </w:tcBorders>
                                  <w:shd w:val="clear" w:color="000000" w:fill="FFFFFF"/>
                                  <w:vAlign w:val="bottom"/>
                                  <w:hideMark/>
                                </w:tcPr>
                                <w:p w14:paraId="1A22DD1C"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-45</w:t>
                                  </w:r>
                                </w:p>
                              </w:tc>
                              <w:tc>
                                <w:tcPr>
                                  <w:tcW w:w="679" w:type="dxa"/>
                                  <w:tcBorders>
                                    <w:top w:val="single" w:sz="4" w:space="0" w:color="ADD6EA"/>
                                    <w:left w:val="nil"/>
                                    <w:bottom w:val="nil"/>
                                    <w:right w:val="nil"/>
                                  </w:tcBorders>
                                  <w:shd w:val="clear" w:color="000000" w:fill="FFFFFF"/>
                                  <w:vAlign w:val="bottom"/>
                                  <w:hideMark/>
                                </w:tcPr>
                                <w:p w14:paraId="46892CC6"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-190</w:t>
                                  </w:r>
                                </w:p>
                              </w:tc>
                              <w:tc>
                                <w:tcPr>
                                  <w:tcW w:w="700" w:type="dxa"/>
                                  <w:tcBorders>
                                    <w:top w:val="single" w:sz="4" w:space="0" w:color="ADD6EA"/>
                                    <w:left w:val="nil"/>
                                    <w:bottom w:val="nil"/>
                                    <w:right w:val="nil"/>
                                  </w:tcBorders>
                                  <w:shd w:val="clear" w:color="000000" w:fill="FFFFFF"/>
                                  <w:vAlign w:val="bottom"/>
                                  <w:hideMark/>
                                </w:tcPr>
                                <w:p w14:paraId="17878B36"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24</w:t>
                                  </w:r>
                                </w:p>
                              </w:tc>
                            </w:tr>
                            <w:tr w:rsidR="007E706B" w:rsidRPr="00462835" w14:paraId="7F005432" w14:textId="77777777" w:rsidTr="009906ED">
                              <w:trPr>
                                <w:trHeight w:val="320"/>
                              </w:trPr>
                              <w:tc>
                                <w:tcPr>
                                  <w:tcW w:w="2806" w:type="dxa"/>
                                  <w:tcBorders>
                                    <w:top w:val="single" w:sz="4" w:space="0" w:color="ADD6EA"/>
                                    <w:left w:val="nil"/>
                                    <w:bottom w:val="nil"/>
                                    <w:right w:val="nil"/>
                                  </w:tcBorders>
                                  <w:shd w:val="clear" w:color="000000" w:fill="FFFFFF"/>
                                  <w:vAlign w:val="bottom"/>
                                  <w:hideMark/>
                                </w:tcPr>
                                <w:p w14:paraId="4BAAFFC6" w14:textId="77777777" w:rsidR="007E706B" w:rsidRPr="00462835" w:rsidRDefault="007E706B">
                                  <w:pPr>
                                    <w:tabs>
                                      <w:tab w:val="clear" w:pos="567"/>
                                    </w:tabs>
                                    <w:spacing w:before="0" w:line="240" w:lineRule="auto"/>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U2023</w:t>
                                  </w:r>
                                </w:p>
                              </w:tc>
                              <w:tc>
                                <w:tcPr>
                                  <w:tcW w:w="682" w:type="dxa"/>
                                  <w:tcBorders>
                                    <w:top w:val="single" w:sz="4" w:space="0" w:color="ADD6EA"/>
                                    <w:left w:val="nil"/>
                                    <w:bottom w:val="nil"/>
                                    <w:right w:val="nil"/>
                                  </w:tcBorders>
                                  <w:shd w:val="clear" w:color="000000" w:fill="FFFFFF"/>
                                  <w:vAlign w:val="bottom"/>
                                  <w:hideMark/>
                                </w:tcPr>
                                <w:p w14:paraId="7A2325FE"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-80</w:t>
                                  </w:r>
                                </w:p>
                              </w:tc>
                              <w:tc>
                                <w:tcPr>
                                  <w:tcW w:w="679" w:type="dxa"/>
                                  <w:tcBorders>
                                    <w:top w:val="single" w:sz="4" w:space="0" w:color="ADD6EA"/>
                                    <w:left w:val="nil"/>
                                    <w:bottom w:val="nil"/>
                                    <w:right w:val="nil"/>
                                  </w:tcBorders>
                                  <w:shd w:val="clear" w:color="000000" w:fill="FFFFFF"/>
                                  <w:vAlign w:val="bottom"/>
                                  <w:hideMark/>
                                </w:tcPr>
                                <w:p w14:paraId="31758406"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-101</w:t>
                                  </w:r>
                                </w:p>
                              </w:tc>
                              <w:tc>
                                <w:tcPr>
                                  <w:tcW w:w="679" w:type="dxa"/>
                                  <w:tcBorders>
                                    <w:top w:val="single" w:sz="4" w:space="0" w:color="ADD6EA"/>
                                    <w:left w:val="nil"/>
                                    <w:bottom w:val="nil"/>
                                    <w:right w:val="nil"/>
                                  </w:tcBorders>
                                  <w:shd w:val="clear" w:color="000000" w:fill="FFFFFF"/>
                                  <w:vAlign w:val="bottom"/>
                                  <w:hideMark/>
                                </w:tcPr>
                                <w:p w14:paraId="0456B2AD"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142</w:t>
                                  </w:r>
                                </w:p>
                              </w:tc>
                              <w:tc>
                                <w:tcPr>
                                  <w:tcW w:w="679" w:type="dxa"/>
                                  <w:tcBorders>
                                    <w:top w:val="single" w:sz="4" w:space="0" w:color="ADD6EA"/>
                                    <w:left w:val="nil"/>
                                    <w:bottom w:val="nil"/>
                                    <w:right w:val="nil"/>
                                  </w:tcBorders>
                                  <w:shd w:val="clear" w:color="000000" w:fill="FFFFFF"/>
                                  <w:vAlign w:val="bottom"/>
                                  <w:hideMark/>
                                </w:tcPr>
                                <w:p w14:paraId="0D1137D2"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186</w:t>
                                  </w:r>
                                </w:p>
                              </w:tc>
                              <w:tc>
                                <w:tcPr>
                                  <w:tcW w:w="679" w:type="dxa"/>
                                  <w:tcBorders>
                                    <w:top w:val="single" w:sz="4" w:space="0" w:color="ADD6EA"/>
                                    <w:left w:val="nil"/>
                                    <w:bottom w:val="nil"/>
                                    <w:right w:val="nil"/>
                                  </w:tcBorders>
                                  <w:shd w:val="clear" w:color="000000" w:fill="FFFFFF"/>
                                  <w:vAlign w:val="bottom"/>
                                  <w:hideMark/>
                                </w:tcPr>
                                <w:p w14:paraId="689723C4"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11</w:t>
                                  </w:r>
                                </w:p>
                              </w:tc>
                              <w:tc>
                                <w:tcPr>
                                  <w:tcW w:w="679" w:type="dxa"/>
                                  <w:tcBorders>
                                    <w:top w:val="single" w:sz="4" w:space="0" w:color="ADD6EA"/>
                                    <w:left w:val="nil"/>
                                    <w:bottom w:val="nil"/>
                                    <w:right w:val="nil"/>
                                  </w:tcBorders>
                                  <w:shd w:val="clear" w:color="000000" w:fill="FFFFFF"/>
                                  <w:vAlign w:val="bottom"/>
                                  <w:hideMark/>
                                </w:tcPr>
                                <w:p w14:paraId="0944040D"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-34</w:t>
                                  </w:r>
                                </w:p>
                              </w:tc>
                              <w:tc>
                                <w:tcPr>
                                  <w:tcW w:w="679" w:type="dxa"/>
                                  <w:tcBorders>
                                    <w:top w:val="single" w:sz="4" w:space="0" w:color="ADD6EA"/>
                                    <w:left w:val="nil"/>
                                    <w:bottom w:val="nil"/>
                                    <w:right w:val="nil"/>
                                  </w:tcBorders>
                                  <w:shd w:val="clear" w:color="000000" w:fill="FFFFFF"/>
                                  <w:vAlign w:val="bottom"/>
                                  <w:hideMark/>
                                </w:tcPr>
                                <w:p w14:paraId="115C2524"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82</w:t>
                                  </w:r>
                                </w:p>
                              </w:tc>
                              <w:tc>
                                <w:tcPr>
                                  <w:tcW w:w="679" w:type="dxa"/>
                                  <w:tcBorders>
                                    <w:top w:val="single" w:sz="4" w:space="0" w:color="ADD6EA"/>
                                    <w:left w:val="nil"/>
                                    <w:bottom w:val="nil"/>
                                    <w:right w:val="nil"/>
                                  </w:tcBorders>
                                  <w:shd w:val="clear" w:color="000000" w:fill="FFFFFF"/>
                                  <w:vAlign w:val="bottom"/>
                                  <w:hideMark/>
                                </w:tcPr>
                                <w:p w14:paraId="17099552"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25</w:t>
                                  </w:r>
                                </w:p>
                              </w:tc>
                              <w:tc>
                                <w:tcPr>
                                  <w:tcW w:w="700" w:type="dxa"/>
                                  <w:tcBorders>
                                    <w:top w:val="single" w:sz="4" w:space="0" w:color="ADD6EA"/>
                                    <w:left w:val="nil"/>
                                    <w:bottom w:val="nil"/>
                                    <w:right w:val="nil"/>
                                  </w:tcBorders>
                                  <w:shd w:val="clear" w:color="000000" w:fill="FFFFFF"/>
                                  <w:vAlign w:val="bottom"/>
                                  <w:hideMark/>
                                </w:tcPr>
                                <w:p w14:paraId="65B229F4"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52</w:t>
                                  </w:r>
                                </w:p>
                              </w:tc>
                            </w:tr>
                            <w:tr w:rsidR="007E706B" w:rsidRPr="00462835" w14:paraId="1F5D5098" w14:textId="77777777" w:rsidTr="009906ED">
                              <w:trPr>
                                <w:trHeight w:val="320"/>
                              </w:trPr>
                              <w:tc>
                                <w:tcPr>
                                  <w:tcW w:w="2806" w:type="dxa"/>
                                  <w:tcBorders>
                                    <w:top w:val="single" w:sz="4" w:space="0" w:color="ADD6EA"/>
                                    <w:left w:val="nil"/>
                                    <w:bottom w:val="nil"/>
                                    <w:right w:val="nil"/>
                                  </w:tcBorders>
                                  <w:shd w:val="clear" w:color="000000" w:fill="FFFFFF"/>
                                  <w:vAlign w:val="bottom"/>
                                  <w:hideMark/>
                                </w:tcPr>
                                <w:p w14:paraId="4AAB0B35" w14:textId="77777777" w:rsidR="007E706B" w:rsidRPr="00462835" w:rsidRDefault="007E706B">
                                  <w:pPr>
                                    <w:tabs>
                                      <w:tab w:val="clear" w:pos="567"/>
                                    </w:tabs>
                                    <w:spacing w:before="0" w:line="240" w:lineRule="auto"/>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U2024</w:t>
                                  </w:r>
                                </w:p>
                              </w:tc>
                              <w:tc>
                                <w:tcPr>
                                  <w:tcW w:w="682" w:type="dxa"/>
                                  <w:tcBorders>
                                    <w:top w:val="single" w:sz="4" w:space="0" w:color="ADD6EA"/>
                                    <w:left w:val="nil"/>
                                    <w:bottom w:val="nil"/>
                                    <w:right w:val="nil"/>
                                  </w:tcBorders>
                                  <w:shd w:val="clear" w:color="000000" w:fill="FFFFFF"/>
                                  <w:vAlign w:val="bottom"/>
                                  <w:hideMark/>
                                </w:tcPr>
                                <w:p w14:paraId="1ED9D2A3"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-100</w:t>
                                  </w:r>
                                </w:p>
                              </w:tc>
                              <w:tc>
                                <w:tcPr>
                                  <w:tcW w:w="679" w:type="dxa"/>
                                  <w:tcBorders>
                                    <w:top w:val="single" w:sz="4" w:space="0" w:color="ADD6EA"/>
                                    <w:left w:val="nil"/>
                                    <w:bottom w:val="nil"/>
                                    <w:right w:val="nil"/>
                                  </w:tcBorders>
                                  <w:shd w:val="clear" w:color="000000" w:fill="FFFFFF"/>
                                  <w:vAlign w:val="bottom"/>
                                  <w:hideMark/>
                                </w:tcPr>
                                <w:p w14:paraId="25727DA6"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-81</w:t>
                                  </w:r>
                                </w:p>
                              </w:tc>
                              <w:tc>
                                <w:tcPr>
                                  <w:tcW w:w="679" w:type="dxa"/>
                                  <w:tcBorders>
                                    <w:top w:val="single" w:sz="4" w:space="0" w:color="ADD6EA"/>
                                    <w:left w:val="nil"/>
                                    <w:bottom w:val="nil"/>
                                    <w:right w:val="nil"/>
                                  </w:tcBorders>
                                  <w:shd w:val="clear" w:color="000000" w:fill="FFFFFF"/>
                                  <w:vAlign w:val="bottom"/>
                                  <w:hideMark/>
                                </w:tcPr>
                                <w:p w14:paraId="344B1941"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162</w:t>
                                  </w:r>
                                </w:p>
                              </w:tc>
                              <w:tc>
                                <w:tcPr>
                                  <w:tcW w:w="679" w:type="dxa"/>
                                  <w:tcBorders>
                                    <w:top w:val="single" w:sz="4" w:space="0" w:color="ADD6EA"/>
                                    <w:left w:val="nil"/>
                                    <w:bottom w:val="nil"/>
                                    <w:right w:val="nil"/>
                                  </w:tcBorders>
                                  <w:shd w:val="clear" w:color="000000" w:fill="FFFFFF"/>
                                  <w:vAlign w:val="bottom"/>
                                  <w:hideMark/>
                                </w:tcPr>
                                <w:p w14:paraId="4014A52F"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165</w:t>
                                  </w:r>
                                </w:p>
                              </w:tc>
                              <w:tc>
                                <w:tcPr>
                                  <w:tcW w:w="679" w:type="dxa"/>
                                  <w:tcBorders>
                                    <w:top w:val="single" w:sz="4" w:space="0" w:color="ADD6EA"/>
                                    <w:left w:val="nil"/>
                                    <w:bottom w:val="nil"/>
                                    <w:right w:val="nil"/>
                                  </w:tcBorders>
                                  <w:shd w:val="clear" w:color="000000" w:fill="FFFFFF"/>
                                  <w:vAlign w:val="bottom"/>
                                  <w:hideMark/>
                                </w:tcPr>
                                <w:p w14:paraId="7311DC5B"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-30</w:t>
                                  </w:r>
                                </w:p>
                              </w:tc>
                              <w:tc>
                                <w:tcPr>
                                  <w:tcW w:w="679" w:type="dxa"/>
                                  <w:tcBorders>
                                    <w:top w:val="single" w:sz="4" w:space="0" w:color="ADD6EA"/>
                                    <w:left w:val="nil"/>
                                    <w:bottom w:val="nil"/>
                                    <w:right w:val="nil"/>
                                  </w:tcBorders>
                                  <w:shd w:val="clear" w:color="000000" w:fill="FFFFFF"/>
                                  <w:vAlign w:val="bottom"/>
                                  <w:hideMark/>
                                </w:tcPr>
                                <w:p w14:paraId="0F3F7890"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35</w:t>
                                  </w:r>
                                </w:p>
                              </w:tc>
                              <w:tc>
                                <w:tcPr>
                                  <w:tcW w:w="679" w:type="dxa"/>
                                  <w:tcBorders>
                                    <w:top w:val="single" w:sz="4" w:space="0" w:color="ADD6EA"/>
                                    <w:left w:val="nil"/>
                                    <w:bottom w:val="nil"/>
                                    <w:right w:val="nil"/>
                                  </w:tcBorders>
                                  <w:shd w:val="clear" w:color="000000" w:fill="FFFFFF"/>
                                  <w:vAlign w:val="bottom"/>
                                  <w:hideMark/>
                                </w:tcPr>
                                <w:p w14:paraId="1100D633"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129</w:t>
                                  </w:r>
                                </w:p>
                              </w:tc>
                              <w:tc>
                                <w:tcPr>
                                  <w:tcW w:w="679" w:type="dxa"/>
                                  <w:tcBorders>
                                    <w:top w:val="single" w:sz="4" w:space="0" w:color="ADD6EA"/>
                                    <w:left w:val="nil"/>
                                    <w:bottom w:val="nil"/>
                                    <w:right w:val="nil"/>
                                  </w:tcBorders>
                                  <w:shd w:val="clear" w:color="000000" w:fill="FFFFFF"/>
                                  <w:vAlign w:val="bottom"/>
                                  <w:hideMark/>
                                </w:tcPr>
                                <w:p w14:paraId="68262A9B"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5</w:t>
                                  </w:r>
                                </w:p>
                              </w:tc>
                              <w:tc>
                                <w:tcPr>
                                  <w:tcW w:w="700" w:type="dxa"/>
                                  <w:tcBorders>
                                    <w:top w:val="single" w:sz="4" w:space="0" w:color="ADD6EA"/>
                                    <w:left w:val="nil"/>
                                    <w:bottom w:val="nil"/>
                                    <w:right w:val="nil"/>
                                  </w:tcBorders>
                                  <w:shd w:val="clear" w:color="000000" w:fill="FFFFFF"/>
                                  <w:vAlign w:val="bottom"/>
                                  <w:hideMark/>
                                </w:tcPr>
                                <w:p w14:paraId="1B3D7279"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54</w:t>
                                  </w:r>
                                </w:p>
                              </w:tc>
                            </w:tr>
                            <w:tr w:rsidR="007E706B" w:rsidRPr="00462835" w14:paraId="5C111D8B" w14:textId="77777777" w:rsidTr="009906ED">
                              <w:trPr>
                                <w:trHeight w:val="320"/>
                              </w:trPr>
                              <w:tc>
                                <w:tcPr>
                                  <w:tcW w:w="2806" w:type="dxa"/>
                                  <w:tcBorders>
                                    <w:top w:val="single" w:sz="4" w:space="0" w:color="ADD6EA"/>
                                    <w:left w:val="nil"/>
                                    <w:bottom w:val="single" w:sz="4" w:space="0" w:color="ADD6EA"/>
                                    <w:right w:val="nil"/>
                                  </w:tcBorders>
                                  <w:shd w:val="clear" w:color="000000" w:fill="FFFFFF"/>
                                  <w:vAlign w:val="bottom"/>
                                  <w:hideMark/>
                                </w:tcPr>
                                <w:p w14:paraId="59E99961" w14:textId="77777777" w:rsidR="007E706B" w:rsidRPr="00462835" w:rsidRDefault="007E706B">
                                  <w:pPr>
                                    <w:tabs>
                                      <w:tab w:val="clear" w:pos="567"/>
                                    </w:tabs>
                                    <w:spacing w:before="0" w:line="240" w:lineRule="auto"/>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R2025</w:t>
                                  </w:r>
                                </w:p>
                              </w:tc>
                              <w:tc>
                                <w:tcPr>
                                  <w:tcW w:w="682" w:type="dxa"/>
                                  <w:tcBorders>
                                    <w:top w:val="single" w:sz="4" w:space="0" w:color="ADD6EA"/>
                                    <w:left w:val="nil"/>
                                    <w:bottom w:val="single" w:sz="4" w:space="0" w:color="ADD6EA"/>
                                    <w:right w:val="nil"/>
                                  </w:tcBorders>
                                  <w:shd w:val="clear" w:color="000000" w:fill="FFFFFF"/>
                                  <w:vAlign w:val="bottom"/>
                                  <w:hideMark/>
                                </w:tcPr>
                                <w:p w14:paraId="71AE06FC"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-126</w:t>
                                  </w:r>
                                </w:p>
                              </w:tc>
                              <w:tc>
                                <w:tcPr>
                                  <w:tcW w:w="679" w:type="dxa"/>
                                  <w:tcBorders>
                                    <w:top w:val="single" w:sz="4" w:space="0" w:color="ADD6EA"/>
                                    <w:left w:val="nil"/>
                                    <w:bottom w:val="single" w:sz="4" w:space="0" w:color="ADD6EA"/>
                                    <w:right w:val="nil"/>
                                  </w:tcBorders>
                                  <w:shd w:val="clear" w:color="000000" w:fill="FFFFFF"/>
                                  <w:vAlign w:val="bottom"/>
                                  <w:hideMark/>
                                </w:tcPr>
                                <w:p w14:paraId="3C4EEF34"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42</w:t>
                                  </w:r>
                                </w:p>
                              </w:tc>
                              <w:tc>
                                <w:tcPr>
                                  <w:tcW w:w="679" w:type="dxa"/>
                                  <w:tcBorders>
                                    <w:top w:val="single" w:sz="4" w:space="0" w:color="ADD6EA"/>
                                    <w:left w:val="nil"/>
                                    <w:bottom w:val="single" w:sz="4" w:space="0" w:color="ADD6EA"/>
                                    <w:right w:val="nil"/>
                                  </w:tcBorders>
                                  <w:shd w:val="clear" w:color="000000" w:fill="FFFFFF"/>
                                  <w:vAlign w:val="bottom"/>
                                  <w:hideMark/>
                                </w:tcPr>
                                <w:p w14:paraId="3B3B68E5"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91</w:t>
                                  </w:r>
                                </w:p>
                              </w:tc>
                              <w:tc>
                                <w:tcPr>
                                  <w:tcW w:w="679" w:type="dxa"/>
                                  <w:tcBorders>
                                    <w:top w:val="single" w:sz="4" w:space="0" w:color="ADD6EA"/>
                                    <w:left w:val="nil"/>
                                    <w:bottom w:val="single" w:sz="4" w:space="0" w:color="ADD6EA"/>
                                    <w:right w:val="nil"/>
                                  </w:tcBorders>
                                  <w:shd w:val="clear" w:color="000000" w:fill="FFFFFF"/>
                                  <w:vAlign w:val="bottom"/>
                                  <w:hideMark/>
                                </w:tcPr>
                                <w:p w14:paraId="7133EC36"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193</w:t>
                                  </w:r>
                                </w:p>
                              </w:tc>
                              <w:tc>
                                <w:tcPr>
                                  <w:tcW w:w="679" w:type="dxa"/>
                                  <w:tcBorders>
                                    <w:top w:val="single" w:sz="4" w:space="0" w:color="ADD6EA"/>
                                    <w:left w:val="nil"/>
                                    <w:bottom w:val="single" w:sz="4" w:space="0" w:color="ADD6EA"/>
                                    <w:right w:val="nil"/>
                                  </w:tcBorders>
                                  <w:shd w:val="clear" w:color="000000" w:fill="FFFFFF"/>
                                  <w:vAlign w:val="bottom"/>
                                  <w:hideMark/>
                                </w:tcPr>
                                <w:p w14:paraId="6FF9B758"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-109</w:t>
                                  </w:r>
                                </w:p>
                              </w:tc>
                              <w:tc>
                                <w:tcPr>
                                  <w:tcW w:w="679" w:type="dxa"/>
                                  <w:tcBorders>
                                    <w:top w:val="single" w:sz="4" w:space="0" w:color="ADD6EA"/>
                                    <w:left w:val="nil"/>
                                    <w:bottom w:val="single" w:sz="4" w:space="0" w:color="ADD6EA"/>
                                    <w:right w:val="nil"/>
                                  </w:tcBorders>
                                  <w:shd w:val="clear" w:color="000000" w:fill="FFFFFF"/>
                                  <w:vAlign w:val="bottom"/>
                                  <w:hideMark/>
                                </w:tcPr>
                                <w:p w14:paraId="59FBA22E"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-106</w:t>
                                  </w:r>
                                </w:p>
                              </w:tc>
                              <w:tc>
                                <w:tcPr>
                                  <w:tcW w:w="679" w:type="dxa"/>
                                  <w:tcBorders>
                                    <w:top w:val="single" w:sz="4" w:space="0" w:color="ADD6EA"/>
                                    <w:left w:val="nil"/>
                                    <w:bottom w:val="single" w:sz="4" w:space="0" w:color="ADD6EA"/>
                                    <w:right w:val="nil"/>
                                  </w:tcBorders>
                                  <w:shd w:val="clear" w:color="000000" w:fill="FFFFFF"/>
                                  <w:vAlign w:val="bottom"/>
                                  <w:hideMark/>
                                </w:tcPr>
                                <w:p w14:paraId="25899841"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-68</w:t>
                                  </w:r>
                                </w:p>
                              </w:tc>
                              <w:tc>
                                <w:tcPr>
                                  <w:tcW w:w="679" w:type="dxa"/>
                                  <w:tcBorders>
                                    <w:top w:val="single" w:sz="4" w:space="0" w:color="ADD6EA"/>
                                    <w:left w:val="nil"/>
                                    <w:bottom w:val="single" w:sz="4" w:space="0" w:color="ADD6EA"/>
                                    <w:right w:val="nil"/>
                                  </w:tcBorders>
                                  <w:shd w:val="clear" w:color="000000" w:fill="FFFFFF"/>
                                  <w:vAlign w:val="bottom"/>
                                  <w:hideMark/>
                                </w:tcPr>
                                <w:p w14:paraId="2AA2AB6A"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-66</w:t>
                                  </w:r>
                                </w:p>
                              </w:tc>
                              <w:tc>
                                <w:tcPr>
                                  <w:tcW w:w="700" w:type="dxa"/>
                                  <w:tcBorders>
                                    <w:top w:val="single" w:sz="4" w:space="0" w:color="ADD6EA"/>
                                    <w:left w:val="nil"/>
                                    <w:bottom w:val="single" w:sz="4" w:space="0" w:color="ADD6EA"/>
                                    <w:right w:val="nil"/>
                                  </w:tcBorders>
                                  <w:shd w:val="clear" w:color="000000" w:fill="FFFFFF"/>
                                  <w:vAlign w:val="bottom"/>
                                  <w:hideMark/>
                                </w:tcPr>
                                <w:p w14:paraId="3D96C505"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51</w:t>
                                  </w:r>
                                </w:p>
                              </w:tc>
                            </w:tr>
                          </w:tbl>
                          <w:p w14:paraId="17A73757" w14:textId="77777777" w:rsidR="007E706B" w:rsidRDefault="007E706B" w:rsidP="007E706B"/>
                          <w:p w14:paraId="0502AFEB" w14:textId="77777777" w:rsidR="007E706B" w:rsidRDefault="007E706B" w:rsidP="007E706B">
                            <w:pPr>
                              <w:pStyle w:val="CGCTablenot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B4FA5" id="Text Box 2121596315" o:spid="_x0000_s1041" type="#_x0000_t202" style="position:absolute;margin-left:0;margin-top:0;width:460.9pt;height:738.5pt;z-index:25165825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" fillcolor="#e5f8ff" strokecolor="white [3212]">
                <v:textbox>
                  <w:txbxContent>
                    <w:p w14:paraId="00550D2A" w14:textId="77777777" w:rsidR="007E706B" w:rsidRPr="004E5FDB" w:rsidRDefault="007E706B" w:rsidP="00742FFB">
                      <w:pPr>
                        <w:pStyle w:val="HeadingBox-Level3"/>
                      </w:pPr>
                      <w:bookmarkStart w:id="126" w:name="_Toc190780943"/>
                      <w:r w:rsidRPr="004E5FDB">
                        <w:t>Box 2-</w:t>
                      </w:r>
                      <w:r>
                        <w:t>3</w:t>
                      </w:r>
                      <w:r w:rsidRPr="004E5FDB">
                        <w:tab/>
                      </w:r>
                      <w:r>
                        <w:t>Population growth</w:t>
                      </w:r>
                      <w:bookmarkEnd w:id="126"/>
                    </w:p>
                    <w:p w14:paraId="59E6B064" w14:textId="77777777" w:rsidR="007E706B" w:rsidRDefault="007E706B" w:rsidP="007E706B">
                      <w:r>
                        <w:t xml:space="preserve">Population growth is a driver of need for the investment and net borrowing assessments. States with higher population growth have greater GST needs for new capital investment (investment assessment) and have lower GST needs to service liabilities (net borrowing assessment). The investment assessment is much larger than the net borrowing assessment so a state with a higher share of population growth has higher net GST needs </w:t>
                      </w:r>
                      <w:r w:rsidRPr="00030CD6">
                        <w:t>from the population growth driver</w:t>
                      </w:r>
                      <w:r>
                        <w:t xml:space="preserve"> across capital assessments.</w:t>
                      </w:r>
                    </w:p>
                    <w:p w14:paraId="0209C5A6" w14:textId="77777777" w:rsidR="007E706B" w:rsidRDefault="007E706B" w:rsidP="007E706B">
                      <w:r>
                        <w:t xml:space="preserve">Population growth is measured differently between the various components of investment. For example, growth in students drives needs for schools infrastructure and growth in urban populations and in urban population density drive needs for urban transport infrastructure. While the rates of growth for different aspects of population vary, they tend to move in related ways. </w:t>
                      </w:r>
                    </w:p>
                    <w:p w14:paraId="4BF02096" w14:textId="224CB4CB" w:rsidR="007E706B" w:rsidRDefault="007E706B" w:rsidP="007E706B">
                      <w:r>
                        <w:t xml:space="preserve">Victoria experienced population decline </w:t>
                      </w:r>
                      <w:r w:rsidR="00493446">
                        <w:t xml:space="preserve">in </w:t>
                      </w:r>
                      <w:r>
                        <w:t>2020</w:t>
                      </w:r>
                      <w:r w:rsidR="00071119">
                        <w:t>–</w:t>
                      </w:r>
                      <w:r>
                        <w:t>21 and 2021</w:t>
                      </w:r>
                      <w:r w:rsidR="00071119">
                        <w:t>–</w:t>
                      </w:r>
                      <w:r>
                        <w:t>22 during the COVID-19 pandemic and has since returned to growth rates slightly above the national average (see</w:t>
                      </w:r>
                      <w:r w:rsidR="00742790">
                        <w:t> </w:t>
                      </w:r>
                      <w:r>
                        <w:t>Figure 2-3).</w:t>
                      </w:r>
                    </w:p>
                    <w:p w14:paraId="561EE592" w14:textId="6512F427" w:rsidR="007E706B" w:rsidRDefault="007E706B" w:rsidP="00BE242E">
                      <w:pPr>
                        <w:pStyle w:val="CGC2025Caption"/>
                        <w:spacing w:before="160"/>
                      </w:pPr>
                      <w:r>
                        <w:t>Figure 2-3</w:t>
                      </w:r>
                      <w:r>
                        <w:tab/>
                        <w:t>Population growth 2017</w:t>
                      </w:r>
                      <w:r w:rsidR="00071119">
                        <w:t>–</w:t>
                      </w:r>
                      <w:r>
                        <w:t>18 to 2023</w:t>
                      </w:r>
                      <w:r w:rsidR="00071119">
                        <w:t>–</w:t>
                      </w:r>
                      <w:r>
                        <w:t xml:space="preserve">24 </w:t>
                      </w:r>
                    </w:p>
                    <w:p w14:paraId="7A5A0307" w14:textId="725125F6" w:rsidR="007E706B" w:rsidRDefault="00C32039" w:rsidP="007E706B">
                      <w:pPr>
                        <w:pStyle w:val="Tableheading"/>
                      </w:pPr>
                      <w:r>
                        <w:rPr>
                          <w:noProof/>
                        </w:rPr>
                        <w:drawing>
                          <wp:inline distT="0" distB="0" distL="0" distR="0" wp14:anchorId="2E2A35D8" wp14:editId="29C3C799">
                            <wp:extent cx="5661660" cy="3300095"/>
                            <wp:effectExtent l="0" t="0" r="15240" b="14605"/>
                            <wp:docPr id="230143034" name="Chart 1">
                              <a:extLst xmlns:a="http://schemas.openxmlformats.org/drawingml/2006/main">
                                <a:ext uri="{FF2B5EF4-FFF2-40B4-BE49-F238E27FC236}">
                                  <a16:creationId xmlns:a16="http://schemas.microsoft.com/office/drawing/2014/main" id="{AC5C8E32-5F97-4848-988E-B0B6EBAAFD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A332072" w14:textId="422D692E" w:rsidR="007E706B" w:rsidRDefault="007E706B" w:rsidP="007E706B">
                      <w:r>
                        <w:t>Growth well below the national average implies investment needs well below the national average. In the 2023 and 2024 Updates, when Victoria’s population decline was reflected in 2 of the 3 assessment years, Victoria had below-average investment needs. For GST distribution in 2025</w:t>
                      </w:r>
                      <w:r w:rsidR="00071119">
                        <w:t>–</w:t>
                      </w:r>
                      <w:r>
                        <w:t xml:space="preserve">26, this only affects one of the </w:t>
                      </w:r>
                      <w:r w:rsidR="00C256B3">
                        <w:t>3</w:t>
                      </w:r>
                      <w:r>
                        <w:t xml:space="preserve"> assessment years (see Table</w:t>
                      </w:r>
                      <w:r w:rsidR="00887274">
                        <w:t> </w:t>
                      </w:r>
                      <w:r>
                        <w:t>2-‍9). Variations in population growth have affected all states.</w:t>
                      </w:r>
                    </w:p>
                    <w:p w14:paraId="4670ADD3" w14:textId="2F8A1E73" w:rsidR="007E706B" w:rsidRDefault="007E706B" w:rsidP="000D0D5D">
                      <w:pPr>
                        <w:pStyle w:val="Tableheading"/>
                        <w:spacing w:before="80" w:after="80"/>
                        <w:ind w:left="1440" w:hanging="1440"/>
                      </w:pPr>
                      <w:r>
                        <w:t>Table 2-9</w:t>
                      </w:r>
                      <w:r>
                        <w:tab/>
                        <w:t>Investment needs driven by population growth: difference from an equal per capita distribution</w:t>
                      </w:r>
                    </w:p>
                    <w:tbl>
                      <w:tblPr>
                        <w:tblW w:w="8941" w:type="dxa"/>
                        <w:tblLook w:val="04A0" w:firstRow="1" w:lastRow="0" w:firstColumn="1" w:lastColumn="0" w:noHBand="0" w:noVBand="1"/>
                      </w:tblPr>
                      <w:tblGrid>
                        <w:gridCol w:w="2806"/>
                        <w:gridCol w:w="682"/>
                        <w:gridCol w:w="679"/>
                        <w:gridCol w:w="679"/>
                        <w:gridCol w:w="679"/>
                        <w:gridCol w:w="679"/>
                        <w:gridCol w:w="679"/>
                        <w:gridCol w:w="679"/>
                        <w:gridCol w:w="679"/>
                        <w:gridCol w:w="700"/>
                      </w:tblGrid>
                      <w:tr w:rsidR="007E706B" w:rsidRPr="00462835" w14:paraId="276058AD" w14:textId="77777777" w:rsidTr="009906ED">
                        <w:trPr>
                          <w:trHeight w:val="553"/>
                        </w:trPr>
                        <w:tc>
                          <w:tcPr>
                            <w:tcW w:w="2806" w:type="dxa"/>
                            <w:tcBorders>
                              <w:top w:val="nil"/>
                              <w:left w:val="nil"/>
                              <w:bottom w:val="nil"/>
                              <w:right w:val="nil"/>
                            </w:tcBorders>
                            <w:shd w:val="clear" w:color="000000" w:fill="006991"/>
                            <w:vAlign w:val="center"/>
                            <w:hideMark/>
                          </w:tcPr>
                          <w:p w14:paraId="6BC94D85" w14:textId="77777777" w:rsidR="007E706B" w:rsidRPr="00462835" w:rsidRDefault="007E706B">
                            <w:pPr>
                              <w:tabs>
                                <w:tab w:val="clear" w:pos="567"/>
                              </w:tabs>
                              <w:spacing w:before="0" w:line="240" w:lineRule="auto"/>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 </w:t>
                            </w:r>
                          </w:p>
                        </w:tc>
                        <w:tc>
                          <w:tcPr>
                            <w:tcW w:w="682" w:type="dxa"/>
                            <w:tcBorders>
                              <w:top w:val="nil"/>
                              <w:left w:val="nil"/>
                              <w:bottom w:val="nil"/>
                              <w:right w:val="nil"/>
                            </w:tcBorders>
                            <w:shd w:val="clear" w:color="000000" w:fill="006991"/>
                            <w:vAlign w:val="center"/>
                            <w:hideMark/>
                          </w:tcPr>
                          <w:p w14:paraId="24AFC74D"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NSW</w:t>
                            </w:r>
                          </w:p>
                        </w:tc>
                        <w:tc>
                          <w:tcPr>
                            <w:tcW w:w="679" w:type="dxa"/>
                            <w:tcBorders>
                              <w:top w:val="nil"/>
                              <w:left w:val="nil"/>
                              <w:bottom w:val="nil"/>
                              <w:right w:val="nil"/>
                            </w:tcBorders>
                            <w:shd w:val="clear" w:color="000000" w:fill="006991"/>
                            <w:vAlign w:val="center"/>
                            <w:hideMark/>
                          </w:tcPr>
                          <w:p w14:paraId="067DA2AD"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Vic</w:t>
                            </w:r>
                          </w:p>
                        </w:tc>
                        <w:tc>
                          <w:tcPr>
                            <w:tcW w:w="679" w:type="dxa"/>
                            <w:tcBorders>
                              <w:top w:val="nil"/>
                              <w:left w:val="nil"/>
                              <w:bottom w:val="nil"/>
                              <w:right w:val="nil"/>
                            </w:tcBorders>
                            <w:shd w:val="clear" w:color="000000" w:fill="006991"/>
                            <w:vAlign w:val="center"/>
                            <w:hideMark/>
                          </w:tcPr>
                          <w:p w14:paraId="1CD68830"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Qld</w:t>
                            </w:r>
                          </w:p>
                        </w:tc>
                        <w:tc>
                          <w:tcPr>
                            <w:tcW w:w="679" w:type="dxa"/>
                            <w:tcBorders>
                              <w:top w:val="nil"/>
                              <w:left w:val="nil"/>
                              <w:bottom w:val="nil"/>
                              <w:right w:val="nil"/>
                            </w:tcBorders>
                            <w:shd w:val="clear" w:color="000000" w:fill="006991"/>
                            <w:vAlign w:val="center"/>
                            <w:hideMark/>
                          </w:tcPr>
                          <w:p w14:paraId="6D335BE5"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WA</w:t>
                            </w:r>
                          </w:p>
                        </w:tc>
                        <w:tc>
                          <w:tcPr>
                            <w:tcW w:w="679" w:type="dxa"/>
                            <w:tcBorders>
                              <w:top w:val="nil"/>
                              <w:left w:val="nil"/>
                              <w:bottom w:val="nil"/>
                              <w:right w:val="nil"/>
                            </w:tcBorders>
                            <w:shd w:val="clear" w:color="000000" w:fill="006991"/>
                            <w:vAlign w:val="center"/>
                            <w:hideMark/>
                          </w:tcPr>
                          <w:p w14:paraId="665964D0"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SA</w:t>
                            </w:r>
                          </w:p>
                        </w:tc>
                        <w:tc>
                          <w:tcPr>
                            <w:tcW w:w="679" w:type="dxa"/>
                            <w:tcBorders>
                              <w:top w:val="nil"/>
                              <w:left w:val="nil"/>
                              <w:bottom w:val="nil"/>
                              <w:right w:val="nil"/>
                            </w:tcBorders>
                            <w:shd w:val="clear" w:color="000000" w:fill="006991"/>
                            <w:vAlign w:val="center"/>
                            <w:hideMark/>
                          </w:tcPr>
                          <w:p w14:paraId="0E7D6CE3"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Tas</w:t>
                            </w:r>
                          </w:p>
                        </w:tc>
                        <w:tc>
                          <w:tcPr>
                            <w:tcW w:w="679" w:type="dxa"/>
                            <w:tcBorders>
                              <w:top w:val="nil"/>
                              <w:left w:val="nil"/>
                              <w:bottom w:val="nil"/>
                              <w:right w:val="nil"/>
                            </w:tcBorders>
                            <w:shd w:val="clear" w:color="000000" w:fill="006991"/>
                            <w:vAlign w:val="center"/>
                            <w:hideMark/>
                          </w:tcPr>
                          <w:p w14:paraId="7CC6F476"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ACT</w:t>
                            </w:r>
                          </w:p>
                        </w:tc>
                        <w:tc>
                          <w:tcPr>
                            <w:tcW w:w="679" w:type="dxa"/>
                            <w:tcBorders>
                              <w:top w:val="nil"/>
                              <w:left w:val="nil"/>
                              <w:bottom w:val="nil"/>
                              <w:right w:val="nil"/>
                            </w:tcBorders>
                            <w:shd w:val="clear" w:color="000000" w:fill="006991"/>
                            <w:vAlign w:val="center"/>
                            <w:hideMark/>
                          </w:tcPr>
                          <w:p w14:paraId="779D5550"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NT</w:t>
                            </w:r>
                          </w:p>
                        </w:tc>
                        <w:tc>
                          <w:tcPr>
                            <w:tcW w:w="700" w:type="dxa"/>
                            <w:tcBorders>
                              <w:top w:val="nil"/>
                              <w:left w:val="nil"/>
                              <w:bottom w:val="nil"/>
                              <w:right w:val="nil"/>
                            </w:tcBorders>
                            <w:shd w:val="clear" w:color="000000" w:fill="006991"/>
                            <w:vAlign w:val="center"/>
                            <w:hideMark/>
                          </w:tcPr>
                          <w:p w14:paraId="69DEE767" w14:textId="3056E5CA" w:rsidR="007E706B" w:rsidRPr="00462835" w:rsidRDefault="007E706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62835">
                              <w:rPr>
                                <w:rFonts w:ascii="Open Sans Semibold" w:eastAsia="Times New Roman" w:hAnsi="Open Sans Semibold" w:cs="Open Sans Semibold"/>
                                <w:color w:val="FFFFFF"/>
                                <w:sz w:val="16"/>
                                <w:szCs w:val="16"/>
                                <w:lang w:eastAsia="en-AU"/>
                              </w:rPr>
                              <w:t xml:space="preserve">Total </w:t>
                            </w:r>
                            <w:r w:rsidR="00E24B9E">
                              <w:rPr>
                                <w:rFonts w:ascii="Open Sans Semibold" w:eastAsia="Times New Roman" w:hAnsi="Open Sans Semibold" w:cs="Open Sans Semibold"/>
                                <w:color w:val="FFFFFF"/>
                                <w:sz w:val="16"/>
                                <w:szCs w:val="16"/>
                                <w:lang w:eastAsia="en-AU"/>
                              </w:rPr>
                              <w:t>e</w:t>
                            </w:r>
                            <w:r w:rsidRPr="00462835">
                              <w:rPr>
                                <w:rFonts w:ascii="Open Sans Semibold" w:eastAsia="Times New Roman" w:hAnsi="Open Sans Semibold" w:cs="Open Sans Semibold"/>
                                <w:color w:val="FFFFFF"/>
                                <w:sz w:val="16"/>
                                <w:szCs w:val="16"/>
                                <w:lang w:eastAsia="en-AU"/>
                              </w:rPr>
                              <w:t>ffect</w:t>
                            </w:r>
                          </w:p>
                        </w:tc>
                      </w:tr>
                      <w:tr w:rsidR="007E706B" w:rsidRPr="00462835" w14:paraId="2DCB70F9" w14:textId="77777777" w:rsidTr="009906ED">
                        <w:trPr>
                          <w:trHeight w:val="260"/>
                        </w:trPr>
                        <w:tc>
                          <w:tcPr>
                            <w:tcW w:w="2806" w:type="dxa"/>
                            <w:tcBorders>
                              <w:top w:val="single" w:sz="4" w:space="0" w:color="ADD6EA"/>
                              <w:left w:val="nil"/>
                              <w:bottom w:val="nil"/>
                              <w:right w:val="nil"/>
                            </w:tcBorders>
                            <w:shd w:val="clear" w:color="000000" w:fill="B6D5E4"/>
                            <w:vAlign w:val="bottom"/>
                            <w:hideMark/>
                          </w:tcPr>
                          <w:p w14:paraId="36369ACC" w14:textId="77777777" w:rsidR="007E706B" w:rsidRPr="00462835" w:rsidRDefault="007E706B">
                            <w:pPr>
                              <w:tabs>
                                <w:tab w:val="clear" w:pos="567"/>
                              </w:tabs>
                              <w:spacing w:before="0" w:line="240" w:lineRule="auto"/>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 </w:t>
                            </w:r>
                          </w:p>
                        </w:tc>
                        <w:tc>
                          <w:tcPr>
                            <w:tcW w:w="682" w:type="dxa"/>
                            <w:tcBorders>
                              <w:top w:val="single" w:sz="4" w:space="0" w:color="ADD6EA"/>
                              <w:left w:val="nil"/>
                              <w:bottom w:val="nil"/>
                              <w:right w:val="nil"/>
                            </w:tcBorders>
                            <w:shd w:val="clear" w:color="000000" w:fill="B6D5E4"/>
                            <w:vAlign w:val="bottom"/>
                            <w:hideMark/>
                          </w:tcPr>
                          <w:p w14:paraId="67DD558E"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c>
                          <w:tcPr>
                            <w:tcW w:w="679" w:type="dxa"/>
                            <w:tcBorders>
                              <w:top w:val="single" w:sz="4" w:space="0" w:color="ADD6EA"/>
                              <w:left w:val="nil"/>
                              <w:bottom w:val="nil"/>
                              <w:right w:val="nil"/>
                            </w:tcBorders>
                            <w:shd w:val="clear" w:color="000000" w:fill="B6D5E4"/>
                            <w:vAlign w:val="bottom"/>
                            <w:hideMark/>
                          </w:tcPr>
                          <w:p w14:paraId="3128136F"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c>
                          <w:tcPr>
                            <w:tcW w:w="679" w:type="dxa"/>
                            <w:tcBorders>
                              <w:top w:val="single" w:sz="4" w:space="0" w:color="ADD6EA"/>
                              <w:left w:val="nil"/>
                              <w:bottom w:val="nil"/>
                              <w:right w:val="nil"/>
                            </w:tcBorders>
                            <w:shd w:val="clear" w:color="000000" w:fill="B6D5E4"/>
                            <w:vAlign w:val="bottom"/>
                            <w:hideMark/>
                          </w:tcPr>
                          <w:p w14:paraId="697E63E9"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c>
                          <w:tcPr>
                            <w:tcW w:w="679" w:type="dxa"/>
                            <w:tcBorders>
                              <w:top w:val="single" w:sz="4" w:space="0" w:color="ADD6EA"/>
                              <w:left w:val="nil"/>
                              <w:bottom w:val="nil"/>
                              <w:right w:val="nil"/>
                            </w:tcBorders>
                            <w:shd w:val="clear" w:color="000000" w:fill="B6D5E4"/>
                            <w:vAlign w:val="bottom"/>
                            <w:hideMark/>
                          </w:tcPr>
                          <w:p w14:paraId="30CBD2A3"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c>
                          <w:tcPr>
                            <w:tcW w:w="679" w:type="dxa"/>
                            <w:tcBorders>
                              <w:top w:val="single" w:sz="4" w:space="0" w:color="ADD6EA"/>
                              <w:left w:val="nil"/>
                              <w:bottom w:val="nil"/>
                              <w:right w:val="nil"/>
                            </w:tcBorders>
                            <w:shd w:val="clear" w:color="000000" w:fill="B6D5E4"/>
                            <w:vAlign w:val="bottom"/>
                            <w:hideMark/>
                          </w:tcPr>
                          <w:p w14:paraId="165C8DC3"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c>
                          <w:tcPr>
                            <w:tcW w:w="679" w:type="dxa"/>
                            <w:tcBorders>
                              <w:top w:val="single" w:sz="4" w:space="0" w:color="ADD6EA"/>
                              <w:left w:val="nil"/>
                              <w:bottom w:val="nil"/>
                              <w:right w:val="nil"/>
                            </w:tcBorders>
                            <w:shd w:val="clear" w:color="000000" w:fill="B6D5E4"/>
                            <w:vAlign w:val="bottom"/>
                            <w:hideMark/>
                          </w:tcPr>
                          <w:p w14:paraId="77B71D72"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c>
                          <w:tcPr>
                            <w:tcW w:w="679" w:type="dxa"/>
                            <w:tcBorders>
                              <w:top w:val="single" w:sz="4" w:space="0" w:color="ADD6EA"/>
                              <w:left w:val="nil"/>
                              <w:bottom w:val="nil"/>
                              <w:right w:val="nil"/>
                            </w:tcBorders>
                            <w:shd w:val="clear" w:color="000000" w:fill="B6D5E4"/>
                            <w:vAlign w:val="bottom"/>
                            <w:hideMark/>
                          </w:tcPr>
                          <w:p w14:paraId="46F193AD"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c>
                          <w:tcPr>
                            <w:tcW w:w="679" w:type="dxa"/>
                            <w:tcBorders>
                              <w:top w:val="single" w:sz="4" w:space="0" w:color="ADD6EA"/>
                              <w:left w:val="nil"/>
                              <w:bottom w:val="nil"/>
                              <w:right w:val="nil"/>
                            </w:tcBorders>
                            <w:shd w:val="clear" w:color="000000" w:fill="B6D5E4"/>
                            <w:vAlign w:val="bottom"/>
                            <w:hideMark/>
                          </w:tcPr>
                          <w:p w14:paraId="3CBB3807"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c>
                          <w:tcPr>
                            <w:tcW w:w="700" w:type="dxa"/>
                            <w:tcBorders>
                              <w:top w:val="single" w:sz="4" w:space="0" w:color="ADD6EA"/>
                              <w:left w:val="nil"/>
                              <w:bottom w:val="nil"/>
                              <w:right w:val="nil"/>
                            </w:tcBorders>
                            <w:shd w:val="clear" w:color="000000" w:fill="B6D5E4"/>
                            <w:vAlign w:val="bottom"/>
                            <w:hideMark/>
                          </w:tcPr>
                          <w:p w14:paraId="756138C2" w14:textId="77777777" w:rsidR="007E706B" w:rsidRPr="00462835" w:rsidRDefault="007E706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62835">
                              <w:rPr>
                                <w:rFonts w:ascii="Open Sans Semibold" w:eastAsia="Times New Roman" w:hAnsi="Open Sans Semibold" w:cs="Open Sans Semibold"/>
                                <w:color w:val="000000"/>
                                <w:sz w:val="16"/>
                                <w:szCs w:val="16"/>
                                <w:lang w:eastAsia="en-AU"/>
                              </w:rPr>
                              <w:t>$pc</w:t>
                            </w:r>
                          </w:p>
                        </w:tc>
                      </w:tr>
                      <w:tr w:rsidR="007E706B" w:rsidRPr="00462835" w14:paraId="51BE1BC0" w14:textId="77777777" w:rsidTr="009906ED">
                        <w:trPr>
                          <w:trHeight w:val="320"/>
                        </w:trPr>
                        <w:tc>
                          <w:tcPr>
                            <w:tcW w:w="2806" w:type="dxa"/>
                            <w:tcBorders>
                              <w:top w:val="single" w:sz="4" w:space="0" w:color="ADD6EA"/>
                              <w:left w:val="nil"/>
                              <w:bottom w:val="nil"/>
                              <w:right w:val="nil"/>
                            </w:tcBorders>
                            <w:shd w:val="clear" w:color="000000" w:fill="FFFFFF"/>
                            <w:vAlign w:val="bottom"/>
                            <w:hideMark/>
                          </w:tcPr>
                          <w:p w14:paraId="70B9DC17" w14:textId="77777777" w:rsidR="007E706B" w:rsidRPr="00462835" w:rsidRDefault="007E706B">
                            <w:pPr>
                              <w:tabs>
                                <w:tab w:val="clear" w:pos="567"/>
                              </w:tabs>
                              <w:spacing w:before="0" w:line="240" w:lineRule="auto"/>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U2021</w:t>
                            </w:r>
                          </w:p>
                        </w:tc>
                        <w:tc>
                          <w:tcPr>
                            <w:tcW w:w="682" w:type="dxa"/>
                            <w:tcBorders>
                              <w:top w:val="single" w:sz="4" w:space="0" w:color="ADD6EA"/>
                              <w:left w:val="nil"/>
                              <w:bottom w:val="nil"/>
                              <w:right w:val="nil"/>
                            </w:tcBorders>
                            <w:shd w:val="clear" w:color="000000" w:fill="FFFFFF"/>
                            <w:vAlign w:val="bottom"/>
                            <w:hideMark/>
                          </w:tcPr>
                          <w:p w14:paraId="253D642E"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-16</w:t>
                            </w:r>
                          </w:p>
                        </w:tc>
                        <w:tc>
                          <w:tcPr>
                            <w:tcW w:w="679" w:type="dxa"/>
                            <w:tcBorders>
                              <w:top w:val="single" w:sz="4" w:space="0" w:color="ADD6EA"/>
                              <w:left w:val="nil"/>
                              <w:bottom w:val="nil"/>
                              <w:right w:val="nil"/>
                            </w:tcBorders>
                            <w:shd w:val="clear" w:color="000000" w:fill="FFFFFF"/>
                            <w:vAlign w:val="bottom"/>
                            <w:hideMark/>
                          </w:tcPr>
                          <w:p w14:paraId="3F38FC12"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133</w:t>
                            </w:r>
                          </w:p>
                        </w:tc>
                        <w:tc>
                          <w:tcPr>
                            <w:tcW w:w="679" w:type="dxa"/>
                            <w:tcBorders>
                              <w:top w:val="single" w:sz="4" w:space="0" w:color="ADD6EA"/>
                              <w:left w:val="nil"/>
                              <w:bottom w:val="nil"/>
                              <w:right w:val="nil"/>
                            </w:tcBorders>
                            <w:shd w:val="clear" w:color="000000" w:fill="FFFFFF"/>
                            <w:vAlign w:val="bottom"/>
                            <w:hideMark/>
                          </w:tcPr>
                          <w:p w14:paraId="082B23B2"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-6</w:t>
                            </w:r>
                          </w:p>
                        </w:tc>
                        <w:tc>
                          <w:tcPr>
                            <w:tcW w:w="679" w:type="dxa"/>
                            <w:tcBorders>
                              <w:top w:val="single" w:sz="4" w:space="0" w:color="ADD6EA"/>
                              <w:left w:val="nil"/>
                              <w:bottom w:val="nil"/>
                              <w:right w:val="nil"/>
                            </w:tcBorders>
                            <w:shd w:val="clear" w:color="000000" w:fill="FFFFFF"/>
                            <w:vAlign w:val="bottom"/>
                            <w:hideMark/>
                          </w:tcPr>
                          <w:p w14:paraId="7A051F61"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-116</w:t>
                            </w:r>
                          </w:p>
                        </w:tc>
                        <w:tc>
                          <w:tcPr>
                            <w:tcW w:w="679" w:type="dxa"/>
                            <w:tcBorders>
                              <w:top w:val="single" w:sz="4" w:space="0" w:color="ADD6EA"/>
                              <w:left w:val="nil"/>
                              <w:bottom w:val="nil"/>
                              <w:right w:val="nil"/>
                            </w:tcBorders>
                            <w:shd w:val="clear" w:color="000000" w:fill="FFFFFF"/>
                            <w:vAlign w:val="bottom"/>
                            <w:hideMark/>
                          </w:tcPr>
                          <w:p w14:paraId="3191C386"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-155</w:t>
                            </w:r>
                          </w:p>
                        </w:tc>
                        <w:tc>
                          <w:tcPr>
                            <w:tcW w:w="679" w:type="dxa"/>
                            <w:tcBorders>
                              <w:top w:val="single" w:sz="4" w:space="0" w:color="ADD6EA"/>
                              <w:left w:val="nil"/>
                              <w:bottom w:val="nil"/>
                              <w:right w:val="nil"/>
                            </w:tcBorders>
                            <w:shd w:val="clear" w:color="000000" w:fill="FFFFFF"/>
                            <w:vAlign w:val="bottom"/>
                            <w:hideMark/>
                          </w:tcPr>
                          <w:p w14:paraId="4006CC1D"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-85</w:t>
                            </w:r>
                          </w:p>
                        </w:tc>
                        <w:tc>
                          <w:tcPr>
                            <w:tcW w:w="679" w:type="dxa"/>
                            <w:tcBorders>
                              <w:top w:val="single" w:sz="4" w:space="0" w:color="ADD6EA"/>
                              <w:left w:val="nil"/>
                              <w:bottom w:val="nil"/>
                              <w:right w:val="nil"/>
                            </w:tcBorders>
                            <w:shd w:val="clear" w:color="000000" w:fill="FFFFFF"/>
                            <w:vAlign w:val="bottom"/>
                            <w:hideMark/>
                          </w:tcPr>
                          <w:p w14:paraId="5FD1459B"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-47</w:t>
                            </w:r>
                          </w:p>
                        </w:tc>
                        <w:tc>
                          <w:tcPr>
                            <w:tcW w:w="679" w:type="dxa"/>
                            <w:tcBorders>
                              <w:top w:val="single" w:sz="4" w:space="0" w:color="ADD6EA"/>
                              <w:left w:val="nil"/>
                              <w:bottom w:val="nil"/>
                              <w:right w:val="nil"/>
                            </w:tcBorders>
                            <w:shd w:val="clear" w:color="000000" w:fill="FFFFFF"/>
                            <w:vAlign w:val="bottom"/>
                            <w:hideMark/>
                          </w:tcPr>
                          <w:p w14:paraId="7A6839AD"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-182</w:t>
                            </w:r>
                          </w:p>
                        </w:tc>
                        <w:tc>
                          <w:tcPr>
                            <w:tcW w:w="700" w:type="dxa"/>
                            <w:tcBorders>
                              <w:top w:val="single" w:sz="4" w:space="0" w:color="ADD6EA"/>
                              <w:left w:val="nil"/>
                              <w:bottom w:val="nil"/>
                              <w:right w:val="nil"/>
                            </w:tcBorders>
                            <w:shd w:val="clear" w:color="000000" w:fill="FFFFFF"/>
                            <w:vAlign w:val="bottom"/>
                            <w:hideMark/>
                          </w:tcPr>
                          <w:p w14:paraId="0B79910B"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34</w:t>
                            </w:r>
                          </w:p>
                        </w:tc>
                      </w:tr>
                      <w:tr w:rsidR="007E706B" w:rsidRPr="00462835" w14:paraId="45F463F1" w14:textId="77777777" w:rsidTr="009906ED">
                        <w:trPr>
                          <w:trHeight w:val="320"/>
                        </w:trPr>
                        <w:tc>
                          <w:tcPr>
                            <w:tcW w:w="2806" w:type="dxa"/>
                            <w:tcBorders>
                              <w:top w:val="single" w:sz="4" w:space="0" w:color="ADD6EA"/>
                              <w:left w:val="nil"/>
                              <w:bottom w:val="nil"/>
                              <w:right w:val="nil"/>
                            </w:tcBorders>
                            <w:shd w:val="clear" w:color="000000" w:fill="FFFFFF"/>
                            <w:vAlign w:val="bottom"/>
                            <w:hideMark/>
                          </w:tcPr>
                          <w:p w14:paraId="053B7CE7" w14:textId="77777777" w:rsidR="007E706B" w:rsidRPr="00462835" w:rsidRDefault="007E706B">
                            <w:pPr>
                              <w:tabs>
                                <w:tab w:val="clear" w:pos="567"/>
                              </w:tabs>
                              <w:spacing w:before="0" w:line="240" w:lineRule="auto"/>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U2022</w:t>
                            </w:r>
                          </w:p>
                        </w:tc>
                        <w:tc>
                          <w:tcPr>
                            <w:tcW w:w="682" w:type="dxa"/>
                            <w:tcBorders>
                              <w:top w:val="single" w:sz="4" w:space="0" w:color="ADD6EA"/>
                              <w:left w:val="nil"/>
                              <w:bottom w:val="nil"/>
                              <w:right w:val="nil"/>
                            </w:tcBorders>
                            <w:shd w:val="clear" w:color="000000" w:fill="FFFFFF"/>
                            <w:vAlign w:val="bottom"/>
                            <w:hideMark/>
                          </w:tcPr>
                          <w:p w14:paraId="56336FD3"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-29</w:t>
                            </w:r>
                          </w:p>
                        </w:tc>
                        <w:tc>
                          <w:tcPr>
                            <w:tcW w:w="679" w:type="dxa"/>
                            <w:tcBorders>
                              <w:top w:val="single" w:sz="4" w:space="0" w:color="ADD6EA"/>
                              <w:left w:val="nil"/>
                              <w:bottom w:val="nil"/>
                              <w:right w:val="nil"/>
                            </w:tcBorders>
                            <w:shd w:val="clear" w:color="000000" w:fill="FFFFFF"/>
                            <w:vAlign w:val="bottom"/>
                            <w:hideMark/>
                          </w:tcPr>
                          <w:p w14:paraId="0E55DD8D"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55</w:t>
                            </w:r>
                          </w:p>
                        </w:tc>
                        <w:tc>
                          <w:tcPr>
                            <w:tcW w:w="679" w:type="dxa"/>
                            <w:tcBorders>
                              <w:top w:val="single" w:sz="4" w:space="0" w:color="ADD6EA"/>
                              <w:left w:val="nil"/>
                              <w:bottom w:val="nil"/>
                              <w:right w:val="nil"/>
                            </w:tcBorders>
                            <w:shd w:val="clear" w:color="000000" w:fill="FFFFFF"/>
                            <w:vAlign w:val="bottom"/>
                            <w:hideMark/>
                          </w:tcPr>
                          <w:p w14:paraId="0F213348"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48</w:t>
                            </w:r>
                          </w:p>
                        </w:tc>
                        <w:tc>
                          <w:tcPr>
                            <w:tcW w:w="679" w:type="dxa"/>
                            <w:tcBorders>
                              <w:top w:val="single" w:sz="4" w:space="0" w:color="ADD6EA"/>
                              <w:left w:val="nil"/>
                              <w:bottom w:val="nil"/>
                              <w:right w:val="nil"/>
                            </w:tcBorders>
                            <w:shd w:val="clear" w:color="000000" w:fill="FFFFFF"/>
                            <w:vAlign w:val="bottom"/>
                            <w:hideMark/>
                          </w:tcPr>
                          <w:p w14:paraId="07B90875"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-14</w:t>
                            </w:r>
                          </w:p>
                        </w:tc>
                        <w:tc>
                          <w:tcPr>
                            <w:tcW w:w="679" w:type="dxa"/>
                            <w:tcBorders>
                              <w:top w:val="single" w:sz="4" w:space="0" w:color="ADD6EA"/>
                              <w:left w:val="nil"/>
                              <w:bottom w:val="nil"/>
                              <w:right w:val="nil"/>
                            </w:tcBorders>
                            <w:shd w:val="clear" w:color="000000" w:fill="FFFFFF"/>
                            <w:vAlign w:val="bottom"/>
                            <w:hideMark/>
                          </w:tcPr>
                          <w:p w14:paraId="608625ED"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-125</w:t>
                            </w:r>
                          </w:p>
                        </w:tc>
                        <w:tc>
                          <w:tcPr>
                            <w:tcW w:w="679" w:type="dxa"/>
                            <w:tcBorders>
                              <w:top w:val="single" w:sz="4" w:space="0" w:color="ADD6EA"/>
                              <w:left w:val="nil"/>
                              <w:bottom w:val="nil"/>
                              <w:right w:val="nil"/>
                            </w:tcBorders>
                            <w:shd w:val="clear" w:color="000000" w:fill="FFFFFF"/>
                            <w:vAlign w:val="bottom"/>
                            <w:hideMark/>
                          </w:tcPr>
                          <w:p w14:paraId="1569E27F"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-89</w:t>
                            </w:r>
                          </w:p>
                        </w:tc>
                        <w:tc>
                          <w:tcPr>
                            <w:tcW w:w="679" w:type="dxa"/>
                            <w:tcBorders>
                              <w:top w:val="single" w:sz="4" w:space="0" w:color="ADD6EA"/>
                              <w:left w:val="nil"/>
                              <w:bottom w:val="nil"/>
                              <w:right w:val="nil"/>
                            </w:tcBorders>
                            <w:shd w:val="clear" w:color="000000" w:fill="FFFFFF"/>
                            <w:vAlign w:val="bottom"/>
                            <w:hideMark/>
                          </w:tcPr>
                          <w:p w14:paraId="1A22DD1C"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-45</w:t>
                            </w:r>
                          </w:p>
                        </w:tc>
                        <w:tc>
                          <w:tcPr>
                            <w:tcW w:w="679" w:type="dxa"/>
                            <w:tcBorders>
                              <w:top w:val="single" w:sz="4" w:space="0" w:color="ADD6EA"/>
                              <w:left w:val="nil"/>
                              <w:bottom w:val="nil"/>
                              <w:right w:val="nil"/>
                            </w:tcBorders>
                            <w:shd w:val="clear" w:color="000000" w:fill="FFFFFF"/>
                            <w:vAlign w:val="bottom"/>
                            <w:hideMark/>
                          </w:tcPr>
                          <w:p w14:paraId="46892CC6"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-190</w:t>
                            </w:r>
                          </w:p>
                        </w:tc>
                        <w:tc>
                          <w:tcPr>
                            <w:tcW w:w="700" w:type="dxa"/>
                            <w:tcBorders>
                              <w:top w:val="single" w:sz="4" w:space="0" w:color="ADD6EA"/>
                              <w:left w:val="nil"/>
                              <w:bottom w:val="nil"/>
                              <w:right w:val="nil"/>
                            </w:tcBorders>
                            <w:shd w:val="clear" w:color="000000" w:fill="FFFFFF"/>
                            <w:vAlign w:val="bottom"/>
                            <w:hideMark/>
                          </w:tcPr>
                          <w:p w14:paraId="17878B36"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24</w:t>
                            </w:r>
                          </w:p>
                        </w:tc>
                      </w:tr>
                      <w:tr w:rsidR="007E706B" w:rsidRPr="00462835" w14:paraId="7F005432" w14:textId="77777777" w:rsidTr="009906ED">
                        <w:trPr>
                          <w:trHeight w:val="320"/>
                        </w:trPr>
                        <w:tc>
                          <w:tcPr>
                            <w:tcW w:w="2806" w:type="dxa"/>
                            <w:tcBorders>
                              <w:top w:val="single" w:sz="4" w:space="0" w:color="ADD6EA"/>
                              <w:left w:val="nil"/>
                              <w:bottom w:val="nil"/>
                              <w:right w:val="nil"/>
                            </w:tcBorders>
                            <w:shd w:val="clear" w:color="000000" w:fill="FFFFFF"/>
                            <w:vAlign w:val="bottom"/>
                            <w:hideMark/>
                          </w:tcPr>
                          <w:p w14:paraId="4BAAFFC6" w14:textId="77777777" w:rsidR="007E706B" w:rsidRPr="00462835" w:rsidRDefault="007E706B">
                            <w:pPr>
                              <w:tabs>
                                <w:tab w:val="clear" w:pos="567"/>
                              </w:tabs>
                              <w:spacing w:before="0" w:line="240" w:lineRule="auto"/>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U2023</w:t>
                            </w:r>
                          </w:p>
                        </w:tc>
                        <w:tc>
                          <w:tcPr>
                            <w:tcW w:w="682" w:type="dxa"/>
                            <w:tcBorders>
                              <w:top w:val="single" w:sz="4" w:space="0" w:color="ADD6EA"/>
                              <w:left w:val="nil"/>
                              <w:bottom w:val="nil"/>
                              <w:right w:val="nil"/>
                            </w:tcBorders>
                            <w:shd w:val="clear" w:color="000000" w:fill="FFFFFF"/>
                            <w:vAlign w:val="bottom"/>
                            <w:hideMark/>
                          </w:tcPr>
                          <w:p w14:paraId="7A2325FE"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-80</w:t>
                            </w:r>
                          </w:p>
                        </w:tc>
                        <w:tc>
                          <w:tcPr>
                            <w:tcW w:w="679" w:type="dxa"/>
                            <w:tcBorders>
                              <w:top w:val="single" w:sz="4" w:space="0" w:color="ADD6EA"/>
                              <w:left w:val="nil"/>
                              <w:bottom w:val="nil"/>
                              <w:right w:val="nil"/>
                            </w:tcBorders>
                            <w:shd w:val="clear" w:color="000000" w:fill="FFFFFF"/>
                            <w:vAlign w:val="bottom"/>
                            <w:hideMark/>
                          </w:tcPr>
                          <w:p w14:paraId="31758406"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-101</w:t>
                            </w:r>
                          </w:p>
                        </w:tc>
                        <w:tc>
                          <w:tcPr>
                            <w:tcW w:w="679" w:type="dxa"/>
                            <w:tcBorders>
                              <w:top w:val="single" w:sz="4" w:space="0" w:color="ADD6EA"/>
                              <w:left w:val="nil"/>
                              <w:bottom w:val="nil"/>
                              <w:right w:val="nil"/>
                            </w:tcBorders>
                            <w:shd w:val="clear" w:color="000000" w:fill="FFFFFF"/>
                            <w:vAlign w:val="bottom"/>
                            <w:hideMark/>
                          </w:tcPr>
                          <w:p w14:paraId="0456B2AD"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142</w:t>
                            </w:r>
                          </w:p>
                        </w:tc>
                        <w:tc>
                          <w:tcPr>
                            <w:tcW w:w="679" w:type="dxa"/>
                            <w:tcBorders>
                              <w:top w:val="single" w:sz="4" w:space="0" w:color="ADD6EA"/>
                              <w:left w:val="nil"/>
                              <w:bottom w:val="nil"/>
                              <w:right w:val="nil"/>
                            </w:tcBorders>
                            <w:shd w:val="clear" w:color="000000" w:fill="FFFFFF"/>
                            <w:vAlign w:val="bottom"/>
                            <w:hideMark/>
                          </w:tcPr>
                          <w:p w14:paraId="0D1137D2"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186</w:t>
                            </w:r>
                          </w:p>
                        </w:tc>
                        <w:tc>
                          <w:tcPr>
                            <w:tcW w:w="679" w:type="dxa"/>
                            <w:tcBorders>
                              <w:top w:val="single" w:sz="4" w:space="0" w:color="ADD6EA"/>
                              <w:left w:val="nil"/>
                              <w:bottom w:val="nil"/>
                              <w:right w:val="nil"/>
                            </w:tcBorders>
                            <w:shd w:val="clear" w:color="000000" w:fill="FFFFFF"/>
                            <w:vAlign w:val="bottom"/>
                            <w:hideMark/>
                          </w:tcPr>
                          <w:p w14:paraId="689723C4"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11</w:t>
                            </w:r>
                          </w:p>
                        </w:tc>
                        <w:tc>
                          <w:tcPr>
                            <w:tcW w:w="679" w:type="dxa"/>
                            <w:tcBorders>
                              <w:top w:val="single" w:sz="4" w:space="0" w:color="ADD6EA"/>
                              <w:left w:val="nil"/>
                              <w:bottom w:val="nil"/>
                              <w:right w:val="nil"/>
                            </w:tcBorders>
                            <w:shd w:val="clear" w:color="000000" w:fill="FFFFFF"/>
                            <w:vAlign w:val="bottom"/>
                            <w:hideMark/>
                          </w:tcPr>
                          <w:p w14:paraId="0944040D"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-34</w:t>
                            </w:r>
                          </w:p>
                        </w:tc>
                        <w:tc>
                          <w:tcPr>
                            <w:tcW w:w="679" w:type="dxa"/>
                            <w:tcBorders>
                              <w:top w:val="single" w:sz="4" w:space="0" w:color="ADD6EA"/>
                              <w:left w:val="nil"/>
                              <w:bottom w:val="nil"/>
                              <w:right w:val="nil"/>
                            </w:tcBorders>
                            <w:shd w:val="clear" w:color="000000" w:fill="FFFFFF"/>
                            <w:vAlign w:val="bottom"/>
                            <w:hideMark/>
                          </w:tcPr>
                          <w:p w14:paraId="115C2524"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82</w:t>
                            </w:r>
                          </w:p>
                        </w:tc>
                        <w:tc>
                          <w:tcPr>
                            <w:tcW w:w="679" w:type="dxa"/>
                            <w:tcBorders>
                              <w:top w:val="single" w:sz="4" w:space="0" w:color="ADD6EA"/>
                              <w:left w:val="nil"/>
                              <w:bottom w:val="nil"/>
                              <w:right w:val="nil"/>
                            </w:tcBorders>
                            <w:shd w:val="clear" w:color="000000" w:fill="FFFFFF"/>
                            <w:vAlign w:val="bottom"/>
                            <w:hideMark/>
                          </w:tcPr>
                          <w:p w14:paraId="17099552"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25</w:t>
                            </w:r>
                          </w:p>
                        </w:tc>
                        <w:tc>
                          <w:tcPr>
                            <w:tcW w:w="700" w:type="dxa"/>
                            <w:tcBorders>
                              <w:top w:val="single" w:sz="4" w:space="0" w:color="ADD6EA"/>
                              <w:left w:val="nil"/>
                              <w:bottom w:val="nil"/>
                              <w:right w:val="nil"/>
                            </w:tcBorders>
                            <w:shd w:val="clear" w:color="000000" w:fill="FFFFFF"/>
                            <w:vAlign w:val="bottom"/>
                            <w:hideMark/>
                          </w:tcPr>
                          <w:p w14:paraId="65B229F4"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52</w:t>
                            </w:r>
                          </w:p>
                        </w:tc>
                      </w:tr>
                      <w:tr w:rsidR="007E706B" w:rsidRPr="00462835" w14:paraId="1F5D5098" w14:textId="77777777" w:rsidTr="009906ED">
                        <w:trPr>
                          <w:trHeight w:val="320"/>
                        </w:trPr>
                        <w:tc>
                          <w:tcPr>
                            <w:tcW w:w="2806" w:type="dxa"/>
                            <w:tcBorders>
                              <w:top w:val="single" w:sz="4" w:space="0" w:color="ADD6EA"/>
                              <w:left w:val="nil"/>
                              <w:bottom w:val="nil"/>
                              <w:right w:val="nil"/>
                            </w:tcBorders>
                            <w:shd w:val="clear" w:color="000000" w:fill="FFFFFF"/>
                            <w:vAlign w:val="bottom"/>
                            <w:hideMark/>
                          </w:tcPr>
                          <w:p w14:paraId="4AAB0B35" w14:textId="77777777" w:rsidR="007E706B" w:rsidRPr="00462835" w:rsidRDefault="007E706B">
                            <w:pPr>
                              <w:tabs>
                                <w:tab w:val="clear" w:pos="567"/>
                              </w:tabs>
                              <w:spacing w:before="0" w:line="240" w:lineRule="auto"/>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U2024</w:t>
                            </w:r>
                          </w:p>
                        </w:tc>
                        <w:tc>
                          <w:tcPr>
                            <w:tcW w:w="682" w:type="dxa"/>
                            <w:tcBorders>
                              <w:top w:val="single" w:sz="4" w:space="0" w:color="ADD6EA"/>
                              <w:left w:val="nil"/>
                              <w:bottom w:val="nil"/>
                              <w:right w:val="nil"/>
                            </w:tcBorders>
                            <w:shd w:val="clear" w:color="000000" w:fill="FFFFFF"/>
                            <w:vAlign w:val="bottom"/>
                            <w:hideMark/>
                          </w:tcPr>
                          <w:p w14:paraId="1ED9D2A3"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-100</w:t>
                            </w:r>
                          </w:p>
                        </w:tc>
                        <w:tc>
                          <w:tcPr>
                            <w:tcW w:w="679" w:type="dxa"/>
                            <w:tcBorders>
                              <w:top w:val="single" w:sz="4" w:space="0" w:color="ADD6EA"/>
                              <w:left w:val="nil"/>
                              <w:bottom w:val="nil"/>
                              <w:right w:val="nil"/>
                            </w:tcBorders>
                            <w:shd w:val="clear" w:color="000000" w:fill="FFFFFF"/>
                            <w:vAlign w:val="bottom"/>
                            <w:hideMark/>
                          </w:tcPr>
                          <w:p w14:paraId="25727DA6"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-81</w:t>
                            </w:r>
                          </w:p>
                        </w:tc>
                        <w:tc>
                          <w:tcPr>
                            <w:tcW w:w="679" w:type="dxa"/>
                            <w:tcBorders>
                              <w:top w:val="single" w:sz="4" w:space="0" w:color="ADD6EA"/>
                              <w:left w:val="nil"/>
                              <w:bottom w:val="nil"/>
                              <w:right w:val="nil"/>
                            </w:tcBorders>
                            <w:shd w:val="clear" w:color="000000" w:fill="FFFFFF"/>
                            <w:vAlign w:val="bottom"/>
                            <w:hideMark/>
                          </w:tcPr>
                          <w:p w14:paraId="344B1941"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162</w:t>
                            </w:r>
                          </w:p>
                        </w:tc>
                        <w:tc>
                          <w:tcPr>
                            <w:tcW w:w="679" w:type="dxa"/>
                            <w:tcBorders>
                              <w:top w:val="single" w:sz="4" w:space="0" w:color="ADD6EA"/>
                              <w:left w:val="nil"/>
                              <w:bottom w:val="nil"/>
                              <w:right w:val="nil"/>
                            </w:tcBorders>
                            <w:shd w:val="clear" w:color="000000" w:fill="FFFFFF"/>
                            <w:vAlign w:val="bottom"/>
                            <w:hideMark/>
                          </w:tcPr>
                          <w:p w14:paraId="4014A52F"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165</w:t>
                            </w:r>
                          </w:p>
                        </w:tc>
                        <w:tc>
                          <w:tcPr>
                            <w:tcW w:w="679" w:type="dxa"/>
                            <w:tcBorders>
                              <w:top w:val="single" w:sz="4" w:space="0" w:color="ADD6EA"/>
                              <w:left w:val="nil"/>
                              <w:bottom w:val="nil"/>
                              <w:right w:val="nil"/>
                            </w:tcBorders>
                            <w:shd w:val="clear" w:color="000000" w:fill="FFFFFF"/>
                            <w:vAlign w:val="bottom"/>
                            <w:hideMark/>
                          </w:tcPr>
                          <w:p w14:paraId="7311DC5B"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-30</w:t>
                            </w:r>
                          </w:p>
                        </w:tc>
                        <w:tc>
                          <w:tcPr>
                            <w:tcW w:w="679" w:type="dxa"/>
                            <w:tcBorders>
                              <w:top w:val="single" w:sz="4" w:space="0" w:color="ADD6EA"/>
                              <w:left w:val="nil"/>
                              <w:bottom w:val="nil"/>
                              <w:right w:val="nil"/>
                            </w:tcBorders>
                            <w:shd w:val="clear" w:color="000000" w:fill="FFFFFF"/>
                            <w:vAlign w:val="bottom"/>
                            <w:hideMark/>
                          </w:tcPr>
                          <w:p w14:paraId="0F3F7890"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35</w:t>
                            </w:r>
                          </w:p>
                        </w:tc>
                        <w:tc>
                          <w:tcPr>
                            <w:tcW w:w="679" w:type="dxa"/>
                            <w:tcBorders>
                              <w:top w:val="single" w:sz="4" w:space="0" w:color="ADD6EA"/>
                              <w:left w:val="nil"/>
                              <w:bottom w:val="nil"/>
                              <w:right w:val="nil"/>
                            </w:tcBorders>
                            <w:shd w:val="clear" w:color="000000" w:fill="FFFFFF"/>
                            <w:vAlign w:val="bottom"/>
                            <w:hideMark/>
                          </w:tcPr>
                          <w:p w14:paraId="1100D633"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129</w:t>
                            </w:r>
                          </w:p>
                        </w:tc>
                        <w:tc>
                          <w:tcPr>
                            <w:tcW w:w="679" w:type="dxa"/>
                            <w:tcBorders>
                              <w:top w:val="single" w:sz="4" w:space="0" w:color="ADD6EA"/>
                              <w:left w:val="nil"/>
                              <w:bottom w:val="nil"/>
                              <w:right w:val="nil"/>
                            </w:tcBorders>
                            <w:shd w:val="clear" w:color="000000" w:fill="FFFFFF"/>
                            <w:vAlign w:val="bottom"/>
                            <w:hideMark/>
                          </w:tcPr>
                          <w:p w14:paraId="68262A9B"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5</w:t>
                            </w:r>
                          </w:p>
                        </w:tc>
                        <w:tc>
                          <w:tcPr>
                            <w:tcW w:w="700" w:type="dxa"/>
                            <w:tcBorders>
                              <w:top w:val="single" w:sz="4" w:space="0" w:color="ADD6EA"/>
                              <w:left w:val="nil"/>
                              <w:bottom w:val="nil"/>
                              <w:right w:val="nil"/>
                            </w:tcBorders>
                            <w:shd w:val="clear" w:color="000000" w:fill="FFFFFF"/>
                            <w:vAlign w:val="bottom"/>
                            <w:hideMark/>
                          </w:tcPr>
                          <w:p w14:paraId="1B3D7279"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54</w:t>
                            </w:r>
                          </w:p>
                        </w:tc>
                      </w:tr>
                      <w:tr w:rsidR="007E706B" w:rsidRPr="00462835" w14:paraId="5C111D8B" w14:textId="77777777" w:rsidTr="009906ED">
                        <w:trPr>
                          <w:trHeight w:val="320"/>
                        </w:trPr>
                        <w:tc>
                          <w:tcPr>
                            <w:tcW w:w="2806" w:type="dxa"/>
                            <w:tcBorders>
                              <w:top w:val="single" w:sz="4" w:space="0" w:color="ADD6EA"/>
                              <w:left w:val="nil"/>
                              <w:bottom w:val="single" w:sz="4" w:space="0" w:color="ADD6EA"/>
                              <w:right w:val="nil"/>
                            </w:tcBorders>
                            <w:shd w:val="clear" w:color="000000" w:fill="FFFFFF"/>
                            <w:vAlign w:val="bottom"/>
                            <w:hideMark/>
                          </w:tcPr>
                          <w:p w14:paraId="59E99961" w14:textId="77777777" w:rsidR="007E706B" w:rsidRPr="00462835" w:rsidRDefault="007E706B">
                            <w:pPr>
                              <w:tabs>
                                <w:tab w:val="clear" w:pos="567"/>
                              </w:tabs>
                              <w:spacing w:before="0" w:line="240" w:lineRule="auto"/>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R2025</w:t>
                            </w:r>
                          </w:p>
                        </w:tc>
                        <w:tc>
                          <w:tcPr>
                            <w:tcW w:w="682" w:type="dxa"/>
                            <w:tcBorders>
                              <w:top w:val="single" w:sz="4" w:space="0" w:color="ADD6EA"/>
                              <w:left w:val="nil"/>
                              <w:bottom w:val="single" w:sz="4" w:space="0" w:color="ADD6EA"/>
                              <w:right w:val="nil"/>
                            </w:tcBorders>
                            <w:shd w:val="clear" w:color="000000" w:fill="FFFFFF"/>
                            <w:vAlign w:val="bottom"/>
                            <w:hideMark/>
                          </w:tcPr>
                          <w:p w14:paraId="71AE06FC"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-126</w:t>
                            </w:r>
                          </w:p>
                        </w:tc>
                        <w:tc>
                          <w:tcPr>
                            <w:tcW w:w="679" w:type="dxa"/>
                            <w:tcBorders>
                              <w:top w:val="single" w:sz="4" w:space="0" w:color="ADD6EA"/>
                              <w:left w:val="nil"/>
                              <w:bottom w:val="single" w:sz="4" w:space="0" w:color="ADD6EA"/>
                              <w:right w:val="nil"/>
                            </w:tcBorders>
                            <w:shd w:val="clear" w:color="000000" w:fill="FFFFFF"/>
                            <w:vAlign w:val="bottom"/>
                            <w:hideMark/>
                          </w:tcPr>
                          <w:p w14:paraId="3C4EEF34"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42</w:t>
                            </w:r>
                          </w:p>
                        </w:tc>
                        <w:tc>
                          <w:tcPr>
                            <w:tcW w:w="679" w:type="dxa"/>
                            <w:tcBorders>
                              <w:top w:val="single" w:sz="4" w:space="0" w:color="ADD6EA"/>
                              <w:left w:val="nil"/>
                              <w:bottom w:val="single" w:sz="4" w:space="0" w:color="ADD6EA"/>
                              <w:right w:val="nil"/>
                            </w:tcBorders>
                            <w:shd w:val="clear" w:color="000000" w:fill="FFFFFF"/>
                            <w:vAlign w:val="bottom"/>
                            <w:hideMark/>
                          </w:tcPr>
                          <w:p w14:paraId="3B3B68E5"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91</w:t>
                            </w:r>
                          </w:p>
                        </w:tc>
                        <w:tc>
                          <w:tcPr>
                            <w:tcW w:w="679" w:type="dxa"/>
                            <w:tcBorders>
                              <w:top w:val="single" w:sz="4" w:space="0" w:color="ADD6EA"/>
                              <w:left w:val="nil"/>
                              <w:bottom w:val="single" w:sz="4" w:space="0" w:color="ADD6EA"/>
                              <w:right w:val="nil"/>
                            </w:tcBorders>
                            <w:shd w:val="clear" w:color="000000" w:fill="FFFFFF"/>
                            <w:vAlign w:val="bottom"/>
                            <w:hideMark/>
                          </w:tcPr>
                          <w:p w14:paraId="7133EC36"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193</w:t>
                            </w:r>
                          </w:p>
                        </w:tc>
                        <w:tc>
                          <w:tcPr>
                            <w:tcW w:w="679" w:type="dxa"/>
                            <w:tcBorders>
                              <w:top w:val="single" w:sz="4" w:space="0" w:color="ADD6EA"/>
                              <w:left w:val="nil"/>
                              <w:bottom w:val="single" w:sz="4" w:space="0" w:color="ADD6EA"/>
                              <w:right w:val="nil"/>
                            </w:tcBorders>
                            <w:shd w:val="clear" w:color="000000" w:fill="FFFFFF"/>
                            <w:vAlign w:val="bottom"/>
                            <w:hideMark/>
                          </w:tcPr>
                          <w:p w14:paraId="6FF9B758"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-109</w:t>
                            </w:r>
                          </w:p>
                        </w:tc>
                        <w:tc>
                          <w:tcPr>
                            <w:tcW w:w="679" w:type="dxa"/>
                            <w:tcBorders>
                              <w:top w:val="single" w:sz="4" w:space="0" w:color="ADD6EA"/>
                              <w:left w:val="nil"/>
                              <w:bottom w:val="single" w:sz="4" w:space="0" w:color="ADD6EA"/>
                              <w:right w:val="nil"/>
                            </w:tcBorders>
                            <w:shd w:val="clear" w:color="000000" w:fill="FFFFFF"/>
                            <w:vAlign w:val="bottom"/>
                            <w:hideMark/>
                          </w:tcPr>
                          <w:p w14:paraId="59FBA22E"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-106</w:t>
                            </w:r>
                          </w:p>
                        </w:tc>
                        <w:tc>
                          <w:tcPr>
                            <w:tcW w:w="679" w:type="dxa"/>
                            <w:tcBorders>
                              <w:top w:val="single" w:sz="4" w:space="0" w:color="ADD6EA"/>
                              <w:left w:val="nil"/>
                              <w:bottom w:val="single" w:sz="4" w:space="0" w:color="ADD6EA"/>
                              <w:right w:val="nil"/>
                            </w:tcBorders>
                            <w:shd w:val="clear" w:color="000000" w:fill="FFFFFF"/>
                            <w:vAlign w:val="bottom"/>
                            <w:hideMark/>
                          </w:tcPr>
                          <w:p w14:paraId="25899841"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-68</w:t>
                            </w:r>
                          </w:p>
                        </w:tc>
                        <w:tc>
                          <w:tcPr>
                            <w:tcW w:w="679" w:type="dxa"/>
                            <w:tcBorders>
                              <w:top w:val="single" w:sz="4" w:space="0" w:color="ADD6EA"/>
                              <w:left w:val="nil"/>
                              <w:bottom w:val="single" w:sz="4" w:space="0" w:color="ADD6EA"/>
                              <w:right w:val="nil"/>
                            </w:tcBorders>
                            <w:shd w:val="clear" w:color="000000" w:fill="FFFFFF"/>
                            <w:vAlign w:val="bottom"/>
                            <w:hideMark/>
                          </w:tcPr>
                          <w:p w14:paraId="2AA2AB6A"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-66</w:t>
                            </w:r>
                          </w:p>
                        </w:tc>
                        <w:tc>
                          <w:tcPr>
                            <w:tcW w:w="700" w:type="dxa"/>
                            <w:tcBorders>
                              <w:top w:val="single" w:sz="4" w:space="0" w:color="ADD6EA"/>
                              <w:left w:val="nil"/>
                              <w:bottom w:val="single" w:sz="4" w:space="0" w:color="ADD6EA"/>
                              <w:right w:val="nil"/>
                            </w:tcBorders>
                            <w:shd w:val="clear" w:color="000000" w:fill="FFFFFF"/>
                            <w:vAlign w:val="bottom"/>
                            <w:hideMark/>
                          </w:tcPr>
                          <w:p w14:paraId="3D96C505" w14:textId="77777777" w:rsidR="007E706B" w:rsidRPr="00462835" w:rsidRDefault="007E706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62835">
                              <w:rPr>
                                <w:rFonts w:ascii="Open Sans Light" w:eastAsia="Times New Roman" w:hAnsi="Open Sans Light" w:cs="Open Sans Light"/>
                                <w:color w:val="000000"/>
                                <w:sz w:val="16"/>
                                <w:szCs w:val="16"/>
                                <w:lang w:eastAsia="en-AU"/>
                              </w:rPr>
                              <w:t>51</w:t>
                            </w:r>
                          </w:p>
                        </w:tc>
                      </w:tr>
                    </w:tbl>
                    <w:p w14:paraId="17A73757" w14:textId="77777777" w:rsidR="007E706B" w:rsidRDefault="007E706B" w:rsidP="007E706B"/>
                    <w:p w14:paraId="0502AFEB" w14:textId="77777777" w:rsidR="007E706B" w:rsidRDefault="007E706B" w:rsidP="007E706B">
                      <w:pPr>
                        <w:pStyle w:val="CGCTablenote"/>
                      </w:pPr>
                    </w:p>
                  </w:txbxContent>
                </v:textbox>
                <w10:wrap type="square" anchorx="margin"/>
              </v:shape>
            </w:pict>
          </mc:Fallback>
        </mc:AlternateContent>
      </w:r>
    </w:p>
    <w:p w14:paraId="099FB6E3" w14:textId="06246A70" w:rsidR="00AA4509" w:rsidRPr="00D15A93" w:rsidRDefault="00AA4509" w:rsidP="003C039F">
      <w:pPr>
        <w:pStyle w:val="Heading4"/>
      </w:pPr>
      <w:r w:rsidRPr="00D15A93">
        <w:lastRenderedPageBreak/>
        <w:t>Taxable land values</w:t>
      </w:r>
    </w:p>
    <w:p w14:paraId="4F37DE55" w14:textId="4DC97BE4" w:rsidR="00AA4509" w:rsidRPr="00D15A93" w:rsidRDefault="00AA4509" w:rsidP="00AA4509">
      <w:r w:rsidRPr="00D15A93">
        <w:t xml:space="preserve">Cycles in property markets change land values and, as a result, states’ capacities to raise land tax. </w:t>
      </w:r>
    </w:p>
    <w:p w14:paraId="2D5941BD" w14:textId="6CD55BDA" w:rsidR="00AA4509" w:rsidRPr="00D15A93" w:rsidRDefault="00AA4509" w:rsidP="00AA4509">
      <w:pPr>
        <w:rPr>
          <w:highlight w:val="yellow"/>
        </w:rPr>
      </w:pPr>
      <w:r w:rsidRPr="00D15A93">
        <w:t>Total land tax revenue grew between 2020–21 and 2023–24. This reduced the assessed GST needs of states with an above-average capacity to raise land tax (New South Wales and Victoria) and increased the assessed GST needs of the other states.</w:t>
      </w:r>
    </w:p>
    <w:p w14:paraId="543BC7DA" w14:textId="599BB896" w:rsidR="00AA4509" w:rsidRPr="00D15A93" w:rsidRDefault="00AA4509" w:rsidP="00AA4509">
      <w:pPr>
        <w:rPr>
          <w:highlight w:val="yellow"/>
        </w:rPr>
      </w:pPr>
      <w:r w:rsidRPr="00D15A93">
        <w:t xml:space="preserve">Between 2020–21 and 2023–24, per capita taxable land values increased by 33% nationally. New South Wales, South Australia, Tasmania and the </w:t>
      </w:r>
      <w:r w:rsidRPr="00DB7E45">
        <w:t>Northern Territory experienced above-average growth over the period (see Figure 2-4</w:t>
      </w:r>
      <w:r w:rsidRPr="00DB7E45">
        <w:fldChar w:fldCharType="begin"/>
      </w:r>
      <w:r w:rsidRPr="00DB7E45">
        <w:instrText xml:space="preserve"> REF Figure_2_2 \h  \* MERGEFORMAT </w:instrText>
      </w:r>
      <w:r w:rsidRPr="00DB7E45">
        <w:fldChar w:fldCharType="end"/>
      </w:r>
      <w:r w:rsidRPr="00DB7E45">
        <w:t xml:space="preserve">), reducing their assessed GST needs and increasing those of the other states. This more than offset the reduction </w:t>
      </w:r>
      <w:r w:rsidR="004B1D53" w:rsidRPr="00D763BA">
        <w:t xml:space="preserve">in assessed GST needs </w:t>
      </w:r>
      <w:r w:rsidRPr="00DB7E45">
        <w:t xml:space="preserve">for Victoria and partially offset the increase </w:t>
      </w:r>
      <w:r w:rsidR="004B1D53" w:rsidRPr="00D763BA">
        <w:t xml:space="preserve">in assessed GST needs </w:t>
      </w:r>
      <w:r w:rsidRPr="00DB7E45">
        <w:t>for South</w:t>
      </w:r>
      <w:r w:rsidR="00B17896">
        <w:t> </w:t>
      </w:r>
      <w:r w:rsidRPr="00DB7E45">
        <w:t>Australia, Tasmania and the Northern Territory.</w:t>
      </w:r>
      <w:r w:rsidRPr="00D15A93">
        <w:t xml:space="preserve"> </w:t>
      </w:r>
    </w:p>
    <w:p w14:paraId="146EC805" w14:textId="5031B3F4" w:rsidR="00AA4509" w:rsidRPr="00D15A93" w:rsidRDefault="004B1D53" w:rsidP="00295AD3">
      <w:pPr>
        <w:pStyle w:val="CGC2025Caption"/>
      </w:pPr>
      <w:bookmarkStart w:id="127" w:name="Figure_2_2"/>
      <w:bookmarkEnd w:id="127"/>
      <w:r w:rsidRPr="00C40290">
        <w:rPr>
          <w:rStyle w:val="CGC2025TableNoteChar"/>
          <w:noProof/>
        </w:rPr>
        <w:drawing>
          <wp:anchor distT="0" distB="0" distL="114300" distR="114300" simplePos="0" relativeHeight="251658260" behindDoc="0" locked="0" layoutInCell="1" allowOverlap="1" wp14:anchorId="6EE77B77" wp14:editId="5594639F">
            <wp:simplePos x="0" y="0"/>
            <wp:positionH relativeFrom="column">
              <wp:posOffset>-8747</wp:posOffset>
            </wp:positionH>
            <wp:positionV relativeFrom="paragraph">
              <wp:posOffset>365760</wp:posOffset>
            </wp:positionV>
            <wp:extent cx="5651500" cy="3563620"/>
            <wp:effectExtent l="0" t="0" r="6350" b="17780"/>
            <wp:wrapSquare wrapText="bothSides"/>
            <wp:docPr id="1292904442" name="Chart 1">
              <a:extLst xmlns:a="http://schemas.openxmlformats.org/drawingml/2006/main">
                <a:ext uri="{FF2B5EF4-FFF2-40B4-BE49-F238E27FC236}">
                  <a16:creationId xmlns:a16="http://schemas.microsoft.com/office/drawing/2014/main" id="{E3F86660-3271-7958-CC2D-09CB948F71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r w:rsidR="00AA4509" w:rsidRPr="00D15A93">
        <w:t>Figure 2-4</w:t>
      </w:r>
      <w:r w:rsidR="00AA4509" w:rsidRPr="00D15A93">
        <w:tab/>
        <w:t>Taxable land values per capita, 2020–21 to 2023–24</w:t>
      </w:r>
    </w:p>
    <w:p w14:paraId="100A4984" w14:textId="26E4A35D" w:rsidR="00C40290" w:rsidRDefault="009F590D" w:rsidP="00BE242E">
      <w:pPr>
        <w:pStyle w:val="CGC2025TableNote"/>
      </w:pPr>
      <w:r w:rsidRPr="00BE242E">
        <w:t>Source: Annual data provided by states</w:t>
      </w:r>
      <w:r w:rsidRPr="00DB2CF1">
        <w:t>.</w:t>
      </w:r>
    </w:p>
    <w:p w14:paraId="36D0D474" w14:textId="53195028" w:rsidR="009F590D" w:rsidRPr="00D15A93" w:rsidRDefault="009F590D" w:rsidP="00BE242E">
      <w:pPr>
        <w:pStyle w:val="CGC2025TableNote"/>
        <w:tabs>
          <w:tab w:val="clear" w:pos="567"/>
          <w:tab w:val="clear" w:pos="680"/>
          <w:tab w:val="left" w:pos="672"/>
          <w:tab w:val="left" w:pos="1134"/>
        </w:tabs>
        <w:ind w:left="709" w:hanging="596"/>
      </w:pPr>
      <w:r w:rsidRPr="00D15A93">
        <w:t xml:space="preserve">Note: </w:t>
      </w:r>
      <w:r w:rsidR="00BE242E">
        <w:tab/>
      </w:r>
      <w:r w:rsidRPr="00D15A93">
        <w:t xml:space="preserve">The Commission estimates the Northern Territory’s land values </w:t>
      </w:r>
    </w:p>
    <w:p w14:paraId="5BE60910" w14:textId="77777777" w:rsidR="00FF1EB9" w:rsidRPr="00D15A93" w:rsidRDefault="00FF1EB9" w:rsidP="00915D74">
      <w:pPr>
        <w:pStyle w:val="Heading4"/>
      </w:pPr>
      <w:r w:rsidRPr="00D15A93">
        <w:t>Commonwealth payments</w:t>
      </w:r>
    </w:p>
    <w:p w14:paraId="22F6876D" w14:textId="77777777" w:rsidR="00FF1EB9" w:rsidRPr="00D15A93" w:rsidRDefault="00FF1EB9" w:rsidP="00FF1EB9">
      <w:r w:rsidRPr="00D15A93">
        <w:t xml:space="preserve">The Commonwealth makes payments to states for specific purposes. If a payment is for a state-type service for which the Commission assesses expense needs, then this revenue is included when the Commission assesses how much GST a state requires. To the extent that a state receives above-average per capita amounts of Commonwealth payments, it is assessed to require less GST per capita. </w:t>
      </w:r>
    </w:p>
    <w:p w14:paraId="66B6278D" w14:textId="77777777" w:rsidR="00FF1EB9" w:rsidRPr="00D15A93" w:rsidRDefault="00FF1EB9" w:rsidP="00FF1EB9">
      <w:r w:rsidRPr="00D15A93">
        <w:t>Between 2020–21 and 2023–24, there were changes in the interstate distribution of some payments, particularly for national health reform, rail infrastructure, road infrastructure and education. This had flow-on effects for GST distribution. New and ceased payments in 2023–24 also impacted GST distribution.</w:t>
      </w:r>
    </w:p>
    <w:p w14:paraId="75184CF2" w14:textId="77777777" w:rsidR="00FF1EB9" w:rsidRPr="00D15A93" w:rsidRDefault="00FF1EB9" w:rsidP="00FF1EB9">
      <w:r w:rsidRPr="00D15A93">
        <w:t>Victoria, Queensland and South Australia received smaller shares of assessed Commonwealth payments in 2023–24 than in 2020–21, increasing their assessed GST needs. The other states received greater shares of Commonwealth payments in 2023–24 than in 2020–21, reducing their assessed GST needs (see Table 2-10).</w:t>
      </w:r>
    </w:p>
    <w:p w14:paraId="404CE25D" w14:textId="505606FD" w:rsidR="00FF1EB9" w:rsidRPr="00D15A93" w:rsidRDefault="00FF1EB9" w:rsidP="00943A5E">
      <w:pPr>
        <w:pStyle w:val="CGC2025Caption"/>
        <w:keepNext/>
        <w:spacing w:before="0"/>
        <w:ind w:left="1440" w:hanging="1440"/>
      </w:pPr>
      <w:bookmarkStart w:id="128" w:name="Table_2_9"/>
      <w:r w:rsidRPr="00D15A93">
        <w:lastRenderedPageBreak/>
        <w:t>Table 2-</w:t>
      </w:r>
      <w:bookmarkEnd w:id="128"/>
      <w:r w:rsidRPr="00D15A93">
        <w:t>10</w:t>
      </w:r>
      <w:r w:rsidRPr="00D15A93">
        <w:tab/>
        <w:t>Changes in the estimated GST distribution due to changes in Commonwealth payments, 2022–23 to 2023–24</w:t>
      </w:r>
    </w:p>
    <w:tbl>
      <w:tblPr>
        <w:tblW w:w="8939" w:type="dxa"/>
        <w:tblLook w:val="04A0" w:firstRow="1" w:lastRow="0" w:firstColumn="1" w:lastColumn="0" w:noHBand="0" w:noVBand="1"/>
      </w:tblPr>
      <w:tblGrid>
        <w:gridCol w:w="3226"/>
        <w:gridCol w:w="581"/>
        <w:gridCol w:w="639"/>
        <w:gridCol w:w="639"/>
        <w:gridCol w:w="639"/>
        <w:gridCol w:w="639"/>
        <w:gridCol w:w="639"/>
        <w:gridCol w:w="639"/>
        <w:gridCol w:w="639"/>
        <w:gridCol w:w="659"/>
      </w:tblGrid>
      <w:tr w:rsidR="004A35AD" w:rsidRPr="004A35AD" w14:paraId="12885B58" w14:textId="77777777" w:rsidTr="00DA4444">
        <w:trPr>
          <w:trHeight w:val="552"/>
        </w:trPr>
        <w:tc>
          <w:tcPr>
            <w:tcW w:w="3226" w:type="dxa"/>
            <w:tcBorders>
              <w:top w:val="nil"/>
              <w:left w:val="nil"/>
              <w:bottom w:val="nil"/>
              <w:right w:val="nil"/>
            </w:tcBorders>
            <w:shd w:val="clear" w:color="000000" w:fill="006991"/>
            <w:vAlign w:val="center"/>
            <w:hideMark/>
          </w:tcPr>
          <w:p w14:paraId="3F2233C0" w14:textId="77777777" w:rsidR="004A35AD" w:rsidRPr="004A35AD" w:rsidRDefault="004A35AD" w:rsidP="004A35AD">
            <w:pPr>
              <w:tabs>
                <w:tab w:val="clear" w:pos="567"/>
              </w:tabs>
              <w:spacing w:before="0" w:line="240" w:lineRule="auto"/>
              <w:rPr>
                <w:rFonts w:ascii="Open Sans Semibold" w:eastAsia="Times New Roman" w:hAnsi="Open Sans Semibold" w:cs="Open Sans Semibold"/>
                <w:color w:val="FFFFFF"/>
                <w:sz w:val="16"/>
                <w:szCs w:val="16"/>
                <w:lang w:eastAsia="en-AU"/>
              </w:rPr>
            </w:pPr>
            <w:r w:rsidRPr="004A35AD">
              <w:rPr>
                <w:rFonts w:ascii="Open Sans Semibold" w:eastAsia="Times New Roman" w:hAnsi="Open Sans Semibold" w:cs="Open Sans Semibold"/>
                <w:color w:val="FFFFFF"/>
                <w:sz w:val="16"/>
                <w:szCs w:val="16"/>
                <w:lang w:eastAsia="en-AU"/>
              </w:rPr>
              <w:t> </w:t>
            </w:r>
          </w:p>
        </w:tc>
        <w:tc>
          <w:tcPr>
            <w:tcW w:w="581" w:type="dxa"/>
            <w:tcBorders>
              <w:top w:val="nil"/>
              <w:left w:val="nil"/>
              <w:bottom w:val="nil"/>
              <w:right w:val="nil"/>
            </w:tcBorders>
            <w:shd w:val="clear" w:color="000000" w:fill="006991"/>
            <w:vAlign w:val="center"/>
            <w:hideMark/>
          </w:tcPr>
          <w:p w14:paraId="1E28155C"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A35AD">
              <w:rPr>
                <w:rFonts w:ascii="Open Sans Semibold" w:eastAsia="Times New Roman" w:hAnsi="Open Sans Semibold" w:cs="Open Sans Semibold"/>
                <w:color w:val="FFFFFF"/>
                <w:sz w:val="16"/>
                <w:szCs w:val="16"/>
                <w:lang w:eastAsia="en-AU"/>
              </w:rPr>
              <w:t>NSW</w:t>
            </w:r>
          </w:p>
        </w:tc>
        <w:tc>
          <w:tcPr>
            <w:tcW w:w="639" w:type="dxa"/>
            <w:tcBorders>
              <w:top w:val="nil"/>
              <w:left w:val="nil"/>
              <w:bottom w:val="nil"/>
              <w:right w:val="nil"/>
            </w:tcBorders>
            <w:shd w:val="clear" w:color="000000" w:fill="006991"/>
            <w:vAlign w:val="center"/>
            <w:hideMark/>
          </w:tcPr>
          <w:p w14:paraId="02C81E47"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A35AD">
              <w:rPr>
                <w:rFonts w:ascii="Open Sans Semibold" w:eastAsia="Times New Roman" w:hAnsi="Open Sans Semibold" w:cs="Open Sans Semibold"/>
                <w:color w:val="FFFFFF"/>
                <w:sz w:val="16"/>
                <w:szCs w:val="16"/>
                <w:lang w:eastAsia="en-AU"/>
              </w:rPr>
              <w:t>Vic</w:t>
            </w:r>
          </w:p>
        </w:tc>
        <w:tc>
          <w:tcPr>
            <w:tcW w:w="639" w:type="dxa"/>
            <w:tcBorders>
              <w:top w:val="nil"/>
              <w:left w:val="nil"/>
              <w:bottom w:val="nil"/>
              <w:right w:val="nil"/>
            </w:tcBorders>
            <w:shd w:val="clear" w:color="000000" w:fill="006991"/>
            <w:vAlign w:val="center"/>
            <w:hideMark/>
          </w:tcPr>
          <w:p w14:paraId="523E3194"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A35AD">
              <w:rPr>
                <w:rFonts w:ascii="Open Sans Semibold" w:eastAsia="Times New Roman" w:hAnsi="Open Sans Semibold" w:cs="Open Sans Semibold"/>
                <w:color w:val="FFFFFF"/>
                <w:sz w:val="16"/>
                <w:szCs w:val="16"/>
                <w:lang w:eastAsia="en-AU"/>
              </w:rPr>
              <w:t>Qld</w:t>
            </w:r>
          </w:p>
        </w:tc>
        <w:tc>
          <w:tcPr>
            <w:tcW w:w="639" w:type="dxa"/>
            <w:tcBorders>
              <w:top w:val="nil"/>
              <w:left w:val="nil"/>
              <w:bottom w:val="nil"/>
              <w:right w:val="nil"/>
            </w:tcBorders>
            <w:shd w:val="clear" w:color="000000" w:fill="006991"/>
            <w:vAlign w:val="center"/>
            <w:hideMark/>
          </w:tcPr>
          <w:p w14:paraId="3700E5EB"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A35AD">
              <w:rPr>
                <w:rFonts w:ascii="Open Sans Semibold" w:eastAsia="Times New Roman" w:hAnsi="Open Sans Semibold" w:cs="Open Sans Semibold"/>
                <w:color w:val="FFFFFF"/>
                <w:sz w:val="16"/>
                <w:szCs w:val="16"/>
                <w:lang w:eastAsia="en-AU"/>
              </w:rPr>
              <w:t>WA</w:t>
            </w:r>
          </w:p>
        </w:tc>
        <w:tc>
          <w:tcPr>
            <w:tcW w:w="639" w:type="dxa"/>
            <w:tcBorders>
              <w:top w:val="nil"/>
              <w:left w:val="nil"/>
              <w:bottom w:val="nil"/>
              <w:right w:val="nil"/>
            </w:tcBorders>
            <w:shd w:val="clear" w:color="000000" w:fill="006991"/>
            <w:vAlign w:val="center"/>
            <w:hideMark/>
          </w:tcPr>
          <w:p w14:paraId="3881291C"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A35AD">
              <w:rPr>
                <w:rFonts w:ascii="Open Sans Semibold" w:eastAsia="Times New Roman" w:hAnsi="Open Sans Semibold" w:cs="Open Sans Semibold"/>
                <w:color w:val="FFFFFF"/>
                <w:sz w:val="16"/>
                <w:szCs w:val="16"/>
                <w:lang w:eastAsia="en-AU"/>
              </w:rPr>
              <w:t>SA</w:t>
            </w:r>
          </w:p>
        </w:tc>
        <w:tc>
          <w:tcPr>
            <w:tcW w:w="639" w:type="dxa"/>
            <w:tcBorders>
              <w:top w:val="nil"/>
              <w:left w:val="nil"/>
              <w:bottom w:val="nil"/>
              <w:right w:val="nil"/>
            </w:tcBorders>
            <w:shd w:val="clear" w:color="000000" w:fill="006991"/>
            <w:vAlign w:val="center"/>
            <w:hideMark/>
          </w:tcPr>
          <w:p w14:paraId="4E12EE9D"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A35AD">
              <w:rPr>
                <w:rFonts w:ascii="Open Sans Semibold" w:eastAsia="Times New Roman" w:hAnsi="Open Sans Semibold" w:cs="Open Sans Semibold"/>
                <w:color w:val="FFFFFF"/>
                <w:sz w:val="16"/>
                <w:szCs w:val="16"/>
                <w:lang w:eastAsia="en-AU"/>
              </w:rPr>
              <w:t>Tas</w:t>
            </w:r>
          </w:p>
        </w:tc>
        <w:tc>
          <w:tcPr>
            <w:tcW w:w="639" w:type="dxa"/>
            <w:tcBorders>
              <w:top w:val="nil"/>
              <w:left w:val="nil"/>
              <w:bottom w:val="nil"/>
              <w:right w:val="nil"/>
            </w:tcBorders>
            <w:shd w:val="clear" w:color="000000" w:fill="006991"/>
            <w:vAlign w:val="center"/>
            <w:hideMark/>
          </w:tcPr>
          <w:p w14:paraId="4758D5E6"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A35AD">
              <w:rPr>
                <w:rFonts w:ascii="Open Sans Semibold" w:eastAsia="Times New Roman" w:hAnsi="Open Sans Semibold" w:cs="Open Sans Semibold"/>
                <w:color w:val="FFFFFF"/>
                <w:sz w:val="16"/>
                <w:szCs w:val="16"/>
                <w:lang w:eastAsia="en-AU"/>
              </w:rPr>
              <w:t>ACT</w:t>
            </w:r>
          </w:p>
        </w:tc>
        <w:tc>
          <w:tcPr>
            <w:tcW w:w="639" w:type="dxa"/>
            <w:tcBorders>
              <w:top w:val="nil"/>
              <w:left w:val="nil"/>
              <w:bottom w:val="nil"/>
              <w:right w:val="nil"/>
            </w:tcBorders>
            <w:shd w:val="clear" w:color="000000" w:fill="006991"/>
            <w:vAlign w:val="center"/>
            <w:hideMark/>
          </w:tcPr>
          <w:p w14:paraId="3612C2BB"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A35AD">
              <w:rPr>
                <w:rFonts w:ascii="Open Sans Semibold" w:eastAsia="Times New Roman" w:hAnsi="Open Sans Semibold" w:cs="Open Sans Semibold"/>
                <w:color w:val="FFFFFF"/>
                <w:sz w:val="16"/>
                <w:szCs w:val="16"/>
                <w:lang w:eastAsia="en-AU"/>
              </w:rPr>
              <w:t>NT</w:t>
            </w:r>
          </w:p>
        </w:tc>
        <w:tc>
          <w:tcPr>
            <w:tcW w:w="659" w:type="dxa"/>
            <w:tcBorders>
              <w:top w:val="nil"/>
              <w:left w:val="nil"/>
              <w:bottom w:val="nil"/>
              <w:right w:val="nil"/>
            </w:tcBorders>
            <w:shd w:val="clear" w:color="000000" w:fill="006991"/>
            <w:vAlign w:val="center"/>
            <w:hideMark/>
          </w:tcPr>
          <w:p w14:paraId="08C5422D"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A35AD">
              <w:rPr>
                <w:rFonts w:ascii="Open Sans Semibold" w:eastAsia="Times New Roman" w:hAnsi="Open Sans Semibold" w:cs="Open Sans Semibold"/>
                <w:color w:val="FFFFFF"/>
                <w:sz w:val="16"/>
                <w:szCs w:val="16"/>
                <w:lang w:eastAsia="en-AU"/>
              </w:rPr>
              <w:t>Total effect</w:t>
            </w:r>
          </w:p>
        </w:tc>
      </w:tr>
      <w:tr w:rsidR="004A35AD" w:rsidRPr="004A35AD" w14:paraId="02C3000D" w14:textId="77777777" w:rsidTr="00DA4444">
        <w:trPr>
          <w:trHeight w:val="259"/>
        </w:trPr>
        <w:tc>
          <w:tcPr>
            <w:tcW w:w="3226" w:type="dxa"/>
            <w:tcBorders>
              <w:top w:val="single" w:sz="4" w:space="0" w:color="ADD6EA"/>
              <w:left w:val="nil"/>
              <w:bottom w:val="nil"/>
              <w:right w:val="nil"/>
            </w:tcBorders>
            <w:shd w:val="clear" w:color="000000" w:fill="B6D5E4"/>
            <w:vAlign w:val="bottom"/>
            <w:hideMark/>
          </w:tcPr>
          <w:p w14:paraId="1424EBC7" w14:textId="77777777" w:rsidR="004A35AD" w:rsidRPr="004A35AD" w:rsidRDefault="004A35AD" w:rsidP="004A35AD">
            <w:pPr>
              <w:tabs>
                <w:tab w:val="clear" w:pos="567"/>
              </w:tabs>
              <w:spacing w:before="0" w:line="240" w:lineRule="auto"/>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 </w:t>
            </w:r>
          </w:p>
        </w:tc>
        <w:tc>
          <w:tcPr>
            <w:tcW w:w="581" w:type="dxa"/>
            <w:tcBorders>
              <w:top w:val="single" w:sz="4" w:space="0" w:color="ADD6EA"/>
              <w:left w:val="nil"/>
              <w:bottom w:val="nil"/>
              <w:right w:val="nil"/>
            </w:tcBorders>
            <w:shd w:val="clear" w:color="000000" w:fill="B6D5E4"/>
            <w:vAlign w:val="bottom"/>
            <w:hideMark/>
          </w:tcPr>
          <w:p w14:paraId="6775FC98"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$m</w:t>
            </w:r>
          </w:p>
        </w:tc>
        <w:tc>
          <w:tcPr>
            <w:tcW w:w="639" w:type="dxa"/>
            <w:tcBorders>
              <w:top w:val="single" w:sz="4" w:space="0" w:color="ADD6EA"/>
              <w:left w:val="nil"/>
              <w:bottom w:val="nil"/>
              <w:right w:val="nil"/>
            </w:tcBorders>
            <w:shd w:val="clear" w:color="000000" w:fill="B6D5E4"/>
            <w:vAlign w:val="bottom"/>
            <w:hideMark/>
          </w:tcPr>
          <w:p w14:paraId="3468421D"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$m</w:t>
            </w:r>
          </w:p>
        </w:tc>
        <w:tc>
          <w:tcPr>
            <w:tcW w:w="639" w:type="dxa"/>
            <w:tcBorders>
              <w:top w:val="single" w:sz="4" w:space="0" w:color="ADD6EA"/>
              <w:left w:val="nil"/>
              <w:bottom w:val="nil"/>
              <w:right w:val="nil"/>
            </w:tcBorders>
            <w:shd w:val="clear" w:color="000000" w:fill="B6D5E4"/>
            <w:vAlign w:val="bottom"/>
            <w:hideMark/>
          </w:tcPr>
          <w:p w14:paraId="1EBD25C8"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$m</w:t>
            </w:r>
          </w:p>
        </w:tc>
        <w:tc>
          <w:tcPr>
            <w:tcW w:w="639" w:type="dxa"/>
            <w:tcBorders>
              <w:top w:val="single" w:sz="4" w:space="0" w:color="ADD6EA"/>
              <w:left w:val="nil"/>
              <w:bottom w:val="nil"/>
              <w:right w:val="nil"/>
            </w:tcBorders>
            <w:shd w:val="clear" w:color="000000" w:fill="B6D5E4"/>
            <w:vAlign w:val="bottom"/>
            <w:hideMark/>
          </w:tcPr>
          <w:p w14:paraId="595F3BED"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$m</w:t>
            </w:r>
          </w:p>
        </w:tc>
        <w:tc>
          <w:tcPr>
            <w:tcW w:w="639" w:type="dxa"/>
            <w:tcBorders>
              <w:top w:val="single" w:sz="4" w:space="0" w:color="ADD6EA"/>
              <w:left w:val="nil"/>
              <w:bottom w:val="nil"/>
              <w:right w:val="nil"/>
            </w:tcBorders>
            <w:shd w:val="clear" w:color="000000" w:fill="B6D5E4"/>
            <w:vAlign w:val="bottom"/>
            <w:hideMark/>
          </w:tcPr>
          <w:p w14:paraId="358ADDDF"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$m</w:t>
            </w:r>
          </w:p>
        </w:tc>
        <w:tc>
          <w:tcPr>
            <w:tcW w:w="639" w:type="dxa"/>
            <w:tcBorders>
              <w:top w:val="single" w:sz="4" w:space="0" w:color="ADD6EA"/>
              <w:left w:val="nil"/>
              <w:bottom w:val="nil"/>
              <w:right w:val="nil"/>
            </w:tcBorders>
            <w:shd w:val="clear" w:color="000000" w:fill="B6D5E4"/>
            <w:vAlign w:val="bottom"/>
            <w:hideMark/>
          </w:tcPr>
          <w:p w14:paraId="2B6E87A2"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$m</w:t>
            </w:r>
          </w:p>
        </w:tc>
        <w:tc>
          <w:tcPr>
            <w:tcW w:w="639" w:type="dxa"/>
            <w:tcBorders>
              <w:top w:val="single" w:sz="4" w:space="0" w:color="ADD6EA"/>
              <w:left w:val="nil"/>
              <w:bottom w:val="nil"/>
              <w:right w:val="nil"/>
            </w:tcBorders>
            <w:shd w:val="clear" w:color="000000" w:fill="B6D5E4"/>
            <w:vAlign w:val="bottom"/>
            <w:hideMark/>
          </w:tcPr>
          <w:p w14:paraId="4A56209A"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$m</w:t>
            </w:r>
          </w:p>
        </w:tc>
        <w:tc>
          <w:tcPr>
            <w:tcW w:w="639" w:type="dxa"/>
            <w:tcBorders>
              <w:top w:val="single" w:sz="4" w:space="0" w:color="ADD6EA"/>
              <w:left w:val="nil"/>
              <w:bottom w:val="nil"/>
              <w:right w:val="nil"/>
            </w:tcBorders>
            <w:shd w:val="clear" w:color="000000" w:fill="B6D5E4"/>
            <w:vAlign w:val="bottom"/>
            <w:hideMark/>
          </w:tcPr>
          <w:p w14:paraId="652D8A1C"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$m</w:t>
            </w:r>
          </w:p>
        </w:tc>
        <w:tc>
          <w:tcPr>
            <w:tcW w:w="659" w:type="dxa"/>
            <w:tcBorders>
              <w:top w:val="single" w:sz="4" w:space="0" w:color="ADD6EA"/>
              <w:left w:val="nil"/>
              <w:bottom w:val="nil"/>
              <w:right w:val="nil"/>
            </w:tcBorders>
            <w:shd w:val="clear" w:color="000000" w:fill="B6D5E4"/>
            <w:vAlign w:val="bottom"/>
            <w:hideMark/>
          </w:tcPr>
          <w:p w14:paraId="1F185008"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$m</w:t>
            </w:r>
          </w:p>
        </w:tc>
      </w:tr>
      <w:tr w:rsidR="004A35AD" w:rsidRPr="004A35AD" w14:paraId="0DBD6361" w14:textId="77777777" w:rsidTr="00DA4444">
        <w:trPr>
          <w:trHeight w:val="319"/>
        </w:trPr>
        <w:tc>
          <w:tcPr>
            <w:tcW w:w="3226" w:type="dxa"/>
            <w:tcBorders>
              <w:top w:val="single" w:sz="4" w:space="0" w:color="ADD6EA"/>
              <w:left w:val="nil"/>
              <w:bottom w:val="nil"/>
              <w:right w:val="nil"/>
            </w:tcBorders>
            <w:shd w:val="clear" w:color="000000" w:fill="FFFFFF"/>
            <w:vAlign w:val="bottom"/>
            <w:hideMark/>
          </w:tcPr>
          <w:p w14:paraId="0DE5AE98" w14:textId="77777777" w:rsidR="004A35AD" w:rsidRPr="004A35AD" w:rsidRDefault="004A35AD" w:rsidP="004A35AD">
            <w:pPr>
              <w:tabs>
                <w:tab w:val="clear" w:pos="567"/>
              </w:tabs>
              <w:spacing w:before="0" w:line="240" w:lineRule="auto"/>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National Health Reform funding (Hospitals)</w:t>
            </w:r>
          </w:p>
        </w:tc>
        <w:tc>
          <w:tcPr>
            <w:tcW w:w="581" w:type="dxa"/>
            <w:tcBorders>
              <w:top w:val="single" w:sz="4" w:space="0" w:color="ADD6EA"/>
              <w:left w:val="nil"/>
              <w:bottom w:val="nil"/>
              <w:right w:val="nil"/>
            </w:tcBorders>
            <w:shd w:val="clear" w:color="000000" w:fill="FFFFFF"/>
            <w:vAlign w:val="bottom"/>
            <w:hideMark/>
          </w:tcPr>
          <w:p w14:paraId="3F67B5B8"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-169</w:t>
            </w:r>
          </w:p>
        </w:tc>
        <w:tc>
          <w:tcPr>
            <w:tcW w:w="639" w:type="dxa"/>
            <w:tcBorders>
              <w:top w:val="single" w:sz="4" w:space="0" w:color="ADD6EA"/>
              <w:left w:val="nil"/>
              <w:bottom w:val="nil"/>
              <w:right w:val="nil"/>
            </w:tcBorders>
            <w:shd w:val="clear" w:color="000000" w:fill="FFFFFF"/>
            <w:vAlign w:val="bottom"/>
            <w:hideMark/>
          </w:tcPr>
          <w:p w14:paraId="08B31CAE"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323</w:t>
            </w:r>
          </w:p>
        </w:tc>
        <w:tc>
          <w:tcPr>
            <w:tcW w:w="639" w:type="dxa"/>
            <w:tcBorders>
              <w:top w:val="single" w:sz="4" w:space="0" w:color="ADD6EA"/>
              <w:left w:val="nil"/>
              <w:bottom w:val="nil"/>
              <w:right w:val="nil"/>
            </w:tcBorders>
            <w:shd w:val="clear" w:color="000000" w:fill="FFFFFF"/>
            <w:vAlign w:val="bottom"/>
            <w:hideMark/>
          </w:tcPr>
          <w:p w14:paraId="5A5FE19A"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-89</w:t>
            </w:r>
          </w:p>
        </w:tc>
        <w:tc>
          <w:tcPr>
            <w:tcW w:w="639" w:type="dxa"/>
            <w:tcBorders>
              <w:top w:val="single" w:sz="4" w:space="0" w:color="ADD6EA"/>
              <w:left w:val="nil"/>
              <w:bottom w:val="nil"/>
              <w:right w:val="nil"/>
            </w:tcBorders>
            <w:shd w:val="clear" w:color="000000" w:fill="FFFFFF"/>
            <w:vAlign w:val="bottom"/>
            <w:hideMark/>
          </w:tcPr>
          <w:p w14:paraId="2B5EB919"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11</w:t>
            </w:r>
          </w:p>
        </w:tc>
        <w:tc>
          <w:tcPr>
            <w:tcW w:w="639" w:type="dxa"/>
            <w:tcBorders>
              <w:top w:val="single" w:sz="4" w:space="0" w:color="ADD6EA"/>
              <w:left w:val="nil"/>
              <w:bottom w:val="nil"/>
              <w:right w:val="nil"/>
            </w:tcBorders>
            <w:shd w:val="clear" w:color="000000" w:fill="FFFFFF"/>
            <w:vAlign w:val="bottom"/>
            <w:hideMark/>
          </w:tcPr>
          <w:p w14:paraId="6BEFB9FD"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-54</w:t>
            </w:r>
          </w:p>
        </w:tc>
        <w:tc>
          <w:tcPr>
            <w:tcW w:w="639" w:type="dxa"/>
            <w:tcBorders>
              <w:top w:val="single" w:sz="4" w:space="0" w:color="ADD6EA"/>
              <w:left w:val="nil"/>
              <w:bottom w:val="nil"/>
              <w:right w:val="nil"/>
            </w:tcBorders>
            <w:shd w:val="clear" w:color="000000" w:fill="FFFFFF"/>
            <w:vAlign w:val="bottom"/>
            <w:hideMark/>
          </w:tcPr>
          <w:p w14:paraId="66BF0ACE"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-19</w:t>
            </w:r>
          </w:p>
        </w:tc>
        <w:tc>
          <w:tcPr>
            <w:tcW w:w="639" w:type="dxa"/>
            <w:tcBorders>
              <w:top w:val="single" w:sz="4" w:space="0" w:color="ADD6EA"/>
              <w:left w:val="nil"/>
              <w:bottom w:val="nil"/>
              <w:right w:val="nil"/>
            </w:tcBorders>
            <w:shd w:val="clear" w:color="000000" w:fill="FFFFFF"/>
            <w:vAlign w:val="bottom"/>
            <w:hideMark/>
          </w:tcPr>
          <w:p w14:paraId="4A0E7041"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12</w:t>
            </w:r>
          </w:p>
        </w:tc>
        <w:tc>
          <w:tcPr>
            <w:tcW w:w="639" w:type="dxa"/>
            <w:tcBorders>
              <w:top w:val="single" w:sz="4" w:space="0" w:color="ADD6EA"/>
              <w:left w:val="nil"/>
              <w:bottom w:val="nil"/>
              <w:right w:val="nil"/>
            </w:tcBorders>
            <w:shd w:val="clear" w:color="000000" w:fill="FFFFFF"/>
            <w:vAlign w:val="bottom"/>
            <w:hideMark/>
          </w:tcPr>
          <w:p w14:paraId="26F54B47"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-15</w:t>
            </w:r>
          </w:p>
        </w:tc>
        <w:tc>
          <w:tcPr>
            <w:tcW w:w="659" w:type="dxa"/>
            <w:tcBorders>
              <w:top w:val="single" w:sz="4" w:space="0" w:color="ADD6EA"/>
              <w:left w:val="nil"/>
              <w:bottom w:val="nil"/>
              <w:right w:val="nil"/>
            </w:tcBorders>
            <w:shd w:val="clear" w:color="000000" w:fill="FFFFFF"/>
            <w:vAlign w:val="bottom"/>
            <w:hideMark/>
          </w:tcPr>
          <w:p w14:paraId="2B559838"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347</w:t>
            </w:r>
          </w:p>
        </w:tc>
      </w:tr>
      <w:tr w:rsidR="004A35AD" w:rsidRPr="004A35AD" w14:paraId="089F80A0" w14:textId="77777777" w:rsidTr="00DA4444">
        <w:trPr>
          <w:trHeight w:val="319"/>
        </w:trPr>
        <w:tc>
          <w:tcPr>
            <w:tcW w:w="3226" w:type="dxa"/>
            <w:tcBorders>
              <w:top w:val="single" w:sz="4" w:space="0" w:color="ADD6EA"/>
              <w:left w:val="nil"/>
              <w:bottom w:val="nil"/>
              <w:right w:val="nil"/>
            </w:tcBorders>
            <w:shd w:val="clear" w:color="000000" w:fill="FFFFFF"/>
            <w:vAlign w:val="bottom"/>
            <w:hideMark/>
          </w:tcPr>
          <w:p w14:paraId="359A3B35" w14:textId="77777777" w:rsidR="004A35AD" w:rsidRPr="004A35AD" w:rsidRDefault="004A35AD" w:rsidP="004A35AD">
            <w:pPr>
              <w:tabs>
                <w:tab w:val="clear" w:pos="567"/>
              </w:tabs>
              <w:spacing w:before="0" w:line="240" w:lineRule="auto"/>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Infrastructure investment - Rail</w:t>
            </w:r>
          </w:p>
        </w:tc>
        <w:tc>
          <w:tcPr>
            <w:tcW w:w="581" w:type="dxa"/>
            <w:tcBorders>
              <w:top w:val="single" w:sz="4" w:space="0" w:color="ADD6EA"/>
              <w:left w:val="nil"/>
              <w:bottom w:val="nil"/>
              <w:right w:val="nil"/>
            </w:tcBorders>
            <w:shd w:val="clear" w:color="000000" w:fill="FFFFFF"/>
            <w:vAlign w:val="bottom"/>
            <w:hideMark/>
          </w:tcPr>
          <w:p w14:paraId="78DE3837"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-73</w:t>
            </w:r>
          </w:p>
        </w:tc>
        <w:tc>
          <w:tcPr>
            <w:tcW w:w="639" w:type="dxa"/>
            <w:tcBorders>
              <w:top w:val="single" w:sz="4" w:space="0" w:color="ADD6EA"/>
              <w:left w:val="nil"/>
              <w:bottom w:val="nil"/>
              <w:right w:val="nil"/>
            </w:tcBorders>
            <w:shd w:val="clear" w:color="000000" w:fill="FFFFFF"/>
            <w:vAlign w:val="bottom"/>
            <w:hideMark/>
          </w:tcPr>
          <w:p w14:paraId="001F9FA1"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101</w:t>
            </w:r>
          </w:p>
        </w:tc>
        <w:tc>
          <w:tcPr>
            <w:tcW w:w="639" w:type="dxa"/>
            <w:tcBorders>
              <w:top w:val="single" w:sz="4" w:space="0" w:color="ADD6EA"/>
              <w:left w:val="nil"/>
              <w:bottom w:val="nil"/>
              <w:right w:val="nil"/>
            </w:tcBorders>
            <w:shd w:val="clear" w:color="000000" w:fill="FFFFFF"/>
            <w:vAlign w:val="bottom"/>
            <w:hideMark/>
          </w:tcPr>
          <w:p w14:paraId="583B8A86"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47</w:t>
            </w:r>
          </w:p>
        </w:tc>
        <w:tc>
          <w:tcPr>
            <w:tcW w:w="639" w:type="dxa"/>
            <w:tcBorders>
              <w:top w:val="single" w:sz="4" w:space="0" w:color="ADD6EA"/>
              <w:left w:val="nil"/>
              <w:bottom w:val="nil"/>
              <w:right w:val="nil"/>
            </w:tcBorders>
            <w:shd w:val="clear" w:color="000000" w:fill="FFFFFF"/>
            <w:vAlign w:val="bottom"/>
            <w:hideMark/>
          </w:tcPr>
          <w:p w14:paraId="7F3E28DE"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-171</w:t>
            </w:r>
          </w:p>
        </w:tc>
        <w:tc>
          <w:tcPr>
            <w:tcW w:w="639" w:type="dxa"/>
            <w:tcBorders>
              <w:top w:val="single" w:sz="4" w:space="0" w:color="ADD6EA"/>
              <w:left w:val="nil"/>
              <w:bottom w:val="nil"/>
              <w:right w:val="nil"/>
            </w:tcBorders>
            <w:shd w:val="clear" w:color="000000" w:fill="FFFFFF"/>
            <w:vAlign w:val="bottom"/>
            <w:hideMark/>
          </w:tcPr>
          <w:p w14:paraId="0EB2D459"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56</w:t>
            </w:r>
          </w:p>
        </w:tc>
        <w:tc>
          <w:tcPr>
            <w:tcW w:w="639" w:type="dxa"/>
            <w:tcBorders>
              <w:top w:val="single" w:sz="4" w:space="0" w:color="ADD6EA"/>
              <w:left w:val="nil"/>
              <w:bottom w:val="nil"/>
              <w:right w:val="nil"/>
            </w:tcBorders>
            <w:shd w:val="clear" w:color="000000" w:fill="FFFFFF"/>
            <w:vAlign w:val="bottom"/>
            <w:hideMark/>
          </w:tcPr>
          <w:p w14:paraId="7D890C02"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23</w:t>
            </w:r>
          </w:p>
        </w:tc>
        <w:tc>
          <w:tcPr>
            <w:tcW w:w="639" w:type="dxa"/>
            <w:tcBorders>
              <w:top w:val="single" w:sz="4" w:space="0" w:color="ADD6EA"/>
              <w:left w:val="nil"/>
              <w:bottom w:val="nil"/>
              <w:right w:val="nil"/>
            </w:tcBorders>
            <w:shd w:val="clear" w:color="000000" w:fill="FFFFFF"/>
            <w:vAlign w:val="bottom"/>
            <w:hideMark/>
          </w:tcPr>
          <w:p w14:paraId="0D9E92FA"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10</w:t>
            </w:r>
          </w:p>
        </w:tc>
        <w:tc>
          <w:tcPr>
            <w:tcW w:w="639" w:type="dxa"/>
            <w:tcBorders>
              <w:top w:val="single" w:sz="4" w:space="0" w:color="ADD6EA"/>
              <w:left w:val="nil"/>
              <w:bottom w:val="nil"/>
              <w:right w:val="nil"/>
            </w:tcBorders>
            <w:shd w:val="clear" w:color="000000" w:fill="FFFFFF"/>
            <w:vAlign w:val="bottom"/>
            <w:hideMark/>
          </w:tcPr>
          <w:p w14:paraId="17794A2E"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7</w:t>
            </w:r>
          </w:p>
        </w:tc>
        <w:tc>
          <w:tcPr>
            <w:tcW w:w="659" w:type="dxa"/>
            <w:tcBorders>
              <w:top w:val="single" w:sz="4" w:space="0" w:color="ADD6EA"/>
              <w:left w:val="nil"/>
              <w:bottom w:val="nil"/>
              <w:right w:val="nil"/>
            </w:tcBorders>
            <w:shd w:val="clear" w:color="000000" w:fill="FFFFFF"/>
            <w:vAlign w:val="bottom"/>
            <w:hideMark/>
          </w:tcPr>
          <w:p w14:paraId="231F7385"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244</w:t>
            </w:r>
          </w:p>
        </w:tc>
      </w:tr>
      <w:tr w:rsidR="004A35AD" w:rsidRPr="004A35AD" w14:paraId="3B85A078" w14:textId="77777777" w:rsidTr="00DA4444">
        <w:trPr>
          <w:trHeight w:val="319"/>
        </w:trPr>
        <w:tc>
          <w:tcPr>
            <w:tcW w:w="3226" w:type="dxa"/>
            <w:tcBorders>
              <w:top w:val="single" w:sz="4" w:space="0" w:color="ADD6EA"/>
              <w:left w:val="nil"/>
              <w:bottom w:val="nil"/>
              <w:right w:val="nil"/>
            </w:tcBorders>
            <w:shd w:val="clear" w:color="000000" w:fill="FFFFFF"/>
            <w:vAlign w:val="bottom"/>
            <w:hideMark/>
          </w:tcPr>
          <w:p w14:paraId="6A161C4A" w14:textId="77777777" w:rsidR="004A35AD" w:rsidRPr="004A35AD" w:rsidRDefault="004A35AD" w:rsidP="004A35AD">
            <w:pPr>
              <w:tabs>
                <w:tab w:val="clear" w:pos="567"/>
              </w:tabs>
              <w:spacing w:before="0" w:line="240" w:lineRule="auto"/>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Infrastructure investment - Other Roads</w:t>
            </w:r>
          </w:p>
        </w:tc>
        <w:tc>
          <w:tcPr>
            <w:tcW w:w="581" w:type="dxa"/>
            <w:tcBorders>
              <w:top w:val="single" w:sz="4" w:space="0" w:color="ADD6EA"/>
              <w:left w:val="nil"/>
              <w:bottom w:val="nil"/>
              <w:right w:val="nil"/>
            </w:tcBorders>
            <w:shd w:val="clear" w:color="000000" w:fill="FFFFFF"/>
            <w:vAlign w:val="bottom"/>
            <w:hideMark/>
          </w:tcPr>
          <w:p w14:paraId="6D483C7D"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66</w:t>
            </w:r>
          </w:p>
        </w:tc>
        <w:tc>
          <w:tcPr>
            <w:tcW w:w="639" w:type="dxa"/>
            <w:tcBorders>
              <w:top w:val="single" w:sz="4" w:space="0" w:color="ADD6EA"/>
              <w:left w:val="nil"/>
              <w:bottom w:val="nil"/>
              <w:right w:val="nil"/>
            </w:tcBorders>
            <w:shd w:val="clear" w:color="000000" w:fill="FFFFFF"/>
            <w:vAlign w:val="bottom"/>
            <w:hideMark/>
          </w:tcPr>
          <w:p w14:paraId="0745800C"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w:t>
            </w:r>
          </w:p>
        </w:tc>
        <w:tc>
          <w:tcPr>
            <w:tcW w:w="639" w:type="dxa"/>
            <w:tcBorders>
              <w:top w:val="single" w:sz="4" w:space="0" w:color="ADD6EA"/>
              <w:left w:val="nil"/>
              <w:bottom w:val="nil"/>
              <w:right w:val="nil"/>
            </w:tcBorders>
            <w:shd w:val="clear" w:color="000000" w:fill="FFFFFF"/>
            <w:vAlign w:val="bottom"/>
            <w:hideMark/>
          </w:tcPr>
          <w:p w14:paraId="104E10EC"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152</w:t>
            </w:r>
          </w:p>
        </w:tc>
        <w:tc>
          <w:tcPr>
            <w:tcW w:w="639" w:type="dxa"/>
            <w:tcBorders>
              <w:top w:val="single" w:sz="4" w:space="0" w:color="ADD6EA"/>
              <w:left w:val="nil"/>
              <w:bottom w:val="nil"/>
              <w:right w:val="nil"/>
            </w:tcBorders>
            <w:shd w:val="clear" w:color="000000" w:fill="FFFFFF"/>
            <w:vAlign w:val="bottom"/>
            <w:hideMark/>
          </w:tcPr>
          <w:p w14:paraId="1DEBE8EE"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-74</w:t>
            </w:r>
          </w:p>
        </w:tc>
        <w:tc>
          <w:tcPr>
            <w:tcW w:w="639" w:type="dxa"/>
            <w:tcBorders>
              <w:top w:val="single" w:sz="4" w:space="0" w:color="ADD6EA"/>
              <w:left w:val="nil"/>
              <w:bottom w:val="nil"/>
              <w:right w:val="nil"/>
            </w:tcBorders>
            <w:shd w:val="clear" w:color="000000" w:fill="FFFFFF"/>
            <w:vAlign w:val="bottom"/>
            <w:hideMark/>
          </w:tcPr>
          <w:p w14:paraId="7E53B8F7"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-3</w:t>
            </w:r>
          </w:p>
        </w:tc>
        <w:tc>
          <w:tcPr>
            <w:tcW w:w="639" w:type="dxa"/>
            <w:tcBorders>
              <w:top w:val="single" w:sz="4" w:space="0" w:color="ADD6EA"/>
              <w:left w:val="nil"/>
              <w:bottom w:val="nil"/>
              <w:right w:val="nil"/>
            </w:tcBorders>
            <w:shd w:val="clear" w:color="000000" w:fill="FFFFFF"/>
            <w:vAlign w:val="bottom"/>
            <w:hideMark/>
          </w:tcPr>
          <w:p w14:paraId="6CEBD902"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-54</w:t>
            </w:r>
          </w:p>
        </w:tc>
        <w:tc>
          <w:tcPr>
            <w:tcW w:w="639" w:type="dxa"/>
            <w:tcBorders>
              <w:top w:val="single" w:sz="4" w:space="0" w:color="ADD6EA"/>
              <w:left w:val="nil"/>
              <w:bottom w:val="nil"/>
              <w:right w:val="nil"/>
            </w:tcBorders>
            <w:shd w:val="clear" w:color="000000" w:fill="FFFFFF"/>
            <w:vAlign w:val="bottom"/>
            <w:hideMark/>
          </w:tcPr>
          <w:p w14:paraId="2EF1168B"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-10</w:t>
            </w:r>
          </w:p>
        </w:tc>
        <w:tc>
          <w:tcPr>
            <w:tcW w:w="639" w:type="dxa"/>
            <w:tcBorders>
              <w:top w:val="single" w:sz="4" w:space="0" w:color="ADD6EA"/>
              <w:left w:val="nil"/>
              <w:bottom w:val="nil"/>
              <w:right w:val="nil"/>
            </w:tcBorders>
            <w:shd w:val="clear" w:color="000000" w:fill="FFFFFF"/>
            <w:vAlign w:val="bottom"/>
            <w:hideMark/>
          </w:tcPr>
          <w:p w14:paraId="71FA8CDD"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-75</w:t>
            </w:r>
          </w:p>
        </w:tc>
        <w:tc>
          <w:tcPr>
            <w:tcW w:w="659" w:type="dxa"/>
            <w:tcBorders>
              <w:top w:val="single" w:sz="4" w:space="0" w:color="ADD6EA"/>
              <w:left w:val="nil"/>
              <w:bottom w:val="nil"/>
              <w:right w:val="nil"/>
            </w:tcBorders>
            <w:shd w:val="clear" w:color="000000" w:fill="FFFFFF"/>
            <w:vAlign w:val="bottom"/>
            <w:hideMark/>
          </w:tcPr>
          <w:p w14:paraId="33FAE73B"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219</w:t>
            </w:r>
          </w:p>
        </w:tc>
      </w:tr>
      <w:tr w:rsidR="004A35AD" w:rsidRPr="004A35AD" w14:paraId="07C30550" w14:textId="77777777" w:rsidTr="00DA4444">
        <w:trPr>
          <w:trHeight w:val="319"/>
        </w:trPr>
        <w:tc>
          <w:tcPr>
            <w:tcW w:w="3226" w:type="dxa"/>
            <w:tcBorders>
              <w:top w:val="single" w:sz="4" w:space="0" w:color="ADD6EA"/>
              <w:left w:val="nil"/>
              <w:bottom w:val="nil"/>
              <w:right w:val="nil"/>
            </w:tcBorders>
            <w:shd w:val="clear" w:color="000000" w:fill="FFFFFF"/>
            <w:vAlign w:val="bottom"/>
            <w:hideMark/>
          </w:tcPr>
          <w:p w14:paraId="1069F3DD" w14:textId="77777777" w:rsidR="004A35AD" w:rsidRPr="004A35AD" w:rsidRDefault="004A35AD" w:rsidP="004A35AD">
            <w:pPr>
              <w:tabs>
                <w:tab w:val="clear" w:pos="567"/>
              </w:tabs>
              <w:spacing w:before="0" w:line="240" w:lineRule="auto"/>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Quality Schools funding</w:t>
            </w:r>
          </w:p>
        </w:tc>
        <w:tc>
          <w:tcPr>
            <w:tcW w:w="581" w:type="dxa"/>
            <w:tcBorders>
              <w:top w:val="single" w:sz="4" w:space="0" w:color="ADD6EA"/>
              <w:left w:val="nil"/>
              <w:bottom w:val="nil"/>
              <w:right w:val="nil"/>
            </w:tcBorders>
            <w:shd w:val="clear" w:color="000000" w:fill="FFFFFF"/>
            <w:vAlign w:val="bottom"/>
            <w:hideMark/>
          </w:tcPr>
          <w:p w14:paraId="4BBD17B6"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41</w:t>
            </w:r>
          </w:p>
        </w:tc>
        <w:tc>
          <w:tcPr>
            <w:tcW w:w="639" w:type="dxa"/>
            <w:tcBorders>
              <w:top w:val="single" w:sz="4" w:space="0" w:color="ADD6EA"/>
              <w:left w:val="nil"/>
              <w:bottom w:val="nil"/>
              <w:right w:val="nil"/>
            </w:tcBorders>
            <w:shd w:val="clear" w:color="000000" w:fill="FFFFFF"/>
            <w:vAlign w:val="bottom"/>
            <w:hideMark/>
          </w:tcPr>
          <w:p w14:paraId="30438453"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-53</w:t>
            </w:r>
          </w:p>
        </w:tc>
        <w:tc>
          <w:tcPr>
            <w:tcW w:w="639" w:type="dxa"/>
            <w:tcBorders>
              <w:top w:val="single" w:sz="4" w:space="0" w:color="ADD6EA"/>
              <w:left w:val="nil"/>
              <w:bottom w:val="nil"/>
              <w:right w:val="nil"/>
            </w:tcBorders>
            <w:shd w:val="clear" w:color="000000" w:fill="FFFFFF"/>
            <w:vAlign w:val="bottom"/>
            <w:hideMark/>
          </w:tcPr>
          <w:p w14:paraId="29382A83"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22</w:t>
            </w:r>
          </w:p>
        </w:tc>
        <w:tc>
          <w:tcPr>
            <w:tcW w:w="639" w:type="dxa"/>
            <w:tcBorders>
              <w:top w:val="single" w:sz="4" w:space="0" w:color="ADD6EA"/>
              <w:left w:val="nil"/>
              <w:bottom w:val="nil"/>
              <w:right w:val="nil"/>
            </w:tcBorders>
            <w:shd w:val="clear" w:color="000000" w:fill="FFFFFF"/>
            <w:vAlign w:val="bottom"/>
            <w:hideMark/>
          </w:tcPr>
          <w:p w14:paraId="6AC3AC91"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-23</w:t>
            </w:r>
          </w:p>
        </w:tc>
        <w:tc>
          <w:tcPr>
            <w:tcW w:w="639" w:type="dxa"/>
            <w:tcBorders>
              <w:top w:val="single" w:sz="4" w:space="0" w:color="ADD6EA"/>
              <w:left w:val="nil"/>
              <w:bottom w:val="nil"/>
              <w:right w:val="nil"/>
            </w:tcBorders>
            <w:shd w:val="clear" w:color="000000" w:fill="FFFFFF"/>
            <w:vAlign w:val="bottom"/>
            <w:hideMark/>
          </w:tcPr>
          <w:p w14:paraId="6FC033BA"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-3</w:t>
            </w:r>
          </w:p>
        </w:tc>
        <w:tc>
          <w:tcPr>
            <w:tcW w:w="639" w:type="dxa"/>
            <w:tcBorders>
              <w:top w:val="single" w:sz="4" w:space="0" w:color="ADD6EA"/>
              <w:left w:val="nil"/>
              <w:bottom w:val="nil"/>
              <w:right w:val="nil"/>
            </w:tcBorders>
            <w:shd w:val="clear" w:color="000000" w:fill="FFFFFF"/>
            <w:vAlign w:val="bottom"/>
            <w:hideMark/>
          </w:tcPr>
          <w:p w14:paraId="3B8D6CD8"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6</w:t>
            </w:r>
          </w:p>
        </w:tc>
        <w:tc>
          <w:tcPr>
            <w:tcW w:w="639" w:type="dxa"/>
            <w:tcBorders>
              <w:top w:val="single" w:sz="4" w:space="0" w:color="ADD6EA"/>
              <w:left w:val="nil"/>
              <w:bottom w:val="nil"/>
              <w:right w:val="nil"/>
            </w:tcBorders>
            <w:shd w:val="clear" w:color="000000" w:fill="FFFFFF"/>
            <w:vAlign w:val="bottom"/>
            <w:hideMark/>
          </w:tcPr>
          <w:p w14:paraId="3B956120"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0</w:t>
            </w:r>
          </w:p>
        </w:tc>
        <w:tc>
          <w:tcPr>
            <w:tcW w:w="639" w:type="dxa"/>
            <w:tcBorders>
              <w:top w:val="single" w:sz="4" w:space="0" w:color="ADD6EA"/>
              <w:left w:val="nil"/>
              <w:bottom w:val="nil"/>
              <w:right w:val="nil"/>
            </w:tcBorders>
            <w:shd w:val="clear" w:color="000000" w:fill="FFFFFF"/>
            <w:vAlign w:val="bottom"/>
            <w:hideMark/>
          </w:tcPr>
          <w:p w14:paraId="6CBBED7A"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11</w:t>
            </w:r>
          </w:p>
        </w:tc>
        <w:tc>
          <w:tcPr>
            <w:tcW w:w="659" w:type="dxa"/>
            <w:tcBorders>
              <w:top w:val="single" w:sz="4" w:space="0" w:color="ADD6EA"/>
              <w:left w:val="nil"/>
              <w:bottom w:val="nil"/>
              <w:right w:val="nil"/>
            </w:tcBorders>
            <w:shd w:val="clear" w:color="000000" w:fill="FFFFFF"/>
            <w:vAlign w:val="bottom"/>
            <w:hideMark/>
          </w:tcPr>
          <w:p w14:paraId="00924DE5"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80</w:t>
            </w:r>
          </w:p>
        </w:tc>
      </w:tr>
      <w:tr w:rsidR="004A35AD" w:rsidRPr="004A35AD" w14:paraId="4D6F0BE3" w14:textId="77777777" w:rsidTr="00DA4444">
        <w:trPr>
          <w:trHeight w:val="552"/>
        </w:trPr>
        <w:tc>
          <w:tcPr>
            <w:tcW w:w="3226" w:type="dxa"/>
            <w:tcBorders>
              <w:top w:val="single" w:sz="4" w:space="0" w:color="ADD6EA"/>
              <w:left w:val="nil"/>
              <w:bottom w:val="nil"/>
              <w:right w:val="nil"/>
            </w:tcBorders>
            <w:shd w:val="clear" w:color="000000" w:fill="FFFFFF"/>
            <w:vAlign w:val="bottom"/>
            <w:hideMark/>
          </w:tcPr>
          <w:p w14:paraId="5FAF8D9A" w14:textId="77777777" w:rsidR="004A35AD" w:rsidRPr="004A35AD" w:rsidRDefault="004A35AD" w:rsidP="004A35AD">
            <w:pPr>
              <w:tabs>
                <w:tab w:val="clear" w:pos="567"/>
              </w:tabs>
              <w:spacing w:before="0" w:line="240" w:lineRule="auto"/>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Infrastructure investment - Urban congestion</w:t>
            </w:r>
          </w:p>
        </w:tc>
        <w:tc>
          <w:tcPr>
            <w:tcW w:w="581" w:type="dxa"/>
            <w:tcBorders>
              <w:top w:val="single" w:sz="4" w:space="0" w:color="ADD6EA"/>
              <w:left w:val="nil"/>
              <w:bottom w:val="nil"/>
              <w:right w:val="nil"/>
            </w:tcBorders>
            <w:shd w:val="clear" w:color="000000" w:fill="FFFFFF"/>
            <w:vAlign w:val="bottom"/>
            <w:hideMark/>
          </w:tcPr>
          <w:p w14:paraId="6CD8337B"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-38</w:t>
            </w:r>
          </w:p>
        </w:tc>
        <w:tc>
          <w:tcPr>
            <w:tcW w:w="639" w:type="dxa"/>
            <w:tcBorders>
              <w:top w:val="single" w:sz="4" w:space="0" w:color="ADD6EA"/>
              <w:left w:val="nil"/>
              <w:bottom w:val="nil"/>
              <w:right w:val="nil"/>
            </w:tcBorders>
            <w:shd w:val="clear" w:color="000000" w:fill="FFFFFF"/>
            <w:vAlign w:val="bottom"/>
            <w:hideMark/>
          </w:tcPr>
          <w:p w14:paraId="3D3BF8CF"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-4</w:t>
            </w:r>
          </w:p>
        </w:tc>
        <w:tc>
          <w:tcPr>
            <w:tcW w:w="639" w:type="dxa"/>
            <w:tcBorders>
              <w:top w:val="single" w:sz="4" w:space="0" w:color="ADD6EA"/>
              <w:left w:val="nil"/>
              <w:bottom w:val="nil"/>
              <w:right w:val="nil"/>
            </w:tcBorders>
            <w:shd w:val="clear" w:color="000000" w:fill="FFFFFF"/>
            <w:vAlign w:val="bottom"/>
            <w:hideMark/>
          </w:tcPr>
          <w:p w14:paraId="40C4F23E"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-20</w:t>
            </w:r>
          </w:p>
        </w:tc>
        <w:tc>
          <w:tcPr>
            <w:tcW w:w="639" w:type="dxa"/>
            <w:tcBorders>
              <w:top w:val="single" w:sz="4" w:space="0" w:color="ADD6EA"/>
              <w:left w:val="nil"/>
              <w:bottom w:val="nil"/>
              <w:right w:val="nil"/>
            </w:tcBorders>
            <w:shd w:val="clear" w:color="000000" w:fill="FFFFFF"/>
            <w:vAlign w:val="bottom"/>
            <w:hideMark/>
          </w:tcPr>
          <w:p w14:paraId="5E8E1494"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36</w:t>
            </w:r>
          </w:p>
        </w:tc>
        <w:tc>
          <w:tcPr>
            <w:tcW w:w="639" w:type="dxa"/>
            <w:tcBorders>
              <w:top w:val="single" w:sz="4" w:space="0" w:color="ADD6EA"/>
              <w:left w:val="nil"/>
              <w:bottom w:val="nil"/>
              <w:right w:val="nil"/>
            </w:tcBorders>
            <w:shd w:val="clear" w:color="000000" w:fill="FFFFFF"/>
            <w:vAlign w:val="bottom"/>
            <w:hideMark/>
          </w:tcPr>
          <w:p w14:paraId="0BB86CBA"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32</w:t>
            </w:r>
          </w:p>
        </w:tc>
        <w:tc>
          <w:tcPr>
            <w:tcW w:w="639" w:type="dxa"/>
            <w:tcBorders>
              <w:top w:val="single" w:sz="4" w:space="0" w:color="ADD6EA"/>
              <w:left w:val="nil"/>
              <w:bottom w:val="nil"/>
              <w:right w:val="nil"/>
            </w:tcBorders>
            <w:shd w:val="clear" w:color="000000" w:fill="FFFFFF"/>
            <w:vAlign w:val="bottom"/>
            <w:hideMark/>
          </w:tcPr>
          <w:p w14:paraId="3D2FD1D2"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-2</w:t>
            </w:r>
          </w:p>
        </w:tc>
        <w:tc>
          <w:tcPr>
            <w:tcW w:w="639" w:type="dxa"/>
            <w:tcBorders>
              <w:top w:val="single" w:sz="4" w:space="0" w:color="ADD6EA"/>
              <w:left w:val="nil"/>
              <w:bottom w:val="nil"/>
              <w:right w:val="nil"/>
            </w:tcBorders>
            <w:shd w:val="clear" w:color="000000" w:fill="FFFFFF"/>
            <w:vAlign w:val="bottom"/>
            <w:hideMark/>
          </w:tcPr>
          <w:p w14:paraId="6E912C3E"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-3</w:t>
            </w:r>
          </w:p>
        </w:tc>
        <w:tc>
          <w:tcPr>
            <w:tcW w:w="639" w:type="dxa"/>
            <w:tcBorders>
              <w:top w:val="single" w:sz="4" w:space="0" w:color="ADD6EA"/>
              <w:left w:val="nil"/>
              <w:bottom w:val="nil"/>
              <w:right w:val="nil"/>
            </w:tcBorders>
            <w:shd w:val="clear" w:color="000000" w:fill="FFFFFF"/>
            <w:vAlign w:val="bottom"/>
            <w:hideMark/>
          </w:tcPr>
          <w:p w14:paraId="525B4740"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w:t>
            </w:r>
          </w:p>
        </w:tc>
        <w:tc>
          <w:tcPr>
            <w:tcW w:w="659" w:type="dxa"/>
            <w:tcBorders>
              <w:top w:val="single" w:sz="4" w:space="0" w:color="ADD6EA"/>
              <w:left w:val="nil"/>
              <w:bottom w:val="nil"/>
              <w:right w:val="nil"/>
            </w:tcBorders>
            <w:shd w:val="clear" w:color="000000" w:fill="FFFFFF"/>
            <w:vAlign w:val="bottom"/>
            <w:hideMark/>
          </w:tcPr>
          <w:p w14:paraId="12C93E7D"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67</w:t>
            </w:r>
          </w:p>
        </w:tc>
      </w:tr>
      <w:tr w:rsidR="004A35AD" w:rsidRPr="004A35AD" w14:paraId="66544160" w14:textId="77777777" w:rsidTr="00DA4444">
        <w:trPr>
          <w:trHeight w:val="552"/>
        </w:trPr>
        <w:tc>
          <w:tcPr>
            <w:tcW w:w="3226" w:type="dxa"/>
            <w:tcBorders>
              <w:top w:val="single" w:sz="4" w:space="0" w:color="ADD6EA"/>
              <w:left w:val="nil"/>
              <w:bottom w:val="nil"/>
              <w:right w:val="nil"/>
            </w:tcBorders>
            <w:shd w:val="clear" w:color="000000" w:fill="FFFFFF"/>
            <w:vAlign w:val="bottom"/>
            <w:hideMark/>
          </w:tcPr>
          <w:p w14:paraId="3827F26F" w14:textId="77777777" w:rsidR="004A35AD" w:rsidRPr="004A35AD" w:rsidRDefault="004A35AD" w:rsidP="004A35AD">
            <w:pPr>
              <w:tabs>
                <w:tab w:val="clear" w:pos="567"/>
              </w:tabs>
              <w:spacing w:before="0" w:line="240" w:lineRule="auto"/>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Infrastructure investment - Roads of strategic importance</w:t>
            </w:r>
          </w:p>
        </w:tc>
        <w:tc>
          <w:tcPr>
            <w:tcW w:w="581" w:type="dxa"/>
            <w:tcBorders>
              <w:top w:val="single" w:sz="4" w:space="0" w:color="ADD6EA"/>
              <w:left w:val="nil"/>
              <w:bottom w:val="nil"/>
              <w:right w:val="nil"/>
            </w:tcBorders>
            <w:shd w:val="clear" w:color="000000" w:fill="FFFFFF"/>
            <w:vAlign w:val="bottom"/>
            <w:hideMark/>
          </w:tcPr>
          <w:p w14:paraId="6F8C6689"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-24</w:t>
            </w:r>
          </w:p>
        </w:tc>
        <w:tc>
          <w:tcPr>
            <w:tcW w:w="639" w:type="dxa"/>
            <w:tcBorders>
              <w:top w:val="single" w:sz="4" w:space="0" w:color="ADD6EA"/>
              <w:left w:val="nil"/>
              <w:bottom w:val="nil"/>
              <w:right w:val="nil"/>
            </w:tcBorders>
            <w:shd w:val="clear" w:color="000000" w:fill="FFFFFF"/>
            <w:vAlign w:val="bottom"/>
            <w:hideMark/>
          </w:tcPr>
          <w:p w14:paraId="78468A48"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-27</w:t>
            </w:r>
          </w:p>
        </w:tc>
        <w:tc>
          <w:tcPr>
            <w:tcW w:w="639" w:type="dxa"/>
            <w:tcBorders>
              <w:top w:val="single" w:sz="4" w:space="0" w:color="ADD6EA"/>
              <w:left w:val="nil"/>
              <w:bottom w:val="nil"/>
              <w:right w:val="nil"/>
            </w:tcBorders>
            <w:shd w:val="clear" w:color="000000" w:fill="FFFFFF"/>
            <w:vAlign w:val="bottom"/>
            <w:hideMark/>
          </w:tcPr>
          <w:p w14:paraId="4533D761"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-3</w:t>
            </w:r>
          </w:p>
        </w:tc>
        <w:tc>
          <w:tcPr>
            <w:tcW w:w="639" w:type="dxa"/>
            <w:tcBorders>
              <w:top w:val="single" w:sz="4" w:space="0" w:color="ADD6EA"/>
              <w:left w:val="nil"/>
              <w:bottom w:val="nil"/>
              <w:right w:val="nil"/>
            </w:tcBorders>
            <w:shd w:val="clear" w:color="000000" w:fill="FFFFFF"/>
            <w:vAlign w:val="bottom"/>
            <w:hideMark/>
          </w:tcPr>
          <w:p w14:paraId="70DA7B61"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19</w:t>
            </w:r>
          </w:p>
        </w:tc>
        <w:tc>
          <w:tcPr>
            <w:tcW w:w="639" w:type="dxa"/>
            <w:tcBorders>
              <w:top w:val="single" w:sz="4" w:space="0" w:color="ADD6EA"/>
              <w:left w:val="nil"/>
              <w:bottom w:val="nil"/>
              <w:right w:val="nil"/>
            </w:tcBorders>
            <w:shd w:val="clear" w:color="000000" w:fill="FFFFFF"/>
            <w:vAlign w:val="bottom"/>
            <w:hideMark/>
          </w:tcPr>
          <w:p w14:paraId="08BC1B99"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-4</w:t>
            </w:r>
          </w:p>
        </w:tc>
        <w:tc>
          <w:tcPr>
            <w:tcW w:w="639" w:type="dxa"/>
            <w:tcBorders>
              <w:top w:val="single" w:sz="4" w:space="0" w:color="ADD6EA"/>
              <w:left w:val="nil"/>
              <w:bottom w:val="nil"/>
              <w:right w:val="nil"/>
            </w:tcBorders>
            <w:shd w:val="clear" w:color="000000" w:fill="FFFFFF"/>
            <w:vAlign w:val="bottom"/>
            <w:hideMark/>
          </w:tcPr>
          <w:p w14:paraId="337B6AAA"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23</w:t>
            </w:r>
          </w:p>
        </w:tc>
        <w:tc>
          <w:tcPr>
            <w:tcW w:w="639" w:type="dxa"/>
            <w:tcBorders>
              <w:top w:val="single" w:sz="4" w:space="0" w:color="ADD6EA"/>
              <w:left w:val="nil"/>
              <w:bottom w:val="nil"/>
              <w:right w:val="nil"/>
            </w:tcBorders>
            <w:shd w:val="clear" w:color="000000" w:fill="FFFFFF"/>
            <w:vAlign w:val="bottom"/>
            <w:hideMark/>
          </w:tcPr>
          <w:p w14:paraId="20B7CA6F"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-2</w:t>
            </w:r>
          </w:p>
        </w:tc>
        <w:tc>
          <w:tcPr>
            <w:tcW w:w="639" w:type="dxa"/>
            <w:tcBorders>
              <w:top w:val="single" w:sz="4" w:space="0" w:color="ADD6EA"/>
              <w:left w:val="nil"/>
              <w:bottom w:val="nil"/>
              <w:right w:val="nil"/>
            </w:tcBorders>
            <w:shd w:val="clear" w:color="000000" w:fill="FFFFFF"/>
            <w:vAlign w:val="bottom"/>
            <w:hideMark/>
          </w:tcPr>
          <w:p w14:paraId="45DDD386"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17</w:t>
            </w:r>
          </w:p>
        </w:tc>
        <w:tc>
          <w:tcPr>
            <w:tcW w:w="659" w:type="dxa"/>
            <w:tcBorders>
              <w:top w:val="single" w:sz="4" w:space="0" w:color="ADD6EA"/>
              <w:left w:val="nil"/>
              <w:bottom w:val="nil"/>
              <w:right w:val="nil"/>
            </w:tcBorders>
            <w:shd w:val="clear" w:color="000000" w:fill="FFFFFF"/>
            <w:vAlign w:val="bottom"/>
            <w:hideMark/>
          </w:tcPr>
          <w:p w14:paraId="6A08954B"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59</w:t>
            </w:r>
          </w:p>
        </w:tc>
      </w:tr>
      <w:tr w:rsidR="004A35AD" w:rsidRPr="004A35AD" w14:paraId="0002542E" w14:textId="77777777" w:rsidTr="00DA4444">
        <w:trPr>
          <w:trHeight w:val="319"/>
        </w:trPr>
        <w:tc>
          <w:tcPr>
            <w:tcW w:w="3226" w:type="dxa"/>
            <w:tcBorders>
              <w:top w:val="single" w:sz="4" w:space="0" w:color="ADD6EA"/>
              <w:left w:val="nil"/>
              <w:bottom w:val="nil"/>
              <w:right w:val="nil"/>
            </w:tcBorders>
            <w:shd w:val="clear" w:color="000000" w:fill="FFFFFF"/>
            <w:vAlign w:val="bottom"/>
            <w:hideMark/>
          </w:tcPr>
          <w:p w14:paraId="495CE5A1" w14:textId="77777777" w:rsidR="004A35AD" w:rsidRPr="004A35AD" w:rsidRDefault="004A35AD" w:rsidP="004A35AD">
            <w:pPr>
              <w:tabs>
                <w:tab w:val="clear" w:pos="567"/>
              </w:tabs>
              <w:spacing w:before="0" w:line="240" w:lineRule="auto"/>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Sustainable Rural Water Use and Infrastructure Program</w:t>
            </w:r>
          </w:p>
        </w:tc>
        <w:tc>
          <w:tcPr>
            <w:tcW w:w="581" w:type="dxa"/>
            <w:tcBorders>
              <w:top w:val="single" w:sz="4" w:space="0" w:color="ADD6EA"/>
              <w:left w:val="nil"/>
              <w:bottom w:val="nil"/>
              <w:right w:val="nil"/>
            </w:tcBorders>
            <w:shd w:val="clear" w:color="000000" w:fill="FFFFFF"/>
            <w:vAlign w:val="bottom"/>
            <w:hideMark/>
          </w:tcPr>
          <w:p w14:paraId="0BE21E98"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-33</w:t>
            </w:r>
          </w:p>
        </w:tc>
        <w:tc>
          <w:tcPr>
            <w:tcW w:w="639" w:type="dxa"/>
            <w:tcBorders>
              <w:top w:val="single" w:sz="4" w:space="0" w:color="ADD6EA"/>
              <w:left w:val="nil"/>
              <w:bottom w:val="nil"/>
              <w:right w:val="nil"/>
            </w:tcBorders>
            <w:shd w:val="clear" w:color="000000" w:fill="FFFFFF"/>
            <w:vAlign w:val="bottom"/>
            <w:hideMark/>
          </w:tcPr>
          <w:p w14:paraId="7CBC5D2B"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30</w:t>
            </w:r>
          </w:p>
        </w:tc>
        <w:tc>
          <w:tcPr>
            <w:tcW w:w="639" w:type="dxa"/>
            <w:tcBorders>
              <w:top w:val="single" w:sz="4" w:space="0" w:color="ADD6EA"/>
              <w:left w:val="nil"/>
              <w:bottom w:val="nil"/>
              <w:right w:val="nil"/>
            </w:tcBorders>
            <w:shd w:val="clear" w:color="000000" w:fill="FFFFFF"/>
            <w:vAlign w:val="bottom"/>
            <w:hideMark/>
          </w:tcPr>
          <w:p w14:paraId="614F446A"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10</w:t>
            </w:r>
          </w:p>
        </w:tc>
        <w:tc>
          <w:tcPr>
            <w:tcW w:w="639" w:type="dxa"/>
            <w:tcBorders>
              <w:top w:val="single" w:sz="4" w:space="0" w:color="ADD6EA"/>
              <w:left w:val="nil"/>
              <w:bottom w:val="nil"/>
              <w:right w:val="nil"/>
            </w:tcBorders>
            <w:shd w:val="clear" w:color="000000" w:fill="FFFFFF"/>
            <w:vAlign w:val="bottom"/>
            <w:hideMark/>
          </w:tcPr>
          <w:p w14:paraId="390071D9"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6</w:t>
            </w:r>
          </w:p>
        </w:tc>
        <w:tc>
          <w:tcPr>
            <w:tcW w:w="639" w:type="dxa"/>
            <w:tcBorders>
              <w:top w:val="single" w:sz="4" w:space="0" w:color="ADD6EA"/>
              <w:left w:val="nil"/>
              <w:bottom w:val="nil"/>
              <w:right w:val="nil"/>
            </w:tcBorders>
            <w:shd w:val="clear" w:color="000000" w:fill="FFFFFF"/>
            <w:vAlign w:val="bottom"/>
            <w:hideMark/>
          </w:tcPr>
          <w:p w14:paraId="611C556A"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5</w:t>
            </w:r>
          </w:p>
        </w:tc>
        <w:tc>
          <w:tcPr>
            <w:tcW w:w="639" w:type="dxa"/>
            <w:tcBorders>
              <w:top w:val="single" w:sz="4" w:space="0" w:color="ADD6EA"/>
              <w:left w:val="nil"/>
              <w:bottom w:val="nil"/>
              <w:right w:val="nil"/>
            </w:tcBorders>
            <w:shd w:val="clear" w:color="000000" w:fill="FFFFFF"/>
            <w:vAlign w:val="bottom"/>
            <w:hideMark/>
          </w:tcPr>
          <w:p w14:paraId="1705BD92"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w:t>
            </w:r>
          </w:p>
        </w:tc>
        <w:tc>
          <w:tcPr>
            <w:tcW w:w="639" w:type="dxa"/>
            <w:tcBorders>
              <w:top w:val="single" w:sz="4" w:space="0" w:color="ADD6EA"/>
              <w:left w:val="nil"/>
              <w:bottom w:val="nil"/>
              <w:right w:val="nil"/>
            </w:tcBorders>
            <w:shd w:val="clear" w:color="000000" w:fill="FFFFFF"/>
            <w:vAlign w:val="bottom"/>
            <w:hideMark/>
          </w:tcPr>
          <w:p w14:paraId="52463965"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-21</w:t>
            </w:r>
          </w:p>
        </w:tc>
        <w:tc>
          <w:tcPr>
            <w:tcW w:w="639" w:type="dxa"/>
            <w:tcBorders>
              <w:top w:val="single" w:sz="4" w:space="0" w:color="ADD6EA"/>
              <w:left w:val="nil"/>
              <w:bottom w:val="nil"/>
              <w:right w:val="nil"/>
            </w:tcBorders>
            <w:shd w:val="clear" w:color="000000" w:fill="FFFFFF"/>
            <w:vAlign w:val="bottom"/>
            <w:hideMark/>
          </w:tcPr>
          <w:p w14:paraId="6B14A9BC"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w:t>
            </w:r>
          </w:p>
        </w:tc>
        <w:tc>
          <w:tcPr>
            <w:tcW w:w="659" w:type="dxa"/>
            <w:tcBorders>
              <w:top w:val="single" w:sz="4" w:space="0" w:color="ADD6EA"/>
              <w:left w:val="nil"/>
              <w:bottom w:val="nil"/>
              <w:right w:val="nil"/>
            </w:tcBorders>
            <w:shd w:val="clear" w:color="000000" w:fill="FFFFFF"/>
            <w:vAlign w:val="bottom"/>
            <w:hideMark/>
          </w:tcPr>
          <w:p w14:paraId="12C08D88"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53</w:t>
            </w:r>
          </w:p>
        </w:tc>
      </w:tr>
      <w:tr w:rsidR="004A35AD" w:rsidRPr="004A35AD" w14:paraId="33B42CB8" w14:textId="77777777" w:rsidTr="00DA4444">
        <w:trPr>
          <w:trHeight w:val="319"/>
        </w:trPr>
        <w:tc>
          <w:tcPr>
            <w:tcW w:w="3226" w:type="dxa"/>
            <w:tcBorders>
              <w:top w:val="single" w:sz="4" w:space="0" w:color="ADD6EA"/>
              <w:left w:val="nil"/>
              <w:bottom w:val="nil"/>
              <w:right w:val="nil"/>
            </w:tcBorders>
            <w:shd w:val="clear" w:color="000000" w:fill="FFFFFF"/>
            <w:vAlign w:val="bottom"/>
            <w:hideMark/>
          </w:tcPr>
          <w:p w14:paraId="74641DE8" w14:textId="77777777" w:rsidR="004A35AD" w:rsidRPr="004A35AD" w:rsidRDefault="004A35AD" w:rsidP="004A35AD">
            <w:pPr>
              <w:tabs>
                <w:tab w:val="clear" w:pos="567"/>
              </w:tabs>
              <w:spacing w:before="0" w:line="240" w:lineRule="auto"/>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National Water Grid Fund</w:t>
            </w:r>
          </w:p>
        </w:tc>
        <w:tc>
          <w:tcPr>
            <w:tcW w:w="581" w:type="dxa"/>
            <w:tcBorders>
              <w:top w:val="single" w:sz="4" w:space="0" w:color="ADD6EA"/>
              <w:left w:val="nil"/>
              <w:bottom w:val="nil"/>
              <w:right w:val="nil"/>
            </w:tcBorders>
            <w:shd w:val="clear" w:color="000000" w:fill="FFFFFF"/>
            <w:vAlign w:val="bottom"/>
            <w:hideMark/>
          </w:tcPr>
          <w:p w14:paraId="3FDC4C23"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24</w:t>
            </w:r>
          </w:p>
        </w:tc>
        <w:tc>
          <w:tcPr>
            <w:tcW w:w="639" w:type="dxa"/>
            <w:tcBorders>
              <w:top w:val="single" w:sz="4" w:space="0" w:color="ADD6EA"/>
              <w:left w:val="nil"/>
              <w:bottom w:val="nil"/>
              <w:right w:val="nil"/>
            </w:tcBorders>
            <w:shd w:val="clear" w:color="000000" w:fill="FFFFFF"/>
            <w:vAlign w:val="bottom"/>
            <w:hideMark/>
          </w:tcPr>
          <w:p w14:paraId="0161AFEA"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11</w:t>
            </w:r>
          </w:p>
        </w:tc>
        <w:tc>
          <w:tcPr>
            <w:tcW w:w="639" w:type="dxa"/>
            <w:tcBorders>
              <w:top w:val="single" w:sz="4" w:space="0" w:color="ADD6EA"/>
              <w:left w:val="nil"/>
              <w:bottom w:val="nil"/>
              <w:right w:val="nil"/>
            </w:tcBorders>
            <w:shd w:val="clear" w:color="000000" w:fill="FFFFFF"/>
            <w:vAlign w:val="bottom"/>
            <w:hideMark/>
          </w:tcPr>
          <w:p w14:paraId="1BA64547"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-7</w:t>
            </w:r>
          </w:p>
        </w:tc>
        <w:tc>
          <w:tcPr>
            <w:tcW w:w="639" w:type="dxa"/>
            <w:tcBorders>
              <w:top w:val="single" w:sz="4" w:space="0" w:color="ADD6EA"/>
              <w:left w:val="nil"/>
              <w:bottom w:val="nil"/>
              <w:right w:val="nil"/>
            </w:tcBorders>
            <w:shd w:val="clear" w:color="000000" w:fill="FFFFFF"/>
            <w:vAlign w:val="bottom"/>
            <w:hideMark/>
          </w:tcPr>
          <w:p w14:paraId="54BC8125"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8</w:t>
            </w:r>
          </w:p>
        </w:tc>
        <w:tc>
          <w:tcPr>
            <w:tcW w:w="639" w:type="dxa"/>
            <w:tcBorders>
              <w:top w:val="single" w:sz="4" w:space="0" w:color="ADD6EA"/>
              <w:left w:val="nil"/>
              <w:bottom w:val="nil"/>
              <w:right w:val="nil"/>
            </w:tcBorders>
            <w:shd w:val="clear" w:color="000000" w:fill="FFFFFF"/>
            <w:vAlign w:val="bottom"/>
            <w:hideMark/>
          </w:tcPr>
          <w:p w14:paraId="5EB3514D"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3</w:t>
            </w:r>
          </w:p>
        </w:tc>
        <w:tc>
          <w:tcPr>
            <w:tcW w:w="639" w:type="dxa"/>
            <w:tcBorders>
              <w:top w:val="single" w:sz="4" w:space="0" w:color="ADD6EA"/>
              <w:left w:val="nil"/>
              <w:bottom w:val="nil"/>
              <w:right w:val="nil"/>
            </w:tcBorders>
            <w:shd w:val="clear" w:color="000000" w:fill="FFFFFF"/>
            <w:vAlign w:val="bottom"/>
            <w:hideMark/>
          </w:tcPr>
          <w:p w14:paraId="2042EBDD"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-14</w:t>
            </w:r>
          </w:p>
        </w:tc>
        <w:tc>
          <w:tcPr>
            <w:tcW w:w="639" w:type="dxa"/>
            <w:tcBorders>
              <w:top w:val="single" w:sz="4" w:space="0" w:color="ADD6EA"/>
              <w:left w:val="nil"/>
              <w:bottom w:val="nil"/>
              <w:right w:val="nil"/>
            </w:tcBorders>
            <w:shd w:val="clear" w:color="000000" w:fill="FFFFFF"/>
            <w:vAlign w:val="bottom"/>
            <w:hideMark/>
          </w:tcPr>
          <w:p w14:paraId="425F3E8C"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w:t>
            </w:r>
          </w:p>
        </w:tc>
        <w:tc>
          <w:tcPr>
            <w:tcW w:w="639" w:type="dxa"/>
            <w:tcBorders>
              <w:top w:val="single" w:sz="4" w:space="0" w:color="ADD6EA"/>
              <w:left w:val="nil"/>
              <w:bottom w:val="nil"/>
              <w:right w:val="nil"/>
            </w:tcBorders>
            <w:shd w:val="clear" w:color="000000" w:fill="FFFFFF"/>
            <w:vAlign w:val="bottom"/>
            <w:hideMark/>
          </w:tcPr>
          <w:p w14:paraId="5AEF62B7"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-27</w:t>
            </w:r>
          </w:p>
        </w:tc>
        <w:tc>
          <w:tcPr>
            <w:tcW w:w="659" w:type="dxa"/>
            <w:tcBorders>
              <w:top w:val="single" w:sz="4" w:space="0" w:color="ADD6EA"/>
              <w:left w:val="nil"/>
              <w:bottom w:val="nil"/>
              <w:right w:val="nil"/>
            </w:tcBorders>
            <w:shd w:val="clear" w:color="000000" w:fill="FFFFFF"/>
            <w:vAlign w:val="bottom"/>
            <w:hideMark/>
          </w:tcPr>
          <w:p w14:paraId="2CAAE8DD"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48</w:t>
            </w:r>
          </w:p>
        </w:tc>
      </w:tr>
      <w:tr w:rsidR="004A35AD" w:rsidRPr="004A35AD" w14:paraId="68F12CE5" w14:textId="77777777" w:rsidTr="00DA4444">
        <w:trPr>
          <w:trHeight w:val="319"/>
        </w:trPr>
        <w:tc>
          <w:tcPr>
            <w:tcW w:w="3226" w:type="dxa"/>
            <w:tcBorders>
              <w:top w:val="single" w:sz="4" w:space="0" w:color="ADD6EA"/>
              <w:left w:val="nil"/>
              <w:bottom w:val="nil"/>
              <w:right w:val="nil"/>
            </w:tcBorders>
            <w:shd w:val="clear" w:color="000000" w:fill="FFFFFF"/>
            <w:vAlign w:val="bottom"/>
            <w:hideMark/>
          </w:tcPr>
          <w:p w14:paraId="22245ECB" w14:textId="77777777" w:rsidR="004A35AD" w:rsidRPr="004A35AD" w:rsidRDefault="004A35AD" w:rsidP="004A35AD">
            <w:pPr>
              <w:tabs>
                <w:tab w:val="clear" w:pos="567"/>
              </w:tabs>
              <w:spacing w:before="0" w:line="240" w:lineRule="auto"/>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 xml:space="preserve">Other </w:t>
            </w:r>
          </w:p>
        </w:tc>
        <w:tc>
          <w:tcPr>
            <w:tcW w:w="581" w:type="dxa"/>
            <w:tcBorders>
              <w:top w:val="single" w:sz="4" w:space="0" w:color="ADD6EA"/>
              <w:left w:val="nil"/>
              <w:bottom w:val="nil"/>
              <w:right w:val="nil"/>
            </w:tcBorders>
            <w:shd w:val="clear" w:color="000000" w:fill="FFFFFF"/>
            <w:vAlign w:val="bottom"/>
            <w:hideMark/>
          </w:tcPr>
          <w:p w14:paraId="68556451"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52</w:t>
            </w:r>
          </w:p>
        </w:tc>
        <w:tc>
          <w:tcPr>
            <w:tcW w:w="639" w:type="dxa"/>
            <w:tcBorders>
              <w:top w:val="single" w:sz="4" w:space="0" w:color="ADD6EA"/>
              <w:left w:val="nil"/>
              <w:bottom w:val="nil"/>
              <w:right w:val="nil"/>
            </w:tcBorders>
            <w:shd w:val="clear" w:color="000000" w:fill="FFFFFF"/>
            <w:vAlign w:val="bottom"/>
            <w:hideMark/>
          </w:tcPr>
          <w:p w14:paraId="2EF657B6"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-71</w:t>
            </w:r>
          </w:p>
        </w:tc>
        <w:tc>
          <w:tcPr>
            <w:tcW w:w="639" w:type="dxa"/>
            <w:tcBorders>
              <w:top w:val="single" w:sz="4" w:space="0" w:color="ADD6EA"/>
              <w:left w:val="nil"/>
              <w:bottom w:val="nil"/>
              <w:right w:val="nil"/>
            </w:tcBorders>
            <w:shd w:val="clear" w:color="000000" w:fill="FFFFFF"/>
            <w:vAlign w:val="bottom"/>
            <w:hideMark/>
          </w:tcPr>
          <w:p w14:paraId="3B8FA441"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33</w:t>
            </w:r>
          </w:p>
        </w:tc>
        <w:tc>
          <w:tcPr>
            <w:tcW w:w="639" w:type="dxa"/>
            <w:tcBorders>
              <w:top w:val="single" w:sz="4" w:space="0" w:color="ADD6EA"/>
              <w:left w:val="nil"/>
              <w:bottom w:val="nil"/>
              <w:right w:val="nil"/>
            </w:tcBorders>
            <w:shd w:val="clear" w:color="000000" w:fill="FFFFFF"/>
            <w:vAlign w:val="bottom"/>
            <w:hideMark/>
          </w:tcPr>
          <w:p w14:paraId="109D21DD"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17</w:t>
            </w:r>
          </w:p>
        </w:tc>
        <w:tc>
          <w:tcPr>
            <w:tcW w:w="639" w:type="dxa"/>
            <w:tcBorders>
              <w:top w:val="single" w:sz="4" w:space="0" w:color="ADD6EA"/>
              <w:left w:val="nil"/>
              <w:bottom w:val="nil"/>
              <w:right w:val="nil"/>
            </w:tcBorders>
            <w:shd w:val="clear" w:color="000000" w:fill="FFFFFF"/>
            <w:vAlign w:val="bottom"/>
            <w:hideMark/>
          </w:tcPr>
          <w:p w14:paraId="7728E35D"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-21</w:t>
            </w:r>
          </w:p>
        </w:tc>
        <w:tc>
          <w:tcPr>
            <w:tcW w:w="639" w:type="dxa"/>
            <w:tcBorders>
              <w:top w:val="single" w:sz="4" w:space="0" w:color="ADD6EA"/>
              <w:left w:val="nil"/>
              <w:bottom w:val="nil"/>
              <w:right w:val="nil"/>
            </w:tcBorders>
            <w:shd w:val="clear" w:color="000000" w:fill="FFFFFF"/>
            <w:vAlign w:val="bottom"/>
            <w:hideMark/>
          </w:tcPr>
          <w:p w14:paraId="76A75CF2"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-12</w:t>
            </w:r>
          </w:p>
        </w:tc>
        <w:tc>
          <w:tcPr>
            <w:tcW w:w="639" w:type="dxa"/>
            <w:tcBorders>
              <w:top w:val="single" w:sz="4" w:space="0" w:color="ADD6EA"/>
              <w:left w:val="nil"/>
              <w:bottom w:val="nil"/>
              <w:right w:val="nil"/>
            </w:tcBorders>
            <w:shd w:val="clear" w:color="000000" w:fill="FFFFFF"/>
            <w:vAlign w:val="bottom"/>
            <w:hideMark/>
          </w:tcPr>
          <w:p w14:paraId="0DA59AFD"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-11</w:t>
            </w:r>
          </w:p>
        </w:tc>
        <w:tc>
          <w:tcPr>
            <w:tcW w:w="639" w:type="dxa"/>
            <w:tcBorders>
              <w:top w:val="single" w:sz="4" w:space="0" w:color="ADD6EA"/>
              <w:left w:val="nil"/>
              <w:bottom w:val="nil"/>
              <w:right w:val="nil"/>
            </w:tcBorders>
            <w:shd w:val="clear" w:color="000000" w:fill="FFFFFF"/>
            <w:vAlign w:val="bottom"/>
            <w:hideMark/>
          </w:tcPr>
          <w:p w14:paraId="2537A51E"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14</w:t>
            </w:r>
          </w:p>
        </w:tc>
        <w:tc>
          <w:tcPr>
            <w:tcW w:w="659" w:type="dxa"/>
            <w:tcBorders>
              <w:top w:val="single" w:sz="4" w:space="0" w:color="ADD6EA"/>
              <w:left w:val="nil"/>
              <w:bottom w:val="nil"/>
              <w:right w:val="nil"/>
            </w:tcBorders>
            <w:shd w:val="clear" w:color="000000" w:fill="FFFFFF"/>
            <w:vAlign w:val="bottom"/>
            <w:hideMark/>
          </w:tcPr>
          <w:p w14:paraId="62C63521" w14:textId="77777777" w:rsidR="004A35AD" w:rsidRPr="004A35AD" w:rsidRDefault="004A35AD" w:rsidP="004A35AD">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4A35AD">
              <w:rPr>
                <w:rFonts w:ascii="Open Sans Light" w:eastAsia="Times New Roman" w:hAnsi="Open Sans Light" w:cs="Open Sans Light"/>
                <w:color w:val="000000"/>
                <w:sz w:val="16"/>
                <w:szCs w:val="16"/>
                <w:lang w:eastAsia="en-AU"/>
              </w:rPr>
              <w:t>116</w:t>
            </w:r>
          </w:p>
        </w:tc>
      </w:tr>
      <w:tr w:rsidR="004A35AD" w:rsidRPr="004A35AD" w14:paraId="234F1DC9" w14:textId="77777777" w:rsidTr="00DA4444">
        <w:trPr>
          <w:trHeight w:val="319"/>
        </w:trPr>
        <w:tc>
          <w:tcPr>
            <w:tcW w:w="3226" w:type="dxa"/>
            <w:tcBorders>
              <w:top w:val="single" w:sz="4" w:space="0" w:color="ADD6EA"/>
              <w:left w:val="nil"/>
              <w:bottom w:val="single" w:sz="4" w:space="0" w:color="ADD6EA"/>
              <w:right w:val="nil"/>
            </w:tcBorders>
            <w:shd w:val="clear" w:color="000000" w:fill="D6E7F0"/>
            <w:vAlign w:val="bottom"/>
            <w:hideMark/>
          </w:tcPr>
          <w:p w14:paraId="07543B57" w14:textId="77777777" w:rsidR="004A35AD" w:rsidRPr="004A35AD" w:rsidRDefault="004A35AD" w:rsidP="004A35AD">
            <w:pPr>
              <w:tabs>
                <w:tab w:val="clear" w:pos="567"/>
              </w:tabs>
              <w:spacing w:before="0" w:line="240" w:lineRule="auto"/>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Total</w:t>
            </w:r>
          </w:p>
        </w:tc>
        <w:tc>
          <w:tcPr>
            <w:tcW w:w="581" w:type="dxa"/>
            <w:tcBorders>
              <w:top w:val="single" w:sz="4" w:space="0" w:color="ADD6EA"/>
              <w:left w:val="nil"/>
              <w:bottom w:val="single" w:sz="4" w:space="0" w:color="ADD6EA"/>
              <w:right w:val="nil"/>
            </w:tcBorders>
            <w:shd w:val="clear" w:color="000000" w:fill="D6E7F0"/>
            <w:vAlign w:val="bottom"/>
            <w:hideMark/>
          </w:tcPr>
          <w:p w14:paraId="45752C88"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-152</w:t>
            </w:r>
          </w:p>
        </w:tc>
        <w:tc>
          <w:tcPr>
            <w:tcW w:w="639" w:type="dxa"/>
            <w:tcBorders>
              <w:top w:val="single" w:sz="4" w:space="0" w:color="ADD6EA"/>
              <w:left w:val="nil"/>
              <w:bottom w:val="single" w:sz="4" w:space="0" w:color="ADD6EA"/>
              <w:right w:val="nil"/>
            </w:tcBorders>
            <w:shd w:val="clear" w:color="000000" w:fill="D6E7F0"/>
            <w:vAlign w:val="bottom"/>
            <w:hideMark/>
          </w:tcPr>
          <w:p w14:paraId="3B3A3287"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309</w:t>
            </w:r>
          </w:p>
        </w:tc>
        <w:tc>
          <w:tcPr>
            <w:tcW w:w="639" w:type="dxa"/>
            <w:tcBorders>
              <w:top w:val="single" w:sz="4" w:space="0" w:color="ADD6EA"/>
              <w:left w:val="nil"/>
              <w:bottom w:val="single" w:sz="4" w:space="0" w:color="ADD6EA"/>
              <w:right w:val="nil"/>
            </w:tcBorders>
            <w:shd w:val="clear" w:color="000000" w:fill="D6E7F0"/>
            <w:vAlign w:val="bottom"/>
            <w:hideMark/>
          </w:tcPr>
          <w:p w14:paraId="42B125B5"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145</w:t>
            </w:r>
          </w:p>
        </w:tc>
        <w:tc>
          <w:tcPr>
            <w:tcW w:w="639" w:type="dxa"/>
            <w:tcBorders>
              <w:top w:val="single" w:sz="4" w:space="0" w:color="ADD6EA"/>
              <w:left w:val="nil"/>
              <w:bottom w:val="single" w:sz="4" w:space="0" w:color="ADD6EA"/>
              <w:right w:val="nil"/>
            </w:tcBorders>
            <w:shd w:val="clear" w:color="000000" w:fill="D6E7F0"/>
            <w:vAlign w:val="bottom"/>
            <w:hideMark/>
          </w:tcPr>
          <w:p w14:paraId="2100613B"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-170</w:t>
            </w:r>
          </w:p>
        </w:tc>
        <w:tc>
          <w:tcPr>
            <w:tcW w:w="639" w:type="dxa"/>
            <w:tcBorders>
              <w:top w:val="single" w:sz="4" w:space="0" w:color="ADD6EA"/>
              <w:left w:val="nil"/>
              <w:bottom w:val="single" w:sz="4" w:space="0" w:color="ADD6EA"/>
              <w:right w:val="nil"/>
            </w:tcBorders>
            <w:shd w:val="clear" w:color="000000" w:fill="D6E7F0"/>
            <w:vAlign w:val="bottom"/>
            <w:hideMark/>
          </w:tcPr>
          <w:p w14:paraId="269ECB0F"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11</w:t>
            </w:r>
          </w:p>
        </w:tc>
        <w:tc>
          <w:tcPr>
            <w:tcW w:w="639" w:type="dxa"/>
            <w:tcBorders>
              <w:top w:val="single" w:sz="4" w:space="0" w:color="ADD6EA"/>
              <w:left w:val="nil"/>
              <w:bottom w:val="single" w:sz="4" w:space="0" w:color="ADD6EA"/>
              <w:right w:val="nil"/>
            </w:tcBorders>
            <w:shd w:val="clear" w:color="000000" w:fill="D6E7F0"/>
            <w:vAlign w:val="bottom"/>
            <w:hideMark/>
          </w:tcPr>
          <w:p w14:paraId="34E0C1E3"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-50</w:t>
            </w:r>
          </w:p>
        </w:tc>
        <w:tc>
          <w:tcPr>
            <w:tcW w:w="639" w:type="dxa"/>
            <w:tcBorders>
              <w:top w:val="single" w:sz="4" w:space="0" w:color="ADD6EA"/>
              <w:left w:val="nil"/>
              <w:bottom w:val="single" w:sz="4" w:space="0" w:color="ADD6EA"/>
              <w:right w:val="nil"/>
            </w:tcBorders>
            <w:shd w:val="clear" w:color="000000" w:fill="D6E7F0"/>
            <w:vAlign w:val="bottom"/>
            <w:hideMark/>
          </w:tcPr>
          <w:p w14:paraId="2D7AE739"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-24</w:t>
            </w:r>
          </w:p>
        </w:tc>
        <w:tc>
          <w:tcPr>
            <w:tcW w:w="639" w:type="dxa"/>
            <w:tcBorders>
              <w:top w:val="single" w:sz="4" w:space="0" w:color="ADD6EA"/>
              <w:left w:val="nil"/>
              <w:bottom w:val="single" w:sz="4" w:space="0" w:color="ADD6EA"/>
              <w:right w:val="nil"/>
            </w:tcBorders>
            <w:shd w:val="clear" w:color="000000" w:fill="D6E7F0"/>
            <w:vAlign w:val="bottom"/>
            <w:hideMark/>
          </w:tcPr>
          <w:p w14:paraId="5F0553AA"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-69</w:t>
            </w:r>
          </w:p>
        </w:tc>
        <w:tc>
          <w:tcPr>
            <w:tcW w:w="659" w:type="dxa"/>
            <w:tcBorders>
              <w:top w:val="single" w:sz="4" w:space="0" w:color="ADD6EA"/>
              <w:left w:val="nil"/>
              <w:bottom w:val="single" w:sz="4" w:space="0" w:color="ADD6EA"/>
              <w:right w:val="nil"/>
            </w:tcBorders>
            <w:shd w:val="clear" w:color="000000" w:fill="D6E7F0"/>
            <w:vAlign w:val="bottom"/>
            <w:hideMark/>
          </w:tcPr>
          <w:p w14:paraId="6A67986B" w14:textId="77777777" w:rsidR="004A35AD" w:rsidRPr="004A35AD" w:rsidRDefault="004A35AD" w:rsidP="004A35A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4A35AD">
              <w:rPr>
                <w:rFonts w:ascii="Open Sans Semibold" w:eastAsia="Times New Roman" w:hAnsi="Open Sans Semibold" w:cs="Open Sans Semibold"/>
                <w:color w:val="000000"/>
                <w:sz w:val="16"/>
                <w:szCs w:val="16"/>
                <w:lang w:eastAsia="en-AU"/>
              </w:rPr>
              <w:t>465</w:t>
            </w:r>
          </w:p>
        </w:tc>
      </w:tr>
    </w:tbl>
    <w:p w14:paraId="4C2C3572" w14:textId="71CE684E" w:rsidR="00FE2D4B" w:rsidRPr="00D15A93" w:rsidRDefault="00FE2D4B" w:rsidP="00C82598">
      <w:pPr>
        <w:pStyle w:val="Heading4"/>
        <w:spacing w:before="120"/>
      </w:pPr>
      <w:r w:rsidRPr="00D15A93">
        <w:t>Property sales</w:t>
      </w:r>
    </w:p>
    <w:p w14:paraId="570B2B4F" w14:textId="77777777" w:rsidR="00FE2D4B" w:rsidRPr="00D15A93" w:rsidRDefault="00FE2D4B" w:rsidP="00FE2D4B">
      <w:r w:rsidRPr="00D15A93">
        <w:t>Stamp duties raised from the transfer of property are volatile. Property market cycles can lead to large changes across years and states. This can have marked effects on states’ revenue raising capacities.</w:t>
      </w:r>
      <w:r w:rsidRPr="00D15A93">
        <w:rPr>
          <w:rFonts w:hint="eastAsia"/>
          <w:rtl/>
        </w:rPr>
        <w:t>‍</w:t>
      </w:r>
      <w:r w:rsidRPr="00D15A93">
        <w:rPr>
          <w:rFonts w:hint="cs"/>
          <w:rtl/>
        </w:rPr>
        <w:t>‍‍‍‍‍‍‍</w:t>
      </w:r>
      <w:r w:rsidRPr="00D15A93">
        <w:rPr>
          <w:rtl/>
        </w:rPr>
        <w:t>‍‍</w:t>
      </w:r>
    </w:p>
    <w:p w14:paraId="628947D2" w14:textId="77777777" w:rsidR="00FE2D4B" w:rsidRPr="00D15A93" w:rsidRDefault="00FE2D4B" w:rsidP="00FE2D4B">
      <w:pPr>
        <w:rPr>
          <w:highlight w:val="yellow"/>
        </w:rPr>
      </w:pPr>
      <w:bookmarkStart w:id="129" w:name="Figure_2_3"/>
      <w:bookmarkEnd w:id="129"/>
      <w:r w:rsidRPr="00D15A93">
        <w:t>Between 2020–21 and 2023–24, the per capita value of property transferred increased by 12% nationally. Queensland, Western Australia, South Australia and the Northern Territory experienced above-average growth over the period (see Figure 2-5</w:t>
      </w:r>
      <w:r w:rsidRPr="00D15A93">
        <w:fldChar w:fldCharType="begin"/>
      </w:r>
      <w:r w:rsidRPr="00D15A93">
        <w:instrText xml:space="preserve"> REF Figure_2_2 \h  \* MERGEFORMAT </w:instrText>
      </w:r>
      <w:r w:rsidRPr="00D15A93">
        <w:fldChar w:fldCharType="end"/>
      </w:r>
      <w:r w:rsidRPr="00D15A93">
        <w:t>), reducing their assessed GST needs.</w:t>
      </w:r>
    </w:p>
    <w:p w14:paraId="4E15E370" w14:textId="77777777" w:rsidR="00182CDC" w:rsidRPr="00D15A93" w:rsidRDefault="00182CDC" w:rsidP="00BE242E">
      <w:pPr>
        <w:pStyle w:val="CGC2025Caption"/>
      </w:pPr>
      <w:r w:rsidRPr="00D15A93">
        <w:t>Figure 2-5</w:t>
      </w:r>
      <w:r w:rsidRPr="00D15A93">
        <w:tab/>
        <w:t>Value of property transfers per capita, 2020–21 to 2023–24</w:t>
      </w:r>
    </w:p>
    <w:p w14:paraId="1D96E489" w14:textId="56701316" w:rsidR="00FC3EBC" w:rsidRPr="00D15A93" w:rsidRDefault="00EE2451" w:rsidP="00BE242E">
      <w:pPr>
        <w:pStyle w:val="CGC2025TableNote"/>
      </w:pPr>
      <w:r w:rsidRPr="00BE242E">
        <w:rPr>
          <w:noProof/>
        </w:rPr>
        <w:drawing>
          <wp:anchor distT="0" distB="0" distL="114300" distR="114300" simplePos="0" relativeHeight="251658261" behindDoc="0" locked="0" layoutInCell="1" allowOverlap="1" wp14:anchorId="7EB6AE15" wp14:editId="325ABE5F">
            <wp:simplePos x="0" y="0"/>
            <wp:positionH relativeFrom="column">
              <wp:posOffset>0</wp:posOffset>
            </wp:positionH>
            <wp:positionV relativeFrom="paragraph">
              <wp:posOffset>0</wp:posOffset>
            </wp:positionV>
            <wp:extent cx="5652000" cy="3564000"/>
            <wp:effectExtent l="0" t="0" r="6350" b="17780"/>
            <wp:wrapSquare wrapText="bothSides"/>
            <wp:docPr id="1723568201" name="Chart 1">
              <a:extLst xmlns:a="http://schemas.openxmlformats.org/drawingml/2006/main">
                <a:ext uri="{FF2B5EF4-FFF2-40B4-BE49-F238E27FC236}">
                  <a16:creationId xmlns:a16="http://schemas.microsoft.com/office/drawing/2014/main" id="{7C218D09-7B27-455C-B25A-67972B366B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00FC3EBC" w:rsidRPr="00BE242E">
        <w:t>Source: Annual data provided by states</w:t>
      </w:r>
      <w:r w:rsidR="00FC3EBC" w:rsidRPr="005E060C">
        <w:t>.</w:t>
      </w:r>
    </w:p>
    <w:p w14:paraId="590D1CF4" w14:textId="77777777" w:rsidR="00D05076" w:rsidRPr="00D15A93" w:rsidRDefault="00D05076" w:rsidP="00D05076">
      <w:pPr>
        <w:pStyle w:val="Heading4"/>
      </w:pPr>
      <w:r w:rsidRPr="00D15A93">
        <w:lastRenderedPageBreak/>
        <w:t>Taxable payrolls</w:t>
      </w:r>
    </w:p>
    <w:p w14:paraId="671CA7DC" w14:textId="77777777" w:rsidR="00D05076" w:rsidRPr="00D15A93" w:rsidRDefault="00D05076" w:rsidP="00D05076">
      <w:bookmarkStart w:id="130" w:name="Figure_2_4"/>
      <w:r w:rsidRPr="00D15A93">
        <w:t>High growth in revenue collected from payroll tax and changes to states’ relative capacities to raise payroll tax revenue have changed the GST distribution.</w:t>
      </w:r>
    </w:p>
    <w:p w14:paraId="5160A05A" w14:textId="56256FAF" w:rsidR="00D05076" w:rsidRPr="00D15A93" w:rsidRDefault="00D05076" w:rsidP="00D05076">
      <w:pPr>
        <w:rPr>
          <w:highlight w:val="yellow"/>
        </w:rPr>
      </w:pPr>
      <w:r w:rsidRPr="00D15A93">
        <w:t>Between 2020–21 and 2023–24, the per capita value of taxable payrolls increased by 25%</w:t>
      </w:r>
      <w:r w:rsidR="00CF0FAA">
        <w:t> </w:t>
      </w:r>
      <w:r w:rsidRPr="00D15A93">
        <w:t>nationally. Queensland, Western Australia, Tasmania, the ACT and the Northern</w:t>
      </w:r>
      <w:r w:rsidR="00562CAB">
        <w:t> </w:t>
      </w:r>
      <w:r w:rsidRPr="00D15A93">
        <w:t>Territory experienced above-average growth over the period (see Figure 2-6</w:t>
      </w:r>
      <w:r w:rsidRPr="00D15A93">
        <w:fldChar w:fldCharType="begin"/>
      </w:r>
      <w:r w:rsidRPr="00D15A93">
        <w:instrText xml:space="preserve"> REF Figure_2_2 \h  \* MERGEFORMAT </w:instrText>
      </w:r>
      <w:r w:rsidRPr="00D15A93">
        <w:fldChar w:fldCharType="end"/>
      </w:r>
      <w:r w:rsidRPr="00D15A93">
        <w:t>). This reduced the assessed GST needs of those states and increased the needs of the other states.</w:t>
      </w:r>
    </w:p>
    <w:p w14:paraId="02F47916" w14:textId="77777777" w:rsidR="00D05076" w:rsidRPr="00D15A93" w:rsidRDefault="00D05076" w:rsidP="00D05076">
      <w:pPr>
        <w:pStyle w:val="CGC2025Caption"/>
      </w:pPr>
      <w:r w:rsidRPr="00D15A93">
        <w:t>Figure 2-</w:t>
      </w:r>
      <w:bookmarkEnd w:id="130"/>
      <w:r w:rsidRPr="00D15A93">
        <w:t>6</w:t>
      </w:r>
      <w:r w:rsidRPr="00D15A93">
        <w:tab/>
        <w:t>Value of taxable payrolls 2020–21 to 2023–24</w:t>
      </w:r>
    </w:p>
    <w:p w14:paraId="77D5F30B" w14:textId="77777777" w:rsidR="00D05076" w:rsidRDefault="00D05076" w:rsidP="00D05076">
      <w:r>
        <w:rPr>
          <w:noProof/>
        </w:rPr>
        <w:drawing>
          <wp:inline distT="0" distB="0" distL="0" distR="0" wp14:anchorId="65D9D3B9" wp14:editId="709C522C">
            <wp:extent cx="5652000" cy="3564000"/>
            <wp:effectExtent l="0" t="0" r="6350" b="17780"/>
            <wp:docPr id="1643333311" name="Chart 1">
              <a:extLst xmlns:a="http://schemas.openxmlformats.org/drawingml/2006/main">
                <a:ext uri="{FF2B5EF4-FFF2-40B4-BE49-F238E27FC236}">
                  <a16:creationId xmlns:a16="http://schemas.microsoft.com/office/drawing/2014/main" id="{B3777D48-A27C-4F61-8A8F-AC9D753813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179BC17" w14:textId="77777777" w:rsidR="0024742D" w:rsidRPr="00D15A93" w:rsidRDefault="0024742D" w:rsidP="002D3BF4">
      <w:pPr>
        <w:pStyle w:val="Heading4"/>
      </w:pPr>
      <w:r w:rsidRPr="00D15A93">
        <w:t xml:space="preserve">Indigenous status </w:t>
      </w:r>
    </w:p>
    <w:p w14:paraId="26318D68" w14:textId="6C139BCA" w:rsidR="0024742D" w:rsidRPr="009036E9" w:rsidRDefault="0024742D" w:rsidP="0024742D">
      <w:r w:rsidRPr="00D15A93">
        <w:t xml:space="preserve">It costs more to provide some services to First Nations people because of greater complexity of needs and higher use of services. </w:t>
      </w:r>
      <w:r w:rsidRPr="009036E9">
        <w:t xml:space="preserve">Between 2020–21 and 2023–24, changes in the use and cost of services for First Nations people, as well as an increase in state expenses, resulted in an increased distribution of GST. </w:t>
      </w:r>
    </w:p>
    <w:p w14:paraId="560A9A75" w14:textId="754EF7D7" w:rsidR="0024742D" w:rsidRPr="009036E9" w:rsidRDefault="0024742D" w:rsidP="0024742D">
      <w:r w:rsidRPr="009036E9">
        <w:t>Expenses on services with higher use rates by First Nations people (especially child protection and family services</w:t>
      </w:r>
      <w:r w:rsidR="00D17C41" w:rsidRPr="009036E9">
        <w:t>,</w:t>
      </w:r>
      <w:r w:rsidRPr="009036E9">
        <w:t xml:space="preserve"> and community and public health) grew faster than for other services. This led to an increase in the impact of Indigenous status on assessed state budgets, increasing the GST needs of states with above-average proportions of First</w:t>
      </w:r>
      <w:r w:rsidR="00C6532D" w:rsidRPr="009036E9">
        <w:t> </w:t>
      </w:r>
      <w:r w:rsidRPr="009036E9">
        <w:t xml:space="preserve">Nations people. </w:t>
      </w:r>
    </w:p>
    <w:p w14:paraId="6FD465E0" w14:textId="77777777" w:rsidR="0024742D" w:rsidRPr="00D15A93" w:rsidRDefault="0024742D" w:rsidP="0024742D">
      <w:r w:rsidRPr="009036E9">
        <w:t>ABS data on the number of prisoners in 2023–24 showed an increase in the proportion of First Nations prisoners, compared with 2020–21. This increased the assessed GST needs of states with above-average proportions of</w:t>
      </w:r>
      <w:r w:rsidRPr="00D15A93">
        <w:t xml:space="preserve"> First Nations people. </w:t>
      </w:r>
    </w:p>
    <w:p w14:paraId="42552761" w14:textId="64F695EB" w:rsidR="0024742D" w:rsidRPr="00D15A93" w:rsidRDefault="0024742D" w:rsidP="0024742D">
      <w:r w:rsidRPr="00D15A93">
        <w:t>The additional cost of First Nations school students increased from $4,616 per student to $6,041 per student between 2020</w:t>
      </w:r>
      <w:r w:rsidR="00554830">
        <w:t>–</w:t>
      </w:r>
      <w:r w:rsidRPr="00D15A93">
        <w:t>21 and 2023</w:t>
      </w:r>
      <w:r w:rsidR="00554830">
        <w:t>–</w:t>
      </w:r>
      <w:r w:rsidRPr="00D15A93">
        <w:t xml:space="preserve">24. This increased </w:t>
      </w:r>
      <w:r w:rsidRPr="00D15A93" w:rsidDel="0035531C">
        <w:t xml:space="preserve">the </w:t>
      </w:r>
      <w:r w:rsidRPr="00D15A93">
        <w:t xml:space="preserve">assessed GST needs of states with above-average proportions of First Nations students. </w:t>
      </w:r>
    </w:p>
    <w:p w14:paraId="57D48862" w14:textId="7F71B4AE" w:rsidR="0024742D" w:rsidRPr="00D15A93" w:rsidRDefault="0024742D" w:rsidP="0024742D">
      <w:r w:rsidRPr="00D15A93">
        <w:t xml:space="preserve">In total, </w:t>
      </w:r>
      <w:r w:rsidR="00CD070B">
        <w:t xml:space="preserve">including </w:t>
      </w:r>
      <w:r w:rsidRPr="00D15A93">
        <w:t xml:space="preserve">2023–24 data relating to Indigenous status </w:t>
      </w:r>
      <w:r w:rsidR="00FA7CA2">
        <w:t>(with 2021</w:t>
      </w:r>
      <w:r w:rsidR="00554830">
        <w:t>–</w:t>
      </w:r>
      <w:r w:rsidR="00FA7CA2" w:rsidRPr="004C00B8">
        <w:t xml:space="preserve">22 </w:t>
      </w:r>
      <w:r w:rsidR="004B1D53" w:rsidRPr="004C00B8">
        <w:t xml:space="preserve">data </w:t>
      </w:r>
      <w:r w:rsidR="00FA7CA2" w:rsidRPr="004C00B8">
        <w:t>dropping</w:t>
      </w:r>
      <w:r w:rsidR="00FA7CA2">
        <w:t xml:space="preserve"> out) </w:t>
      </w:r>
      <w:r w:rsidRPr="00D15A93">
        <w:t>increased the assessed GST needs of New South Wales, Queensland, Western</w:t>
      </w:r>
      <w:r w:rsidR="00242BF5">
        <w:t> </w:t>
      </w:r>
      <w:r w:rsidRPr="00D15A93">
        <w:t>Australia, Tasmania and the Northern Territory, and reduced the assessed GST</w:t>
      </w:r>
      <w:r w:rsidR="00BF346E">
        <w:t> </w:t>
      </w:r>
      <w:r w:rsidRPr="00D15A93">
        <w:t xml:space="preserve">needs of the other states. </w:t>
      </w:r>
    </w:p>
    <w:p w14:paraId="0F80F0C5" w14:textId="77777777" w:rsidR="0024742D" w:rsidRPr="00D15A93" w:rsidRDefault="0024742D" w:rsidP="002D3BF4">
      <w:pPr>
        <w:pStyle w:val="Heading4"/>
      </w:pPr>
      <w:r w:rsidRPr="00D15A93">
        <w:lastRenderedPageBreak/>
        <w:t>Wage costs</w:t>
      </w:r>
    </w:p>
    <w:p w14:paraId="60A16EE3" w14:textId="10E3CAEF" w:rsidR="0024742D" w:rsidRPr="00D15A93" w:rsidRDefault="0024742D" w:rsidP="0024742D">
      <w:r w:rsidRPr="004C00B8">
        <w:t>The Commission uses private sector wage differences between states as a policy neutral proxy measure of the market pressures faced by states when setting public sector wages.</w:t>
      </w:r>
      <w:r>
        <w:t xml:space="preserve"> Between 2020</w:t>
      </w:r>
      <w:r w:rsidR="00F97521">
        <w:t>–</w:t>
      </w:r>
      <w:r>
        <w:t>21 and 2023</w:t>
      </w:r>
      <w:r w:rsidR="00F97521">
        <w:t>–</w:t>
      </w:r>
      <w:r>
        <w:t xml:space="preserve">24, </w:t>
      </w:r>
      <w:r w:rsidR="00030F15">
        <w:t xml:space="preserve">the </w:t>
      </w:r>
      <w:r>
        <w:t>Commission</w:t>
      </w:r>
      <w:r w:rsidR="00030F15">
        <w:t>’s</w:t>
      </w:r>
      <w:r>
        <w:t xml:space="preserve"> </w:t>
      </w:r>
      <w:r w:rsidR="00C04227">
        <w:t>assessed</w:t>
      </w:r>
      <w:r w:rsidR="00372C21">
        <w:t xml:space="preserve"> </w:t>
      </w:r>
      <w:r>
        <w:t>wage costs trended up in Victoria and Queensland, relative to the other states</w:t>
      </w:r>
      <w:r w:rsidR="6075664B">
        <w:t>.</w:t>
      </w:r>
      <w:r>
        <w:t xml:space="preserve"> This increased their assessed GST</w:t>
      </w:r>
      <w:r w:rsidR="00BF346E">
        <w:t> </w:t>
      </w:r>
      <w:r>
        <w:t>needs.</w:t>
      </w:r>
    </w:p>
    <w:p w14:paraId="2C27D295" w14:textId="77777777" w:rsidR="0024742D" w:rsidRPr="00D15A93" w:rsidRDefault="0024742D" w:rsidP="002D3BF4">
      <w:pPr>
        <w:pStyle w:val="Heading4"/>
      </w:pPr>
      <w:r w:rsidRPr="00D15A93">
        <w:t>Natural disaster relief</w:t>
      </w:r>
    </w:p>
    <w:p w14:paraId="0EC668FC" w14:textId="289626C6" w:rsidR="0024742D" w:rsidRPr="00D15A93" w:rsidRDefault="0024742D" w:rsidP="0024742D">
      <w:r w:rsidRPr="00D15A93">
        <w:t>National expenses under the Disaster Recovery Funding Arrangements were significantly higher in 2023</w:t>
      </w:r>
      <w:r w:rsidR="00554830">
        <w:t>–</w:t>
      </w:r>
      <w:r w:rsidRPr="00D15A93">
        <w:t>24 than in 2020</w:t>
      </w:r>
      <w:r w:rsidR="00554830">
        <w:t>–</w:t>
      </w:r>
      <w:r w:rsidRPr="00D15A93">
        <w:t>21. There was a large increase in New South Wales’ expenses and a decline in Victoria’s expenses. This increased the assessed GST needs of New South Wales and reduced those of Victoria.</w:t>
      </w:r>
    </w:p>
    <w:p w14:paraId="6CB650A1" w14:textId="77777777" w:rsidR="0024742D" w:rsidRPr="00D15A93" w:rsidRDefault="0024742D" w:rsidP="002D3BF4">
      <w:pPr>
        <w:pStyle w:val="Heading4"/>
      </w:pPr>
      <w:r w:rsidRPr="00D15A93">
        <w:t xml:space="preserve">Population dispersion </w:t>
      </w:r>
    </w:p>
    <w:p w14:paraId="29401C76" w14:textId="1205DA1B" w:rsidR="0024742D" w:rsidRPr="009036E9" w:rsidRDefault="0024742D" w:rsidP="0024742D">
      <w:r w:rsidRPr="00D15A93">
        <w:t xml:space="preserve">States face higher costs if they have greater concentrations of people in more remote areas because the costs of delivering services are higher and </w:t>
      </w:r>
      <w:r w:rsidR="00162F99">
        <w:t>people have higher use of state-provided services.</w:t>
      </w:r>
      <w:r w:rsidRPr="00D15A93">
        <w:t xml:space="preserve"> </w:t>
      </w:r>
      <w:r w:rsidRPr="009036E9">
        <w:t>See Box 2-4 for an explanation of how the Commission uses ABS</w:t>
      </w:r>
      <w:r w:rsidR="00562CAB">
        <w:t> </w:t>
      </w:r>
      <w:r w:rsidRPr="009036E9">
        <w:t>remoteness classifications in its assessments.</w:t>
      </w:r>
    </w:p>
    <w:p w14:paraId="1B90AAF8" w14:textId="77777777" w:rsidR="0024742D" w:rsidRPr="009036E9" w:rsidRDefault="0024742D" w:rsidP="0024742D">
      <w:r w:rsidRPr="009036E9">
        <w:t>Between 2020–21 and 2023–24, community and public health activity, excluding ambulatory mental health and COVID</w:t>
      </w:r>
      <w:r w:rsidRPr="009036E9">
        <w:noBreakHyphen/>
        <w:t>19 related services, grew faster in regional and remote areas (11%) than in major cities (1%). In addition, between these 2 financial years there was a large increase in state expenses on community and public health services, as COVID</w:t>
      </w:r>
      <w:r w:rsidRPr="009036E9">
        <w:noBreakHyphen/>
        <w:t xml:space="preserve">19 related expenses tapered off and were replaced with other community and public health services. There was also a slight increase in the proportion of state populations in major cities relative to regional and remote areas. </w:t>
      </w:r>
    </w:p>
    <w:p w14:paraId="17FBA63E" w14:textId="77777777" w:rsidR="0024742D" w:rsidRPr="00D15A93" w:rsidRDefault="0024742D" w:rsidP="0024742D">
      <w:r w:rsidRPr="009036E9">
        <w:t>Overall,</w:t>
      </w:r>
      <w:r w:rsidRPr="009036E9" w:rsidDel="001A58C9">
        <w:t xml:space="preserve"> </w:t>
      </w:r>
      <w:r w:rsidRPr="009036E9">
        <w:t>these changes resulted in relatively higher per capita costs in regional and remote areas, relative to major cities. For example, in very remote areas, state expenses on community and public health increased from $1,101 per person in 2020–21 to $2,917 per person in 2023–24. As such, population dispersion drove</w:t>
      </w:r>
      <w:r w:rsidRPr="00D15A93">
        <w:t xml:space="preserve"> more GST distribution. This increased the assessed GST needs of Queensland, Western Australia, Tasmania and the Northern Territory, and reduced the GST needs of the other states.</w:t>
      </w:r>
    </w:p>
    <w:p w14:paraId="51085A96" w14:textId="77777777" w:rsidR="009F590D" w:rsidRDefault="009F590D">
      <w:pPr>
        <w:tabs>
          <w:tab w:val="clear" w:pos="567"/>
        </w:tabs>
        <w:spacing w:before="0" w:after="200" w:line="276" w:lineRule="auto"/>
        <w:rPr>
          <w:rFonts w:eastAsia="Times New Roman" w:cs="Open Sans"/>
          <w:b/>
          <w:bCs/>
          <w:color w:val="006991"/>
          <w:sz w:val="28"/>
          <w:szCs w:val="28"/>
        </w:rPr>
      </w:pPr>
    </w:p>
    <w:p w14:paraId="6BA4ABD8" w14:textId="77777777" w:rsidR="007D5215" w:rsidRDefault="007D5215">
      <w:pPr>
        <w:tabs>
          <w:tab w:val="clear" w:pos="567"/>
        </w:tabs>
        <w:spacing w:before="0" w:after="200" w:line="276" w:lineRule="auto"/>
        <w:rPr>
          <w:rFonts w:eastAsia="Times New Roman" w:cs="Open Sans"/>
          <w:b/>
          <w:bCs/>
          <w:color w:val="006991"/>
          <w:sz w:val="28"/>
          <w:szCs w:val="28"/>
        </w:rPr>
      </w:pPr>
    </w:p>
    <w:p w14:paraId="738BDD87" w14:textId="69E75B41" w:rsidR="00F8418F" w:rsidRDefault="00F8418F">
      <w:pPr>
        <w:tabs>
          <w:tab w:val="clear" w:pos="567"/>
        </w:tabs>
        <w:spacing w:before="0" w:after="200" w:line="276" w:lineRule="auto"/>
        <w:rPr>
          <w:rFonts w:eastAsia="Times New Roman" w:cs="Open Sans"/>
          <w:b/>
          <w:bCs/>
          <w:color w:val="006991"/>
          <w:sz w:val="40"/>
          <w:szCs w:val="40"/>
        </w:rPr>
      </w:pPr>
      <w:r>
        <w:br w:type="page"/>
      </w:r>
    </w:p>
    <w:p w14:paraId="43F0CFCF" w14:textId="77777777" w:rsidR="00D0681F" w:rsidRPr="00D15A93" w:rsidRDefault="00D0681F" w:rsidP="00EF7410">
      <w:pPr>
        <w:pStyle w:val="Heading2"/>
      </w:pPr>
      <w:r w:rsidRPr="00D15A93">
        <w:lastRenderedPageBreak/>
        <w:t>Why GST shares differ</w:t>
      </w:r>
    </w:p>
    <w:p w14:paraId="08611BA2" w14:textId="77777777" w:rsidR="00D0681F" w:rsidRPr="00D15A93" w:rsidRDefault="00D0681F" w:rsidP="00D0681F">
      <w:r w:rsidRPr="00D15A93">
        <w:t>The previous sections in this chapter focus on the factors driving GST distribution in the 2025-26 GST relativities compared with the 2024 Update. This section focuses on the factors that determine whether a state has an above-average or below-average fiscal capacity, including the effects of the GST distribution legislation.</w:t>
      </w:r>
    </w:p>
    <w:p w14:paraId="106DCAC1" w14:textId="1FF26412" w:rsidR="00D0681F" w:rsidRPr="00D15A93" w:rsidRDefault="00D0681F" w:rsidP="00D0681F">
      <w:r w:rsidRPr="00D15A93">
        <w:t>A state with above-average assessed GST needs receives more than an equal per capita allocation (see Table 2-11). Over the 3-year assessment period for the 2025</w:t>
      </w:r>
      <w:r w:rsidR="00203674">
        <w:t>–</w:t>
      </w:r>
      <w:r w:rsidRPr="00D15A93">
        <w:t>26 GST relativities, Victoria, South Australia, Tasmania, the ACT and the Northern Territory were assessed to have above-average GST needs, with an average assessed relativity above one. New South Wales, Queensland and Western Australia had below-average needs, with an assessed relativity below one.</w:t>
      </w:r>
    </w:p>
    <w:p w14:paraId="5F080ABB" w14:textId="77777777" w:rsidR="00D0681F" w:rsidRPr="00D15A93" w:rsidRDefault="00D0681F" w:rsidP="00D0681F">
      <w:r w:rsidRPr="00D15A93">
        <w:t>New South Wales, Queensland and Western Australia had above-average capacity to raise revenue. New South Wales’ revenue raising capacity reflected its strength in property sales, land values and payroll. For Queensland and Western Australia, mining production was the key driver, and Western Australia also had a strong payroll tax base.</w:t>
      </w:r>
    </w:p>
    <w:p w14:paraId="52907FC0" w14:textId="52B603FB" w:rsidR="00D0681F" w:rsidRPr="00D15A93" w:rsidRDefault="00D0681F" w:rsidP="00D0681F">
      <w:r w:rsidRPr="00D15A93">
        <w:t>Queensland, Western Australia, Tasmania and the Northern Territory had above-average expense needs. Population dispersion was a key reason for their higher expense needs as it costs more to provide services in more remote regions</w:t>
      </w:r>
      <w:r w:rsidR="00890536">
        <w:t xml:space="preserve"> (s</w:t>
      </w:r>
      <w:r w:rsidRPr="00D15A93">
        <w:t>ee Box 2-4 for an explanation of how the Commission uses ABS remoteness classifications in its assessments). On average, it costs more to provide services to First Nations people because of greater complexity of needs and higher use of services. This, along with socio-economic status, drove above-</w:t>
      </w:r>
      <w:r w:rsidRPr="00D15A93">
        <w:rPr>
          <w:rFonts w:ascii="Times New Roman" w:hAnsi="Times New Roman" w:cs="Times New Roman"/>
        </w:rPr>
        <w:t>‍</w:t>
      </w:r>
      <w:r w:rsidRPr="00D15A93">
        <w:t xml:space="preserve">average expense needs for these states. South Australia’s comparatively low socio-economic status and older age profile increased its expense needs, but low wage costs and urban centre characteristics more than offset this, giving it below-average expense needs overall. While the ACT had high expense needs from administrative scale, low non-state sector provision of health services and high wage costs, these were more than offset by its less remote and less disadvantaged socio-demographic composition. </w:t>
      </w:r>
    </w:p>
    <w:p w14:paraId="0C81BE19" w14:textId="77777777" w:rsidR="00D0681F" w:rsidRPr="00D15A93" w:rsidRDefault="00D0681F" w:rsidP="00D0681F">
      <w:r w:rsidRPr="00D15A93">
        <w:t xml:space="preserve">New South Wales, Victoria and the Northern Territory had above-average investment needs due to capital improvements. The cost of construction resulted in above-average investment needs in New South Wales, Western Australia, the ACT and the Northern Territory. Victoria, Queensland and Western Australia had above-average investment needs resulting from higher population growth over the period 2020–21 to 2023–24. </w:t>
      </w:r>
    </w:p>
    <w:p w14:paraId="68667449" w14:textId="0A92504A" w:rsidR="00D0681F" w:rsidRPr="00D15A93" w:rsidRDefault="00D0681F" w:rsidP="00D0681F">
      <w:r w:rsidRPr="00D15A93">
        <w:t xml:space="preserve">The 2018 GST distribution legislation prescribes the blending of assessed and standard state relativities and the application of the GST relativity floor. These reduced GST revenue for all states except Western Australia. Queensland benefited from the </w:t>
      </w:r>
      <w:r w:rsidRPr="00E95564">
        <w:t>2018 GST distribution legislation</w:t>
      </w:r>
      <w:r w:rsidRPr="00D15A93">
        <w:t xml:space="preserve"> as its assessed relativity was below that of the standard state, New South Wales, in each assessment year. This benefit was more than offset by the reduction in Queensland’s relativity (along with other states) as a consequence of lifting Western Australia’s relativity under the standard state approach and applying the GST</w:t>
      </w:r>
      <w:r w:rsidR="00490743">
        <w:t> </w:t>
      </w:r>
      <w:r w:rsidRPr="00D15A93">
        <w:t>floor.</w:t>
      </w:r>
    </w:p>
    <w:p w14:paraId="56066A89" w14:textId="77777777" w:rsidR="00FB2709" w:rsidRDefault="00FB2709">
      <w:pPr>
        <w:tabs>
          <w:tab w:val="clear" w:pos="567"/>
        </w:tabs>
        <w:spacing w:before="0" w:after="200" w:line="276" w:lineRule="auto"/>
        <w:rPr>
          <w:b/>
        </w:rPr>
      </w:pPr>
      <w:r>
        <w:br w:type="page"/>
      </w:r>
    </w:p>
    <w:p w14:paraId="3D87FEFE" w14:textId="099FE44F" w:rsidR="00D0681F" w:rsidRDefault="00D0681F" w:rsidP="00EF7410">
      <w:pPr>
        <w:pStyle w:val="CGC2025Caption"/>
      </w:pPr>
      <w:r w:rsidRPr="00D15A93">
        <w:lastRenderedPageBreak/>
        <w:t>Table 2-11</w:t>
      </w:r>
      <w:r w:rsidRPr="00D15A93">
        <w:tab/>
        <w:t>Drivers of difference from an equal per capita distribution of GST, 2025–26</w:t>
      </w:r>
    </w:p>
    <w:tbl>
      <w:tblPr>
        <w:tblW w:w="8941" w:type="dxa"/>
        <w:tblLook w:val="04A0" w:firstRow="1" w:lastRow="0" w:firstColumn="1" w:lastColumn="0" w:noHBand="0" w:noVBand="1"/>
      </w:tblPr>
      <w:tblGrid>
        <w:gridCol w:w="2302"/>
        <w:gridCol w:w="703"/>
        <w:gridCol w:w="740"/>
        <w:gridCol w:w="740"/>
        <w:gridCol w:w="780"/>
        <w:gridCol w:w="740"/>
        <w:gridCol w:w="740"/>
        <w:gridCol w:w="740"/>
        <w:gridCol w:w="740"/>
        <w:gridCol w:w="716"/>
      </w:tblGrid>
      <w:tr w:rsidR="005D474C" w:rsidRPr="005D474C" w14:paraId="503A4311" w14:textId="77777777" w:rsidTr="00FA21EF">
        <w:trPr>
          <w:trHeight w:val="552"/>
        </w:trPr>
        <w:tc>
          <w:tcPr>
            <w:tcW w:w="2302" w:type="dxa"/>
            <w:tcBorders>
              <w:top w:val="nil"/>
              <w:left w:val="nil"/>
              <w:bottom w:val="nil"/>
              <w:right w:val="nil"/>
            </w:tcBorders>
            <w:shd w:val="clear" w:color="000000" w:fill="006991"/>
            <w:vAlign w:val="center"/>
            <w:hideMark/>
          </w:tcPr>
          <w:p w14:paraId="010B5270" w14:textId="77777777" w:rsidR="005D474C" w:rsidRPr="005D474C" w:rsidRDefault="005D474C" w:rsidP="005D474C">
            <w:pPr>
              <w:tabs>
                <w:tab w:val="clear" w:pos="567"/>
              </w:tabs>
              <w:spacing w:before="0" w:line="240" w:lineRule="auto"/>
              <w:rPr>
                <w:rFonts w:ascii="Open Sans Semibold" w:eastAsia="Times New Roman" w:hAnsi="Open Sans Semibold" w:cs="Open Sans Semibold"/>
                <w:color w:val="FFFFFF"/>
                <w:sz w:val="16"/>
                <w:szCs w:val="16"/>
                <w:lang w:eastAsia="en-AU"/>
              </w:rPr>
            </w:pPr>
            <w:r w:rsidRPr="005D474C">
              <w:rPr>
                <w:rFonts w:ascii="Open Sans Semibold" w:eastAsia="Times New Roman" w:hAnsi="Open Sans Semibold" w:cs="Open Sans Semibold"/>
                <w:color w:val="FFFFFF"/>
                <w:sz w:val="16"/>
                <w:szCs w:val="16"/>
                <w:lang w:eastAsia="en-AU"/>
              </w:rPr>
              <w:t> </w:t>
            </w:r>
          </w:p>
        </w:tc>
        <w:tc>
          <w:tcPr>
            <w:tcW w:w="703" w:type="dxa"/>
            <w:tcBorders>
              <w:top w:val="nil"/>
              <w:left w:val="nil"/>
              <w:bottom w:val="nil"/>
              <w:right w:val="nil"/>
            </w:tcBorders>
            <w:shd w:val="clear" w:color="000000" w:fill="006991"/>
            <w:vAlign w:val="center"/>
            <w:hideMark/>
          </w:tcPr>
          <w:p w14:paraId="2A6654A0"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D474C">
              <w:rPr>
                <w:rFonts w:ascii="Open Sans Semibold" w:eastAsia="Times New Roman" w:hAnsi="Open Sans Semibold" w:cs="Open Sans Semibold"/>
                <w:color w:val="FFFFFF"/>
                <w:sz w:val="16"/>
                <w:szCs w:val="16"/>
                <w:lang w:eastAsia="en-AU"/>
              </w:rPr>
              <w:t>NSW</w:t>
            </w:r>
          </w:p>
        </w:tc>
        <w:tc>
          <w:tcPr>
            <w:tcW w:w="740" w:type="dxa"/>
            <w:tcBorders>
              <w:top w:val="nil"/>
              <w:left w:val="nil"/>
              <w:bottom w:val="nil"/>
              <w:right w:val="nil"/>
            </w:tcBorders>
            <w:shd w:val="clear" w:color="000000" w:fill="006991"/>
            <w:vAlign w:val="center"/>
            <w:hideMark/>
          </w:tcPr>
          <w:p w14:paraId="32C951F9"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D474C">
              <w:rPr>
                <w:rFonts w:ascii="Open Sans Semibold" w:eastAsia="Times New Roman" w:hAnsi="Open Sans Semibold" w:cs="Open Sans Semibold"/>
                <w:color w:val="FFFFFF"/>
                <w:sz w:val="16"/>
                <w:szCs w:val="16"/>
                <w:lang w:eastAsia="en-AU"/>
              </w:rPr>
              <w:t>Vic</w:t>
            </w:r>
          </w:p>
        </w:tc>
        <w:tc>
          <w:tcPr>
            <w:tcW w:w="740" w:type="dxa"/>
            <w:tcBorders>
              <w:top w:val="nil"/>
              <w:left w:val="nil"/>
              <w:bottom w:val="nil"/>
              <w:right w:val="nil"/>
            </w:tcBorders>
            <w:shd w:val="clear" w:color="000000" w:fill="006991"/>
            <w:vAlign w:val="center"/>
            <w:hideMark/>
          </w:tcPr>
          <w:p w14:paraId="705A863F"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D474C">
              <w:rPr>
                <w:rFonts w:ascii="Open Sans Semibold" w:eastAsia="Times New Roman" w:hAnsi="Open Sans Semibold" w:cs="Open Sans Semibold"/>
                <w:color w:val="FFFFFF"/>
                <w:sz w:val="16"/>
                <w:szCs w:val="16"/>
                <w:lang w:eastAsia="en-AU"/>
              </w:rPr>
              <w:t>Qld</w:t>
            </w:r>
          </w:p>
        </w:tc>
        <w:tc>
          <w:tcPr>
            <w:tcW w:w="780" w:type="dxa"/>
            <w:tcBorders>
              <w:top w:val="nil"/>
              <w:left w:val="nil"/>
              <w:bottom w:val="nil"/>
              <w:right w:val="nil"/>
            </w:tcBorders>
            <w:shd w:val="clear" w:color="000000" w:fill="006991"/>
            <w:vAlign w:val="center"/>
            <w:hideMark/>
          </w:tcPr>
          <w:p w14:paraId="5BDD1DB4"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D474C">
              <w:rPr>
                <w:rFonts w:ascii="Open Sans Semibold" w:eastAsia="Times New Roman" w:hAnsi="Open Sans Semibold" w:cs="Open Sans Semibold"/>
                <w:color w:val="FFFFFF"/>
                <w:sz w:val="16"/>
                <w:szCs w:val="16"/>
                <w:lang w:eastAsia="en-AU"/>
              </w:rPr>
              <w:t>WA</w:t>
            </w:r>
          </w:p>
        </w:tc>
        <w:tc>
          <w:tcPr>
            <w:tcW w:w="740" w:type="dxa"/>
            <w:tcBorders>
              <w:top w:val="nil"/>
              <w:left w:val="nil"/>
              <w:bottom w:val="nil"/>
              <w:right w:val="nil"/>
            </w:tcBorders>
            <w:shd w:val="clear" w:color="000000" w:fill="006991"/>
            <w:vAlign w:val="center"/>
            <w:hideMark/>
          </w:tcPr>
          <w:p w14:paraId="4CC95988"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D474C">
              <w:rPr>
                <w:rFonts w:ascii="Open Sans Semibold" w:eastAsia="Times New Roman" w:hAnsi="Open Sans Semibold" w:cs="Open Sans Semibold"/>
                <w:color w:val="FFFFFF"/>
                <w:sz w:val="16"/>
                <w:szCs w:val="16"/>
                <w:lang w:eastAsia="en-AU"/>
              </w:rPr>
              <w:t>SA</w:t>
            </w:r>
          </w:p>
        </w:tc>
        <w:tc>
          <w:tcPr>
            <w:tcW w:w="740" w:type="dxa"/>
            <w:tcBorders>
              <w:top w:val="nil"/>
              <w:left w:val="nil"/>
              <w:bottom w:val="nil"/>
              <w:right w:val="nil"/>
            </w:tcBorders>
            <w:shd w:val="clear" w:color="000000" w:fill="006991"/>
            <w:vAlign w:val="center"/>
            <w:hideMark/>
          </w:tcPr>
          <w:p w14:paraId="637C99C2"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D474C">
              <w:rPr>
                <w:rFonts w:ascii="Open Sans Semibold" w:eastAsia="Times New Roman" w:hAnsi="Open Sans Semibold" w:cs="Open Sans Semibold"/>
                <w:color w:val="FFFFFF"/>
                <w:sz w:val="16"/>
                <w:szCs w:val="16"/>
                <w:lang w:eastAsia="en-AU"/>
              </w:rPr>
              <w:t>Tas</w:t>
            </w:r>
          </w:p>
        </w:tc>
        <w:tc>
          <w:tcPr>
            <w:tcW w:w="740" w:type="dxa"/>
            <w:tcBorders>
              <w:top w:val="nil"/>
              <w:left w:val="nil"/>
              <w:bottom w:val="nil"/>
              <w:right w:val="nil"/>
            </w:tcBorders>
            <w:shd w:val="clear" w:color="000000" w:fill="006991"/>
            <w:vAlign w:val="center"/>
            <w:hideMark/>
          </w:tcPr>
          <w:p w14:paraId="3E23A222"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D474C">
              <w:rPr>
                <w:rFonts w:ascii="Open Sans Semibold" w:eastAsia="Times New Roman" w:hAnsi="Open Sans Semibold" w:cs="Open Sans Semibold"/>
                <w:color w:val="FFFFFF"/>
                <w:sz w:val="16"/>
                <w:szCs w:val="16"/>
                <w:lang w:eastAsia="en-AU"/>
              </w:rPr>
              <w:t>ACT</w:t>
            </w:r>
          </w:p>
        </w:tc>
        <w:tc>
          <w:tcPr>
            <w:tcW w:w="740" w:type="dxa"/>
            <w:tcBorders>
              <w:top w:val="nil"/>
              <w:left w:val="nil"/>
              <w:bottom w:val="nil"/>
              <w:right w:val="nil"/>
            </w:tcBorders>
            <w:shd w:val="clear" w:color="000000" w:fill="006991"/>
            <w:vAlign w:val="center"/>
            <w:hideMark/>
          </w:tcPr>
          <w:p w14:paraId="780FD973"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D474C">
              <w:rPr>
                <w:rFonts w:ascii="Open Sans Semibold" w:eastAsia="Times New Roman" w:hAnsi="Open Sans Semibold" w:cs="Open Sans Semibold"/>
                <w:color w:val="FFFFFF"/>
                <w:sz w:val="16"/>
                <w:szCs w:val="16"/>
                <w:lang w:eastAsia="en-AU"/>
              </w:rPr>
              <w:t>NT</w:t>
            </w:r>
          </w:p>
        </w:tc>
        <w:tc>
          <w:tcPr>
            <w:tcW w:w="716" w:type="dxa"/>
            <w:tcBorders>
              <w:top w:val="nil"/>
              <w:left w:val="nil"/>
              <w:bottom w:val="nil"/>
              <w:right w:val="nil"/>
            </w:tcBorders>
            <w:shd w:val="clear" w:color="000000" w:fill="006991"/>
            <w:vAlign w:val="center"/>
            <w:hideMark/>
          </w:tcPr>
          <w:p w14:paraId="13160E96"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D474C">
              <w:rPr>
                <w:rFonts w:ascii="Open Sans Semibold" w:eastAsia="Times New Roman" w:hAnsi="Open Sans Semibold" w:cs="Open Sans Semibold"/>
                <w:color w:val="FFFFFF"/>
                <w:sz w:val="16"/>
                <w:szCs w:val="16"/>
                <w:lang w:eastAsia="en-AU"/>
              </w:rPr>
              <w:t>Total effect</w:t>
            </w:r>
          </w:p>
        </w:tc>
      </w:tr>
      <w:tr w:rsidR="005D474C" w:rsidRPr="005D474C" w14:paraId="0F8C4434" w14:textId="77777777" w:rsidTr="00FA21EF">
        <w:trPr>
          <w:trHeight w:val="259"/>
        </w:trPr>
        <w:tc>
          <w:tcPr>
            <w:tcW w:w="2302" w:type="dxa"/>
            <w:tcBorders>
              <w:top w:val="single" w:sz="4" w:space="0" w:color="ADD6EA"/>
              <w:left w:val="nil"/>
              <w:bottom w:val="nil"/>
              <w:right w:val="nil"/>
            </w:tcBorders>
            <w:shd w:val="clear" w:color="000000" w:fill="B6D5E4"/>
            <w:vAlign w:val="center"/>
            <w:hideMark/>
          </w:tcPr>
          <w:p w14:paraId="662BD451" w14:textId="77777777" w:rsidR="005D474C" w:rsidRPr="005D474C" w:rsidRDefault="005D474C" w:rsidP="005D474C">
            <w:pPr>
              <w:tabs>
                <w:tab w:val="clear" w:pos="567"/>
              </w:tabs>
              <w:spacing w:before="0" w:line="240" w:lineRule="auto"/>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 </w:t>
            </w:r>
          </w:p>
        </w:tc>
        <w:tc>
          <w:tcPr>
            <w:tcW w:w="703" w:type="dxa"/>
            <w:tcBorders>
              <w:top w:val="single" w:sz="4" w:space="0" w:color="ADD6EA"/>
              <w:left w:val="nil"/>
              <w:bottom w:val="nil"/>
              <w:right w:val="nil"/>
            </w:tcBorders>
            <w:shd w:val="clear" w:color="000000" w:fill="B6D5E4"/>
            <w:noWrap/>
            <w:vAlign w:val="center"/>
            <w:hideMark/>
          </w:tcPr>
          <w:p w14:paraId="3A7D0BE8"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$m</w:t>
            </w:r>
          </w:p>
        </w:tc>
        <w:tc>
          <w:tcPr>
            <w:tcW w:w="740" w:type="dxa"/>
            <w:tcBorders>
              <w:top w:val="single" w:sz="4" w:space="0" w:color="ADD6EA"/>
              <w:left w:val="nil"/>
              <w:bottom w:val="nil"/>
              <w:right w:val="nil"/>
            </w:tcBorders>
            <w:shd w:val="clear" w:color="000000" w:fill="B6D5E4"/>
            <w:noWrap/>
            <w:vAlign w:val="center"/>
            <w:hideMark/>
          </w:tcPr>
          <w:p w14:paraId="6A3E8D02"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$m</w:t>
            </w:r>
          </w:p>
        </w:tc>
        <w:tc>
          <w:tcPr>
            <w:tcW w:w="740" w:type="dxa"/>
            <w:tcBorders>
              <w:top w:val="single" w:sz="4" w:space="0" w:color="ADD6EA"/>
              <w:left w:val="nil"/>
              <w:bottom w:val="nil"/>
              <w:right w:val="nil"/>
            </w:tcBorders>
            <w:shd w:val="clear" w:color="000000" w:fill="B6D5E4"/>
            <w:noWrap/>
            <w:vAlign w:val="center"/>
            <w:hideMark/>
          </w:tcPr>
          <w:p w14:paraId="7CB47BBC"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$m</w:t>
            </w:r>
          </w:p>
        </w:tc>
        <w:tc>
          <w:tcPr>
            <w:tcW w:w="780" w:type="dxa"/>
            <w:tcBorders>
              <w:top w:val="single" w:sz="4" w:space="0" w:color="ADD6EA"/>
              <w:left w:val="nil"/>
              <w:bottom w:val="nil"/>
              <w:right w:val="nil"/>
            </w:tcBorders>
            <w:shd w:val="clear" w:color="000000" w:fill="B6D5E4"/>
            <w:noWrap/>
            <w:vAlign w:val="center"/>
            <w:hideMark/>
          </w:tcPr>
          <w:p w14:paraId="32FBDEB9"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$m</w:t>
            </w:r>
          </w:p>
        </w:tc>
        <w:tc>
          <w:tcPr>
            <w:tcW w:w="740" w:type="dxa"/>
            <w:tcBorders>
              <w:top w:val="single" w:sz="4" w:space="0" w:color="ADD6EA"/>
              <w:left w:val="nil"/>
              <w:bottom w:val="nil"/>
              <w:right w:val="nil"/>
            </w:tcBorders>
            <w:shd w:val="clear" w:color="000000" w:fill="B6D5E4"/>
            <w:noWrap/>
            <w:vAlign w:val="center"/>
            <w:hideMark/>
          </w:tcPr>
          <w:p w14:paraId="039C29C4"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$m</w:t>
            </w:r>
          </w:p>
        </w:tc>
        <w:tc>
          <w:tcPr>
            <w:tcW w:w="740" w:type="dxa"/>
            <w:tcBorders>
              <w:top w:val="single" w:sz="4" w:space="0" w:color="ADD6EA"/>
              <w:left w:val="nil"/>
              <w:bottom w:val="nil"/>
              <w:right w:val="nil"/>
            </w:tcBorders>
            <w:shd w:val="clear" w:color="000000" w:fill="B6D5E4"/>
            <w:noWrap/>
            <w:vAlign w:val="center"/>
            <w:hideMark/>
          </w:tcPr>
          <w:p w14:paraId="18FAED6B"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$m</w:t>
            </w:r>
          </w:p>
        </w:tc>
        <w:tc>
          <w:tcPr>
            <w:tcW w:w="740" w:type="dxa"/>
            <w:tcBorders>
              <w:top w:val="single" w:sz="4" w:space="0" w:color="ADD6EA"/>
              <w:left w:val="nil"/>
              <w:bottom w:val="nil"/>
              <w:right w:val="nil"/>
            </w:tcBorders>
            <w:shd w:val="clear" w:color="000000" w:fill="B6D5E4"/>
            <w:noWrap/>
            <w:vAlign w:val="center"/>
            <w:hideMark/>
          </w:tcPr>
          <w:p w14:paraId="6D72D199"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$m</w:t>
            </w:r>
          </w:p>
        </w:tc>
        <w:tc>
          <w:tcPr>
            <w:tcW w:w="740" w:type="dxa"/>
            <w:tcBorders>
              <w:top w:val="single" w:sz="4" w:space="0" w:color="ADD6EA"/>
              <w:left w:val="nil"/>
              <w:bottom w:val="nil"/>
              <w:right w:val="nil"/>
            </w:tcBorders>
            <w:shd w:val="clear" w:color="000000" w:fill="B6D5E4"/>
            <w:noWrap/>
            <w:vAlign w:val="center"/>
            <w:hideMark/>
          </w:tcPr>
          <w:p w14:paraId="68DFCF78"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$m</w:t>
            </w:r>
          </w:p>
        </w:tc>
        <w:tc>
          <w:tcPr>
            <w:tcW w:w="716" w:type="dxa"/>
            <w:tcBorders>
              <w:top w:val="single" w:sz="4" w:space="0" w:color="ADD6EA"/>
              <w:left w:val="nil"/>
              <w:bottom w:val="nil"/>
              <w:right w:val="nil"/>
            </w:tcBorders>
            <w:shd w:val="clear" w:color="000000" w:fill="B6D5E4"/>
            <w:noWrap/>
            <w:vAlign w:val="center"/>
            <w:hideMark/>
          </w:tcPr>
          <w:p w14:paraId="6D271638"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$m</w:t>
            </w:r>
          </w:p>
        </w:tc>
      </w:tr>
      <w:tr w:rsidR="005D474C" w:rsidRPr="005D474C" w14:paraId="60342F06" w14:textId="77777777" w:rsidTr="00FA21EF">
        <w:trPr>
          <w:trHeight w:val="315"/>
        </w:trPr>
        <w:tc>
          <w:tcPr>
            <w:tcW w:w="2302" w:type="dxa"/>
            <w:tcBorders>
              <w:top w:val="single" w:sz="4" w:space="0" w:color="ADD6EA"/>
              <w:left w:val="nil"/>
              <w:bottom w:val="single" w:sz="4" w:space="0" w:color="ADD6EA"/>
              <w:right w:val="nil"/>
            </w:tcBorders>
            <w:shd w:val="clear" w:color="auto" w:fill="auto"/>
            <w:noWrap/>
            <w:vAlign w:val="center"/>
            <w:hideMark/>
          </w:tcPr>
          <w:p w14:paraId="13213B10" w14:textId="77777777" w:rsidR="005D474C" w:rsidRPr="005D474C" w:rsidRDefault="005D474C" w:rsidP="005D474C">
            <w:pPr>
              <w:tabs>
                <w:tab w:val="clear" w:pos="567"/>
              </w:tabs>
              <w:spacing w:before="0" w:line="240" w:lineRule="auto"/>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REVENUE RAISING CAPACITY</w:t>
            </w:r>
          </w:p>
        </w:tc>
        <w:tc>
          <w:tcPr>
            <w:tcW w:w="703" w:type="dxa"/>
            <w:tcBorders>
              <w:top w:val="single" w:sz="4" w:space="0" w:color="ADD6EA"/>
              <w:left w:val="nil"/>
              <w:bottom w:val="single" w:sz="4" w:space="0" w:color="ADD6EA"/>
              <w:right w:val="nil"/>
            </w:tcBorders>
            <w:shd w:val="clear" w:color="auto" w:fill="auto"/>
            <w:noWrap/>
            <w:vAlign w:val="center"/>
            <w:hideMark/>
          </w:tcPr>
          <w:p w14:paraId="7CE382D1" w14:textId="77777777" w:rsidR="005D474C" w:rsidRPr="005D474C" w:rsidRDefault="005D474C" w:rsidP="005D474C">
            <w:pPr>
              <w:tabs>
                <w:tab w:val="clear" w:pos="567"/>
              </w:tabs>
              <w:spacing w:before="0" w:line="240" w:lineRule="auto"/>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nil"/>
              <w:right w:val="nil"/>
            </w:tcBorders>
            <w:shd w:val="clear" w:color="auto" w:fill="auto"/>
            <w:vAlign w:val="center"/>
            <w:hideMark/>
          </w:tcPr>
          <w:p w14:paraId="3F1E79FF"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nil"/>
              <w:right w:val="nil"/>
            </w:tcBorders>
            <w:shd w:val="clear" w:color="auto" w:fill="auto"/>
            <w:vAlign w:val="center"/>
            <w:hideMark/>
          </w:tcPr>
          <w:p w14:paraId="0F3AFF09"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80" w:type="dxa"/>
            <w:tcBorders>
              <w:top w:val="single" w:sz="4" w:space="0" w:color="ADD6EA"/>
              <w:left w:val="nil"/>
              <w:bottom w:val="nil"/>
              <w:right w:val="nil"/>
            </w:tcBorders>
            <w:shd w:val="clear" w:color="auto" w:fill="auto"/>
            <w:vAlign w:val="center"/>
            <w:hideMark/>
          </w:tcPr>
          <w:p w14:paraId="6556B61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nil"/>
              <w:right w:val="nil"/>
            </w:tcBorders>
            <w:shd w:val="clear" w:color="auto" w:fill="auto"/>
            <w:vAlign w:val="center"/>
            <w:hideMark/>
          </w:tcPr>
          <w:p w14:paraId="4A955911"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nil"/>
              <w:right w:val="nil"/>
            </w:tcBorders>
            <w:shd w:val="clear" w:color="auto" w:fill="auto"/>
            <w:vAlign w:val="center"/>
            <w:hideMark/>
          </w:tcPr>
          <w:p w14:paraId="5E86B58B"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nil"/>
              <w:right w:val="nil"/>
            </w:tcBorders>
            <w:shd w:val="clear" w:color="auto" w:fill="auto"/>
            <w:vAlign w:val="center"/>
            <w:hideMark/>
          </w:tcPr>
          <w:p w14:paraId="70EF839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nil"/>
              <w:right w:val="nil"/>
            </w:tcBorders>
            <w:shd w:val="clear" w:color="auto" w:fill="auto"/>
            <w:vAlign w:val="center"/>
            <w:hideMark/>
          </w:tcPr>
          <w:p w14:paraId="2F9724FF"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16" w:type="dxa"/>
            <w:tcBorders>
              <w:top w:val="single" w:sz="4" w:space="0" w:color="ADD6EA"/>
              <w:left w:val="nil"/>
              <w:bottom w:val="nil"/>
              <w:right w:val="nil"/>
            </w:tcBorders>
            <w:shd w:val="clear" w:color="auto" w:fill="auto"/>
            <w:vAlign w:val="center"/>
            <w:hideMark/>
          </w:tcPr>
          <w:p w14:paraId="547323E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r>
      <w:tr w:rsidR="005D474C" w:rsidRPr="005D474C" w14:paraId="35D1FC03" w14:textId="77777777" w:rsidTr="00FA21EF">
        <w:trPr>
          <w:trHeight w:val="315"/>
        </w:trPr>
        <w:tc>
          <w:tcPr>
            <w:tcW w:w="2302" w:type="dxa"/>
            <w:tcBorders>
              <w:top w:val="nil"/>
              <w:left w:val="nil"/>
              <w:bottom w:val="nil"/>
              <w:right w:val="nil"/>
            </w:tcBorders>
            <w:shd w:val="clear" w:color="auto" w:fill="auto"/>
            <w:noWrap/>
            <w:vAlign w:val="center"/>
            <w:hideMark/>
          </w:tcPr>
          <w:p w14:paraId="4CFCF38A" w14:textId="77777777" w:rsidR="005D474C" w:rsidRPr="005D474C" w:rsidRDefault="005D474C" w:rsidP="005D474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Mining production</w:t>
            </w:r>
          </w:p>
        </w:tc>
        <w:tc>
          <w:tcPr>
            <w:tcW w:w="703" w:type="dxa"/>
            <w:tcBorders>
              <w:top w:val="nil"/>
              <w:left w:val="nil"/>
              <w:bottom w:val="nil"/>
              <w:right w:val="nil"/>
            </w:tcBorders>
            <w:shd w:val="clear" w:color="auto" w:fill="auto"/>
            <w:noWrap/>
            <w:vAlign w:val="center"/>
            <w:hideMark/>
          </w:tcPr>
          <w:p w14:paraId="1F17C05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4,385</w:t>
            </w:r>
          </w:p>
        </w:tc>
        <w:tc>
          <w:tcPr>
            <w:tcW w:w="740" w:type="dxa"/>
            <w:tcBorders>
              <w:top w:val="single" w:sz="4" w:space="0" w:color="ADD6EA"/>
              <w:left w:val="nil"/>
              <w:bottom w:val="nil"/>
              <w:right w:val="nil"/>
            </w:tcBorders>
            <w:shd w:val="clear" w:color="auto" w:fill="auto"/>
            <w:noWrap/>
            <w:vAlign w:val="center"/>
            <w:hideMark/>
          </w:tcPr>
          <w:p w14:paraId="6D3B7158"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9,125</w:t>
            </w:r>
          </w:p>
        </w:tc>
        <w:tc>
          <w:tcPr>
            <w:tcW w:w="740" w:type="dxa"/>
            <w:tcBorders>
              <w:top w:val="single" w:sz="4" w:space="0" w:color="ADD6EA"/>
              <w:left w:val="nil"/>
              <w:bottom w:val="nil"/>
              <w:right w:val="nil"/>
            </w:tcBorders>
            <w:shd w:val="clear" w:color="auto" w:fill="auto"/>
            <w:noWrap/>
            <w:vAlign w:val="center"/>
            <w:hideMark/>
          </w:tcPr>
          <w:p w14:paraId="1C783AB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-5,664</w:t>
            </w:r>
          </w:p>
        </w:tc>
        <w:tc>
          <w:tcPr>
            <w:tcW w:w="780" w:type="dxa"/>
            <w:tcBorders>
              <w:top w:val="single" w:sz="4" w:space="0" w:color="ADD6EA"/>
              <w:left w:val="nil"/>
              <w:bottom w:val="nil"/>
              <w:right w:val="nil"/>
            </w:tcBorders>
            <w:shd w:val="clear" w:color="auto" w:fill="auto"/>
            <w:noWrap/>
            <w:vAlign w:val="center"/>
            <w:hideMark/>
          </w:tcPr>
          <w:p w14:paraId="4B70B71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-11,075</w:t>
            </w:r>
          </w:p>
        </w:tc>
        <w:tc>
          <w:tcPr>
            <w:tcW w:w="740" w:type="dxa"/>
            <w:tcBorders>
              <w:top w:val="single" w:sz="4" w:space="0" w:color="ADD6EA"/>
              <w:left w:val="nil"/>
              <w:bottom w:val="nil"/>
              <w:right w:val="nil"/>
            </w:tcBorders>
            <w:shd w:val="clear" w:color="auto" w:fill="auto"/>
            <w:noWrap/>
            <w:vAlign w:val="center"/>
            <w:hideMark/>
          </w:tcPr>
          <w:p w14:paraId="3E2C29C5"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1,931</w:t>
            </w:r>
          </w:p>
        </w:tc>
        <w:tc>
          <w:tcPr>
            <w:tcW w:w="740" w:type="dxa"/>
            <w:tcBorders>
              <w:top w:val="single" w:sz="4" w:space="0" w:color="ADD6EA"/>
              <w:left w:val="nil"/>
              <w:bottom w:val="nil"/>
              <w:right w:val="nil"/>
            </w:tcBorders>
            <w:shd w:val="clear" w:color="auto" w:fill="auto"/>
            <w:noWrap/>
            <w:vAlign w:val="center"/>
            <w:hideMark/>
          </w:tcPr>
          <w:p w14:paraId="3F4B4A8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601</w:t>
            </w:r>
          </w:p>
        </w:tc>
        <w:tc>
          <w:tcPr>
            <w:tcW w:w="740" w:type="dxa"/>
            <w:tcBorders>
              <w:top w:val="single" w:sz="4" w:space="0" w:color="ADD6EA"/>
              <w:left w:val="nil"/>
              <w:bottom w:val="nil"/>
              <w:right w:val="nil"/>
            </w:tcBorders>
            <w:shd w:val="clear" w:color="auto" w:fill="auto"/>
            <w:noWrap/>
            <w:vAlign w:val="center"/>
            <w:hideMark/>
          </w:tcPr>
          <w:p w14:paraId="4677D0D9"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630</w:t>
            </w:r>
          </w:p>
        </w:tc>
        <w:tc>
          <w:tcPr>
            <w:tcW w:w="740" w:type="dxa"/>
            <w:tcBorders>
              <w:top w:val="single" w:sz="4" w:space="0" w:color="ADD6EA"/>
              <w:left w:val="nil"/>
              <w:bottom w:val="nil"/>
              <w:right w:val="nil"/>
            </w:tcBorders>
            <w:shd w:val="clear" w:color="auto" w:fill="auto"/>
            <w:noWrap/>
            <w:vAlign w:val="center"/>
            <w:hideMark/>
          </w:tcPr>
          <w:p w14:paraId="7D93F59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66</w:t>
            </w:r>
          </w:p>
        </w:tc>
        <w:tc>
          <w:tcPr>
            <w:tcW w:w="716" w:type="dxa"/>
            <w:tcBorders>
              <w:top w:val="single" w:sz="4" w:space="0" w:color="ADD6EA"/>
              <w:left w:val="nil"/>
              <w:bottom w:val="nil"/>
              <w:right w:val="nil"/>
            </w:tcBorders>
            <w:shd w:val="clear" w:color="auto" w:fill="auto"/>
            <w:noWrap/>
            <w:vAlign w:val="center"/>
            <w:hideMark/>
          </w:tcPr>
          <w:p w14:paraId="30408242"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16,739</w:t>
            </w:r>
          </w:p>
        </w:tc>
      </w:tr>
      <w:tr w:rsidR="005D474C" w:rsidRPr="005D474C" w14:paraId="33516724" w14:textId="77777777" w:rsidTr="00FA21EF">
        <w:trPr>
          <w:trHeight w:val="315"/>
        </w:trPr>
        <w:tc>
          <w:tcPr>
            <w:tcW w:w="2302" w:type="dxa"/>
            <w:tcBorders>
              <w:top w:val="single" w:sz="4" w:space="0" w:color="ADD6EA"/>
              <w:left w:val="nil"/>
              <w:bottom w:val="nil"/>
              <w:right w:val="nil"/>
            </w:tcBorders>
            <w:shd w:val="clear" w:color="auto" w:fill="auto"/>
            <w:noWrap/>
            <w:vAlign w:val="center"/>
            <w:hideMark/>
          </w:tcPr>
          <w:p w14:paraId="53BDD75B" w14:textId="77777777" w:rsidR="005D474C" w:rsidRPr="005D474C" w:rsidRDefault="005D474C" w:rsidP="005D474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Taxable land values</w:t>
            </w:r>
          </w:p>
        </w:tc>
        <w:tc>
          <w:tcPr>
            <w:tcW w:w="703" w:type="dxa"/>
            <w:tcBorders>
              <w:top w:val="single" w:sz="4" w:space="0" w:color="ADD6EA"/>
              <w:left w:val="nil"/>
              <w:bottom w:val="nil"/>
              <w:right w:val="nil"/>
            </w:tcBorders>
            <w:shd w:val="clear" w:color="auto" w:fill="auto"/>
            <w:noWrap/>
            <w:vAlign w:val="center"/>
            <w:hideMark/>
          </w:tcPr>
          <w:p w14:paraId="34FB96DA"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-2,945</w:t>
            </w:r>
          </w:p>
        </w:tc>
        <w:tc>
          <w:tcPr>
            <w:tcW w:w="740" w:type="dxa"/>
            <w:tcBorders>
              <w:top w:val="single" w:sz="4" w:space="0" w:color="ADD6EA"/>
              <w:left w:val="nil"/>
              <w:bottom w:val="nil"/>
              <w:right w:val="nil"/>
            </w:tcBorders>
            <w:shd w:val="clear" w:color="auto" w:fill="auto"/>
            <w:noWrap/>
            <w:vAlign w:val="center"/>
            <w:hideMark/>
          </w:tcPr>
          <w:p w14:paraId="32D6E60A"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-627</w:t>
            </w:r>
          </w:p>
        </w:tc>
        <w:tc>
          <w:tcPr>
            <w:tcW w:w="740" w:type="dxa"/>
            <w:tcBorders>
              <w:top w:val="single" w:sz="4" w:space="0" w:color="ADD6EA"/>
              <w:left w:val="nil"/>
              <w:bottom w:val="nil"/>
              <w:right w:val="nil"/>
            </w:tcBorders>
            <w:shd w:val="clear" w:color="auto" w:fill="auto"/>
            <w:noWrap/>
            <w:vAlign w:val="center"/>
            <w:hideMark/>
          </w:tcPr>
          <w:p w14:paraId="7943D3F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1,687</w:t>
            </w:r>
          </w:p>
        </w:tc>
        <w:tc>
          <w:tcPr>
            <w:tcW w:w="780" w:type="dxa"/>
            <w:tcBorders>
              <w:top w:val="single" w:sz="4" w:space="0" w:color="ADD6EA"/>
              <w:left w:val="nil"/>
              <w:bottom w:val="nil"/>
              <w:right w:val="nil"/>
            </w:tcBorders>
            <w:shd w:val="clear" w:color="auto" w:fill="auto"/>
            <w:noWrap/>
            <w:vAlign w:val="center"/>
            <w:hideMark/>
          </w:tcPr>
          <w:p w14:paraId="3A288041"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777</w:t>
            </w:r>
          </w:p>
        </w:tc>
        <w:tc>
          <w:tcPr>
            <w:tcW w:w="740" w:type="dxa"/>
            <w:tcBorders>
              <w:top w:val="single" w:sz="4" w:space="0" w:color="ADD6EA"/>
              <w:left w:val="nil"/>
              <w:bottom w:val="nil"/>
              <w:right w:val="nil"/>
            </w:tcBorders>
            <w:shd w:val="clear" w:color="auto" w:fill="auto"/>
            <w:noWrap/>
            <w:vAlign w:val="center"/>
            <w:hideMark/>
          </w:tcPr>
          <w:p w14:paraId="3ECD1475"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613</w:t>
            </w:r>
          </w:p>
        </w:tc>
        <w:tc>
          <w:tcPr>
            <w:tcW w:w="740" w:type="dxa"/>
            <w:tcBorders>
              <w:top w:val="single" w:sz="4" w:space="0" w:color="ADD6EA"/>
              <w:left w:val="nil"/>
              <w:bottom w:val="nil"/>
              <w:right w:val="nil"/>
            </w:tcBorders>
            <w:shd w:val="clear" w:color="auto" w:fill="auto"/>
            <w:noWrap/>
            <w:vAlign w:val="center"/>
            <w:hideMark/>
          </w:tcPr>
          <w:p w14:paraId="5C9693FC"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223</w:t>
            </w:r>
          </w:p>
        </w:tc>
        <w:tc>
          <w:tcPr>
            <w:tcW w:w="740" w:type="dxa"/>
            <w:tcBorders>
              <w:top w:val="single" w:sz="4" w:space="0" w:color="ADD6EA"/>
              <w:left w:val="nil"/>
              <w:bottom w:val="nil"/>
              <w:right w:val="nil"/>
            </w:tcBorders>
            <w:shd w:val="clear" w:color="auto" w:fill="auto"/>
            <w:noWrap/>
            <w:vAlign w:val="center"/>
            <w:hideMark/>
          </w:tcPr>
          <w:p w14:paraId="17B80F54"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180</w:t>
            </w:r>
          </w:p>
        </w:tc>
        <w:tc>
          <w:tcPr>
            <w:tcW w:w="740" w:type="dxa"/>
            <w:tcBorders>
              <w:top w:val="single" w:sz="4" w:space="0" w:color="ADD6EA"/>
              <w:left w:val="nil"/>
              <w:bottom w:val="nil"/>
              <w:right w:val="nil"/>
            </w:tcBorders>
            <w:shd w:val="clear" w:color="auto" w:fill="auto"/>
            <w:noWrap/>
            <w:vAlign w:val="center"/>
            <w:hideMark/>
          </w:tcPr>
          <w:p w14:paraId="0B30C8C2"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93</w:t>
            </w:r>
          </w:p>
        </w:tc>
        <w:tc>
          <w:tcPr>
            <w:tcW w:w="716" w:type="dxa"/>
            <w:tcBorders>
              <w:top w:val="single" w:sz="4" w:space="0" w:color="ADD6EA"/>
              <w:left w:val="nil"/>
              <w:bottom w:val="nil"/>
              <w:right w:val="nil"/>
            </w:tcBorders>
            <w:shd w:val="clear" w:color="auto" w:fill="auto"/>
            <w:noWrap/>
            <w:vAlign w:val="center"/>
            <w:hideMark/>
          </w:tcPr>
          <w:p w14:paraId="699279A4"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3,572</w:t>
            </w:r>
          </w:p>
        </w:tc>
      </w:tr>
      <w:tr w:rsidR="005D474C" w:rsidRPr="005D474C" w14:paraId="00019D7A" w14:textId="77777777" w:rsidTr="00FA21EF">
        <w:trPr>
          <w:trHeight w:val="315"/>
        </w:trPr>
        <w:tc>
          <w:tcPr>
            <w:tcW w:w="2302" w:type="dxa"/>
            <w:tcBorders>
              <w:top w:val="single" w:sz="4" w:space="0" w:color="ADD6EA"/>
              <w:left w:val="nil"/>
              <w:bottom w:val="nil"/>
              <w:right w:val="nil"/>
            </w:tcBorders>
            <w:shd w:val="clear" w:color="auto" w:fill="auto"/>
            <w:noWrap/>
            <w:vAlign w:val="center"/>
            <w:hideMark/>
          </w:tcPr>
          <w:p w14:paraId="54EE8C65" w14:textId="77777777" w:rsidR="005D474C" w:rsidRPr="005D474C" w:rsidRDefault="005D474C" w:rsidP="005D474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Property sales</w:t>
            </w:r>
          </w:p>
        </w:tc>
        <w:tc>
          <w:tcPr>
            <w:tcW w:w="703" w:type="dxa"/>
            <w:tcBorders>
              <w:top w:val="single" w:sz="4" w:space="0" w:color="ADD6EA"/>
              <w:left w:val="nil"/>
              <w:bottom w:val="nil"/>
              <w:right w:val="nil"/>
            </w:tcBorders>
            <w:shd w:val="clear" w:color="auto" w:fill="auto"/>
            <w:noWrap/>
            <w:vAlign w:val="center"/>
            <w:hideMark/>
          </w:tcPr>
          <w:p w14:paraId="5E8CE0FF"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-2,755</w:t>
            </w:r>
          </w:p>
        </w:tc>
        <w:tc>
          <w:tcPr>
            <w:tcW w:w="740" w:type="dxa"/>
            <w:tcBorders>
              <w:top w:val="single" w:sz="4" w:space="0" w:color="ADD6EA"/>
              <w:left w:val="nil"/>
              <w:bottom w:val="nil"/>
              <w:right w:val="nil"/>
            </w:tcBorders>
            <w:shd w:val="clear" w:color="auto" w:fill="auto"/>
            <w:noWrap/>
            <w:vAlign w:val="center"/>
            <w:hideMark/>
          </w:tcPr>
          <w:p w14:paraId="5DA07C7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-206</w:t>
            </w:r>
          </w:p>
        </w:tc>
        <w:tc>
          <w:tcPr>
            <w:tcW w:w="740" w:type="dxa"/>
            <w:tcBorders>
              <w:top w:val="single" w:sz="4" w:space="0" w:color="ADD6EA"/>
              <w:left w:val="nil"/>
              <w:bottom w:val="nil"/>
              <w:right w:val="nil"/>
            </w:tcBorders>
            <w:shd w:val="clear" w:color="auto" w:fill="auto"/>
            <w:noWrap/>
            <w:vAlign w:val="center"/>
            <w:hideMark/>
          </w:tcPr>
          <w:p w14:paraId="70D3B54C"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679</w:t>
            </w:r>
          </w:p>
        </w:tc>
        <w:tc>
          <w:tcPr>
            <w:tcW w:w="780" w:type="dxa"/>
            <w:tcBorders>
              <w:top w:val="single" w:sz="4" w:space="0" w:color="ADD6EA"/>
              <w:left w:val="nil"/>
              <w:bottom w:val="nil"/>
              <w:right w:val="nil"/>
            </w:tcBorders>
            <w:shd w:val="clear" w:color="auto" w:fill="auto"/>
            <w:noWrap/>
            <w:vAlign w:val="center"/>
            <w:hideMark/>
          </w:tcPr>
          <w:p w14:paraId="04DF1D2C"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964</w:t>
            </w:r>
          </w:p>
        </w:tc>
        <w:tc>
          <w:tcPr>
            <w:tcW w:w="740" w:type="dxa"/>
            <w:tcBorders>
              <w:top w:val="single" w:sz="4" w:space="0" w:color="ADD6EA"/>
              <w:left w:val="nil"/>
              <w:bottom w:val="nil"/>
              <w:right w:val="nil"/>
            </w:tcBorders>
            <w:shd w:val="clear" w:color="auto" w:fill="auto"/>
            <w:noWrap/>
            <w:vAlign w:val="center"/>
            <w:hideMark/>
          </w:tcPr>
          <w:p w14:paraId="7E6EDE7F"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867</w:t>
            </w:r>
          </w:p>
        </w:tc>
        <w:tc>
          <w:tcPr>
            <w:tcW w:w="740" w:type="dxa"/>
            <w:tcBorders>
              <w:top w:val="single" w:sz="4" w:space="0" w:color="ADD6EA"/>
              <w:left w:val="nil"/>
              <w:bottom w:val="nil"/>
              <w:right w:val="nil"/>
            </w:tcBorders>
            <w:shd w:val="clear" w:color="auto" w:fill="auto"/>
            <w:noWrap/>
            <w:vAlign w:val="center"/>
            <w:hideMark/>
          </w:tcPr>
          <w:p w14:paraId="7E5AB335"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319</w:t>
            </w:r>
          </w:p>
        </w:tc>
        <w:tc>
          <w:tcPr>
            <w:tcW w:w="740" w:type="dxa"/>
            <w:tcBorders>
              <w:top w:val="single" w:sz="4" w:space="0" w:color="ADD6EA"/>
              <w:left w:val="nil"/>
              <w:bottom w:val="nil"/>
              <w:right w:val="nil"/>
            </w:tcBorders>
            <w:shd w:val="clear" w:color="auto" w:fill="auto"/>
            <w:noWrap/>
            <w:vAlign w:val="center"/>
            <w:hideMark/>
          </w:tcPr>
          <w:p w14:paraId="7899E8DE"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-30</w:t>
            </w:r>
          </w:p>
        </w:tc>
        <w:tc>
          <w:tcPr>
            <w:tcW w:w="740" w:type="dxa"/>
            <w:tcBorders>
              <w:top w:val="single" w:sz="4" w:space="0" w:color="ADD6EA"/>
              <w:left w:val="nil"/>
              <w:bottom w:val="nil"/>
              <w:right w:val="nil"/>
            </w:tcBorders>
            <w:shd w:val="clear" w:color="auto" w:fill="auto"/>
            <w:noWrap/>
            <w:vAlign w:val="center"/>
            <w:hideMark/>
          </w:tcPr>
          <w:p w14:paraId="43878D2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163</w:t>
            </w:r>
          </w:p>
        </w:tc>
        <w:tc>
          <w:tcPr>
            <w:tcW w:w="716" w:type="dxa"/>
            <w:tcBorders>
              <w:top w:val="single" w:sz="4" w:space="0" w:color="ADD6EA"/>
              <w:left w:val="nil"/>
              <w:bottom w:val="nil"/>
              <w:right w:val="nil"/>
            </w:tcBorders>
            <w:shd w:val="clear" w:color="auto" w:fill="auto"/>
            <w:noWrap/>
            <w:vAlign w:val="center"/>
            <w:hideMark/>
          </w:tcPr>
          <w:p w14:paraId="423ED86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2,991</w:t>
            </w:r>
          </w:p>
        </w:tc>
      </w:tr>
      <w:tr w:rsidR="005D474C" w:rsidRPr="005D474C" w14:paraId="5F762E38" w14:textId="77777777" w:rsidTr="00FA21EF">
        <w:trPr>
          <w:trHeight w:val="315"/>
        </w:trPr>
        <w:tc>
          <w:tcPr>
            <w:tcW w:w="2302" w:type="dxa"/>
            <w:tcBorders>
              <w:top w:val="single" w:sz="4" w:space="0" w:color="ADD6EA"/>
              <w:left w:val="nil"/>
              <w:bottom w:val="nil"/>
              <w:right w:val="nil"/>
            </w:tcBorders>
            <w:shd w:val="clear" w:color="auto" w:fill="auto"/>
            <w:noWrap/>
            <w:vAlign w:val="center"/>
            <w:hideMark/>
          </w:tcPr>
          <w:p w14:paraId="5902F68F" w14:textId="77777777" w:rsidR="005D474C" w:rsidRPr="005D474C" w:rsidRDefault="005D474C" w:rsidP="005D474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Taxable payrolls</w:t>
            </w:r>
          </w:p>
        </w:tc>
        <w:tc>
          <w:tcPr>
            <w:tcW w:w="703" w:type="dxa"/>
            <w:tcBorders>
              <w:top w:val="single" w:sz="4" w:space="0" w:color="ADD6EA"/>
              <w:left w:val="nil"/>
              <w:bottom w:val="nil"/>
              <w:right w:val="nil"/>
            </w:tcBorders>
            <w:shd w:val="clear" w:color="auto" w:fill="auto"/>
            <w:noWrap/>
            <w:vAlign w:val="center"/>
            <w:hideMark/>
          </w:tcPr>
          <w:p w14:paraId="61B9B05A"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-586</w:t>
            </w:r>
          </w:p>
        </w:tc>
        <w:tc>
          <w:tcPr>
            <w:tcW w:w="740" w:type="dxa"/>
            <w:tcBorders>
              <w:top w:val="single" w:sz="4" w:space="0" w:color="ADD6EA"/>
              <w:left w:val="nil"/>
              <w:bottom w:val="nil"/>
              <w:right w:val="nil"/>
            </w:tcBorders>
            <w:shd w:val="clear" w:color="auto" w:fill="auto"/>
            <w:noWrap/>
            <w:vAlign w:val="center"/>
            <w:hideMark/>
          </w:tcPr>
          <w:p w14:paraId="2BAF63AF"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178</w:t>
            </w:r>
          </w:p>
        </w:tc>
        <w:tc>
          <w:tcPr>
            <w:tcW w:w="740" w:type="dxa"/>
            <w:tcBorders>
              <w:top w:val="single" w:sz="4" w:space="0" w:color="ADD6EA"/>
              <w:left w:val="nil"/>
              <w:bottom w:val="nil"/>
              <w:right w:val="nil"/>
            </w:tcBorders>
            <w:shd w:val="clear" w:color="auto" w:fill="auto"/>
            <w:noWrap/>
            <w:vAlign w:val="center"/>
            <w:hideMark/>
          </w:tcPr>
          <w:p w14:paraId="028FF52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859</w:t>
            </w:r>
          </w:p>
        </w:tc>
        <w:tc>
          <w:tcPr>
            <w:tcW w:w="780" w:type="dxa"/>
            <w:tcBorders>
              <w:top w:val="single" w:sz="4" w:space="0" w:color="ADD6EA"/>
              <w:left w:val="nil"/>
              <w:bottom w:val="nil"/>
              <w:right w:val="nil"/>
            </w:tcBorders>
            <w:shd w:val="clear" w:color="auto" w:fill="auto"/>
            <w:noWrap/>
            <w:vAlign w:val="center"/>
            <w:hideMark/>
          </w:tcPr>
          <w:p w14:paraId="67BBFAE8"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-1,485</w:t>
            </w:r>
          </w:p>
        </w:tc>
        <w:tc>
          <w:tcPr>
            <w:tcW w:w="740" w:type="dxa"/>
            <w:tcBorders>
              <w:top w:val="single" w:sz="4" w:space="0" w:color="ADD6EA"/>
              <w:left w:val="nil"/>
              <w:bottom w:val="nil"/>
              <w:right w:val="nil"/>
            </w:tcBorders>
            <w:shd w:val="clear" w:color="auto" w:fill="auto"/>
            <w:noWrap/>
            <w:vAlign w:val="center"/>
            <w:hideMark/>
          </w:tcPr>
          <w:p w14:paraId="31958328"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713</w:t>
            </w:r>
          </w:p>
        </w:tc>
        <w:tc>
          <w:tcPr>
            <w:tcW w:w="740" w:type="dxa"/>
            <w:tcBorders>
              <w:top w:val="single" w:sz="4" w:space="0" w:color="ADD6EA"/>
              <w:left w:val="nil"/>
              <w:bottom w:val="nil"/>
              <w:right w:val="nil"/>
            </w:tcBorders>
            <w:shd w:val="clear" w:color="auto" w:fill="auto"/>
            <w:noWrap/>
            <w:vAlign w:val="center"/>
            <w:hideMark/>
          </w:tcPr>
          <w:p w14:paraId="4FD55D1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274</w:t>
            </w:r>
          </w:p>
        </w:tc>
        <w:tc>
          <w:tcPr>
            <w:tcW w:w="740" w:type="dxa"/>
            <w:tcBorders>
              <w:top w:val="single" w:sz="4" w:space="0" w:color="ADD6EA"/>
              <w:left w:val="nil"/>
              <w:bottom w:val="nil"/>
              <w:right w:val="nil"/>
            </w:tcBorders>
            <w:shd w:val="clear" w:color="auto" w:fill="auto"/>
            <w:noWrap/>
            <w:vAlign w:val="center"/>
            <w:hideMark/>
          </w:tcPr>
          <w:p w14:paraId="476100B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51</w:t>
            </w:r>
          </w:p>
        </w:tc>
        <w:tc>
          <w:tcPr>
            <w:tcW w:w="740" w:type="dxa"/>
            <w:tcBorders>
              <w:top w:val="single" w:sz="4" w:space="0" w:color="ADD6EA"/>
              <w:left w:val="nil"/>
              <w:bottom w:val="nil"/>
              <w:right w:val="nil"/>
            </w:tcBorders>
            <w:shd w:val="clear" w:color="auto" w:fill="auto"/>
            <w:noWrap/>
            <w:vAlign w:val="center"/>
            <w:hideMark/>
          </w:tcPr>
          <w:p w14:paraId="6F663424"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w:t>
            </w:r>
          </w:p>
        </w:tc>
        <w:tc>
          <w:tcPr>
            <w:tcW w:w="716" w:type="dxa"/>
            <w:tcBorders>
              <w:top w:val="single" w:sz="4" w:space="0" w:color="ADD6EA"/>
              <w:left w:val="nil"/>
              <w:bottom w:val="nil"/>
              <w:right w:val="nil"/>
            </w:tcBorders>
            <w:shd w:val="clear" w:color="auto" w:fill="auto"/>
            <w:noWrap/>
            <w:vAlign w:val="center"/>
            <w:hideMark/>
          </w:tcPr>
          <w:p w14:paraId="3EEB2EFB"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2,075</w:t>
            </w:r>
          </w:p>
        </w:tc>
      </w:tr>
      <w:tr w:rsidR="005D474C" w:rsidRPr="005D474C" w14:paraId="2E1B7C4C" w14:textId="77777777" w:rsidTr="00FA21EF">
        <w:trPr>
          <w:trHeight w:val="315"/>
        </w:trPr>
        <w:tc>
          <w:tcPr>
            <w:tcW w:w="2302" w:type="dxa"/>
            <w:tcBorders>
              <w:top w:val="single" w:sz="4" w:space="0" w:color="ADD6EA"/>
              <w:left w:val="nil"/>
              <w:bottom w:val="nil"/>
              <w:right w:val="nil"/>
            </w:tcBorders>
            <w:shd w:val="clear" w:color="auto" w:fill="auto"/>
            <w:vAlign w:val="center"/>
            <w:hideMark/>
          </w:tcPr>
          <w:p w14:paraId="53D80EC8" w14:textId="77777777" w:rsidR="005D474C" w:rsidRPr="005D474C" w:rsidRDefault="005D474C" w:rsidP="005D474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Other revenue effects</w:t>
            </w:r>
          </w:p>
        </w:tc>
        <w:tc>
          <w:tcPr>
            <w:tcW w:w="703" w:type="dxa"/>
            <w:tcBorders>
              <w:top w:val="single" w:sz="4" w:space="0" w:color="ADD6EA"/>
              <w:left w:val="nil"/>
              <w:bottom w:val="nil"/>
              <w:right w:val="nil"/>
            </w:tcBorders>
            <w:shd w:val="clear" w:color="auto" w:fill="auto"/>
            <w:noWrap/>
            <w:vAlign w:val="center"/>
            <w:hideMark/>
          </w:tcPr>
          <w:p w14:paraId="22BBF2D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215</w:t>
            </w:r>
          </w:p>
        </w:tc>
        <w:tc>
          <w:tcPr>
            <w:tcW w:w="740" w:type="dxa"/>
            <w:tcBorders>
              <w:top w:val="single" w:sz="4" w:space="0" w:color="ADD6EA"/>
              <w:left w:val="nil"/>
              <w:bottom w:val="nil"/>
              <w:right w:val="nil"/>
            </w:tcBorders>
            <w:shd w:val="clear" w:color="auto" w:fill="auto"/>
            <w:noWrap/>
            <w:vAlign w:val="center"/>
            <w:hideMark/>
          </w:tcPr>
          <w:p w14:paraId="1F5FCFF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188</w:t>
            </w:r>
          </w:p>
        </w:tc>
        <w:tc>
          <w:tcPr>
            <w:tcW w:w="740" w:type="dxa"/>
            <w:tcBorders>
              <w:top w:val="single" w:sz="4" w:space="0" w:color="ADD6EA"/>
              <w:left w:val="nil"/>
              <w:bottom w:val="nil"/>
              <w:right w:val="nil"/>
            </w:tcBorders>
            <w:shd w:val="clear" w:color="auto" w:fill="auto"/>
            <w:noWrap/>
            <w:vAlign w:val="center"/>
            <w:hideMark/>
          </w:tcPr>
          <w:p w14:paraId="39B9F08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-186</w:t>
            </w:r>
          </w:p>
        </w:tc>
        <w:tc>
          <w:tcPr>
            <w:tcW w:w="780" w:type="dxa"/>
            <w:tcBorders>
              <w:top w:val="single" w:sz="4" w:space="0" w:color="ADD6EA"/>
              <w:left w:val="nil"/>
              <w:bottom w:val="nil"/>
              <w:right w:val="nil"/>
            </w:tcBorders>
            <w:shd w:val="clear" w:color="auto" w:fill="auto"/>
            <w:noWrap/>
            <w:vAlign w:val="center"/>
            <w:hideMark/>
          </w:tcPr>
          <w:p w14:paraId="2D4C3A1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-179</w:t>
            </w:r>
          </w:p>
        </w:tc>
        <w:tc>
          <w:tcPr>
            <w:tcW w:w="740" w:type="dxa"/>
            <w:tcBorders>
              <w:top w:val="single" w:sz="4" w:space="0" w:color="ADD6EA"/>
              <w:left w:val="nil"/>
              <w:bottom w:val="nil"/>
              <w:right w:val="nil"/>
            </w:tcBorders>
            <w:shd w:val="clear" w:color="auto" w:fill="auto"/>
            <w:noWrap/>
            <w:vAlign w:val="center"/>
            <w:hideMark/>
          </w:tcPr>
          <w:p w14:paraId="605C504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-147</w:t>
            </w:r>
          </w:p>
        </w:tc>
        <w:tc>
          <w:tcPr>
            <w:tcW w:w="740" w:type="dxa"/>
            <w:tcBorders>
              <w:top w:val="single" w:sz="4" w:space="0" w:color="ADD6EA"/>
              <w:left w:val="nil"/>
              <w:bottom w:val="nil"/>
              <w:right w:val="nil"/>
            </w:tcBorders>
            <w:shd w:val="clear" w:color="auto" w:fill="auto"/>
            <w:noWrap/>
            <w:vAlign w:val="center"/>
            <w:hideMark/>
          </w:tcPr>
          <w:p w14:paraId="508187AB"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-6</w:t>
            </w:r>
          </w:p>
        </w:tc>
        <w:tc>
          <w:tcPr>
            <w:tcW w:w="740" w:type="dxa"/>
            <w:tcBorders>
              <w:top w:val="single" w:sz="4" w:space="0" w:color="ADD6EA"/>
              <w:left w:val="nil"/>
              <w:bottom w:val="nil"/>
              <w:right w:val="nil"/>
            </w:tcBorders>
            <w:shd w:val="clear" w:color="auto" w:fill="auto"/>
            <w:noWrap/>
            <w:vAlign w:val="center"/>
            <w:hideMark/>
          </w:tcPr>
          <w:p w14:paraId="143E81F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93</w:t>
            </w:r>
          </w:p>
        </w:tc>
        <w:tc>
          <w:tcPr>
            <w:tcW w:w="740" w:type="dxa"/>
            <w:tcBorders>
              <w:top w:val="single" w:sz="4" w:space="0" w:color="ADD6EA"/>
              <w:left w:val="nil"/>
              <w:bottom w:val="nil"/>
              <w:right w:val="nil"/>
            </w:tcBorders>
            <w:shd w:val="clear" w:color="auto" w:fill="auto"/>
            <w:noWrap/>
            <w:vAlign w:val="center"/>
            <w:hideMark/>
          </w:tcPr>
          <w:p w14:paraId="3D0CA83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21</w:t>
            </w:r>
          </w:p>
        </w:tc>
        <w:tc>
          <w:tcPr>
            <w:tcW w:w="716" w:type="dxa"/>
            <w:tcBorders>
              <w:top w:val="single" w:sz="4" w:space="0" w:color="ADD6EA"/>
              <w:left w:val="nil"/>
              <w:bottom w:val="nil"/>
              <w:right w:val="nil"/>
            </w:tcBorders>
            <w:shd w:val="clear" w:color="auto" w:fill="auto"/>
            <w:noWrap/>
            <w:vAlign w:val="center"/>
            <w:hideMark/>
          </w:tcPr>
          <w:p w14:paraId="299E046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517</w:t>
            </w:r>
          </w:p>
        </w:tc>
      </w:tr>
      <w:tr w:rsidR="005D474C" w:rsidRPr="005D474C" w14:paraId="5DF6B3B0" w14:textId="77777777" w:rsidTr="00FA21EF">
        <w:trPr>
          <w:trHeight w:val="315"/>
        </w:trPr>
        <w:tc>
          <w:tcPr>
            <w:tcW w:w="2302" w:type="dxa"/>
            <w:tcBorders>
              <w:top w:val="single" w:sz="4" w:space="0" w:color="ADD6EA"/>
              <w:left w:val="nil"/>
              <w:bottom w:val="single" w:sz="4" w:space="0" w:color="ADD6EA"/>
              <w:right w:val="nil"/>
            </w:tcBorders>
            <w:shd w:val="clear" w:color="000000" w:fill="B6D5E4"/>
            <w:vAlign w:val="center"/>
            <w:hideMark/>
          </w:tcPr>
          <w:p w14:paraId="6F7C2EC5" w14:textId="77777777" w:rsidR="005D474C" w:rsidRPr="005D474C" w:rsidRDefault="005D474C" w:rsidP="005D474C">
            <w:pPr>
              <w:tabs>
                <w:tab w:val="clear" w:pos="567"/>
              </w:tabs>
              <w:spacing w:before="0" w:line="240" w:lineRule="auto"/>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TOTAL REVENUE</w:t>
            </w:r>
          </w:p>
        </w:tc>
        <w:tc>
          <w:tcPr>
            <w:tcW w:w="703" w:type="dxa"/>
            <w:tcBorders>
              <w:top w:val="single" w:sz="4" w:space="0" w:color="ADD6EA"/>
              <w:left w:val="nil"/>
              <w:bottom w:val="single" w:sz="4" w:space="0" w:color="ADD6EA"/>
              <w:right w:val="nil"/>
            </w:tcBorders>
            <w:shd w:val="clear" w:color="000000" w:fill="B6D5E4"/>
            <w:noWrap/>
            <w:vAlign w:val="center"/>
            <w:hideMark/>
          </w:tcPr>
          <w:p w14:paraId="0A1B407E"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-1,687</w:t>
            </w:r>
          </w:p>
        </w:tc>
        <w:tc>
          <w:tcPr>
            <w:tcW w:w="740" w:type="dxa"/>
            <w:tcBorders>
              <w:top w:val="single" w:sz="4" w:space="0" w:color="ADD6EA"/>
              <w:left w:val="nil"/>
              <w:bottom w:val="single" w:sz="4" w:space="0" w:color="ADD6EA"/>
              <w:right w:val="nil"/>
            </w:tcBorders>
            <w:shd w:val="clear" w:color="000000" w:fill="B6D5E4"/>
            <w:noWrap/>
            <w:vAlign w:val="center"/>
            <w:hideMark/>
          </w:tcPr>
          <w:p w14:paraId="5285DE3D"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8,659</w:t>
            </w:r>
          </w:p>
        </w:tc>
        <w:tc>
          <w:tcPr>
            <w:tcW w:w="740" w:type="dxa"/>
            <w:tcBorders>
              <w:top w:val="single" w:sz="4" w:space="0" w:color="ADD6EA"/>
              <w:left w:val="nil"/>
              <w:bottom w:val="single" w:sz="4" w:space="0" w:color="ADD6EA"/>
              <w:right w:val="nil"/>
            </w:tcBorders>
            <w:shd w:val="clear" w:color="000000" w:fill="B6D5E4"/>
            <w:noWrap/>
            <w:vAlign w:val="center"/>
            <w:hideMark/>
          </w:tcPr>
          <w:p w14:paraId="74ABBA66"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-2,624</w:t>
            </w:r>
          </w:p>
        </w:tc>
        <w:tc>
          <w:tcPr>
            <w:tcW w:w="780" w:type="dxa"/>
            <w:tcBorders>
              <w:top w:val="single" w:sz="4" w:space="0" w:color="ADD6EA"/>
              <w:left w:val="nil"/>
              <w:bottom w:val="single" w:sz="4" w:space="0" w:color="ADD6EA"/>
              <w:right w:val="nil"/>
            </w:tcBorders>
            <w:shd w:val="clear" w:color="000000" w:fill="B6D5E4"/>
            <w:noWrap/>
            <w:vAlign w:val="center"/>
            <w:hideMark/>
          </w:tcPr>
          <w:p w14:paraId="7B1ADF00"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-10,998</w:t>
            </w:r>
          </w:p>
        </w:tc>
        <w:tc>
          <w:tcPr>
            <w:tcW w:w="740" w:type="dxa"/>
            <w:tcBorders>
              <w:top w:val="single" w:sz="4" w:space="0" w:color="ADD6EA"/>
              <w:left w:val="nil"/>
              <w:bottom w:val="single" w:sz="4" w:space="0" w:color="ADD6EA"/>
              <w:right w:val="nil"/>
            </w:tcBorders>
            <w:shd w:val="clear" w:color="000000" w:fill="B6D5E4"/>
            <w:noWrap/>
            <w:vAlign w:val="center"/>
            <w:hideMark/>
          </w:tcPr>
          <w:p w14:paraId="50E9FE42"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3,976</w:t>
            </w:r>
          </w:p>
        </w:tc>
        <w:tc>
          <w:tcPr>
            <w:tcW w:w="740" w:type="dxa"/>
            <w:tcBorders>
              <w:top w:val="single" w:sz="4" w:space="0" w:color="ADD6EA"/>
              <w:left w:val="nil"/>
              <w:bottom w:val="single" w:sz="4" w:space="0" w:color="ADD6EA"/>
              <w:right w:val="nil"/>
            </w:tcBorders>
            <w:shd w:val="clear" w:color="000000" w:fill="B6D5E4"/>
            <w:noWrap/>
            <w:vAlign w:val="center"/>
            <w:hideMark/>
          </w:tcPr>
          <w:p w14:paraId="3BCBFC2C"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1,412</w:t>
            </w:r>
          </w:p>
        </w:tc>
        <w:tc>
          <w:tcPr>
            <w:tcW w:w="740" w:type="dxa"/>
            <w:tcBorders>
              <w:top w:val="single" w:sz="4" w:space="0" w:color="ADD6EA"/>
              <w:left w:val="nil"/>
              <w:bottom w:val="single" w:sz="4" w:space="0" w:color="ADD6EA"/>
              <w:right w:val="nil"/>
            </w:tcBorders>
            <w:shd w:val="clear" w:color="000000" w:fill="B6D5E4"/>
            <w:noWrap/>
            <w:vAlign w:val="center"/>
            <w:hideMark/>
          </w:tcPr>
          <w:p w14:paraId="1B9607CB"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924</w:t>
            </w:r>
          </w:p>
        </w:tc>
        <w:tc>
          <w:tcPr>
            <w:tcW w:w="740" w:type="dxa"/>
            <w:tcBorders>
              <w:top w:val="single" w:sz="4" w:space="0" w:color="ADD6EA"/>
              <w:left w:val="nil"/>
              <w:bottom w:val="single" w:sz="4" w:space="0" w:color="ADD6EA"/>
              <w:right w:val="nil"/>
            </w:tcBorders>
            <w:shd w:val="clear" w:color="000000" w:fill="B6D5E4"/>
            <w:noWrap/>
            <w:vAlign w:val="center"/>
            <w:hideMark/>
          </w:tcPr>
          <w:p w14:paraId="65B5A81F"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339</w:t>
            </w:r>
          </w:p>
        </w:tc>
        <w:tc>
          <w:tcPr>
            <w:tcW w:w="716" w:type="dxa"/>
            <w:tcBorders>
              <w:top w:val="single" w:sz="4" w:space="0" w:color="ADD6EA"/>
              <w:left w:val="nil"/>
              <w:bottom w:val="single" w:sz="4" w:space="0" w:color="ADD6EA"/>
              <w:right w:val="nil"/>
            </w:tcBorders>
            <w:shd w:val="clear" w:color="000000" w:fill="B6D5E4"/>
            <w:noWrap/>
            <w:vAlign w:val="center"/>
            <w:hideMark/>
          </w:tcPr>
          <w:p w14:paraId="04FFA201"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15,310</w:t>
            </w:r>
          </w:p>
        </w:tc>
      </w:tr>
      <w:tr w:rsidR="005D474C" w:rsidRPr="005D474C" w14:paraId="62479DAE" w14:textId="77777777" w:rsidTr="00FA21EF">
        <w:trPr>
          <w:trHeight w:val="555"/>
        </w:trPr>
        <w:tc>
          <w:tcPr>
            <w:tcW w:w="2302" w:type="dxa"/>
            <w:tcBorders>
              <w:top w:val="nil"/>
              <w:left w:val="nil"/>
              <w:bottom w:val="nil"/>
              <w:right w:val="nil"/>
            </w:tcBorders>
            <w:shd w:val="clear" w:color="auto" w:fill="auto"/>
            <w:vAlign w:val="center"/>
            <w:hideMark/>
          </w:tcPr>
          <w:p w14:paraId="5C585109" w14:textId="77777777" w:rsidR="005D474C" w:rsidRPr="005D474C" w:rsidRDefault="005D474C" w:rsidP="005D474C">
            <w:pPr>
              <w:tabs>
                <w:tab w:val="clear" w:pos="567"/>
              </w:tabs>
              <w:spacing w:before="0" w:line="240" w:lineRule="auto"/>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COMMONWEALTH PAYMENTS</w:t>
            </w:r>
          </w:p>
        </w:tc>
        <w:tc>
          <w:tcPr>
            <w:tcW w:w="703" w:type="dxa"/>
            <w:tcBorders>
              <w:top w:val="nil"/>
              <w:left w:val="nil"/>
              <w:bottom w:val="nil"/>
              <w:right w:val="nil"/>
            </w:tcBorders>
            <w:shd w:val="clear" w:color="auto" w:fill="auto"/>
            <w:noWrap/>
            <w:vAlign w:val="center"/>
            <w:hideMark/>
          </w:tcPr>
          <w:p w14:paraId="4329A7E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-109</w:t>
            </w:r>
          </w:p>
        </w:tc>
        <w:tc>
          <w:tcPr>
            <w:tcW w:w="740" w:type="dxa"/>
            <w:tcBorders>
              <w:top w:val="nil"/>
              <w:left w:val="nil"/>
              <w:bottom w:val="nil"/>
              <w:right w:val="nil"/>
            </w:tcBorders>
            <w:shd w:val="clear" w:color="auto" w:fill="auto"/>
            <w:noWrap/>
            <w:vAlign w:val="center"/>
            <w:hideMark/>
          </w:tcPr>
          <w:p w14:paraId="301B1665"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984</w:t>
            </w:r>
          </w:p>
        </w:tc>
        <w:tc>
          <w:tcPr>
            <w:tcW w:w="740" w:type="dxa"/>
            <w:tcBorders>
              <w:top w:val="nil"/>
              <w:left w:val="nil"/>
              <w:bottom w:val="nil"/>
              <w:right w:val="nil"/>
            </w:tcBorders>
            <w:shd w:val="clear" w:color="auto" w:fill="auto"/>
            <w:noWrap/>
            <w:vAlign w:val="center"/>
            <w:hideMark/>
          </w:tcPr>
          <w:p w14:paraId="1A36F37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-478</w:t>
            </w:r>
          </w:p>
        </w:tc>
        <w:tc>
          <w:tcPr>
            <w:tcW w:w="780" w:type="dxa"/>
            <w:tcBorders>
              <w:top w:val="nil"/>
              <w:left w:val="nil"/>
              <w:bottom w:val="nil"/>
              <w:right w:val="nil"/>
            </w:tcBorders>
            <w:shd w:val="clear" w:color="auto" w:fill="auto"/>
            <w:noWrap/>
            <w:vAlign w:val="center"/>
            <w:hideMark/>
          </w:tcPr>
          <w:p w14:paraId="4927D13C"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-181</w:t>
            </w:r>
          </w:p>
        </w:tc>
        <w:tc>
          <w:tcPr>
            <w:tcW w:w="740" w:type="dxa"/>
            <w:tcBorders>
              <w:top w:val="nil"/>
              <w:left w:val="nil"/>
              <w:bottom w:val="nil"/>
              <w:right w:val="nil"/>
            </w:tcBorders>
            <w:shd w:val="clear" w:color="auto" w:fill="auto"/>
            <w:noWrap/>
            <w:vAlign w:val="center"/>
            <w:hideMark/>
          </w:tcPr>
          <w:p w14:paraId="1792C7EF"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328</w:t>
            </w:r>
          </w:p>
        </w:tc>
        <w:tc>
          <w:tcPr>
            <w:tcW w:w="740" w:type="dxa"/>
            <w:tcBorders>
              <w:top w:val="nil"/>
              <w:left w:val="nil"/>
              <w:bottom w:val="nil"/>
              <w:right w:val="nil"/>
            </w:tcBorders>
            <w:shd w:val="clear" w:color="auto" w:fill="auto"/>
            <w:noWrap/>
            <w:vAlign w:val="center"/>
            <w:hideMark/>
          </w:tcPr>
          <w:p w14:paraId="750CED32"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-131</w:t>
            </w:r>
          </w:p>
        </w:tc>
        <w:tc>
          <w:tcPr>
            <w:tcW w:w="740" w:type="dxa"/>
            <w:tcBorders>
              <w:top w:val="nil"/>
              <w:left w:val="nil"/>
              <w:bottom w:val="nil"/>
              <w:right w:val="nil"/>
            </w:tcBorders>
            <w:shd w:val="clear" w:color="auto" w:fill="auto"/>
            <w:noWrap/>
            <w:vAlign w:val="center"/>
            <w:hideMark/>
          </w:tcPr>
          <w:p w14:paraId="0BF47B0C"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129</w:t>
            </w:r>
          </w:p>
        </w:tc>
        <w:tc>
          <w:tcPr>
            <w:tcW w:w="740" w:type="dxa"/>
            <w:tcBorders>
              <w:top w:val="nil"/>
              <w:left w:val="nil"/>
              <w:bottom w:val="nil"/>
              <w:right w:val="nil"/>
            </w:tcBorders>
            <w:shd w:val="clear" w:color="auto" w:fill="auto"/>
            <w:noWrap/>
            <w:vAlign w:val="center"/>
            <w:hideMark/>
          </w:tcPr>
          <w:p w14:paraId="3D2133C8"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-542</w:t>
            </w:r>
          </w:p>
        </w:tc>
        <w:tc>
          <w:tcPr>
            <w:tcW w:w="716" w:type="dxa"/>
            <w:tcBorders>
              <w:top w:val="nil"/>
              <w:left w:val="nil"/>
              <w:bottom w:val="nil"/>
              <w:right w:val="nil"/>
            </w:tcBorders>
            <w:shd w:val="clear" w:color="auto" w:fill="auto"/>
            <w:noWrap/>
            <w:vAlign w:val="center"/>
            <w:hideMark/>
          </w:tcPr>
          <w:p w14:paraId="3DCC50E1"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1,442</w:t>
            </w:r>
          </w:p>
        </w:tc>
      </w:tr>
      <w:tr w:rsidR="005D474C" w:rsidRPr="005D474C" w14:paraId="620CF7F6" w14:textId="77777777" w:rsidTr="00FA21EF">
        <w:trPr>
          <w:trHeight w:val="315"/>
        </w:trPr>
        <w:tc>
          <w:tcPr>
            <w:tcW w:w="2302" w:type="dxa"/>
            <w:tcBorders>
              <w:top w:val="single" w:sz="4" w:space="0" w:color="ADD6EA"/>
              <w:left w:val="nil"/>
              <w:bottom w:val="nil"/>
              <w:right w:val="nil"/>
            </w:tcBorders>
            <w:shd w:val="clear" w:color="auto" w:fill="auto"/>
            <w:vAlign w:val="center"/>
            <w:hideMark/>
          </w:tcPr>
          <w:p w14:paraId="70790329" w14:textId="77777777" w:rsidR="005D474C" w:rsidRPr="005D474C" w:rsidRDefault="005D474C" w:rsidP="005D474C">
            <w:pPr>
              <w:tabs>
                <w:tab w:val="clear" w:pos="567"/>
              </w:tabs>
              <w:spacing w:before="0" w:line="240" w:lineRule="auto"/>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EXPENSE NEEDS</w:t>
            </w:r>
          </w:p>
        </w:tc>
        <w:tc>
          <w:tcPr>
            <w:tcW w:w="703" w:type="dxa"/>
            <w:tcBorders>
              <w:top w:val="single" w:sz="4" w:space="0" w:color="ADD6EA"/>
              <w:left w:val="nil"/>
              <w:bottom w:val="nil"/>
              <w:right w:val="nil"/>
            </w:tcBorders>
            <w:shd w:val="clear" w:color="auto" w:fill="auto"/>
            <w:noWrap/>
            <w:vAlign w:val="center"/>
            <w:hideMark/>
          </w:tcPr>
          <w:p w14:paraId="6D7B2BC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nil"/>
              <w:right w:val="nil"/>
            </w:tcBorders>
            <w:shd w:val="clear" w:color="auto" w:fill="auto"/>
            <w:noWrap/>
            <w:vAlign w:val="center"/>
            <w:hideMark/>
          </w:tcPr>
          <w:p w14:paraId="294AB90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nil"/>
              <w:right w:val="nil"/>
            </w:tcBorders>
            <w:shd w:val="clear" w:color="auto" w:fill="auto"/>
            <w:noWrap/>
            <w:vAlign w:val="center"/>
            <w:hideMark/>
          </w:tcPr>
          <w:p w14:paraId="32A8E549"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80" w:type="dxa"/>
            <w:tcBorders>
              <w:top w:val="single" w:sz="4" w:space="0" w:color="ADD6EA"/>
              <w:left w:val="nil"/>
              <w:bottom w:val="nil"/>
              <w:right w:val="nil"/>
            </w:tcBorders>
            <w:shd w:val="clear" w:color="auto" w:fill="auto"/>
            <w:noWrap/>
            <w:vAlign w:val="center"/>
            <w:hideMark/>
          </w:tcPr>
          <w:p w14:paraId="1470EDA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nil"/>
              <w:right w:val="nil"/>
            </w:tcBorders>
            <w:shd w:val="clear" w:color="auto" w:fill="auto"/>
            <w:noWrap/>
            <w:vAlign w:val="center"/>
            <w:hideMark/>
          </w:tcPr>
          <w:p w14:paraId="4B59C1C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nil"/>
              <w:right w:val="nil"/>
            </w:tcBorders>
            <w:shd w:val="clear" w:color="auto" w:fill="auto"/>
            <w:noWrap/>
            <w:vAlign w:val="center"/>
            <w:hideMark/>
          </w:tcPr>
          <w:p w14:paraId="4D6B221E"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nil"/>
              <w:right w:val="nil"/>
            </w:tcBorders>
            <w:shd w:val="clear" w:color="auto" w:fill="auto"/>
            <w:noWrap/>
            <w:vAlign w:val="center"/>
            <w:hideMark/>
          </w:tcPr>
          <w:p w14:paraId="2208AF4B"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nil"/>
              <w:right w:val="nil"/>
            </w:tcBorders>
            <w:shd w:val="clear" w:color="auto" w:fill="auto"/>
            <w:noWrap/>
            <w:vAlign w:val="center"/>
            <w:hideMark/>
          </w:tcPr>
          <w:p w14:paraId="42399448"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16" w:type="dxa"/>
            <w:tcBorders>
              <w:top w:val="single" w:sz="4" w:space="0" w:color="ADD6EA"/>
              <w:left w:val="nil"/>
              <w:bottom w:val="nil"/>
              <w:right w:val="nil"/>
            </w:tcBorders>
            <w:shd w:val="clear" w:color="auto" w:fill="auto"/>
            <w:noWrap/>
            <w:vAlign w:val="center"/>
            <w:hideMark/>
          </w:tcPr>
          <w:p w14:paraId="35FA654C"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r>
      <w:tr w:rsidR="005D474C" w:rsidRPr="005D474C" w14:paraId="1CAA4028" w14:textId="77777777" w:rsidTr="000F637C">
        <w:trPr>
          <w:trHeight w:val="315"/>
        </w:trPr>
        <w:tc>
          <w:tcPr>
            <w:tcW w:w="3005" w:type="dxa"/>
            <w:gridSpan w:val="2"/>
            <w:tcBorders>
              <w:top w:val="single" w:sz="4" w:space="0" w:color="ADD6EA"/>
              <w:left w:val="nil"/>
              <w:bottom w:val="single" w:sz="4" w:space="0" w:color="ADD6EA"/>
              <w:right w:val="nil"/>
            </w:tcBorders>
            <w:shd w:val="clear" w:color="auto" w:fill="auto"/>
            <w:noWrap/>
            <w:vAlign w:val="center"/>
            <w:hideMark/>
          </w:tcPr>
          <w:p w14:paraId="26919307" w14:textId="77777777" w:rsidR="005D474C" w:rsidRPr="005D474C" w:rsidRDefault="005D474C" w:rsidP="005D474C">
            <w:pPr>
              <w:tabs>
                <w:tab w:val="clear" w:pos="567"/>
              </w:tabs>
              <w:spacing w:before="0" w:line="240" w:lineRule="auto"/>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Socio-demographic composition (SDC)</w:t>
            </w:r>
          </w:p>
        </w:tc>
        <w:tc>
          <w:tcPr>
            <w:tcW w:w="740" w:type="dxa"/>
            <w:tcBorders>
              <w:top w:val="single" w:sz="4" w:space="0" w:color="ADD6EA"/>
              <w:left w:val="nil"/>
              <w:bottom w:val="single" w:sz="4" w:space="0" w:color="ADD6EA"/>
              <w:right w:val="nil"/>
            </w:tcBorders>
            <w:shd w:val="clear" w:color="auto" w:fill="auto"/>
            <w:noWrap/>
            <w:vAlign w:val="center"/>
            <w:hideMark/>
          </w:tcPr>
          <w:p w14:paraId="39C23448" w14:textId="77777777" w:rsidR="005D474C" w:rsidRPr="005D474C" w:rsidRDefault="005D474C" w:rsidP="005D474C">
            <w:pPr>
              <w:tabs>
                <w:tab w:val="clear" w:pos="567"/>
              </w:tabs>
              <w:spacing w:before="0" w:line="240" w:lineRule="auto"/>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single" w:sz="4" w:space="0" w:color="ADD6EA"/>
              <w:right w:val="nil"/>
            </w:tcBorders>
            <w:shd w:val="clear" w:color="auto" w:fill="auto"/>
            <w:noWrap/>
            <w:vAlign w:val="center"/>
            <w:hideMark/>
          </w:tcPr>
          <w:p w14:paraId="6A5C8598" w14:textId="77777777" w:rsidR="005D474C" w:rsidRPr="005D474C" w:rsidRDefault="005D474C" w:rsidP="005D474C">
            <w:pPr>
              <w:tabs>
                <w:tab w:val="clear" w:pos="567"/>
              </w:tabs>
              <w:spacing w:before="0" w:line="240" w:lineRule="auto"/>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80" w:type="dxa"/>
            <w:tcBorders>
              <w:top w:val="single" w:sz="4" w:space="0" w:color="ADD6EA"/>
              <w:left w:val="nil"/>
              <w:bottom w:val="single" w:sz="4" w:space="0" w:color="ADD6EA"/>
              <w:right w:val="nil"/>
            </w:tcBorders>
            <w:shd w:val="clear" w:color="auto" w:fill="auto"/>
            <w:noWrap/>
            <w:vAlign w:val="center"/>
            <w:hideMark/>
          </w:tcPr>
          <w:p w14:paraId="7A7E1772" w14:textId="77777777" w:rsidR="005D474C" w:rsidRPr="005D474C" w:rsidRDefault="005D474C" w:rsidP="005D474C">
            <w:pPr>
              <w:tabs>
                <w:tab w:val="clear" w:pos="567"/>
              </w:tabs>
              <w:spacing w:before="0" w:line="240" w:lineRule="auto"/>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nil"/>
              <w:right w:val="nil"/>
            </w:tcBorders>
            <w:shd w:val="clear" w:color="auto" w:fill="auto"/>
            <w:vAlign w:val="bottom"/>
            <w:hideMark/>
          </w:tcPr>
          <w:p w14:paraId="52565A9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nil"/>
              <w:right w:val="nil"/>
            </w:tcBorders>
            <w:shd w:val="clear" w:color="auto" w:fill="auto"/>
            <w:vAlign w:val="bottom"/>
            <w:hideMark/>
          </w:tcPr>
          <w:p w14:paraId="55DE152A"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nil"/>
              <w:right w:val="nil"/>
            </w:tcBorders>
            <w:shd w:val="clear" w:color="auto" w:fill="auto"/>
            <w:vAlign w:val="bottom"/>
            <w:hideMark/>
          </w:tcPr>
          <w:p w14:paraId="43DEE2F2"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40" w:type="dxa"/>
            <w:tcBorders>
              <w:top w:val="single" w:sz="4" w:space="0" w:color="ADD6EA"/>
              <w:left w:val="nil"/>
              <w:bottom w:val="nil"/>
              <w:right w:val="nil"/>
            </w:tcBorders>
            <w:shd w:val="clear" w:color="auto" w:fill="auto"/>
            <w:vAlign w:val="bottom"/>
            <w:hideMark/>
          </w:tcPr>
          <w:p w14:paraId="58B52CF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c>
          <w:tcPr>
            <w:tcW w:w="716" w:type="dxa"/>
            <w:tcBorders>
              <w:top w:val="single" w:sz="4" w:space="0" w:color="ADD6EA"/>
              <w:left w:val="nil"/>
              <w:bottom w:val="nil"/>
              <w:right w:val="nil"/>
            </w:tcBorders>
            <w:shd w:val="clear" w:color="auto" w:fill="auto"/>
            <w:vAlign w:val="bottom"/>
            <w:hideMark/>
          </w:tcPr>
          <w:p w14:paraId="398ACB69"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 </w:t>
            </w:r>
          </w:p>
        </w:tc>
      </w:tr>
      <w:tr w:rsidR="005D474C" w:rsidRPr="005D474C" w14:paraId="49B44192" w14:textId="77777777" w:rsidTr="00FA21EF">
        <w:trPr>
          <w:trHeight w:val="315"/>
        </w:trPr>
        <w:tc>
          <w:tcPr>
            <w:tcW w:w="2302" w:type="dxa"/>
            <w:tcBorders>
              <w:top w:val="nil"/>
              <w:left w:val="nil"/>
              <w:bottom w:val="nil"/>
              <w:right w:val="nil"/>
            </w:tcBorders>
            <w:shd w:val="clear" w:color="auto" w:fill="auto"/>
            <w:vAlign w:val="center"/>
            <w:hideMark/>
          </w:tcPr>
          <w:p w14:paraId="4A6BFD2C" w14:textId="77777777" w:rsidR="005D474C" w:rsidRPr="005D474C" w:rsidRDefault="005D474C" w:rsidP="005D474C">
            <w:pPr>
              <w:tabs>
                <w:tab w:val="clear" w:pos="567"/>
              </w:tabs>
              <w:spacing w:before="0" w:line="240" w:lineRule="auto"/>
              <w:ind w:firstLineChars="200" w:firstLine="32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Population dispersion</w:t>
            </w:r>
          </w:p>
        </w:tc>
        <w:tc>
          <w:tcPr>
            <w:tcW w:w="703" w:type="dxa"/>
            <w:tcBorders>
              <w:top w:val="nil"/>
              <w:left w:val="nil"/>
              <w:bottom w:val="nil"/>
              <w:right w:val="nil"/>
            </w:tcBorders>
            <w:shd w:val="clear" w:color="auto" w:fill="auto"/>
            <w:noWrap/>
            <w:vAlign w:val="center"/>
            <w:hideMark/>
          </w:tcPr>
          <w:p w14:paraId="2BDC5521"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-2,372</w:t>
            </w:r>
          </w:p>
        </w:tc>
        <w:tc>
          <w:tcPr>
            <w:tcW w:w="740" w:type="dxa"/>
            <w:tcBorders>
              <w:top w:val="nil"/>
              <w:left w:val="nil"/>
              <w:bottom w:val="nil"/>
              <w:right w:val="nil"/>
            </w:tcBorders>
            <w:shd w:val="clear" w:color="auto" w:fill="auto"/>
            <w:noWrap/>
            <w:vAlign w:val="center"/>
            <w:hideMark/>
          </w:tcPr>
          <w:p w14:paraId="3EBAAC2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-1,882</w:t>
            </w:r>
          </w:p>
        </w:tc>
        <w:tc>
          <w:tcPr>
            <w:tcW w:w="740" w:type="dxa"/>
            <w:tcBorders>
              <w:top w:val="nil"/>
              <w:left w:val="nil"/>
              <w:bottom w:val="nil"/>
              <w:right w:val="nil"/>
            </w:tcBorders>
            <w:shd w:val="clear" w:color="auto" w:fill="auto"/>
            <w:noWrap/>
            <w:vAlign w:val="center"/>
            <w:hideMark/>
          </w:tcPr>
          <w:p w14:paraId="1A6B33DB"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1,242</w:t>
            </w:r>
          </w:p>
        </w:tc>
        <w:tc>
          <w:tcPr>
            <w:tcW w:w="780" w:type="dxa"/>
            <w:tcBorders>
              <w:top w:val="nil"/>
              <w:left w:val="nil"/>
              <w:bottom w:val="nil"/>
              <w:right w:val="nil"/>
            </w:tcBorders>
            <w:shd w:val="clear" w:color="auto" w:fill="auto"/>
            <w:noWrap/>
            <w:vAlign w:val="center"/>
            <w:hideMark/>
          </w:tcPr>
          <w:p w14:paraId="1DB10A5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714</w:t>
            </w:r>
          </w:p>
        </w:tc>
        <w:tc>
          <w:tcPr>
            <w:tcW w:w="740" w:type="dxa"/>
            <w:tcBorders>
              <w:top w:val="single" w:sz="4" w:space="0" w:color="ADD6EA"/>
              <w:left w:val="nil"/>
              <w:bottom w:val="nil"/>
              <w:right w:val="nil"/>
            </w:tcBorders>
            <w:shd w:val="clear" w:color="auto" w:fill="auto"/>
            <w:noWrap/>
            <w:vAlign w:val="center"/>
            <w:hideMark/>
          </w:tcPr>
          <w:p w14:paraId="2BE569EB"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102</w:t>
            </w:r>
          </w:p>
        </w:tc>
        <w:tc>
          <w:tcPr>
            <w:tcW w:w="740" w:type="dxa"/>
            <w:tcBorders>
              <w:top w:val="single" w:sz="4" w:space="0" w:color="ADD6EA"/>
              <w:left w:val="nil"/>
              <w:bottom w:val="nil"/>
              <w:right w:val="nil"/>
            </w:tcBorders>
            <w:shd w:val="clear" w:color="auto" w:fill="auto"/>
            <w:noWrap/>
            <w:vAlign w:val="center"/>
            <w:hideMark/>
          </w:tcPr>
          <w:p w14:paraId="1B1D2175"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809</w:t>
            </w:r>
          </w:p>
        </w:tc>
        <w:tc>
          <w:tcPr>
            <w:tcW w:w="740" w:type="dxa"/>
            <w:tcBorders>
              <w:top w:val="single" w:sz="4" w:space="0" w:color="ADD6EA"/>
              <w:left w:val="nil"/>
              <w:bottom w:val="nil"/>
              <w:right w:val="nil"/>
            </w:tcBorders>
            <w:shd w:val="clear" w:color="auto" w:fill="auto"/>
            <w:noWrap/>
            <w:vAlign w:val="center"/>
            <w:hideMark/>
          </w:tcPr>
          <w:p w14:paraId="47994B1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-340</w:t>
            </w:r>
          </w:p>
        </w:tc>
        <w:tc>
          <w:tcPr>
            <w:tcW w:w="740" w:type="dxa"/>
            <w:tcBorders>
              <w:top w:val="single" w:sz="4" w:space="0" w:color="ADD6EA"/>
              <w:left w:val="nil"/>
              <w:bottom w:val="nil"/>
              <w:right w:val="nil"/>
            </w:tcBorders>
            <w:shd w:val="clear" w:color="auto" w:fill="auto"/>
            <w:noWrap/>
            <w:vAlign w:val="center"/>
            <w:hideMark/>
          </w:tcPr>
          <w:p w14:paraId="5EE3678F"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1,725</w:t>
            </w:r>
          </w:p>
        </w:tc>
        <w:tc>
          <w:tcPr>
            <w:tcW w:w="716" w:type="dxa"/>
            <w:tcBorders>
              <w:top w:val="single" w:sz="4" w:space="0" w:color="ADD6EA"/>
              <w:left w:val="nil"/>
              <w:bottom w:val="nil"/>
              <w:right w:val="nil"/>
            </w:tcBorders>
            <w:shd w:val="clear" w:color="auto" w:fill="auto"/>
            <w:noWrap/>
            <w:vAlign w:val="center"/>
            <w:hideMark/>
          </w:tcPr>
          <w:p w14:paraId="5508B27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4,593</w:t>
            </w:r>
          </w:p>
        </w:tc>
      </w:tr>
      <w:tr w:rsidR="005D474C" w:rsidRPr="005D474C" w14:paraId="5927245E" w14:textId="77777777" w:rsidTr="00FA21EF">
        <w:trPr>
          <w:trHeight w:val="315"/>
        </w:trPr>
        <w:tc>
          <w:tcPr>
            <w:tcW w:w="2302" w:type="dxa"/>
            <w:tcBorders>
              <w:top w:val="single" w:sz="4" w:space="0" w:color="ADD6EA"/>
              <w:left w:val="nil"/>
              <w:bottom w:val="nil"/>
              <w:right w:val="nil"/>
            </w:tcBorders>
            <w:shd w:val="clear" w:color="auto" w:fill="auto"/>
            <w:noWrap/>
            <w:vAlign w:val="center"/>
            <w:hideMark/>
          </w:tcPr>
          <w:p w14:paraId="234467EA" w14:textId="77777777" w:rsidR="005D474C" w:rsidRPr="005D474C" w:rsidRDefault="005D474C" w:rsidP="005D474C">
            <w:pPr>
              <w:tabs>
                <w:tab w:val="clear" w:pos="567"/>
              </w:tabs>
              <w:spacing w:before="0" w:line="240" w:lineRule="auto"/>
              <w:ind w:firstLineChars="200" w:firstLine="32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Indigenous status</w:t>
            </w:r>
          </w:p>
        </w:tc>
        <w:tc>
          <w:tcPr>
            <w:tcW w:w="703" w:type="dxa"/>
            <w:tcBorders>
              <w:top w:val="single" w:sz="4" w:space="0" w:color="ADD6EA"/>
              <w:left w:val="nil"/>
              <w:bottom w:val="nil"/>
              <w:right w:val="nil"/>
            </w:tcBorders>
            <w:shd w:val="clear" w:color="auto" w:fill="auto"/>
            <w:noWrap/>
            <w:vAlign w:val="center"/>
            <w:hideMark/>
          </w:tcPr>
          <w:p w14:paraId="125348B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385</w:t>
            </w:r>
          </w:p>
        </w:tc>
        <w:tc>
          <w:tcPr>
            <w:tcW w:w="740" w:type="dxa"/>
            <w:tcBorders>
              <w:top w:val="single" w:sz="4" w:space="0" w:color="ADD6EA"/>
              <w:left w:val="nil"/>
              <w:bottom w:val="nil"/>
              <w:right w:val="nil"/>
            </w:tcBorders>
            <w:shd w:val="clear" w:color="auto" w:fill="auto"/>
            <w:noWrap/>
            <w:vAlign w:val="center"/>
            <w:hideMark/>
          </w:tcPr>
          <w:p w14:paraId="201A2E2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-3,062</w:t>
            </w:r>
          </w:p>
        </w:tc>
        <w:tc>
          <w:tcPr>
            <w:tcW w:w="740" w:type="dxa"/>
            <w:tcBorders>
              <w:top w:val="single" w:sz="4" w:space="0" w:color="ADD6EA"/>
              <w:left w:val="nil"/>
              <w:bottom w:val="nil"/>
              <w:right w:val="nil"/>
            </w:tcBorders>
            <w:shd w:val="clear" w:color="auto" w:fill="auto"/>
            <w:noWrap/>
            <w:vAlign w:val="center"/>
            <w:hideMark/>
          </w:tcPr>
          <w:p w14:paraId="2768C66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1,346</w:t>
            </w:r>
          </w:p>
        </w:tc>
        <w:tc>
          <w:tcPr>
            <w:tcW w:w="780" w:type="dxa"/>
            <w:tcBorders>
              <w:top w:val="single" w:sz="4" w:space="0" w:color="ADD6EA"/>
              <w:left w:val="nil"/>
              <w:bottom w:val="nil"/>
              <w:right w:val="nil"/>
            </w:tcBorders>
            <w:shd w:val="clear" w:color="auto" w:fill="auto"/>
            <w:noWrap/>
            <w:vAlign w:val="center"/>
            <w:hideMark/>
          </w:tcPr>
          <w:p w14:paraId="798F9D5A"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300</w:t>
            </w:r>
          </w:p>
        </w:tc>
        <w:tc>
          <w:tcPr>
            <w:tcW w:w="740" w:type="dxa"/>
            <w:tcBorders>
              <w:top w:val="single" w:sz="4" w:space="0" w:color="ADD6EA"/>
              <w:left w:val="nil"/>
              <w:bottom w:val="nil"/>
              <w:right w:val="nil"/>
            </w:tcBorders>
            <w:shd w:val="clear" w:color="auto" w:fill="auto"/>
            <w:noWrap/>
            <w:vAlign w:val="center"/>
            <w:hideMark/>
          </w:tcPr>
          <w:p w14:paraId="15947A49"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-282</w:t>
            </w:r>
          </w:p>
        </w:tc>
        <w:tc>
          <w:tcPr>
            <w:tcW w:w="740" w:type="dxa"/>
            <w:tcBorders>
              <w:top w:val="single" w:sz="4" w:space="0" w:color="ADD6EA"/>
              <w:left w:val="nil"/>
              <w:bottom w:val="nil"/>
              <w:right w:val="nil"/>
            </w:tcBorders>
            <w:shd w:val="clear" w:color="auto" w:fill="auto"/>
            <w:noWrap/>
            <w:vAlign w:val="center"/>
            <w:hideMark/>
          </w:tcPr>
          <w:p w14:paraId="7C240E45"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185</w:t>
            </w:r>
          </w:p>
        </w:tc>
        <w:tc>
          <w:tcPr>
            <w:tcW w:w="740" w:type="dxa"/>
            <w:tcBorders>
              <w:top w:val="single" w:sz="4" w:space="0" w:color="ADD6EA"/>
              <w:left w:val="nil"/>
              <w:bottom w:val="nil"/>
              <w:right w:val="nil"/>
            </w:tcBorders>
            <w:shd w:val="clear" w:color="auto" w:fill="auto"/>
            <w:noWrap/>
            <w:vAlign w:val="center"/>
            <w:hideMark/>
          </w:tcPr>
          <w:p w14:paraId="0E445F69"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-132</w:t>
            </w:r>
          </w:p>
        </w:tc>
        <w:tc>
          <w:tcPr>
            <w:tcW w:w="740" w:type="dxa"/>
            <w:tcBorders>
              <w:top w:val="single" w:sz="4" w:space="0" w:color="ADD6EA"/>
              <w:left w:val="nil"/>
              <w:bottom w:val="nil"/>
              <w:right w:val="nil"/>
            </w:tcBorders>
            <w:shd w:val="clear" w:color="auto" w:fill="auto"/>
            <w:noWrap/>
            <w:vAlign w:val="center"/>
            <w:hideMark/>
          </w:tcPr>
          <w:p w14:paraId="700CF9D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1,260</w:t>
            </w:r>
          </w:p>
        </w:tc>
        <w:tc>
          <w:tcPr>
            <w:tcW w:w="716" w:type="dxa"/>
            <w:tcBorders>
              <w:top w:val="single" w:sz="4" w:space="0" w:color="ADD6EA"/>
              <w:left w:val="nil"/>
              <w:bottom w:val="nil"/>
              <w:right w:val="nil"/>
            </w:tcBorders>
            <w:shd w:val="clear" w:color="auto" w:fill="auto"/>
            <w:noWrap/>
            <w:vAlign w:val="center"/>
            <w:hideMark/>
          </w:tcPr>
          <w:p w14:paraId="3CD88305"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3,476</w:t>
            </w:r>
          </w:p>
        </w:tc>
      </w:tr>
      <w:tr w:rsidR="005D474C" w:rsidRPr="005D474C" w14:paraId="1E95BBAD" w14:textId="77777777" w:rsidTr="00FA21EF">
        <w:trPr>
          <w:trHeight w:val="555"/>
        </w:trPr>
        <w:tc>
          <w:tcPr>
            <w:tcW w:w="2302" w:type="dxa"/>
            <w:tcBorders>
              <w:top w:val="single" w:sz="4" w:space="0" w:color="ADD6EA"/>
              <w:left w:val="nil"/>
              <w:bottom w:val="nil"/>
              <w:right w:val="nil"/>
            </w:tcBorders>
            <w:shd w:val="clear" w:color="auto" w:fill="auto"/>
            <w:vAlign w:val="center"/>
            <w:hideMark/>
          </w:tcPr>
          <w:p w14:paraId="4DAB03E9" w14:textId="77777777" w:rsidR="005D474C" w:rsidRPr="005D474C" w:rsidRDefault="005D474C" w:rsidP="005D474C">
            <w:pPr>
              <w:tabs>
                <w:tab w:val="clear" w:pos="567"/>
              </w:tabs>
              <w:spacing w:before="0" w:line="240" w:lineRule="auto"/>
              <w:ind w:leftChars="160" w:left="32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Non-Indigenous disadvantage</w:t>
            </w:r>
          </w:p>
        </w:tc>
        <w:tc>
          <w:tcPr>
            <w:tcW w:w="703" w:type="dxa"/>
            <w:tcBorders>
              <w:top w:val="single" w:sz="4" w:space="0" w:color="ADD6EA"/>
              <w:left w:val="nil"/>
              <w:bottom w:val="nil"/>
              <w:right w:val="nil"/>
            </w:tcBorders>
            <w:shd w:val="clear" w:color="auto" w:fill="auto"/>
            <w:vAlign w:val="center"/>
            <w:hideMark/>
          </w:tcPr>
          <w:p w14:paraId="34C1F2B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-152</w:t>
            </w:r>
          </w:p>
        </w:tc>
        <w:tc>
          <w:tcPr>
            <w:tcW w:w="740" w:type="dxa"/>
            <w:tcBorders>
              <w:top w:val="single" w:sz="4" w:space="0" w:color="ADD6EA"/>
              <w:left w:val="nil"/>
              <w:bottom w:val="nil"/>
              <w:right w:val="nil"/>
            </w:tcBorders>
            <w:shd w:val="clear" w:color="auto" w:fill="auto"/>
            <w:vAlign w:val="center"/>
            <w:hideMark/>
          </w:tcPr>
          <w:p w14:paraId="0F890DA2"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-277</w:t>
            </w:r>
          </w:p>
        </w:tc>
        <w:tc>
          <w:tcPr>
            <w:tcW w:w="740" w:type="dxa"/>
            <w:tcBorders>
              <w:top w:val="single" w:sz="4" w:space="0" w:color="ADD6EA"/>
              <w:left w:val="nil"/>
              <w:bottom w:val="nil"/>
              <w:right w:val="nil"/>
            </w:tcBorders>
            <w:shd w:val="clear" w:color="auto" w:fill="auto"/>
            <w:vAlign w:val="center"/>
            <w:hideMark/>
          </w:tcPr>
          <w:p w14:paraId="17DCA75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458</w:t>
            </w:r>
          </w:p>
        </w:tc>
        <w:tc>
          <w:tcPr>
            <w:tcW w:w="780" w:type="dxa"/>
            <w:tcBorders>
              <w:top w:val="single" w:sz="4" w:space="0" w:color="ADD6EA"/>
              <w:left w:val="nil"/>
              <w:bottom w:val="nil"/>
              <w:right w:val="nil"/>
            </w:tcBorders>
            <w:shd w:val="clear" w:color="auto" w:fill="auto"/>
            <w:vAlign w:val="center"/>
            <w:hideMark/>
          </w:tcPr>
          <w:p w14:paraId="070C83E2"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-177</w:t>
            </w:r>
          </w:p>
        </w:tc>
        <w:tc>
          <w:tcPr>
            <w:tcW w:w="740" w:type="dxa"/>
            <w:tcBorders>
              <w:top w:val="single" w:sz="4" w:space="0" w:color="ADD6EA"/>
              <w:left w:val="nil"/>
              <w:bottom w:val="nil"/>
              <w:right w:val="nil"/>
            </w:tcBorders>
            <w:shd w:val="clear" w:color="auto" w:fill="auto"/>
            <w:vAlign w:val="center"/>
            <w:hideMark/>
          </w:tcPr>
          <w:p w14:paraId="062C2F5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492</w:t>
            </w:r>
          </w:p>
        </w:tc>
        <w:tc>
          <w:tcPr>
            <w:tcW w:w="740" w:type="dxa"/>
            <w:tcBorders>
              <w:top w:val="single" w:sz="4" w:space="0" w:color="ADD6EA"/>
              <w:left w:val="nil"/>
              <w:bottom w:val="nil"/>
              <w:right w:val="nil"/>
            </w:tcBorders>
            <w:shd w:val="clear" w:color="auto" w:fill="auto"/>
            <w:vAlign w:val="center"/>
            <w:hideMark/>
          </w:tcPr>
          <w:p w14:paraId="68203BCC"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147</w:t>
            </w:r>
          </w:p>
        </w:tc>
        <w:tc>
          <w:tcPr>
            <w:tcW w:w="740" w:type="dxa"/>
            <w:tcBorders>
              <w:top w:val="single" w:sz="4" w:space="0" w:color="ADD6EA"/>
              <w:left w:val="nil"/>
              <w:bottom w:val="nil"/>
              <w:right w:val="nil"/>
            </w:tcBorders>
            <w:shd w:val="clear" w:color="auto" w:fill="auto"/>
            <w:vAlign w:val="center"/>
            <w:hideMark/>
          </w:tcPr>
          <w:p w14:paraId="37A2E73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-355</w:t>
            </w:r>
          </w:p>
        </w:tc>
        <w:tc>
          <w:tcPr>
            <w:tcW w:w="740" w:type="dxa"/>
            <w:tcBorders>
              <w:top w:val="single" w:sz="4" w:space="0" w:color="ADD6EA"/>
              <w:left w:val="nil"/>
              <w:bottom w:val="nil"/>
              <w:right w:val="nil"/>
            </w:tcBorders>
            <w:shd w:val="clear" w:color="auto" w:fill="auto"/>
            <w:vAlign w:val="center"/>
            <w:hideMark/>
          </w:tcPr>
          <w:p w14:paraId="7F8DD8BC"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-136</w:t>
            </w:r>
          </w:p>
        </w:tc>
        <w:tc>
          <w:tcPr>
            <w:tcW w:w="716" w:type="dxa"/>
            <w:tcBorders>
              <w:top w:val="single" w:sz="4" w:space="0" w:color="ADD6EA"/>
              <w:left w:val="nil"/>
              <w:bottom w:val="nil"/>
              <w:right w:val="nil"/>
            </w:tcBorders>
            <w:shd w:val="clear" w:color="auto" w:fill="auto"/>
            <w:vAlign w:val="center"/>
            <w:hideMark/>
          </w:tcPr>
          <w:p w14:paraId="7FC0B2BB"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1,097</w:t>
            </w:r>
          </w:p>
        </w:tc>
      </w:tr>
      <w:tr w:rsidR="005D474C" w:rsidRPr="005D474C" w14:paraId="0315BE8D" w14:textId="77777777" w:rsidTr="00FA21EF">
        <w:trPr>
          <w:trHeight w:val="315"/>
        </w:trPr>
        <w:tc>
          <w:tcPr>
            <w:tcW w:w="2302" w:type="dxa"/>
            <w:tcBorders>
              <w:top w:val="single" w:sz="4" w:space="0" w:color="ADD6EA"/>
              <w:left w:val="nil"/>
              <w:bottom w:val="nil"/>
              <w:right w:val="nil"/>
            </w:tcBorders>
            <w:shd w:val="clear" w:color="auto" w:fill="auto"/>
            <w:noWrap/>
            <w:vAlign w:val="center"/>
            <w:hideMark/>
          </w:tcPr>
          <w:p w14:paraId="714DAC8B" w14:textId="77777777" w:rsidR="005D474C" w:rsidRPr="005D474C" w:rsidRDefault="005D474C" w:rsidP="005D474C">
            <w:pPr>
              <w:tabs>
                <w:tab w:val="clear" w:pos="567"/>
              </w:tabs>
              <w:spacing w:before="0" w:line="240" w:lineRule="auto"/>
              <w:ind w:firstLineChars="200" w:firstLine="32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Age</w:t>
            </w:r>
          </w:p>
        </w:tc>
        <w:tc>
          <w:tcPr>
            <w:tcW w:w="703" w:type="dxa"/>
            <w:tcBorders>
              <w:top w:val="single" w:sz="4" w:space="0" w:color="ADD6EA"/>
              <w:left w:val="nil"/>
              <w:bottom w:val="nil"/>
              <w:right w:val="nil"/>
            </w:tcBorders>
            <w:shd w:val="clear" w:color="auto" w:fill="auto"/>
            <w:noWrap/>
            <w:vAlign w:val="center"/>
            <w:hideMark/>
          </w:tcPr>
          <w:p w14:paraId="4BE1426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292</w:t>
            </w:r>
          </w:p>
        </w:tc>
        <w:tc>
          <w:tcPr>
            <w:tcW w:w="740" w:type="dxa"/>
            <w:tcBorders>
              <w:top w:val="single" w:sz="4" w:space="0" w:color="ADD6EA"/>
              <w:left w:val="nil"/>
              <w:bottom w:val="nil"/>
              <w:right w:val="nil"/>
            </w:tcBorders>
            <w:shd w:val="clear" w:color="auto" w:fill="auto"/>
            <w:noWrap/>
            <w:vAlign w:val="center"/>
            <w:hideMark/>
          </w:tcPr>
          <w:p w14:paraId="1BBCAD6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-169</w:t>
            </w:r>
          </w:p>
        </w:tc>
        <w:tc>
          <w:tcPr>
            <w:tcW w:w="740" w:type="dxa"/>
            <w:tcBorders>
              <w:top w:val="single" w:sz="4" w:space="0" w:color="ADD6EA"/>
              <w:left w:val="nil"/>
              <w:bottom w:val="nil"/>
              <w:right w:val="nil"/>
            </w:tcBorders>
            <w:shd w:val="clear" w:color="auto" w:fill="auto"/>
            <w:noWrap/>
            <w:vAlign w:val="center"/>
            <w:hideMark/>
          </w:tcPr>
          <w:p w14:paraId="30550F4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-179</w:t>
            </w:r>
          </w:p>
        </w:tc>
        <w:tc>
          <w:tcPr>
            <w:tcW w:w="780" w:type="dxa"/>
            <w:tcBorders>
              <w:top w:val="single" w:sz="4" w:space="0" w:color="ADD6EA"/>
              <w:left w:val="nil"/>
              <w:bottom w:val="nil"/>
              <w:right w:val="nil"/>
            </w:tcBorders>
            <w:shd w:val="clear" w:color="auto" w:fill="auto"/>
            <w:noWrap/>
            <w:vAlign w:val="center"/>
            <w:hideMark/>
          </w:tcPr>
          <w:p w14:paraId="4A38D05E"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-79</w:t>
            </w:r>
          </w:p>
        </w:tc>
        <w:tc>
          <w:tcPr>
            <w:tcW w:w="740" w:type="dxa"/>
            <w:tcBorders>
              <w:top w:val="single" w:sz="4" w:space="0" w:color="ADD6EA"/>
              <w:left w:val="nil"/>
              <w:bottom w:val="nil"/>
              <w:right w:val="nil"/>
            </w:tcBorders>
            <w:shd w:val="clear" w:color="auto" w:fill="auto"/>
            <w:noWrap/>
            <w:vAlign w:val="center"/>
            <w:hideMark/>
          </w:tcPr>
          <w:p w14:paraId="009E865C"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294</w:t>
            </w:r>
          </w:p>
        </w:tc>
        <w:tc>
          <w:tcPr>
            <w:tcW w:w="740" w:type="dxa"/>
            <w:tcBorders>
              <w:top w:val="single" w:sz="4" w:space="0" w:color="ADD6EA"/>
              <w:left w:val="nil"/>
              <w:bottom w:val="nil"/>
              <w:right w:val="nil"/>
            </w:tcBorders>
            <w:shd w:val="clear" w:color="auto" w:fill="auto"/>
            <w:noWrap/>
            <w:vAlign w:val="center"/>
            <w:hideMark/>
          </w:tcPr>
          <w:p w14:paraId="5C95339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-24</w:t>
            </w:r>
          </w:p>
        </w:tc>
        <w:tc>
          <w:tcPr>
            <w:tcW w:w="740" w:type="dxa"/>
            <w:tcBorders>
              <w:top w:val="single" w:sz="4" w:space="0" w:color="ADD6EA"/>
              <w:left w:val="nil"/>
              <w:bottom w:val="nil"/>
              <w:right w:val="nil"/>
            </w:tcBorders>
            <w:shd w:val="clear" w:color="auto" w:fill="auto"/>
            <w:noWrap/>
            <w:vAlign w:val="center"/>
            <w:hideMark/>
          </w:tcPr>
          <w:p w14:paraId="62E8FC39"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-41</w:t>
            </w:r>
          </w:p>
        </w:tc>
        <w:tc>
          <w:tcPr>
            <w:tcW w:w="740" w:type="dxa"/>
            <w:tcBorders>
              <w:top w:val="single" w:sz="4" w:space="0" w:color="ADD6EA"/>
              <w:left w:val="nil"/>
              <w:bottom w:val="nil"/>
              <w:right w:val="nil"/>
            </w:tcBorders>
            <w:shd w:val="clear" w:color="auto" w:fill="auto"/>
            <w:noWrap/>
            <w:vAlign w:val="center"/>
            <w:hideMark/>
          </w:tcPr>
          <w:p w14:paraId="1F21103E"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-94</w:t>
            </w:r>
          </w:p>
        </w:tc>
        <w:tc>
          <w:tcPr>
            <w:tcW w:w="716" w:type="dxa"/>
            <w:tcBorders>
              <w:top w:val="single" w:sz="4" w:space="0" w:color="ADD6EA"/>
              <w:left w:val="nil"/>
              <w:bottom w:val="nil"/>
              <w:right w:val="nil"/>
            </w:tcBorders>
            <w:shd w:val="clear" w:color="auto" w:fill="auto"/>
            <w:noWrap/>
            <w:vAlign w:val="center"/>
            <w:hideMark/>
          </w:tcPr>
          <w:p w14:paraId="5278E5D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586</w:t>
            </w:r>
          </w:p>
        </w:tc>
      </w:tr>
      <w:tr w:rsidR="005D474C" w:rsidRPr="005D474C" w14:paraId="0C6F7730" w14:textId="77777777" w:rsidTr="00FA21EF">
        <w:trPr>
          <w:trHeight w:val="315"/>
        </w:trPr>
        <w:tc>
          <w:tcPr>
            <w:tcW w:w="2302" w:type="dxa"/>
            <w:tcBorders>
              <w:top w:val="single" w:sz="4" w:space="0" w:color="ADD6EA"/>
              <w:left w:val="nil"/>
              <w:bottom w:val="nil"/>
              <w:right w:val="nil"/>
            </w:tcBorders>
            <w:shd w:val="clear" w:color="auto" w:fill="auto"/>
            <w:vAlign w:val="center"/>
            <w:hideMark/>
          </w:tcPr>
          <w:p w14:paraId="743BD41A" w14:textId="77777777" w:rsidR="005D474C" w:rsidRPr="005D474C" w:rsidRDefault="005D474C" w:rsidP="005D474C">
            <w:pPr>
              <w:tabs>
                <w:tab w:val="clear" w:pos="567"/>
              </w:tabs>
              <w:spacing w:before="0" w:line="240" w:lineRule="auto"/>
              <w:ind w:firstLineChars="200" w:firstLine="32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Other SDC</w:t>
            </w:r>
          </w:p>
        </w:tc>
        <w:tc>
          <w:tcPr>
            <w:tcW w:w="703" w:type="dxa"/>
            <w:tcBorders>
              <w:top w:val="single" w:sz="4" w:space="0" w:color="ADD6EA"/>
              <w:left w:val="nil"/>
              <w:bottom w:val="nil"/>
              <w:right w:val="nil"/>
            </w:tcBorders>
            <w:shd w:val="clear" w:color="auto" w:fill="auto"/>
            <w:noWrap/>
            <w:vAlign w:val="center"/>
            <w:hideMark/>
          </w:tcPr>
          <w:p w14:paraId="3644E215"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-141</w:t>
            </w:r>
          </w:p>
        </w:tc>
        <w:tc>
          <w:tcPr>
            <w:tcW w:w="740" w:type="dxa"/>
            <w:tcBorders>
              <w:top w:val="single" w:sz="4" w:space="0" w:color="ADD6EA"/>
              <w:left w:val="nil"/>
              <w:bottom w:val="nil"/>
              <w:right w:val="nil"/>
            </w:tcBorders>
            <w:shd w:val="clear" w:color="auto" w:fill="auto"/>
            <w:noWrap/>
            <w:vAlign w:val="center"/>
            <w:hideMark/>
          </w:tcPr>
          <w:p w14:paraId="0BA21B1F"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-226</w:t>
            </w:r>
          </w:p>
        </w:tc>
        <w:tc>
          <w:tcPr>
            <w:tcW w:w="740" w:type="dxa"/>
            <w:tcBorders>
              <w:top w:val="single" w:sz="4" w:space="0" w:color="ADD6EA"/>
              <w:left w:val="nil"/>
              <w:bottom w:val="nil"/>
              <w:right w:val="nil"/>
            </w:tcBorders>
            <w:shd w:val="clear" w:color="auto" w:fill="auto"/>
            <w:noWrap/>
            <w:vAlign w:val="center"/>
            <w:hideMark/>
          </w:tcPr>
          <w:p w14:paraId="64F71F6B"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246</w:t>
            </w:r>
          </w:p>
        </w:tc>
        <w:tc>
          <w:tcPr>
            <w:tcW w:w="780" w:type="dxa"/>
            <w:tcBorders>
              <w:top w:val="single" w:sz="4" w:space="0" w:color="ADD6EA"/>
              <w:left w:val="nil"/>
              <w:bottom w:val="nil"/>
              <w:right w:val="nil"/>
            </w:tcBorders>
            <w:shd w:val="clear" w:color="auto" w:fill="auto"/>
            <w:noWrap/>
            <w:vAlign w:val="center"/>
            <w:hideMark/>
          </w:tcPr>
          <w:p w14:paraId="777D3DAF"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42</w:t>
            </w:r>
          </w:p>
        </w:tc>
        <w:tc>
          <w:tcPr>
            <w:tcW w:w="740" w:type="dxa"/>
            <w:tcBorders>
              <w:top w:val="single" w:sz="4" w:space="0" w:color="ADD6EA"/>
              <w:left w:val="nil"/>
              <w:bottom w:val="nil"/>
              <w:right w:val="nil"/>
            </w:tcBorders>
            <w:shd w:val="clear" w:color="auto" w:fill="auto"/>
            <w:noWrap/>
            <w:vAlign w:val="center"/>
            <w:hideMark/>
          </w:tcPr>
          <w:p w14:paraId="1AB45F68"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20</w:t>
            </w:r>
          </w:p>
        </w:tc>
        <w:tc>
          <w:tcPr>
            <w:tcW w:w="740" w:type="dxa"/>
            <w:tcBorders>
              <w:top w:val="single" w:sz="4" w:space="0" w:color="ADD6EA"/>
              <w:left w:val="nil"/>
              <w:bottom w:val="nil"/>
              <w:right w:val="nil"/>
            </w:tcBorders>
            <w:shd w:val="clear" w:color="auto" w:fill="auto"/>
            <w:noWrap/>
            <w:vAlign w:val="center"/>
            <w:hideMark/>
          </w:tcPr>
          <w:p w14:paraId="14BCE3F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-35</w:t>
            </w:r>
          </w:p>
        </w:tc>
        <w:tc>
          <w:tcPr>
            <w:tcW w:w="740" w:type="dxa"/>
            <w:tcBorders>
              <w:top w:val="single" w:sz="4" w:space="0" w:color="ADD6EA"/>
              <w:left w:val="nil"/>
              <w:bottom w:val="nil"/>
              <w:right w:val="nil"/>
            </w:tcBorders>
            <w:shd w:val="clear" w:color="auto" w:fill="auto"/>
            <w:noWrap/>
            <w:vAlign w:val="center"/>
            <w:hideMark/>
          </w:tcPr>
          <w:p w14:paraId="2D8128C8"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-39</w:t>
            </w:r>
          </w:p>
        </w:tc>
        <w:tc>
          <w:tcPr>
            <w:tcW w:w="740" w:type="dxa"/>
            <w:tcBorders>
              <w:top w:val="single" w:sz="4" w:space="0" w:color="ADD6EA"/>
              <w:left w:val="nil"/>
              <w:bottom w:val="nil"/>
              <w:right w:val="nil"/>
            </w:tcBorders>
            <w:shd w:val="clear" w:color="auto" w:fill="auto"/>
            <w:noWrap/>
            <w:vAlign w:val="center"/>
            <w:hideMark/>
          </w:tcPr>
          <w:p w14:paraId="4F065C25"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133</w:t>
            </w:r>
          </w:p>
        </w:tc>
        <w:tc>
          <w:tcPr>
            <w:tcW w:w="716" w:type="dxa"/>
            <w:tcBorders>
              <w:top w:val="single" w:sz="4" w:space="0" w:color="ADD6EA"/>
              <w:left w:val="nil"/>
              <w:bottom w:val="nil"/>
              <w:right w:val="nil"/>
            </w:tcBorders>
            <w:shd w:val="clear" w:color="auto" w:fill="auto"/>
            <w:noWrap/>
            <w:vAlign w:val="center"/>
            <w:hideMark/>
          </w:tcPr>
          <w:p w14:paraId="4209C8F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441</w:t>
            </w:r>
          </w:p>
        </w:tc>
      </w:tr>
      <w:tr w:rsidR="005D474C" w:rsidRPr="005D474C" w14:paraId="7F80DA9C" w14:textId="77777777" w:rsidTr="00FA21EF">
        <w:trPr>
          <w:trHeight w:val="315"/>
        </w:trPr>
        <w:tc>
          <w:tcPr>
            <w:tcW w:w="2302" w:type="dxa"/>
            <w:tcBorders>
              <w:top w:val="single" w:sz="4" w:space="0" w:color="ADD6EA"/>
              <w:left w:val="nil"/>
              <w:bottom w:val="single" w:sz="4" w:space="0" w:color="ADD6EA"/>
              <w:right w:val="nil"/>
            </w:tcBorders>
            <w:shd w:val="clear" w:color="000000" w:fill="B6D5E4"/>
            <w:vAlign w:val="center"/>
            <w:hideMark/>
          </w:tcPr>
          <w:p w14:paraId="2B3C1C8B" w14:textId="77777777" w:rsidR="005D474C" w:rsidRPr="005D474C" w:rsidRDefault="005D474C" w:rsidP="005D474C">
            <w:pPr>
              <w:tabs>
                <w:tab w:val="clear" w:pos="567"/>
              </w:tabs>
              <w:spacing w:before="0" w:line="240" w:lineRule="auto"/>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Total SDC</w:t>
            </w:r>
          </w:p>
        </w:tc>
        <w:tc>
          <w:tcPr>
            <w:tcW w:w="703" w:type="dxa"/>
            <w:tcBorders>
              <w:top w:val="single" w:sz="4" w:space="0" w:color="ADD6EA"/>
              <w:left w:val="nil"/>
              <w:bottom w:val="single" w:sz="4" w:space="0" w:color="ADD6EA"/>
              <w:right w:val="nil"/>
            </w:tcBorders>
            <w:shd w:val="clear" w:color="000000" w:fill="B6D5E4"/>
            <w:noWrap/>
            <w:vAlign w:val="center"/>
            <w:hideMark/>
          </w:tcPr>
          <w:p w14:paraId="3C1FCB80"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-1,987</w:t>
            </w:r>
          </w:p>
        </w:tc>
        <w:tc>
          <w:tcPr>
            <w:tcW w:w="740" w:type="dxa"/>
            <w:tcBorders>
              <w:top w:val="single" w:sz="4" w:space="0" w:color="ADD6EA"/>
              <w:left w:val="nil"/>
              <w:bottom w:val="single" w:sz="4" w:space="0" w:color="ADD6EA"/>
              <w:right w:val="nil"/>
            </w:tcBorders>
            <w:shd w:val="clear" w:color="000000" w:fill="B6D5E4"/>
            <w:noWrap/>
            <w:vAlign w:val="center"/>
            <w:hideMark/>
          </w:tcPr>
          <w:p w14:paraId="2ACEC086"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-5,615</w:t>
            </w:r>
          </w:p>
        </w:tc>
        <w:tc>
          <w:tcPr>
            <w:tcW w:w="740" w:type="dxa"/>
            <w:tcBorders>
              <w:top w:val="single" w:sz="4" w:space="0" w:color="ADD6EA"/>
              <w:left w:val="nil"/>
              <w:bottom w:val="single" w:sz="4" w:space="0" w:color="ADD6EA"/>
              <w:right w:val="nil"/>
            </w:tcBorders>
            <w:shd w:val="clear" w:color="000000" w:fill="B6D5E4"/>
            <w:noWrap/>
            <w:vAlign w:val="center"/>
            <w:hideMark/>
          </w:tcPr>
          <w:p w14:paraId="58BC920B"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3,113</w:t>
            </w:r>
          </w:p>
        </w:tc>
        <w:tc>
          <w:tcPr>
            <w:tcW w:w="780" w:type="dxa"/>
            <w:tcBorders>
              <w:top w:val="single" w:sz="4" w:space="0" w:color="ADD6EA"/>
              <w:left w:val="nil"/>
              <w:bottom w:val="single" w:sz="4" w:space="0" w:color="ADD6EA"/>
              <w:right w:val="nil"/>
            </w:tcBorders>
            <w:shd w:val="clear" w:color="000000" w:fill="B6D5E4"/>
            <w:noWrap/>
            <w:vAlign w:val="center"/>
            <w:hideMark/>
          </w:tcPr>
          <w:p w14:paraId="553BA722"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801</w:t>
            </w:r>
          </w:p>
        </w:tc>
        <w:tc>
          <w:tcPr>
            <w:tcW w:w="740" w:type="dxa"/>
            <w:tcBorders>
              <w:top w:val="single" w:sz="4" w:space="0" w:color="ADD6EA"/>
              <w:left w:val="nil"/>
              <w:bottom w:val="single" w:sz="4" w:space="0" w:color="ADD6EA"/>
              <w:right w:val="nil"/>
            </w:tcBorders>
            <w:shd w:val="clear" w:color="000000" w:fill="B6D5E4"/>
            <w:noWrap/>
            <w:vAlign w:val="center"/>
            <w:hideMark/>
          </w:tcPr>
          <w:p w14:paraId="6C8795D8"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627</w:t>
            </w:r>
          </w:p>
        </w:tc>
        <w:tc>
          <w:tcPr>
            <w:tcW w:w="740" w:type="dxa"/>
            <w:tcBorders>
              <w:top w:val="single" w:sz="4" w:space="0" w:color="ADD6EA"/>
              <w:left w:val="nil"/>
              <w:bottom w:val="single" w:sz="4" w:space="0" w:color="ADD6EA"/>
              <w:right w:val="nil"/>
            </w:tcBorders>
            <w:shd w:val="clear" w:color="000000" w:fill="B6D5E4"/>
            <w:noWrap/>
            <w:vAlign w:val="center"/>
            <w:hideMark/>
          </w:tcPr>
          <w:p w14:paraId="288C7F26"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1,082</w:t>
            </w:r>
          </w:p>
        </w:tc>
        <w:tc>
          <w:tcPr>
            <w:tcW w:w="740" w:type="dxa"/>
            <w:tcBorders>
              <w:top w:val="single" w:sz="4" w:space="0" w:color="ADD6EA"/>
              <w:left w:val="nil"/>
              <w:bottom w:val="single" w:sz="4" w:space="0" w:color="ADD6EA"/>
              <w:right w:val="nil"/>
            </w:tcBorders>
            <w:shd w:val="clear" w:color="000000" w:fill="B6D5E4"/>
            <w:noWrap/>
            <w:vAlign w:val="center"/>
            <w:hideMark/>
          </w:tcPr>
          <w:p w14:paraId="30F69C10"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-907</w:t>
            </w:r>
          </w:p>
        </w:tc>
        <w:tc>
          <w:tcPr>
            <w:tcW w:w="740" w:type="dxa"/>
            <w:tcBorders>
              <w:top w:val="single" w:sz="4" w:space="0" w:color="ADD6EA"/>
              <w:left w:val="nil"/>
              <w:bottom w:val="single" w:sz="4" w:space="0" w:color="ADD6EA"/>
              <w:right w:val="nil"/>
            </w:tcBorders>
            <w:shd w:val="clear" w:color="000000" w:fill="B6D5E4"/>
            <w:noWrap/>
            <w:vAlign w:val="center"/>
            <w:hideMark/>
          </w:tcPr>
          <w:p w14:paraId="7FCDE1AF"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2,887</w:t>
            </w:r>
          </w:p>
        </w:tc>
        <w:tc>
          <w:tcPr>
            <w:tcW w:w="716" w:type="dxa"/>
            <w:tcBorders>
              <w:top w:val="single" w:sz="4" w:space="0" w:color="ADD6EA"/>
              <w:left w:val="nil"/>
              <w:bottom w:val="single" w:sz="4" w:space="0" w:color="ADD6EA"/>
              <w:right w:val="nil"/>
            </w:tcBorders>
            <w:shd w:val="clear" w:color="000000" w:fill="B6D5E4"/>
            <w:noWrap/>
            <w:vAlign w:val="center"/>
            <w:hideMark/>
          </w:tcPr>
          <w:p w14:paraId="1857E88B"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8,510</w:t>
            </w:r>
          </w:p>
        </w:tc>
      </w:tr>
      <w:tr w:rsidR="005D474C" w:rsidRPr="005D474C" w14:paraId="43916864" w14:textId="77777777" w:rsidTr="00FA21EF">
        <w:trPr>
          <w:trHeight w:val="315"/>
        </w:trPr>
        <w:tc>
          <w:tcPr>
            <w:tcW w:w="2302" w:type="dxa"/>
            <w:tcBorders>
              <w:top w:val="nil"/>
              <w:left w:val="nil"/>
              <w:bottom w:val="nil"/>
              <w:right w:val="nil"/>
            </w:tcBorders>
            <w:shd w:val="clear" w:color="auto" w:fill="auto"/>
            <w:noWrap/>
            <w:vAlign w:val="center"/>
            <w:hideMark/>
          </w:tcPr>
          <w:p w14:paraId="0D4F82C5" w14:textId="77777777" w:rsidR="005D474C" w:rsidRPr="005D474C" w:rsidRDefault="005D474C" w:rsidP="005D474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COVID-19</w:t>
            </w:r>
          </w:p>
        </w:tc>
        <w:tc>
          <w:tcPr>
            <w:tcW w:w="703" w:type="dxa"/>
            <w:tcBorders>
              <w:top w:val="nil"/>
              <w:left w:val="nil"/>
              <w:bottom w:val="nil"/>
              <w:right w:val="nil"/>
            </w:tcBorders>
            <w:shd w:val="clear" w:color="auto" w:fill="auto"/>
            <w:noWrap/>
            <w:vAlign w:val="center"/>
            <w:hideMark/>
          </w:tcPr>
          <w:p w14:paraId="3E5868DA"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1,325</w:t>
            </w:r>
          </w:p>
        </w:tc>
        <w:tc>
          <w:tcPr>
            <w:tcW w:w="740" w:type="dxa"/>
            <w:tcBorders>
              <w:top w:val="nil"/>
              <w:left w:val="nil"/>
              <w:bottom w:val="nil"/>
              <w:right w:val="nil"/>
            </w:tcBorders>
            <w:shd w:val="clear" w:color="auto" w:fill="auto"/>
            <w:noWrap/>
            <w:vAlign w:val="center"/>
            <w:hideMark/>
          </w:tcPr>
          <w:p w14:paraId="60BB5041"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1,558</w:t>
            </w:r>
          </w:p>
        </w:tc>
        <w:tc>
          <w:tcPr>
            <w:tcW w:w="740" w:type="dxa"/>
            <w:tcBorders>
              <w:top w:val="nil"/>
              <w:left w:val="nil"/>
              <w:bottom w:val="nil"/>
              <w:right w:val="nil"/>
            </w:tcBorders>
            <w:shd w:val="clear" w:color="auto" w:fill="auto"/>
            <w:noWrap/>
            <w:vAlign w:val="center"/>
            <w:hideMark/>
          </w:tcPr>
          <w:p w14:paraId="0D02BE62"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-1,618</w:t>
            </w:r>
          </w:p>
        </w:tc>
        <w:tc>
          <w:tcPr>
            <w:tcW w:w="780" w:type="dxa"/>
            <w:tcBorders>
              <w:top w:val="nil"/>
              <w:left w:val="nil"/>
              <w:bottom w:val="nil"/>
              <w:right w:val="nil"/>
            </w:tcBorders>
            <w:shd w:val="clear" w:color="auto" w:fill="auto"/>
            <w:noWrap/>
            <w:vAlign w:val="center"/>
            <w:hideMark/>
          </w:tcPr>
          <w:p w14:paraId="3D4E773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-637</w:t>
            </w:r>
          </w:p>
        </w:tc>
        <w:tc>
          <w:tcPr>
            <w:tcW w:w="740" w:type="dxa"/>
            <w:tcBorders>
              <w:top w:val="nil"/>
              <w:left w:val="nil"/>
              <w:bottom w:val="nil"/>
              <w:right w:val="nil"/>
            </w:tcBorders>
            <w:shd w:val="clear" w:color="auto" w:fill="auto"/>
            <w:noWrap/>
            <w:vAlign w:val="center"/>
            <w:hideMark/>
          </w:tcPr>
          <w:p w14:paraId="06413D8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-532</w:t>
            </w:r>
          </w:p>
        </w:tc>
        <w:tc>
          <w:tcPr>
            <w:tcW w:w="740" w:type="dxa"/>
            <w:tcBorders>
              <w:top w:val="nil"/>
              <w:left w:val="nil"/>
              <w:bottom w:val="nil"/>
              <w:right w:val="nil"/>
            </w:tcBorders>
            <w:shd w:val="clear" w:color="auto" w:fill="auto"/>
            <w:noWrap/>
            <w:vAlign w:val="center"/>
            <w:hideMark/>
          </w:tcPr>
          <w:p w14:paraId="0FE0FEEA"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-84</w:t>
            </w:r>
          </w:p>
        </w:tc>
        <w:tc>
          <w:tcPr>
            <w:tcW w:w="740" w:type="dxa"/>
            <w:tcBorders>
              <w:top w:val="nil"/>
              <w:left w:val="nil"/>
              <w:bottom w:val="nil"/>
              <w:right w:val="nil"/>
            </w:tcBorders>
            <w:shd w:val="clear" w:color="auto" w:fill="auto"/>
            <w:noWrap/>
            <w:vAlign w:val="center"/>
            <w:hideMark/>
          </w:tcPr>
          <w:p w14:paraId="45A01F5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21</w:t>
            </w:r>
          </w:p>
        </w:tc>
        <w:tc>
          <w:tcPr>
            <w:tcW w:w="740" w:type="dxa"/>
            <w:tcBorders>
              <w:top w:val="nil"/>
              <w:left w:val="nil"/>
              <w:bottom w:val="nil"/>
              <w:right w:val="nil"/>
            </w:tcBorders>
            <w:shd w:val="clear" w:color="auto" w:fill="auto"/>
            <w:noWrap/>
            <w:vAlign w:val="center"/>
            <w:hideMark/>
          </w:tcPr>
          <w:p w14:paraId="2ADE24C5"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-34</w:t>
            </w:r>
          </w:p>
        </w:tc>
        <w:tc>
          <w:tcPr>
            <w:tcW w:w="716" w:type="dxa"/>
            <w:tcBorders>
              <w:top w:val="nil"/>
              <w:left w:val="nil"/>
              <w:bottom w:val="nil"/>
              <w:right w:val="nil"/>
            </w:tcBorders>
            <w:shd w:val="clear" w:color="auto" w:fill="auto"/>
            <w:noWrap/>
            <w:vAlign w:val="center"/>
            <w:hideMark/>
          </w:tcPr>
          <w:p w14:paraId="273551D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2,904</w:t>
            </w:r>
          </w:p>
        </w:tc>
      </w:tr>
      <w:tr w:rsidR="005D474C" w:rsidRPr="005D474C" w14:paraId="6DE8B1AD" w14:textId="77777777" w:rsidTr="00FA21EF">
        <w:trPr>
          <w:trHeight w:val="315"/>
        </w:trPr>
        <w:tc>
          <w:tcPr>
            <w:tcW w:w="2302" w:type="dxa"/>
            <w:tcBorders>
              <w:top w:val="single" w:sz="4" w:space="0" w:color="ADD6EA"/>
              <w:left w:val="nil"/>
              <w:bottom w:val="nil"/>
              <w:right w:val="nil"/>
            </w:tcBorders>
            <w:shd w:val="clear" w:color="auto" w:fill="auto"/>
            <w:noWrap/>
            <w:vAlign w:val="center"/>
            <w:hideMark/>
          </w:tcPr>
          <w:p w14:paraId="3C5EA283" w14:textId="77777777" w:rsidR="005D474C" w:rsidRPr="005D474C" w:rsidRDefault="005D474C" w:rsidP="005D474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Administrative scale</w:t>
            </w:r>
          </w:p>
        </w:tc>
        <w:tc>
          <w:tcPr>
            <w:tcW w:w="703" w:type="dxa"/>
            <w:tcBorders>
              <w:top w:val="single" w:sz="4" w:space="0" w:color="ADD6EA"/>
              <w:left w:val="nil"/>
              <w:bottom w:val="nil"/>
              <w:right w:val="nil"/>
            </w:tcBorders>
            <w:shd w:val="clear" w:color="auto" w:fill="auto"/>
            <w:noWrap/>
            <w:vAlign w:val="center"/>
            <w:hideMark/>
          </w:tcPr>
          <w:p w14:paraId="158D61CC"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-705</w:t>
            </w:r>
          </w:p>
        </w:tc>
        <w:tc>
          <w:tcPr>
            <w:tcW w:w="740" w:type="dxa"/>
            <w:tcBorders>
              <w:top w:val="single" w:sz="4" w:space="0" w:color="ADD6EA"/>
              <w:left w:val="nil"/>
              <w:bottom w:val="nil"/>
              <w:right w:val="nil"/>
            </w:tcBorders>
            <w:shd w:val="clear" w:color="auto" w:fill="auto"/>
            <w:noWrap/>
            <w:vAlign w:val="center"/>
            <w:hideMark/>
          </w:tcPr>
          <w:p w14:paraId="6BED794B"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-493</w:t>
            </w:r>
          </w:p>
        </w:tc>
        <w:tc>
          <w:tcPr>
            <w:tcW w:w="740" w:type="dxa"/>
            <w:tcBorders>
              <w:top w:val="single" w:sz="4" w:space="0" w:color="ADD6EA"/>
              <w:left w:val="nil"/>
              <w:bottom w:val="nil"/>
              <w:right w:val="nil"/>
            </w:tcBorders>
            <w:shd w:val="clear" w:color="auto" w:fill="auto"/>
            <w:noWrap/>
            <w:vAlign w:val="center"/>
            <w:hideMark/>
          </w:tcPr>
          <w:p w14:paraId="10531634"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-298</w:t>
            </w:r>
          </w:p>
        </w:tc>
        <w:tc>
          <w:tcPr>
            <w:tcW w:w="780" w:type="dxa"/>
            <w:tcBorders>
              <w:top w:val="single" w:sz="4" w:space="0" w:color="ADD6EA"/>
              <w:left w:val="nil"/>
              <w:bottom w:val="nil"/>
              <w:right w:val="nil"/>
            </w:tcBorders>
            <w:shd w:val="clear" w:color="auto" w:fill="auto"/>
            <w:noWrap/>
            <w:vAlign w:val="center"/>
            <w:hideMark/>
          </w:tcPr>
          <w:p w14:paraId="5E87885A"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73</w:t>
            </w:r>
          </w:p>
        </w:tc>
        <w:tc>
          <w:tcPr>
            <w:tcW w:w="740" w:type="dxa"/>
            <w:tcBorders>
              <w:top w:val="single" w:sz="4" w:space="0" w:color="ADD6EA"/>
              <w:left w:val="nil"/>
              <w:bottom w:val="nil"/>
              <w:right w:val="nil"/>
            </w:tcBorders>
            <w:shd w:val="clear" w:color="auto" w:fill="auto"/>
            <w:noWrap/>
            <w:vAlign w:val="center"/>
            <w:hideMark/>
          </w:tcPr>
          <w:p w14:paraId="1086DF22"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212</w:t>
            </w:r>
          </w:p>
        </w:tc>
        <w:tc>
          <w:tcPr>
            <w:tcW w:w="740" w:type="dxa"/>
            <w:tcBorders>
              <w:top w:val="single" w:sz="4" w:space="0" w:color="ADD6EA"/>
              <w:left w:val="nil"/>
              <w:bottom w:val="nil"/>
              <w:right w:val="nil"/>
            </w:tcBorders>
            <w:shd w:val="clear" w:color="auto" w:fill="auto"/>
            <w:noWrap/>
            <w:vAlign w:val="center"/>
            <w:hideMark/>
          </w:tcPr>
          <w:p w14:paraId="212AC73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381</w:t>
            </w:r>
          </w:p>
        </w:tc>
        <w:tc>
          <w:tcPr>
            <w:tcW w:w="740" w:type="dxa"/>
            <w:tcBorders>
              <w:top w:val="single" w:sz="4" w:space="0" w:color="ADD6EA"/>
              <w:left w:val="nil"/>
              <w:bottom w:val="nil"/>
              <w:right w:val="nil"/>
            </w:tcBorders>
            <w:shd w:val="clear" w:color="auto" w:fill="auto"/>
            <w:noWrap/>
            <w:vAlign w:val="center"/>
            <w:hideMark/>
          </w:tcPr>
          <w:p w14:paraId="012839E2"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396</w:t>
            </w:r>
          </w:p>
        </w:tc>
        <w:tc>
          <w:tcPr>
            <w:tcW w:w="740" w:type="dxa"/>
            <w:tcBorders>
              <w:top w:val="single" w:sz="4" w:space="0" w:color="ADD6EA"/>
              <w:left w:val="nil"/>
              <w:bottom w:val="nil"/>
              <w:right w:val="nil"/>
            </w:tcBorders>
            <w:shd w:val="clear" w:color="auto" w:fill="auto"/>
            <w:noWrap/>
            <w:vAlign w:val="center"/>
            <w:hideMark/>
          </w:tcPr>
          <w:p w14:paraId="7F41447A"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434</w:t>
            </w:r>
          </w:p>
        </w:tc>
        <w:tc>
          <w:tcPr>
            <w:tcW w:w="716" w:type="dxa"/>
            <w:tcBorders>
              <w:top w:val="single" w:sz="4" w:space="0" w:color="ADD6EA"/>
              <w:left w:val="nil"/>
              <w:bottom w:val="nil"/>
              <w:right w:val="nil"/>
            </w:tcBorders>
            <w:shd w:val="clear" w:color="auto" w:fill="auto"/>
            <w:noWrap/>
            <w:vAlign w:val="center"/>
            <w:hideMark/>
          </w:tcPr>
          <w:p w14:paraId="05ECF11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1,496</w:t>
            </w:r>
          </w:p>
        </w:tc>
      </w:tr>
      <w:tr w:rsidR="005D474C" w:rsidRPr="005D474C" w14:paraId="29603BA1" w14:textId="77777777" w:rsidTr="00FA21EF">
        <w:trPr>
          <w:trHeight w:val="315"/>
        </w:trPr>
        <w:tc>
          <w:tcPr>
            <w:tcW w:w="2302" w:type="dxa"/>
            <w:tcBorders>
              <w:top w:val="single" w:sz="4" w:space="0" w:color="ADD6EA"/>
              <w:left w:val="nil"/>
              <w:bottom w:val="nil"/>
              <w:right w:val="nil"/>
            </w:tcBorders>
            <w:shd w:val="clear" w:color="auto" w:fill="auto"/>
            <w:noWrap/>
            <w:vAlign w:val="center"/>
            <w:hideMark/>
          </w:tcPr>
          <w:p w14:paraId="12F522E6" w14:textId="77777777" w:rsidR="005D474C" w:rsidRPr="005D474C" w:rsidRDefault="005D474C" w:rsidP="005D474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Wage costs</w:t>
            </w:r>
          </w:p>
        </w:tc>
        <w:tc>
          <w:tcPr>
            <w:tcW w:w="703" w:type="dxa"/>
            <w:tcBorders>
              <w:top w:val="single" w:sz="4" w:space="0" w:color="ADD6EA"/>
              <w:left w:val="nil"/>
              <w:bottom w:val="nil"/>
              <w:right w:val="nil"/>
            </w:tcBorders>
            <w:shd w:val="clear" w:color="auto" w:fill="auto"/>
            <w:noWrap/>
            <w:vAlign w:val="center"/>
            <w:hideMark/>
          </w:tcPr>
          <w:p w14:paraId="61489E81"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561</w:t>
            </w:r>
          </w:p>
        </w:tc>
        <w:tc>
          <w:tcPr>
            <w:tcW w:w="740" w:type="dxa"/>
            <w:tcBorders>
              <w:top w:val="single" w:sz="4" w:space="0" w:color="ADD6EA"/>
              <w:left w:val="nil"/>
              <w:bottom w:val="nil"/>
              <w:right w:val="nil"/>
            </w:tcBorders>
            <w:shd w:val="clear" w:color="auto" w:fill="auto"/>
            <w:noWrap/>
            <w:vAlign w:val="center"/>
            <w:hideMark/>
          </w:tcPr>
          <w:p w14:paraId="39F5A99C"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137</w:t>
            </w:r>
          </w:p>
        </w:tc>
        <w:tc>
          <w:tcPr>
            <w:tcW w:w="740" w:type="dxa"/>
            <w:tcBorders>
              <w:top w:val="single" w:sz="4" w:space="0" w:color="ADD6EA"/>
              <w:left w:val="nil"/>
              <w:bottom w:val="nil"/>
              <w:right w:val="nil"/>
            </w:tcBorders>
            <w:shd w:val="clear" w:color="auto" w:fill="auto"/>
            <w:noWrap/>
            <w:vAlign w:val="center"/>
            <w:hideMark/>
          </w:tcPr>
          <w:p w14:paraId="20788AFC"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-640</w:t>
            </w:r>
          </w:p>
        </w:tc>
        <w:tc>
          <w:tcPr>
            <w:tcW w:w="780" w:type="dxa"/>
            <w:tcBorders>
              <w:top w:val="single" w:sz="4" w:space="0" w:color="ADD6EA"/>
              <w:left w:val="nil"/>
              <w:bottom w:val="nil"/>
              <w:right w:val="nil"/>
            </w:tcBorders>
            <w:shd w:val="clear" w:color="auto" w:fill="auto"/>
            <w:noWrap/>
            <w:vAlign w:val="center"/>
            <w:hideMark/>
          </w:tcPr>
          <w:p w14:paraId="4B7899B2"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392</w:t>
            </w:r>
          </w:p>
        </w:tc>
        <w:tc>
          <w:tcPr>
            <w:tcW w:w="740" w:type="dxa"/>
            <w:tcBorders>
              <w:top w:val="single" w:sz="4" w:space="0" w:color="ADD6EA"/>
              <w:left w:val="nil"/>
              <w:bottom w:val="nil"/>
              <w:right w:val="nil"/>
            </w:tcBorders>
            <w:shd w:val="clear" w:color="auto" w:fill="auto"/>
            <w:noWrap/>
            <w:vAlign w:val="center"/>
            <w:hideMark/>
          </w:tcPr>
          <w:p w14:paraId="6CAD2BAF"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-496</w:t>
            </w:r>
          </w:p>
        </w:tc>
        <w:tc>
          <w:tcPr>
            <w:tcW w:w="740" w:type="dxa"/>
            <w:tcBorders>
              <w:top w:val="single" w:sz="4" w:space="0" w:color="ADD6EA"/>
              <w:left w:val="nil"/>
              <w:bottom w:val="nil"/>
              <w:right w:val="nil"/>
            </w:tcBorders>
            <w:shd w:val="clear" w:color="auto" w:fill="auto"/>
            <w:noWrap/>
            <w:vAlign w:val="center"/>
            <w:hideMark/>
          </w:tcPr>
          <w:p w14:paraId="4A71D99A"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-211</w:t>
            </w:r>
          </w:p>
        </w:tc>
        <w:tc>
          <w:tcPr>
            <w:tcW w:w="740" w:type="dxa"/>
            <w:tcBorders>
              <w:top w:val="single" w:sz="4" w:space="0" w:color="ADD6EA"/>
              <w:left w:val="nil"/>
              <w:bottom w:val="nil"/>
              <w:right w:val="nil"/>
            </w:tcBorders>
            <w:shd w:val="clear" w:color="auto" w:fill="auto"/>
            <w:noWrap/>
            <w:vAlign w:val="center"/>
            <w:hideMark/>
          </w:tcPr>
          <w:p w14:paraId="0CB5BAB2"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199</w:t>
            </w:r>
          </w:p>
        </w:tc>
        <w:tc>
          <w:tcPr>
            <w:tcW w:w="740" w:type="dxa"/>
            <w:tcBorders>
              <w:top w:val="single" w:sz="4" w:space="0" w:color="ADD6EA"/>
              <w:left w:val="nil"/>
              <w:bottom w:val="nil"/>
              <w:right w:val="nil"/>
            </w:tcBorders>
            <w:shd w:val="clear" w:color="auto" w:fill="auto"/>
            <w:noWrap/>
            <w:vAlign w:val="center"/>
            <w:hideMark/>
          </w:tcPr>
          <w:p w14:paraId="32C7F8A9"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60</w:t>
            </w:r>
          </w:p>
        </w:tc>
        <w:tc>
          <w:tcPr>
            <w:tcW w:w="716" w:type="dxa"/>
            <w:tcBorders>
              <w:top w:val="single" w:sz="4" w:space="0" w:color="ADD6EA"/>
              <w:left w:val="nil"/>
              <w:bottom w:val="nil"/>
              <w:right w:val="nil"/>
            </w:tcBorders>
            <w:shd w:val="clear" w:color="auto" w:fill="auto"/>
            <w:noWrap/>
            <w:vAlign w:val="center"/>
            <w:hideMark/>
          </w:tcPr>
          <w:p w14:paraId="3C9B358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1,347</w:t>
            </w:r>
          </w:p>
        </w:tc>
      </w:tr>
      <w:tr w:rsidR="005D474C" w:rsidRPr="005D474C" w14:paraId="63C6E0C0" w14:textId="77777777" w:rsidTr="00FA21EF">
        <w:trPr>
          <w:trHeight w:val="555"/>
        </w:trPr>
        <w:tc>
          <w:tcPr>
            <w:tcW w:w="2302" w:type="dxa"/>
            <w:tcBorders>
              <w:top w:val="single" w:sz="4" w:space="0" w:color="ADD6EA"/>
              <w:left w:val="nil"/>
              <w:bottom w:val="nil"/>
              <w:right w:val="nil"/>
            </w:tcBorders>
            <w:shd w:val="clear" w:color="auto" w:fill="auto"/>
            <w:vAlign w:val="center"/>
            <w:hideMark/>
          </w:tcPr>
          <w:p w14:paraId="6BDC57F1" w14:textId="77777777" w:rsidR="005D474C" w:rsidRPr="005D474C" w:rsidRDefault="005D474C" w:rsidP="00B10837">
            <w:pPr>
              <w:tabs>
                <w:tab w:val="clear" w:pos="567"/>
              </w:tabs>
              <w:spacing w:before="0" w:line="240" w:lineRule="auto"/>
              <w:ind w:left="17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Population weighted density</w:t>
            </w:r>
          </w:p>
        </w:tc>
        <w:tc>
          <w:tcPr>
            <w:tcW w:w="703" w:type="dxa"/>
            <w:tcBorders>
              <w:top w:val="single" w:sz="4" w:space="0" w:color="ADD6EA"/>
              <w:left w:val="nil"/>
              <w:bottom w:val="nil"/>
              <w:right w:val="nil"/>
            </w:tcBorders>
            <w:shd w:val="clear" w:color="auto" w:fill="auto"/>
            <w:noWrap/>
            <w:vAlign w:val="center"/>
            <w:hideMark/>
          </w:tcPr>
          <w:p w14:paraId="7F26AB3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884</w:t>
            </w:r>
          </w:p>
        </w:tc>
        <w:tc>
          <w:tcPr>
            <w:tcW w:w="740" w:type="dxa"/>
            <w:tcBorders>
              <w:top w:val="single" w:sz="4" w:space="0" w:color="ADD6EA"/>
              <w:left w:val="nil"/>
              <w:bottom w:val="nil"/>
              <w:right w:val="nil"/>
            </w:tcBorders>
            <w:shd w:val="clear" w:color="auto" w:fill="auto"/>
            <w:noWrap/>
            <w:vAlign w:val="center"/>
            <w:hideMark/>
          </w:tcPr>
          <w:p w14:paraId="09824D59"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279</w:t>
            </w:r>
          </w:p>
        </w:tc>
        <w:tc>
          <w:tcPr>
            <w:tcW w:w="740" w:type="dxa"/>
            <w:tcBorders>
              <w:top w:val="single" w:sz="4" w:space="0" w:color="ADD6EA"/>
              <w:left w:val="nil"/>
              <w:bottom w:val="nil"/>
              <w:right w:val="nil"/>
            </w:tcBorders>
            <w:shd w:val="clear" w:color="auto" w:fill="auto"/>
            <w:noWrap/>
            <w:vAlign w:val="center"/>
            <w:hideMark/>
          </w:tcPr>
          <w:p w14:paraId="66DDFB0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-536</w:t>
            </w:r>
          </w:p>
        </w:tc>
        <w:tc>
          <w:tcPr>
            <w:tcW w:w="780" w:type="dxa"/>
            <w:tcBorders>
              <w:top w:val="single" w:sz="4" w:space="0" w:color="ADD6EA"/>
              <w:left w:val="nil"/>
              <w:bottom w:val="nil"/>
              <w:right w:val="nil"/>
            </w:tcBorders>
            <w:shd w:val="clear" w:color="auto" w:fill="auto"/>
            <w:noWrap/>
            <w:vAlign w:val="center"/>
            <w:hideMark/>
          </w:tcPr>
          <w:p w14:paraId="6CF39E52"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-244</w:t>
            </w:r>
          </w:p>
        </w:tc>
        <w:tc>
          <w:tcPr>
            <w:tcW w:w="740" w:type="dxa"/>
            <w:tcBorders>
              <w:top w:val="single" w:sz="4" w:space="0" w:color="ADD6EA"/>
              <w:left w:val="nil"/>
              <w:bottom w:val="nil"/>
              <w:right w:val="nil"/>
            </w:tcBorders>
            <w:shd w:val="clear" w:color="auto" w:fill="auto"/>
            <w:noWrap/>
            <w:vAlign w:val="center"/>
            <w:hideMark/>
          </w:tcPr>
          <w:p w14:paraId="590D8FC5"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-184</w:t>
            </w:r>
          </w:p>
        </w:tc>
        <w:tc>
          <w:tcPr>
            <w:tcW w:w="740" w:type="dxa"/>
            <w:tcBorders>
              <w:top w:val="single" w:sz="4" w:space="0" w:color="ADD6EA"/>
              <w:left w:val="nil"/>
              <w:bottom w:val="nil"/>
              <w:right w:val="nil"/>
            </w:tcBorders>
            <w:shd w:val="clear" w:color="auto" w:fill="auto"/>
            <w:noWrap/>
            <w:vAlign w:val="center"/>
            <w:hideMark/>
          </w:tcPr>
          <w:p w14:paraId="78516CA1"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-127</w:t>
            </w:r>
          </w:p>
        </w:tc>
        <w:tc>
          <w:tcPr>
            <w:tcW w:w="740" w:type="dxa"/>
            <w:tcBorders>
              <w:top w:val="single" w:sz="4" w:space="0" w:color="ADD6EA"/>
              <w:left w:val="nil"/>
              <w:bottom w:val="nil"/>
              <w:right w:val="nil"/>
            </w:tcBorders>
            <w:shd w:val="clear" w:color="auto" w:fill="auto"/>
            <w:noWrap/>
            <w:vAlign w:val="center"/>
            <w:hideMark/>
          </w:tcPr>
          <w:p w14:paraId="66C1443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-22</w:t>
            </w:r>
          </w:p>
        </w:tc>
        <w:tc>
          <w:tcPr>
            <w:tcW w:w="740" w:type="dxa"/>
            <w:tcBorders>
              <w:top w:val="single" w:sz="4" w:space="0" w:color="ADD6EA"/>
              <w:left w:val="nil"/>
              <w:bottom w:val="nil"/>
              <w:right w:val="nil"/>
            </w:tcBorders>
            <w:shd w:val="clear" w:color="auto" w:fill="auto"/>
            <w:noWrap/>
            <w:vAlign w:val="center"/>
            <w:hideMark/>
          </w:tcPr>
          <w:p w14:paraId="1F61CE44"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-49</w:t>
            </w:r>
          </w:p>
        </w:tc>
        <w:tc>
          <w:tcPr>
            <w:tcW w:w="716" w:type="dxa"/>
            <w:tcBorders>
              <w:top w:val="single" w:sz="4" w:space="0" w:color="ADD6EA"/>
              <w:left w:val="nil"/>
              <w:bottom w:val="nil"/>
              <w:right w:val="nil"/>
            </w:tcBorders>
            <w:shd w:val="clear" w:color="auto" w:fill="auto"/>
            <w:noWrap/>
            <w:vAlign w:val="center"/>
            <w:hideMark/>
          </w:tcPr>
          <w:p w14:paraId="0632BE9A"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1,162</w:t>
            </w:r>
          </w:p>
        </w:tc>
      </w:tr>
      <w:tr w:rsidR="005D474C" w:rsidRPr="005D474C" w14:paraId="4A2295A9" w14:textId="77777777" w:rsidTr="00FA21EF">
        <w:trPr>
          <w:trHeight w:val="315"/>
        </w:trPr>
        <w:tc>
          <w:tcPr>
            <w:tcW w:w="2302" w:type="dxa"/>
            <w:tcBorders>
              <w:top w:val="single" w:sz="4" w:space="0" w:color="ADD6EA"/>
              <w:left w:val="nil"/>
              <w:bottom w:val="nil"/>
              <w:right w:val="nil"/>
            </w:tcBorders>
            <w:shd w:val="clear" w:color="auto" w:fill="auto"/>
            <w:noWrap/>
            <w:vAlign w:val="center"/>
            <w:hideMark/>
          </w:tcPr>
          <w:p w14:paraId="5FA9188A" w14:textId="77777777" w:rsidR="005D474C" w:rsidRPr="005D474C" w:rsidRDefault="005D474C" w:rsidP="005D474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Natural disaster relief</w:t>
            </w:r>
          </w:p>
        </w:tc>
        <w:tc>
          <w:tcPr>
            <w:tcW w:w="703" w:type="dxa"/>
            <w:tcBorders>
              <w:top w:val="single" w:sz="4" w:space="0" w:color="ADD6EA"/>
              <w:left w:val="nil"/>
              <w:bottom w:val="nil"/>
              <w:right w:val="nil"/>
            </w:tcBorders>
            <w:shd w:val="clear" w:color="auto" w:fill="auto"/>
            <w:noWrap/>
            <w:vAlign w:val="center"/>
            <w:hideMark/>
          </w:tcPr>
          <w:p w14:paraId="751F4A75"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909</w:t>
            </w:r>
          </w:p>
        </w:tc>
        <w:tc>
          <w:tcPr>
            <w:tcW w:w="740" w:type="dxa"/>
            <w:tcBorders>
              <w:top w:val="single" w:sz="4" w:space="0" w:color="ADD6EA"/>
              <w:left w:val="nil"/>
              <w:bottom w:val="nil"/>
              <w:right w:val="nil"/>
            </w:tcBorders>
            <w:shd w:val="clear" w:color="auto" w:fill="auto"/>
            <w:noWrap/>
            <w:vAlign w:val="center"/>
            <w:hideMark/>
          </w:tcPr>
          <w:p w14:paraId="4C78730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-701</w:t>
            </w:r>
          </w:p>
        </w:tc>
        <w:tc>
          <w:tcPr>
            <w:tcW w:w="740" w:type="dxa"/>
            <w:tcBorders>
              <w:top w:val="single" w:sz="4" w:space="0" w:color="ADD6EA"/>
              <w:left w:val="nil"/>
              <w:bottom w:val="nil"/>
              <w:right w:val="nil"/>
            </w:tcBorders>
            <w:shd w:val="clear" w:color="auto" w:fill="auto"/>
            <w:noWrap/>
            <w:vAlign w:val="center"/>
            <w:hideMark/>
          </w:tcPr>
          <w:p w14:paraId="43E18538"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172</w:t>
            </w:r>
          </w:p>
        </w:tc>
        <w:tc>
          <w:tcPr>
            <w:tcW w:w="780" w:type="dxa"/>
            <w:tcBorders>
              <w:top w:val="single" w:sz="4" w:space="0" w:color="ADD6EA"/>
              <w:left w:val="nil"/>
              <w:bottom w:val="nil"/>
              <w:right w:val="nil"/>
            </w:tcBorders>
            <w:shd w:val="clear" w:color="auto" w:fill="auto"/>
            <w:noWrap/>
            <w:vAlign w:val="center"/>
            <w:hideMark/>
          </w:tcPr>
          <w:p w14:paraId="3DC09F98"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-95</w:t>
            </w:r>
          </w:p>
        </w:tc>
        <w:tc>
          <w:tcPr>
            <w:tcW w:w="740" w:type="dxa"/>
            <w:tcBorders>
              <w:top w:val="single" w:sz="4" w:space="0" w:color="ADD6EA"/>
              <w:left w:val="nil"/>
              <w:bottom w:val="nil"/>
              <w:right w:val="nil"/>
            </w:tcBorders>
            <w:shd w:val="clear" w:color="auto" w:fill="auto"/>
            <w:noWrap/>
            <w:vAlign w:val="center"/>
            <w:hideMark/>
          </w:tcPr>
          <w:p w14:paraId="21B7536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-163</w:t>
            </w:r>
          </w:p>
        </w:tc>
        <w:tc>
          <w:tcPr>
            <w:tcW w:w="740" w:type="dxa"/>
            <w:tcBorders>
              <w:top w:val="single" w:sz="4" w:space="0" w:color="ADD6EA"/>
              <w:left w:val="nil"/>
              <w:bottom w:val="nil"/>
              <w:right w:val="nil"/>
            </w:tcBorders>
            <w:shd w:val="clear" w:color="auto" w:fill="auto"/>
            <w:noWrap/>
            <w:vAlign w:val="center"/>
            <w:hideMark/>
          </w:tcPr>
          <w:p w14:paraId="110841D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-56</w:t>
            </w:r>
          </w:p>
        </w:tc>
        <w:tc>
          <w:tcPr>
            <w:tcW w:w="740" w:type="dxa"/>
            <w:tcBorders>
              <w:top w:val="single" w:sz="4" w:space="0" w:color="ADD6EA"/>
              <w:left w:val="nil"/>
              <w:bottom w:val="nil"/>
              <w:right w:val="nil"/>
            </w:tcBorders>
            <w:shd w:val="clear" w:color="auto" w:fill="auto"/>
            <w:noWrap/>
            <w:vAlign w:val="center"/>
            <w:hideMark/>
          </w:tcPr>
          <w:p w14:paraId="04D25BEE"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-52</w:t>
            </w:r>
          </w:p>
        </w:tc>
        <w:tc>
          <w:tcPr>
            <w:tcW w:w="740" w:type="dxa"/>
            <w:tcBorders>
              <w:top w:val="single" w:sz="4" w:space="0" w:color="ADD6EA"/>
              <w:left w:val="nil"/>
              <w:bottom w:val="nil"/>
              <w:right w:val="nil"/>
            </w:tcBorders>
            <w:shd w:val="clear" w:color="auto" w:fill="auto"/>
            <w:noWrap/>
            <w:vAlign w:val="center"/>
            <w:hideMark/>
          </w:tcPr>
          <w:p w14:paraId="151D5AE2"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-14</w:t>
            </w:r>
          </w:p>
        </w:tc>
        <w:tc>
          <w:tcPr>
            <w:tcW w:w="716" w:type="dxa"/>
            <w:tcBorders>
              <w:top w:val="single" w:sz="4" w:space="0" w:color="ADD6EA"/>
              <w:left w:val="nil"/>
              <w:bottom w:val="nil"/>
              <w:right w:val="nil"/>
            </w:tcBorders>
            <w:shd w:val="clear" w:color="auto" w:fill="auto"/>
            <w:noWrap/>
            <w:vAlign w:val="center"/>
            <w:hideMark/>
          </w:tcPr>
          <w:p w14:paraId="2234440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1,080</w:t>
            </w:r>
          </w:p>
        </w:tc>
      </w:tr>
      <w:tr w:rsidR="005D474C" w:rsidRPr="005D474C" w14:paraId="27E78687" w14:textId="77777777" w:rsidTr="00FA21EF">
        <w:trPr>
          <w:trHeight w:val="315"/>
        </w:trPr>
        <w:tc>
          <w:tcPr>
            <w:tcW w:w="2302" w:type="dxa"/>
            <w:tcBorders>
              <w:top w:val="single" w:sz="4" w:space="0" w:color="ADD6EA"/>
              <w:left w:val="nil"/>
              <w:bottom w:val="nil"/>
              <w:right w:val="nil"/>
            </w:tcBorders>
            <w:shd w:val="clear" w:color="auto" w:fill="auto"/>
            <w:vAlign w:val="center"/>
            <w:hideMark/>
          </w:tcPr>
          <w:p w14:paraId="2BD45B6C" w14:textId="77777777" w:rsidR="005D474C" w:rsidRPr="005D474C" w:rsidRDefault="005D474C" w:rsidP="005D474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Other expenses</w:t>
            </w:r>
          </w:p>
        </w:tc>
        <w:tc>
          <w:tcPr>
            <w:tcW w:w="703" w:type="dxa"/>
            <w:tcBorders>
              <w:top w:val="single" w:sz="4" w:space="0" w:color="ADD6EA"/>
              <w:left w:val="nil"/>
              <w:bottom w:val="nil"/>
              <w:right w:val="nil"/>
            </w:tcBorders>
            <w:shd w:val="clear" w:color="auto" w:fill="auto"/>
            <w:noWrap/>
            <w:vAlign w:val="center"/>
            <w:hideMark/>
          </w:tcPr>
          <w:p w14:paraId="0CC40EB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-1,088</w:t>
            </w:r>
          </w:p>
        </w:tc>
        <w:tc>
          <w:tcPr>
            <w:tcW w:w="740" w:type="dxa"/>
            <w:tcBorders>
              <w:top w:val="single" w:sz="4" w:space="0" w:color="ADD6EA"/>
              <w:left w:val="nil"/>
              <w:bottom w:val="nil"/>
              <w:right w:val="nil"/>
            </w:tcBorders>
            <w:shd w:val="clear" w:color="auto" w:fill="auto"/>
            <w:noWrap/>
            <w:vAlign w:val="center"/>
            <w:hideMark/>
          </w:tcPr>
          <w:p w14:paraId="587512B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-645</w:t>
            </w:r>
          </w:p>
        </w:tc>
        <w:tc>
          <w:tcPr>
            <w:tcW w:w="740" w:type="dxa"/>
            <w:tcBorders>
              <w:top w:val="single" w:sz="4" w:space="0" w:color="ADD6EA"/>
              <w:left w:val="nil"/>
              <w:bottom w:val="nil"/>
              <w:right w:val="nil"/>
            </w:tcBorders>
            <w:shd w:val="clear" w:color="auto" w:fill="auto"/>
            <w:noWrap/>
            <w:vAlign w:val="center"/>
            <w:hideMark/>
          </w:tcPr>
          <w:p w14:paraId="1E5CC67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288</w:t>
            </w:r>
          </w:p>
        </w:tc>
        <w:tc>
          <w:tcPr>
            <w:tcW w:w="780" w:type="dxa"/>
            <w:tcBorders>
              <w:top w:val="single" w:sz="4" w:space="0" w:color="ADD6EA"/>
              <w:left w:val="nil"/>
              <w:bottom w:val="nil"/>
              <w:right w:val="nil"/>
            </w:tcBorders>
            <w:shd w:val="clear" w:color="auto" w:fill="auto"/>
            <w:noWrap/>
            <w:vAlign w:val="center"/>
            <w:hideMark/>
          </w:tcPr>
          <w:p w14:paraId="683662A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1,341</w:t>
            </w:r>
          </w:p>
        </w:tc>
        <w:tc>
          <w:tcPr>
            <w:tcW w:w="740" w:type="dxa"/>
            <w:tcBorders>
              <w:top w:val="single" w:sz="4" w:space="0" w:color="ADD6EA"/>
              <w:left w:val="nil"/>
              <w:bottom w:val="nil"/>
              <w:right w:val="nil"/>
            </w:tcBorders>
            <w:shd w:val="clear" w:color="auto" w:fill="auto"/>
            <w:noWrap/>
            <w:vAlign w:val="center"/>
            <w:hideMark/>
          </w:tcPr>
          <w:p w14:paraId="0972721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15</w:t>
            </w:r>
          </w:p>
        </w:tc>
        <w:tc>
          <w:tcPr>
            <w:tcW w:w="740" w:type="dxa"/>
            <w:tcBorders>
              <w:top w:val="single" w:sz="4" w:space="0" w:color="ADD6EA"/>
              <w:left w:val="nil"/>
              <w:bottom w:val="nil"/>
              <w:right w:val="nil"/>
            </w:tcBorders>
            <w:shd w:val="clear" w:color="auto" w:fill="auto"/>
            <w:noWrap/>
            <w:vAlign w:val="center"/>
            <w:hideMark/>
          </w:tcPr>
          <w:p w14:paraId="068F874B"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-88</w:t>
            </w:r>
          </w:p>
        </w:tc>
        <w:tc>
          <w:tcPr>
            <w:tcW w:w="740" w:type="dxa"/>
            <w:tcBorders>
              <w:top w:val="single" w:sz="4" w:space="0" w:color="ADD6EA"/>
              <w:left w:val="nil"/>
              <w:bottom w:val="nil"/>
              <w:right w:val="nil"/>
            </w:tcBorders>
            <w:shd w:val="clear" w:color="auto" w:fill="auto"/>
            <w:noWrap/>
            <w:vAlign w:val="center"/>
            <w:hideMark/>
          </w:tcPr>
          <w:p w14:paraId="4B45FECB"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w:t>
            </w:r>
          </w:p>
        </w:tc>
        <w:tc>
          <w:tcPr>
            <w:tcW w:w="740" w:type="dxa"/>
            <w:tcBorders>
              <w:top w:val="single" w:sz="4" w:space="0" w:color="ADD6EA"/>
              <w:left w:val="nil"/>
              <w:bottom w:val="nil"/>
              <w:right w:val="nil"/>
            </w:tcBorders>
            <w:shd w:val="clear" w:color="auto" w:fill="auto"/>
            <w:noWrap/>
            <w:vAlign w:val="center"/>
            <w:hideMark/>
          </w:tcPr>
          <w:p w14:paraId="574C949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173</w:t>
            </w:r>
          </w:p>
        </w:tc>
        <w:tc>
          <w:tcPr>
            <w:tcW w:w="716" w:type="dxa"/>
            <w:tcBorders>
              <w:top w:val="single" w:sz="4" w:space="0" w:color="ADD6EA"/>
              <w:left w:val="nil"/>
              <w:bottom w:val="nil"/>
              <w:right w:val="nil"/>
            </w:tcBorders>
            <w:shd w:val="clear" w:color="auto" w:fill="auto"/>
            <w:noWrap/>
            <w:vAlign w:val="center"/>
            <w:hideMark/>
          </w:tcPr>
          <w:p w14:paraId="2FECBBA5"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1,821</w:t>
            </w:r>
          </w:p>
        </w:tc>
      </w:tr>
      <w:tr w:rsidR="005D474C" w:rsidRPr="005D474C" w14:paraId="552C59EB" w14:textId="77777777" w:rsidTr="00FA21EF">
        <w:trPr>
          <w:trHeight w:val="315"/>
        </w:trPr>
        <w:tc>
          <w:tcPr>
            <w:tcW w:w="2302" w:type="dxa"/>
            <w:tcBorders>
              <w:top w:val="single" w:sz="4" w:space="0" w:color="ADD6EA"/>
              <w:left w:val="nil"/>
              <w:bottom w:val="single" w:sz="4" w:space="0" w:color="ADD6EA"/>
              <w:right w:val="nil"/>
            </w:tcBorders>
            <w:shd w:val="clear" w:color="000000" w:fill="B6D5E4"/>
            <w:vAlign w:val="center"/>
            <w:hideMark/>
          </w:tcPr>
          <w:p w14:paraId="7820BDDC" w14:textId="77777777" w:rsidR="005D474C" w:rsidRPr="005D474C" w:rsidRDefault="005D474C" w:rsidP="005D474C">
            <w:pPr>
              <w:tabs>
                <w:tab w:val="clear" w:pos="567"/>
              </w:tabs>
              <w:spacing w:before="0" w:line="240" w:lineRule="auto"/>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TOTAL EXPENSES</w:t>
            </w:r>
          </w:p>
        </w:tc>
        <w:tc>
          <w:tcPr>
            <w:tcW w:w="703" w:type="dxa"/>
            <w:tcBorders>
              <w:top w:val="single" w:sz="4" w:space="0" w:color="ADD6EA"/>
              <w:left w:val="nil"/>
              <w:bottom w:val="single" w:sz="4" w:space="0" w:color="ADD6EA"/>
              <w:right w:val="nil"/>
            </w:tcBorders>
            <w:shd w:val="clear" w:color="000000" w:fill="B6D5E4"/>
            <w:noWrap/>
            <w:vAlign w:val="center"/>
            <w:hideMark/>
          </w:tcPr>
          <w:p w14:paraId="1B209271"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-102</w:t>
            </w:r>
          </w:p>
        </w:tc>
        <w:tc>
          <w:tcPr>
            <w:tcW w:w="740" w:type="dxa"/>
            <w:tcBorders>
              <w:top w:val="single" w:sz="4" w:space="0" w:color="ADD6EA"/>
              <w:left w:val="nil"/>
              <w:bottom w:val="single" w:sz="4" w:space="0" w:color="ADD6EA"/>
              <w:right w:val="nil"/>
            </w:tcBorders>
            <w:shd w:val="clear" w:color="000000" w:fill="B6D5E4"/>
            <w:noWrap/>
            <w:vAlign w:val="center"/>
            <w:hideMark/>
          </w:tcPr>
          <w:p w14:paraId="4B9EB3B8"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-5,481</w:t>
            </w:r>
          </w:p>
        </w:tc>
        <w:tc>
          <w:tcPr>
            <w:tcW w:w="740" w:type="dxa"/>
            <w:tcBorders>
              <w:top w:val="single" w:sz="4" w:space="0" w:color="ADD6EA"/>
              <w:left w:val="nil"/>
              <w:bottom w:val="single" w:sz="4" w:space="0" w:color="ADD6EA"/>
              <w:right w:val="nil"/>
            </w:tcBorders>
            <w:shd w:val="clear" w:color="000000" w:fill="B6D5E4"/>
            <w:noWrap/>
            <w:vAlign w:val="center"/>
            <w:hideMark/>
          </w:tcPr>
          <w:p w14:paraId="22617C4D"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481</w:t>
            </w:r>
          </w:p>
        </w:tc>
        <w:tc>
          <w:tcPr>
            <w:tcW w:w="780" w:type="dxa"/>
            <w:tcBorders>
              <w:top w:val="single" w:sz="4" w:space="0" w:color="ADD6EA"/>
              <w:left w:val="nil"/>
              <w:bottom w:val="single" w:sz="4" w:space="0" w:color="ADD6EA"/>
              <w:right w:val="nil"/>
            </w:tcBorders>
            <w:shd w:val="clear" w:color="000000" w:fill="B6D5E4"/>
            <w:noWrap/>
            <w:vAlign w:val="center"/>
            <w:hideMark/>
          </w:tcPr>
          <w:p w14:paraId="10EA6360"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1,630</w:t>
            </w:r>
          </w:p>
        </w:tc>
        <w:tc>
          <w:tcPr>
            <w:tcW w:w="740" w:type="dxa"/>
            <w:tcBorders>
              <w:top w:val="single" w:sz="4" w:space="0" w:color="ADD6EA"/>
              <w:left w:val="nil"/>
              <w:bottom w:val="single" w:sz="4" w:space="0" w:color="ADD6EA"/>
              <w:right w:val="nil"/>
            </w:tcBorders>
            <w:shd w:val="clear" w:color="000000" w:fill="B6D5E4"/>
            <w:noWrap/>
            <w:vAlign w:val="center"/>
            <w:hideMark/>
          </w:tcPr>
          <w:p w14:paraId="0AF325B5"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-522</w:t>
            </w:r>
          </w:p>
        </w:tc>
        <w:tc>
          <w:tcPr>
            <w:tcW w:w="740" w:type="dxa"/>
            <w:tcBorders>
              <w:top w:val="single" w:sz="4" w:space="0" w:color="ADD6EA"/>
              <w:left w:val="nil"/>
              <w:bottom w:val="single" w:sz="4" w:space="0" w:color="ADD6EA"/>
              <w:right w:val="nil"/>
            </w:tcBorders>
            <w:shd w:val="clear" w:color="000000" w:fill="B6D5E4"/>
            <w:noWrap/>
            <w:vAlign w:val="center"/>
            <w:hideMark/>
          </w:tcPr>
          <w:p w14:paraId="2CFA3D56"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898</w:t>
            </w:r>
          </w:p>
        </w:tc>
        <w:tc>
          <w:tcPr>
            <w:tcW w:w="740" w:type="dxa"/>
            <w:tcBorders>
              <w:top w:val="single" w:sz="4" w:space="0" w:color="ADD6EA"/>
              <w:left w:val="nil"/>
              <w:bottom w:val="single" w:sz="4" w:space="0" w:color="ADD6EA"/>
              <w:right w:val="nil"/>
            </w:tcBorders>
            <w:shd w:val="clear" w:color="000000" w:fill="B6D5E4"/>
            <w:noWrap/>
            <w:vAlign w:val="center"/>
            <w:hideMark/>
          </w:tcPr>
          <w:p w14:paraId="170FE902"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-362</w:t>
            </w:r>
          </w:p>
        </w:tc>
        <w:tc>
          <w:tcPr>
            <w:tcW w:w="740" w:type="dxa"/>
            <w:tcBorders>
              <w:top w:val="single" w:sz="4" w:space="0" w:color="ADD6EA"/>
              <w:left w:val="nil"/>
              <w:bottom w:val="single" w:sz="4" w:space="0" w:color="ADD6EA"/>
              <w:right w:val="nil"/>
            </w:tcBorders>
            <w:shd w:val="clear" w:color="000000" w:fill="B6D5E4"/>
            <w:noWrap/>
            <w:vAlign w:val="center"/>
            <w:hideMark/>
          </w:tcPr>
          <w:p w14:paraId="586AA042"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3,458</w:t>
            </w:r>
          </w:p>
        </w:tc>
        <w:tc>
          <w:tcPr>
            <w:tcW w:w="716" w:type="dxa"/>
            <w:tcBorders>
              <w:top w:val="single" w:sz="4" w:space="0" w:color="ADD6EA"/>
              <w:left w:val="nil"/>
              <w:bottom w:val="single" w:sz="4" w:space="0" w:color="ADD6EA"/>
              <w:right w:val="nil"/>
            </w:tcBorders>
            <w:shd w:val="clear" w:color="000000" w:fill="B6D5E4"/>
            <w:noWrap/>
            <w:vAlign w:val="center"/>
            <w:hideMark/>
          </w:tcPr>
          <w:p w14:paraId="0D92D61A"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6,467</w:t>
            </w:r>
          </w:p>
        </w:tc>
      </w:tr>
      <w:tr w:rsidR="005D474C" w:rsidRPr="005D474C" w14:paraId="69767AAA" w14:textId="77777777" w:rsidTr="00FA21EF">
        <w:trPr>
          <w:trHeight w:val="315"/>
        </w:trPr>
        <w:tc>
          <w:tcPr>
            <w:tcW w:w="2302" w:type="dxa"/>
            <w:tcBorders>
              <w:top w:val="nil"/>
              <w:left w:val="nil"/>
              <w:bottom w:val="nil"/>
              <w:right w:val="nil"/>
            </w:tcBorders>
            <w:shd w:val="clear" w:color="auto" w:fill="auto"/>
            <w:vAlign w:val="center"/>
            <w:hideMark/>
          </w:tcPr>
          <w:p w14:paraId="2182683C" w14:textId="77777777" w:rsidR="005D474C" w:rsidRPr="005D474C" w:rsidRDefault="005D474C" w:rsidP="005D474C">
            <w:pPr>
              <w:tabs>
                <w:tab w:val="clear" w:pos="567"/>
              </w:tabs>
              <w:spacing w:before="0" w:line="240" w:lineRule="auto"/>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INVESTMENT</w:t>
            </w:r>
          </w:p>
        </w:tc>
        <w:tc>
          <w:tcPr>
            <w:tcW w:w="703" w:type="dxa"/>
            <w:tcBorders>
              <w:top w:val="nil"/>
              <w:left w:val="nil"/>
              <w:bottom w:val="nil"/>
              <w:right w:val="nil"/>
            </w:tcBorders>
            <w:shd w:val="clear" w:color="auto" w:fill="auto"/>
            <w:noWrap/>
            <w:vAlign w:val="center"/>
            <w:hideMark/>
          </w:tcPr>
          <w:p w14:paraId="22E593CD" w14:textId="77777777" w:rsidR="005D474C" w:rsidRPr="005D474C" w:rsidRDefault="005D474C" w:rsidP="005D474C">
            <w:pPr>
              <w:tabs>
                <w:tab w:val="clear" w:pos="567"/>
              </w:tabs>
              <w:spacing w:before="0" w:line="240" w:lineRule="auto"/>
              <w:rPr>
                <w:rFonts w:ascii="Open Sans Light" w:eastAsia="Times New Roman" w:hAnsi="Open Sans Light" w:cs="Open Sans Light"/>
                <w:color w:val="000000"/>
                <w:sz w:val="16"/>
                <w:szCs w:val="16"/>
                <w:lang w:eastAsia="en-AU"/>
              </w:rPr>
            </w:pPr>
          </w:p>
        </w:tc>
        <w:tc>
          <w:tcPr>
            <w:tcW w:w="740" w:type="dxa"/>
            <w:tcBorders>
              <w:top w:val="nil"/>
              <w:left w:val="nil"/>
              <w:bottom w:val="nil"/>
              <w:right w:val="nil"/>
            </w:tcBorders>
            <w:shd w:val="clear" w:color="auto" w:fill="auto"/>
            <w:noWrap/>
            <w:vAlign w:val="center"/>
            <w:hideMark/>
          </w:tcPr>
          <w:p w14:paraId="5C63D652" w14:textId="77777777" w:rsidR="005D474C" w:rsidRPr="005D474C" w:rsidRDefault="005D474C" w:rsidP="005D474C">
            <w:pPr>
              <w:tabs>
                <w:tab w:val="clear" w:pos="567"/>
              </w:tabs>
              <w:spacing w:before="0" w:line="240" w:lineRule="auto"/>
              <w:jc w:val="right"/>
              <w:rPr>
                <w:rFonts w:ascii="Times New Roman" w:eastAsia="Times New Roman" w:hAnsi="Times New Roman" w:cs="Times New Roman"/>
                <w:szCs w:val="20"/>
                <w:lang w:eastAsia="en-AU"/>
              </w:rPr>
            </w:pPr>
          </w:p>
        </w:tc>
        <w:tc>
          <w:tcPr>
            <w:tcW w:w="740" w:type="dxa"/>
            <w:tcBorders>
              <w:top w:val="nil"/>
              <w:left w:val="nil"/>
              <w:bottom w:val="nil"/>
              <w:right w:val="nil"/>
            </w:tcBorders>
            <w:shd w:val="clear" w:color="auto" w:fill="auto"/>
            <w:noWrap/>
            <w:vAlign w:val="center"/>
            <w:hideMark/>
          </w:tcPr>
          <w:p w14:paraId="7D21E020" w14:textId="77777777" w:rsidR="005D474C" w:rsidRPr="005D474C" w:rsidRDefault="005D474C" w:rsidP="005D474C">
            <w:pPr>
              <w:tabs>
                <w:tab w:val="clear" w:pos="567"/>
              </w:tabs>
              <w:spacing w:before="0" w:line="240" w:lineRule="auto"/>
              <w:jc w:val="right"/>
              <w:rPr>
                <w:rFonts w:ascii="Times New Roman" w:eastAsia="Times New Roman" w:hAnsi="Times New Roman" w:cs="Times New Roman"/>
                <w:szCs w:val="20"/>
                <w:lang w:eastAsia="en-AU"/>
              </w:rPr>
            </w:pPr>
          </w:p>
        </w:tc>
        <w:tc>
          <w:tcPr>
            <w:tcW w:w="780" w:type="dxa"/>
            <w:tcBorders>
              <w:top w:val="nil"/>
              <w:left w:val="nil"/>
              <w:bottom w:val="nil"/>
              <w:right w:val="nil"/>
            </w:tcBorders>
            <w:shd w:val="clear" w:color="auto" w:fill="auto"/>
            <w:noWrap/>
            <w:vAlign w:val="center"/>
            <w:hideMark/>
          </w:tcPr>
          <w:p w14:paraId="17A031C0" w14:textId="77777777" w:rsidR="005D474C" w:rsidRPr="005D474C" w:rsidRDefault="005D474C" w:rsidP="005D474C">
            <w:pPr>
              <w:tabs>
                <w:tab w:val="clear" w:pos="567"/>
              </w:tabs>
              <w:spacing w:before="0" w:line="240" w:lineRule="auto"/>
              <w:jc w:val="right"/>
              <w:rPr>
                <w:rFonts w:ascii="Times New Roman" w:eastAsia="Times New Roman" w:hAnsi="Times New Roman" w:cs="Times New Roman"/>
                <w:szCs w:val="20"/>
                <w:lang w:eastAsia="en-AU"/>
              </w:rPr>
            </w:pPr>
          </w:p>
        </w:tc>
        <w:tc>
          <w:tcPr>
            <w:tcW w:w="740" w:type="dxa"/>
            <w:tcBorders>
              <w:top w:val="nil"/>
              <w:left w:val="nil"/>
              <w:bottom w:val="nil"/>
              <w:right w:val="nil"/>
            </w:tcBorders>
            <w:shd w:val="clear" w:color="auto" w:fill="auto"/>
            <w:noWrap/>
            <w:vAlign w:val="center"/>
            <w:hideMark/>
          </w:tcPr>
          <w:p w14:paraId="77A14B9E" w14:textId="77777777" w:rsidR="005D474C" w:rsidRPr="005D474C" w:rsidRDefault="005D474C" w:rsidP="005D474C">
            <w:pPr>
              <w:tabs>
                <w:tab w:val="clear" w:pos="567"/>
              </w:tabs>
              <w:spacing w:before="0" w:line="240" w:lineRule="auto"/>
              <w:jc w:val="right"/>
              <w:rPr>
                <w:rFonts w:ascii="Times New Roman" w:eastAsia="Times New Roman" w:hAnsi="Times New Roman" w:cs="Times New Roman"/>
                <w:szCs w:val="20"/>
                <w:lang w:eastAsia="en-AU"/>
              </w:rPr>
            </w:pPr>
          </w:p>
        </w:tc>
        <w:tc>
          <w:tcPr>
            <w:tcW w:w="740" w:type="dxa"/>
            <w:tcBorders>
              <w:top w:val="nil"/>
              <w:left w:val="nil"/>
              <w:bottom w:val="nil"/>
              <w:right w:val="nil"/>
            </w:tcBorders>
            <w:shd w:val="clear" w:color="auto" w:fill="auto"/>
            <w:noWrap/>
            <w:vAlign w:val="center"/>
            <w:hideMark/>
          </w:tcPr>
          <w:p w14:paraId="01DEE76F" w14:textId="77777777" w:rsidR="005D474C" w:rsidRPr="005D474C" w:rsidRDefault="005D474C" w:rsidP="005D474C">
            <w:pPr>
              <w:tabs>
                <w:tab w:val="clear" w:pos="567"/>
              </w:tabs>
              <w:spacing w:before="0" w:line="240" w:lineRule="auto"/>
              <w:jc w:val="right"/>
              <w:rPr>
                <w:rFonts w:ascii="Times New Roman" w:eastAsia="Times New Roman" w:hAnsi="Times New Roman" w:cs="Times New Roman"/>
                <w:szCs w:val="20"/>
                <w:lang w:eastAsia="en-AU"/>
              </w:rPr>
            </w:pPr>
          </w:p>
        </w:tc>
        <w:tc>
          <w:tcPr>
            <w:tcW w:w="740" w:type="dxa"/>
            <w:tcBorders>
              <w:top w:val="nil"/>
              <w:left w:val="nil"/>
              <w:bottom w:val="nil"/>
              <w:right w:val="nil"/>
            </w:tcBorders>
            <w:shd w:val="clear" w:color="auto" w:fill="auto"/>
            <w:noWrap/>
            <w:vAlign w:val="center"/>
            <w:hideMark/>
          </w:tcPr>
          <w:p w14:paraId="5F614AB0" w14:textId="77777777" w:rsidR="005D474C" w:rsidRPr="005D474C" w:rsidRDefault="005D474C" w:rsidP="005D474C">
            <w:pPr>
              <w:tabs>
                <w:tab w:val="clear" w:pos="567"/>
              </w:tabs>
              <w:spacing w:before="0" w:line="240" w:lineRule="auto"/>
              <w:jc w:val="right"/>
              <w:rPr>
                <w:rFonts w:ascii="Times New Roman" w:eastAsia="Times New Roman" w:hAnsi="Times New Roman" w:cs="Times New Roman"/>
                <w:szCs w:val="20"/>
                <w:lang w:eastAsia="en-AU"/>
              </w:rPr>
            </w:pPr>
          </w:p>
        </w:tc>
        <w:tc>
          <w:tcPr>
            <w:tcW w:w="740" w:type="dxa"/>
            <w:tcBorders>
              <w:top w:val="nil"/>
              <w:left w:val="nil"/>
              <w:bottom w:val="nil"/>
              <w:right w:val="nil"/>
            </w:tcBorders>
            <w:shd w:val="clear" w:color="auto" w:fill="auto"/>
            <w:noWrap/>
            <w:vAlign w:val="center"/>
            <w:hideMark/>
          </w:tcPr>
          <w:p w14:paraId="327B3914" w14:textId="77777777" w:rsidR="005D474C" w:rsidRPr="005D474C" w:rsidRDefault="005D474C" w:rsidP="005D474C">
            <w:pPr>
              <w:tabs>
                <w:tab w:val="clear" w:pos="567"/>
              </w:tabs>
              <w:spacing w:before="0" w:line="240" w:lineRule="auto"/>
              <w:jc w:val="right"/>
              <w:rPr>
                <w:rFonts w:ascii="Times New Roman" w:eastAsia="Times New Roman" w:hAnsi="Times New Roman" w:cs="Times New Roman"/>
                <w:szCs w:val="20"/>
                <w:lang w:eastAsia="en-AU"/>
              </w:rPr>
            </w:pPr>
          </w:p>
        </w:tc>
        <w:tc>
          <w:tcPr>
            <w:tcW w:w="716" w:type="dxa"/>
            <w:tcBorders>
              <w:top w:val="nil"/>
              <w:left w:val="nil"/>
              <w:bottom w:val="nil"/>
              <w:right w:val="nil"/>
            </w:tcBorders>
            <w:shd w:val="clear" w:color="auto" w:fill="auto"/>
            <w:noWrap/>
            <w:vAlign w:val="center"/>
            <w:hideMark/>
          </w:tcPr>
          <w:p w14:paraId="3C497767" w14:textId="77777777" w:rsidR="005D474C" w:rsidRPr="005D474C" w:rsidRDefault="005D474C" w:rsidP="005D474C">
            <w:pPr>
              <w:tabs>
                <w:tab w:val="clear" w:pos="567"/>
              </w:tabs>
              <w:spacing w:before="0" w:line="240" w:lineRule="auto"/>
              <w:jc w:val="right"/>
              <w:rPr>
                <w:rFonts w:ascii="Times New Roman" w:eastAsia="Times New Roman" w:hAnsi="Times New Roman" w:cs="Times New Roman"/>
                <w:szCs w:val="20"/>
                <w:lang w:eastAsia="en-AU"/>
              </w:rPr>
            </w:pPr>
          </w:p>
        </w:tc>
      </w:tr>
      <w:tr w:rsidR="005D474C" w:rsidRPr="005D474C" w14:paraId="65D0CEBC" w14:textId="77777777" w:rsidTr="00FA21EF">
        <w:trPr>
          <w:trHeight w:val="315"/>
        </w:trPr>
        <w:tc>
          <w:tcPr>
            <w:tcW w:w="2302" w:type="dxa"/>
            <w:tcBorders>
              <w:top w:val="single" w:sz="4" w:space="0" w:color="ADD6EA"/>
              <w:left w:val="nil"/>
              <w:bottom w:val="nil"/>
              <w:right w:val="nil"/>
            </w:tcBorders>
            <w:shd w:val="clear" w:color="auto" w:fill="auto"/>
            <w:vAlign w:val="center"/>
            <w:hideMark/>
          </w:tcPr>
          <w:p w14:paraId="014CBA35" w14:textId="77777777" w:rsidR="005D474C" w:rsidRPr="005D474C" w:rsidRDefault="005D474C" w:rsidP="005D474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Capital improvements</w:t>
            </w:r>
          </w:p>
        </w:tc>
        <w:tc>
          <w:tcPr>
            <w:tcW w:w="703" w:type="dxa"/>
            <w:tcBorders>
              <w:top w:val="single" w:sz="4" w:space="0" w:color="ADD6EA"/>
              <w:left w:val="nil"/>
              <w:bottom w:val="nil"/>
              <w:right w:val="nil"/>
            </w:tcBorders>
            <w:shd w:val="clear" w:color="auto" w:fill="auto"/>
            <w:noWrap/>
            <w:vAlign w:val="center"/>
            <w:hideMark/>
          </w:tcPr>
          <w:p w14:paraId="77902CB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1,008</w:t>
            </w:r>
          </w:p>
        </w:tc>
        <w:tc>
          <w:tcPr>
            <w:tcW w:w="740" w:type="dxa"/>
            <w:tcBorders>
              <w:top w:val="single" w:sz="4" w:space="0" w:color="ADD6EA"/>
              <w:left w:val="nil"/>
              <w:bottom w:val="nil"/>
              <w:right w:val="nil"/>
            </w:tcBorders>
            <w:shd w:val="clear" w:color="auto" w:fill="auto"/>
            <w:noWrap/>
            <w:vAlign w:val="center"/>
            <w:hideMark/>
          </w:tcPr>
          <w:p w14:paraId="710F46EF"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139</w:t>
            </w:r>
          </w:p>
        </w:tc>
        <w:tc>
          <w:tcPr>
            <w:tcW w:w="740" w:type="dxa"/>
            <w:tcBorders>
              <w:top w:val="single" w:sz="4" w:space="0" w:color="ADD6EA"/>
              <w:left w:val="nil"/>
              <w:bottom w:val="nil"/>
              <w:right w:val="nil"/>
            </w:tcBorders>
            <w:shd w:val="clear" w:color="auto" w:fill="auto"/>
            <w:noWrap/>
            <w:vAlign w:val="center"/>
            <w:hideMark/>
          </w:tcPr>
          <w:p w14:paraId="722132E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-544</w:t>
            </w:r>
          </w:p>
        </w:tc>
        <w:tc>
          <w:tcPr>
            <w:tcW w:w="780" w:type="dxa"/>
            <w:tcBorders>
              <w:top w:val="single" w:sz="4" w:space="0" w:color="ADD6EA"/>
              <w:left w:val="nil"/>
              <w:bottom w:val="nil"/>
              <w:right w:val="nil"/>
            </w:tcBorders>
            <w:shd w:val="clear" w:color="auto" w:fill="auto"/>
            <w:noWrap/>
            <w:vAlign w:val="center"/>
            <w:hideMark/>
          </w:tcPr>
          <w:p w14:paraId="7EAA163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-25</w:t>
            </w:r>
          </w:p>
        </w:tc>
        <w:tc>
          <w:tcPr>
            <w:tcW w:w="740" w:type="dxa"/>
            <w:tcBorders>
              <w:top w:val="single" w:sz="4" w:space="0" w:color="ADD6EA"/>
              <w:left w:val="nil"/>
              <w:bottom w:val="nil"/>
              <w:right w:val="nil"/>
            </w:tcBorders>
            <w:shd w:val="clear" w:color="auto" w:fill="auto"/>
            <w:noWrap/>
            <w:vAlign w:val="center"/>
            <w:hideMark/>
          </w:tcPr>
          <w:p w14:paraId="5E24120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-420</w:t>
            </w:r>
          </w:p>
        </w:tc>
        <w:tc>
          <w:tcPr>
            <w:tcW w:w="740" w:type="dxa"/>
            <w:tcBorders>
              <w:top w:val="single" w:sz="4" w:space="0" w:color="ADD6EA"/>
              <w:left w:val="nil"/>
              <w:bottom w:val="nil"/>
              <w:right w:val="nil"/>
            </w:tcBorders>
            <w:shd w:val="clear" w:color="auto" w:fill="auto"/>
            <w:noWrap/>
            <w:vAlign w:val="center"/>
            <w:hideMark/>
          </w:tcPr>
          <w:p w14:paraId="28D477BA"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-246</w:t>
            </w:r>
          </w:p>
        </w:tc>
        <w:tc>
          <w:tcPr>
            <w:tcW w:w="740" w:type="dxa"/>
            <w:tcBorders>
              <w:top w:val="single" w:sz="4" w:space="0" w:color="ADD6EA"/>
              <w:left w:val="nil"/>
              <w:bottom w:val="nil"/>
              <w:right w:val="nil"/>
            </w:tcBorders>
            <w:shd w:val="clear" w:color="auto" w:fill="auto"/>
            <w:noWrap/>
            <w:vAlign w:val="center"/>
            <w:hideMark/>
          </w:tcPr>
          <w:p w14:paraId="7A01E499"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-271</w:t>
            </w:r>
          </w:p>
        </w:tc>
        <w:tc>
          <w:tcPr>
            <w:tcW w:w="740" w:type="dxa"/>
            <w:tcBorders>
              <w:top w:val="single" w:sz="4" w:space="0" w:color="ADD6EA"/>
              <w:left w:val="nil"/>
              <w:bottom w:val="nil"/>
              <w:right w:val="nil"/>
            </w:tcBorders>
            <w:shd w:val="clear" w:color="auto" w:fill="auto"/>
            <w:noWrap/>
            <w:vAlign w:val="center"/>
            <w:hideMark/>
          </w:tcPr>
          <w:p w14:paraId="35ABAD1B"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359</w:t>
            </w:r>
          </w:p>
        </w:tc>
        <w:tc>
          <w:tcPr>
            <w:tcW w:w="716" w:type="dxa"/>
            <w:tcBorders>
              <w:top w:val="single" w:sz="4" w:space="0" w:color="ADD6EA"/>
              <w:left w:val="nil"/>
              <w:bottom w:val="nil"/>
              <w:right w:val="nil"/>
            </w:tcBorders>
            <w:shd w:val="clear" w:color="auto" w:fill="auto"/>
            <w:noWrap/>
            <w:vAlign w:val="center"/>
            <w:hideMark/>
          </w:tcPr>
          <w:p w14:paraId="161CB17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1,506</w:t>
            </w:r>
          </w:p>
        </w:tc>
      </w:tr>
      <w:tr w:rsidR="005D474C" w:rsidRPr="005D474C" w14:paraId="22870B02" w14:textId="77777777" w:rsidTr="00FA21EF">
        <w:trPr>
          <w:trHeight w:val="315"/>
        </w:trPr>
        <w:tc>
          <w:tcPr>
            <w:tcW w:w="2302" w:type="dxa"/>
            <w:tcBorders>
              <w:top w:val="single" w:sz="4" w:space="0" w:color="ADD6EA"/>
              <w:left w:val="nil"/>
              <w:bottom w:val="nil"/>
              <w:right w:val="nil"/>
            </w:tcBorders>
            <w:shd w:val="clear" w:color="auto" w:fill="auto"/>
            <w:vAlign w:val="center"/>
            <w:hideMark/>
          </w:tcPr>
          <w:p w14:paraId="1697FE75" w14:textId="77777777" w:rsidR="005D474C" w:rsidRPr="005D474C" w:rsidRDefault="005D474C" w:rsidP="005D474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Cost of construction</w:t>
            </w:r>
          </w:p>
        </w:tc>
        <w:tc>
          <w:tcPr>
            <w:tcW w:w="703" w:type="dxa"/>
            <w:tcBorders>
              <w:top w:val="single" w:sz="4" w:space="0" w:color="ADD6EA"/>
              <w:left w:val="nil"/>
              <w:bottom w:val="nil"/>
              <w:right w:val="nil"/>
            </w:tcBorders>
            <w:shd w:val="clear" w:color="auto" w:fill="auto"/>
            <w:noWrap/>
            <w:vAlign w:val="center"/>
            <w:hideMark/>
          </w:tcPr>
          <w:p w14:paraId="6009812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396</w:t>
            </w:r>
          </w:p>
        </w:tc>
        <w:tc>
          <w:tcPr>
            <w:tcW w:w="740" w:type="dxa"/>
            <w:tcBorders>
              <w:top w:val="single" w:sz="4" w:space="0" w:color="ADD6EA"/>
              <w:left w:val="nil"/>
              <w:bottom w:val="nil"/>
              <w:right w:val="nil"/>
            </w:tcBorders>
            <w:shd w:val="clear" w:color="auto" w:fill="auto"/>
            <w:noWrap/>
            <w:vAlign w:val="center"/>
            <w:hideMark/>
          </w:tcPr>
          <w:p w14:paraId="67ACAD4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-836</w:t>
            </w:r>
          </w:p>
        </w:tc>
        <w:tc>
          <w:tcPr>
            <w:tcW w:w="740" w:type="dxa"/>
            <w:tcBorders>
              <w:top w:val="single" w:sz="4" w:space="0" w:color="ADD6EA"/>
              <w:left w:val="nil"/>
              <w:bottom w:val="nil"/>
              <w:right w:val="nil"/>
            </w:tcBorders>
            <w:shd w:val="clear" w:color="auto" w:fill="auto"/>
            <w:noWrap/>
            <w:vAlign w:val="center"/>
            <w:hideMark/>
          </w:tcPr>
          <w:p w14:paraId="66805D2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-125</w:t>
            </w:r>
          </w:p>
        </w:tc>
        <w:tc>
          <w:tcPr>
            <w:tcW w:w="780" w:type="dxa"/>
            <w:tcBorders>
              <w:top w:val="single" w:sz="4" w:space="0" w:color="ADD6EA"/>
              <w:left w:val="nil"/>
              <w:bottom w:val="nil"/>
              <w:right w:val="nil"/>
            </w:tcBorders>
            <w:shd w:val="clear" w:color="auto" w:fill="auto"/>
            <w:noWrap/>
            <w:vAlign w:val="center"/>
            <w:hideMark/>
          </w:tcPr>
          <w:p w14:paraId="65826B45"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496</w:t>
            </w:r>
          </w:p>
        </w:tc>
        <w:tc>
          <w:tcPr>
            <w:tcW w:w="740" w:type="dxa"/>
            <w:tcBorders>
              <w:top w:val="single" w:sz="4" w:space="0" w:color="ADD6EA"/>
              <w:left w:val="nil"/>
              <w:bottom w:val="nil"/>
              <w:right w:val="nil"/>
            </w:tcBorders>
            <w:shd w:val="clear" w:color="auto" w:fill="auto"/>
            <w:noWrap/>
            <w:vAlign w:val="center"/>
            <w:hideMark/>
          </w:tcPr>
          <w:p w14:paraId="575A288E"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-64</w:t>
            </w:r>
          </w:p>
        </w:tc>
        <w:tc>
          <w:tcPr>
            <w:tcW w:w="740" w:type="dxa"/>
            <w:tcBorders>
              <w:top w:val="single" w:sz="4" w:space="0" w:color="ADD6EA"/>
              <w:left w:val="nil"/>
              <w:bottom w:val="nil"/>
              <w:right w:val="nil"/>
            </w:tcBorders>
            <w:shd w:val="clear" w:color="auto" w:fill="auto"/>
            <w:noWrap/>
            <w:vAlign w:val="center"/>
            <w:hideMark/>
          </w:tcPr>
          <w:p w14:paraId="38D2BE68"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-38</w:t>
            </w:r>
          </w:p>
        </w:tc>
        <w:tc>
          <w:tcPr>
            <w:tcW w:w="740" w:type="dxa"/>
            <w:tcBorders>
              <w:top w:val="single" w:sz="4" w:space="0" w:color="ADD6EA"/>
              <w:left w:val="nil"/>
              <w:bottom w:val="nil"/>
              <w:right w:val="nil"/>
            </w:tcBorders>
            <w:shd w:val="clear" w:color="auto" w:fill="auto"/>
            <w:noWrap/>
            <w:vAlign w:val="center"/>
            <w:hideMark/>
          </w:tcPr>
          <w:p w14:paraId="07DF681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40</w:t>
            </w:r>
          </w:p>
        </w:tc>
        <w:tc>
          <w:tcPr>
            <w:tcW w:w="740" w:type="dxa"/>
            <w:tcBorders>
              <w:top w:val="single" w:sz="4" w:space="0" w:color="ADD6EA"/>
              <w:left w:val="nil"/>
              <w:bottom w:val="nil"/>
              <w:right w:val="nil"/>
            </w:tcBorders>
            <w:shd w:val="clear" w:color="auto" w:fill="auto"/>
            <w:noWrap/>
            <w:vAlign w:val="center"/>
            <w:hideMark/>
          </w:tcPr>
          <w:p w14:paraId="20A7DDD8"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132</w:t>
            </w:r>
          </w:p>
        </w:tc>
        <w:tc>
          <w:tcPr>
            <w:tcW w:w="716" w:type="dxa"/>
            <w:tcBorders>
              <w:top w:val="single" w:sz="4" w:space="0" w:color="ADD6EA"/>
              <w:left w:val="nil"/>
              <w:bottom w:val="nil"/>
              <w:right w:val="nil"/>
            </w:tcBorders>
            <w:shd w:val="clear" w:color="auto" w:fill="auto"/>
            <w:noWrap/>
            <w:vAlign w:val="center"/>
            <w:hideMark/>
          </w:tcPr>
          <w:p w14:paraId="62F66B8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1,064</w:t>
            </w:r>
          </w:p>
        </w:tc>
      </w:tr>
      <w:tr w:rsidR="005D474C" w:rsidRPr="005D474C" w14:paraId="306EE4D6" w14:textId="77777777" w:rsidTr="00FA21EF">
        <w:trPr>
          <w:trHeight w:val="315"/>
        </w:trPr>
        <w:tc>
          <w:tcPr>
            <w:tcW w:w="2302" w:type="dxa"/>
            <w:tcBorders>
              <w:top w:val="single" w:sz="4" w:space="0" w:color="ADD6EA"/>
              <w:left w:val="nil"/>
              <w:bottom w:val="nil"/>
              <w:right w:val="nil"/>
            </w:tcBorders>
            <w:shd w:val="clear" w:color="auto" w:fill="auto"/>
            <w:vAlign w:val="center"/>
            <w:hideMark/>
          </w:tcPr>
          <w:p w14:paraId="31BE08B8" w14:textId="77777777" w:rsidR="005D474C" w:rsidRPr="005D474C" w:rsidRDefault="005D474C" w:rsidP="005D474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Population growth</w:t>
            </w:r>
          </w:p>
        </w:tc>
        <w:tc>
          <w:tcPr>
            <w:tcW w:w="703" w:type="dxa"/>
            <w:tcBorders>
              <w:top w:val="single" w:sz="4" w:space="0" w:color="ADD6EA"/>
              <w:left w:val="nil"/>
              <w:bottom w:val="nil"/>
              <w:right w:val="nil"/>
            </w:tcBorders>
            <w:shd w:val="clear" w:color="auto" w:fill="auto"/>
            <w:noWrap/>
            <w:vAlign w:val="center"/>
            <w:hideMark/>
          </w:tcPr>
          <w:p w14:paraId="62614F2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-1,360</w:t>
            </w:r>
          </w:p>
        </w:tc>
        <w:tc>
          <w:tcPr>
            <w:tcW w:w="740" w:type="dxa"/>
            <w:tcBorders>
              <w:top w:val="single" w:sz="4" w:space="0" w:color="ADD6EA"/>
              <w:left w:val="nil"/>
              <w:bottom w:val="nil"/>
              <w:right w:val="nil"/>
            </w:tcBorders>
            <w:shd w:val="clear" w:color="auto" w:fill="auto"/>
            <w:noWrap/>
            <w:vAlign w:val="center"/>
            <w:hideMark/>
          </w:tcPr>
          <w:p w14:paraId="4A25D8D1"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333</w:t>
            </w:r>
          </w:p>
        </w:tc>
        <w:tc>
          <w:tcPr>
            <w:tcW w:w="740" w:type="dxa"/>
            <w:tcBorders>
              <w:top w:val="single" w:sz="4" w:space="0" w:color="ADD6EA"/>
              <w:left w:val="nil"/>
              <w:bottom w:val="nil"/>
              <w:right w:val="nil"/>
            </w:tcBorders>
            <w:shd w:val="clear" w:color="auto" w:fill="auto"/>
            <w:noWrap/>
            <w:vAlign w:val="center"/>
            <w:hideMark/>
          </w:tcPr>
          <w:p w14:paraId="28FBA15E"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728</w:t>
            </w:r>
          </w:p>
        </w:tc>
        <w:tc>
          <w:tcPr>
            <w:tcW w:w="780" w:type="dxa"/>
            <w:tcBorders>
              <w:top w:val="single" w:sz="4" w:space="0" w:color="ADD6EA"/>
              <w:left w:val="nil"/>
              <w:bottom w:val="nil"/>
              <w:right w:val="nil"/>
            </w:tcBorders>
            <w:shd w:val="clear" w:color="auto" w:fill="auto"/>
            <w:noWrap/>
            <w:vAlign w:val="center"/>
            <w:hideMark/>
          </w:tcPr>
          <w:p w14:paraId="586A6C0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792</w:t>
            </w:r>
          </w:p>
        </w:tc>
        <w:tc>
          <w:tcPr>
            <w:tcW w:w="740" w:type="dxa"/>
            <w:tcBorders>
              <w:top w:val="single" w:sz="4" w:space="0" w:color="ADD6EA"/>
              <w:left w:val="nil"/>
              <w:bottom w:val="nil"/>
              <w:right w:val="nil"/>
            </w:tcBorders>
            <w:shd w:val="clear" w:color="auto" w:fill="auto"/>
            <w:noWrap/>
            <w:vAlign w:val="center"/>
            <w:hideMark/>
          </w:tcPr>
          <w:p w14:paraId="05BE9944"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-287</w:t>
            </w:r>
          </w:p>
        </w:tc>
        <w:tc>
          <w:tcPr>
            <w:tcW w:w="740" w:type="dxa"/>
            <w:tcBorders>
              <w:top w:val="single" w:sz="4" w:space="0" w:color="ADD6EA"/>
              <w:left w:val="nil"/>
              <w:bottom w:val="nil"/>
              <w:right w:val="nil"/>
            </w:tcBorders>
            <w:shd w:val="clear" w:color="auto" w:fill="auto"/>
            <w:noWrap/>
            <w:vAlign w:val="center"/>
            <w:hideMark/>
          </w:tcPr>
          <w:p w14:paraId="7C0A87F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-126</w:t>
            </w:r>
          </w:p>
        </w:tc>
        <w:tc>
          <w:tcPr>
            <w:tcW w:w="740" w:type="dxa"/>
            <w:tcBorders>
              <w:top w:val="single" w:sz="4" w:space="0" w:color="ADD6EA"/>
              <w:left w:val="nil"/>
              <w:bottom w:val="nil"/>
              <w:right w:val="nil"/>
            </w:tcBorders>
            <w:shd w:val="clear" w:color="auto" w:fill="auto"/>
            <w:noWrap/>
            <w:vAlign w:val="center"/>
            <w:hideMark/>
          </w:tcPr>
          <w:p w14:paraId="3B0DF1E8"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-40</w:t>
            </w:r>
          </w:p>
        </w:tc>
        <w:tc>
          <w:tcPr>
            <w:tcW w:w="740" w:type="dxa"/>
            <w:tcBorders>
              <w:top w:val="single" w:sz="4" w:space="0" w:color="ADD6EA"/>
              <w:left w:val="nil"/>
              <w:bottom w:val="nil"/>
              <w:right w:val="nil"/>
            </w:tcBorders>
            <w:shd w:val="clear" w:color="auto" w:fill="auto"/>
            <w:noWrap/>
            <w:vAlign w:val="center"/>
            <w:hideMark/>
          </w:tcPr>
          <w:p w14:paraId="2106248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-41</w:t>
            </w:r>
          </w:p>
        </w:tc>
        <w:tc>
          <w:tcPr>
            <w:tcW w:w="716" w:type="dxa"/>
            <w:tcBorders>
              <w:top w:val="single" w:sz="4" w:space="0" w:color="ADD6EA"/>
              <w:left w:val="nil"/>
              <w:bottom w:val="nil"/>
              <w:right w:val="nil"/>
            </w:tcBorders>
            <w:shd w:val="clear" w:color="auto" w:fill="auto"/>
            <w:noWrap/>
            <w:vAlign w:val="center"/>
            <w:hideMark/>
          </w:tcPr>
          <w:p w14:paraId="03B42151"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1,853</w:t>
            </w:r>
          </w:p>
        </w:tc>
      </w:tr>
      <w:tr w:rsidR="005D474C" w:rsidRPr="005D474C" w14:paraId="28337271" w14:textId="77777777" w:rsidTr="00FA21EF">
        <w:trPr>
          <w:trHeight w:val="315"/>
        </w:trPr>
        <w:tc>
          <w:tcPr>
            <w:tcW w:w="2302" w:type="dxa"/>
            <w:tcBorders>
              <w:top w:val="single" w:sz="4" w:space="0" w:color="ADD6EA"/>
              <w:left w:val="nil"/>
              <w:bottom w:val="single" w:sz="4" w:space="0" w:color="ADD6EA"/>
              <w:right w:val="nil"/>
            </w:tcBorders>
            <w:shd w:val="clear" w:color="000000" w:fill="B6D5E4"/>
            <w:vAlign w:val="center"/>
            <w:hideMark/>
          </w:tcPr>
          <w:p w14:paraId="294DB95D" w14:textId="77777777" w:rsidR="005D474C" w:rsidRPr="005D474C" w:rsidRDefault="005D474C" w:rsidP="005D474C">
            <w:pPr>
              <w:tabs>
                <w:tab w:val="clear" w:pos="567"/>
              </w:tabs>
              <w:spacing w:before="0" w:line="240" w:lineRule="auto"/>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TOTAL INVESTMENT</w:t>
            </w:r>
          </w:p>
        </w:tc>
        <w:tc>
          <w:tcPr>
            <w:tcW w:w="703" w:type="dxa"/>
            <w:tcBorders>
              <w:top w:val="single" w:sz="4" w:space="0" w:color="ADD6EA"/>
              <w:left w:val="nil"/>
              <w:bottom w:val="single" w:sz="4" w:space="0" w:color="ADD6EA"/>
              <w:right w:val="nil"/>
            </w:tcBorders>
            <w:shd w:val="clear" w:color="000000" w:fill="B6D5E4"/>
            <w:noWrap/>
            <w:vAlign w:val="center"/>
            <w:hideMark/>
          </w:tcPr>
          <w:p w14:paraId="25CCF389"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44</w:t>
            </w:r>
          </w:p>
        </w:tc>
        <w:tc>
          <w:tcPr>
            <w:tcW w:w="740" w:type="dxa"/>
            <w:tcBorders>
              <w:top w:val="single" w:sz="4" w:space="0" w:color="ADD6EA"/>
              <w:left w:val="nil"/>
              <w:bottom w:val="single" w:sz="4" w:space="0" w:color="ADD6EA"/>
              <w:right w:val="nil"/>
            </w:tcBorders>
            <w:shd w:val="clear" w:color="000000" w:fill="B6D5E4"/>
            <w:noWrap/>
            <w:vAlign w:val="center"/>
            <w:hideMark/>
          </w:tcPr>
          <w:p w14:paraId="42A7A4F0"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-364</w:t>
            </w:r>
          </w:p>
        </w:tc>
        <w:tc>
          <w:tcPr>
            <w:tcW w:w="740" w:type="dxa"/>
            <w:tcBorders>
              <w:top w:val="single" w:sz="4" w:space="0" w:color="ADD6EA"/>
              <w:left w:val="nil"/>
              <w:bottom w:val="single" w:sz="4" w:space="0" w:color="ADD6EA"/>
              <w:right w:val="nil"/>
            </w:tcBorders>
            <w:shd w:val="clear" w:color="000000" w:fill="B6D5E4"/>
            <w:noWrap/>
            <w:vAlign w:val="center"/>
            <w:hideMark/>
          </w:tcPr>
          <w:p w14:paraId="346F60AF"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58</w:t>
            </w:r>
          </w:p>
        </w:tc>
        <w:tc>
          <w:tcPr>
            <w:tcW w:w="780" w:type="dxa"/>
            <w:tcBorders>
              <w:top w:val="single" w:sz="4" w:space="0" w:color="ADD6EA"/>
              <w:left w:val="nil"/>
              <w:bottom w:val="single" w:sz="4" w:space="0" w:color="ADD6EA"/>
              <w:right w:val="nil"/>
            </w:tcBorders>
            <w:shd w:val="clear" w:color="000000" w:fill="B6D5E4"/>
            <w:noWrap/>
            <w:vAlign w:val="center"/>
            <w:hideMark/>
          </w:tcPr>
          <w:p w14:paraId="2FDCD6B8"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1,263</w:t>
            </w:r>
          </w:p>
        </w:tc>
        <w:tc>
          <w:tcPr>
            <w:tcW w:w="740" w:type="dxa"/>
            <w:tcBorders>
              <w:top w:val="single" w:sz="4" w:space="0" w:color="ADD6EA"/>
              <w:left w:val="nil"/>
              <w:bottom w:val="single" w:sz="4" w:space="0" w:color="ADD6EA"/>
              <w:right w:val="nil"/>
            </w:tcBorders>
            <w:shd w:val="clear" w:color="000000" w:fill="B6D5E4"/>
            <w:noWrap/>
            <w:vAlign w:val="center"/>
            <w:hideMark/>
          </w:tcPr>
          <w:p w14:paraId="46260CB6"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-771</w:t>
            </w:r>
          </w:p>
        </w:tc>
        <w:tc>
          <w:tcPr>
            <w:tcW w:w="740" w:type="dxa"/>
            <w:tcBorders>
              <w:top w:val="single" w:sz="4" w:space="0" w:color="ADD6EA"/>
              <w:left w:val="nil"/>
              <w:bottom w:val="single" w:sz="4" w:space="0" w:color="ADD6EA"/>
              <w:right w:val="nil"/>
            </w:tcBorders>
            <w:shd w:val="clear" w:color="000000" w:fill="B6D5E4"/>
            <w:noWrap/>
            <w:vAlign w:val="center"/>
            <w:hideMark/>
          </w:tcPr>
          <w:p w14:paraId="3CC280FA"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-410</w:t>
            </w:r>
          </w:p>
        </w:tc>
        <w:tc>
          <w:tcPr>
            <w:tcW w:w="740" w:type="dxa"/>
            <w:tcBorders>
              <w:top w:val="single" w:sz="4" w:space="0" w:color="ADD6EA"/>
              <w:left w:val="nil"/>
              <w:bottom w:val="single" w:sz="4" w:space="0" w:color="ADD6EA"/>
              <w:right w:val="nil"/>
            </w:tcBorders>
            <w:shd w:val="clear" w:color="000000" w:fill="B6D5E4"/>
            <w:noWrap/>
            <w:vAlign w:val="center"/>
            <w:hideMark/>
          </w:tcPr>
          <w:p w14:paraId="0CDACF04"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-271</w:t>
            </w:r>
          </w:p>
        </w:tc>
        <w:tc>
          <w:tcPr>
            <w:tcW w:w="740" w:type="dxa"/>
            <w:tcBorders>
              <w:top w:val="single" w:sz="4" w:space="0" w:color="ADD6EA"/>
              <w:left w:val="nil"/>
              <w:bottom w:val="single" w:sz="4" w:space="0" w:color="ADD6EA"/>
              <w:right w:val="nil"/>
            </w:tcBorders>
            <w:shd w:val="clear" w:color="000000" w:fill="B6D5E4"/>
            <w:noWrap/>
            <w:vAlign w:val="center"/>
            <w:hideMark/>
          </w:tcPr>
          <w:p w14:paraId="414477E9"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450</w:t>
            </w:r>
          </w:p>
        </w:tc>
        <w:tc>
          <w:tcPr>
            <w:tcW w:w="716" w:type="dxa"/>
            <w:tcBorders>
              <w:top w:val="single" w:sz="4" w:space="0" w:color="ADD6EA"/>
              <w:left w:val="nil"/>
              <w:bottom w:val="single" w:sz="4" w:space="0" w:color="ADD6EA"/>
              <w:right w:val="nil"/>
            </w:tcBorders>
            <w:shd w:val="clear" w:color="000000" w:fill="B6D5E4"/>
            <w:noWrap/>
            <w:vAlign w:val="center"/>
            <w:hideMark/>
          </w:tcPr>
          <w:p w14:paraId="7AB90CF8"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1,816</w:t>
            </w:r>
          </w:p>
        </w:tc>
      </w:tr>
      <w:tr w:rsidR="005D474C" w:rsidRPr="005D474C" w14:paraId="0A731233" w14:textId="77777777" w:rsidTr="00FA21EF">
        <w:trPr>
          <w:trHeight w:val="315"/>
        </w:trPr>
        <w:tc>
          <w:tcPr>
            <w:tcW w:w="2302" w:type="dxa"/>
            <w:tcBorders>
              <w:top w:val="nil"/>
              <w:left w:val="nil"/>
              <w:bottom w:val="nil"/>
              <w:right w:val="nil"/>
            </w:tcBorders>
            <w:shd w:val="clear" w:color="auto" w:fill="auto"/>
            <w:vAlign w:val="center"/>
            <w:hideMark/>
          </w:tcPr>
          <w:p w14:paraId="58BA25B4" w14:textId="77777777" w:rsidR="005D474C" w:rsidRPr="005D474C" w:rsidRDefault="005D474C" w:rsidP="005D474C">
            <w:pPr>
              <w:tabs>
                <w:tab w:val="clear" w:pos="567"/>
              </w:tabs>
              <w:spacing w:before="0" w:line="240" w:lineRule="auto"/>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NET BORROWING</w:t>
            </w:r>
          </w:p>
        </w:tc>
        <w:tc>
          <w:tcPr>
            <w:tcW w:w="703" w:type="dxa"/>
            <w:tcBorders>
              <w:top w:val="nil"/>
              <w:left w:val="nil"/>
              <w:bottom w:val="nil"/>
              <w:right w:val="nil"/>
            </w:tcBorders>
            <w:shd w:val="clear" w:color="auto" w:fill="auto"/>
            <w:noWrap/>
            <w:vAlign w:val="center"/>
            <w:hideMark/>
          </w:tcPr>
          <w:p w14:paraId="78453D42"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269</w:t>
            </w:r>
          </w:p>
        </w:tc>
        <w:tc>
          <w:tcPr>
            <w:tcW w:w="740" w:type="dxa"/>
            <w:tcBorders>
              <w:top w:val="nil"/>
              <w:left w:val="nil"/>
              <w:bottom w:val="nil"/>
              <w:right w:val="nil"/>
            </w:tcBorders>
            <w:shd w:val="clear" w:color="auto" w:fill="auto"/>
            <w:noWrap/>
            <w:vAlign w:val="center"/>
            <w:hideMark/>
          </w:tcPr>
          <w:p w14:paraId="134C092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-35</w:t>
            </w:r>
          </w:p>
        </w:tc>
        <w:tc>
          <w:tcPr>
            <w:tcW w:w="740" w:type="dxa"/>
            <w:tcBorders>
              <w:top w:val="nil"/>
              <w:left w:val="nil"/>
              <w:bottom w:val="nil"/>
              <w:right w:val="nil"/>
            </w:tcBorders>
            <w:shd w:val="clear" w:color="auto" w:fill="auto"/>
            <w:noWrap/>
            <w:vAlign w:val="center"/>
            <w:hideMark/>
          </w:tcPr>
          <w:p w14:paraId="6707367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-207</w:t>
            </w:r>
          </w:p>
        </w:tc>
        <w:tc>
          <w:tcPr>
            <w:tcW w:w="780" w:type="dxa"/>
            <w:tcBorders>
              <w:top w:val="nil"/>
              <w:left w:val="nil"/>
              <w:bottom w:val="nil"/>
              <w:right w:val="nil"/>
            </w:tcBorders>
            <w:shd w:val="clear" w:color="auto" w:fill="auto"/>
            <w:noWrap/>
            <w:vAlign w:val="center"/>
            <w:hideMark/>
          </w:tcPr>
          <w:p w14:paraId="1AC065C5"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-203</w:t>
            </w:r>
          </w:p>
        </w:tc>
        <w:tc>
          <w:tcPr>
            <w:tcW w:w="740" w:type="dxa"/>
            <w:tcBorders>
              <w:top w:val="nil"/>
              <w:left w:val="nil"/>
              <w:bottom w:val="nil"/>
              <w:right w:val="nil"/>
            </w:tcBorders>
            <w:shd w:val="clear" w:color="auto" w:fill="auto"/>
            <w:noWrap/>
            <w:vAlign w:val="center"/>
            <w:hideMark/>
          </w:tcPr>
          <w:p w14:paraId="620CEC70"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81</w:t>
            </w:r>
          </w:p>
        </w:tc>
        <w:tc>
          <w:tcPr>
            <w:tcW w:w="740" w:type="dxa"/>
            <w:tcBorders>
              <w:top w:val="nil"/>
              <w:left w:val="nil"/>
              <w:bottom w:val="nil"/>
              <w:right w:val="nil"/>
            </w:tcBorders>
            <w:shd w:val="clear" w:color="auto" w:fill="auto"/>
            <w:noWrap/>
            <w:vAlign w:val="center"/>
            <w:hideMark/>
          </w:tcPr>
          <w:p w14:paraId="24D77588"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64</w:t>
            </w:r>
          </w:p>
        </w:tc>
        <w:tc>
          <w:tcPr>
            <w:tcW w:w="740" w:type="dxa"/>
            <w:tcBorders>
              <w:top w:val="nil"/>
              <w:left w:val="nil"/>
              <w:bottom w:val="nil"/>
              <w:right w:val="nil"/>
            </w:tcBorders>
            <w:shd w:val="clear" w:color="auto" w:fill="auto"/>
            <w:noWrap/>
            <w:vAlign w:val="center"/>
            <w:hideMark/>
          </w:tcPr>
          <w:p w14:paraId="78C4AB02"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7</w:t>
            </w:r>
          </w:p>
        </w:tc>
        <w:tc>
          <w:tcPr>
            <w:tcW w:w="740" w:type="dxa"/>
            <w:tcBorders>
              <w:top w:val="nil"/>
              <w:left w:val="nil"/>
              <w:bottom w:val="nil"/>
              <w:right w:val="nil"/>
            </w:tcBorders>
            <w:shd w:val="clear" w:color="auto" w:fill="auto"/>
            <w:noWrap/>
            <w:vAlign w:val="center"/>
            <w:hideMark/>
          </w:tcPr>
          <w:p w14:paraId="2BE16C4E"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24</w:t>
            </w:r>
          </w:p>
        </w:tc>
        <w:tc>
          <w:tcPr>
            <w:tcW w:w="716" w:type="dxa"/>
            <w:tcBorders>
              <w:top w:val="nil"/>
              <w:left w:val="nil"/>
              <w:bottom w:val="nil"/>
              <w:right w:val="nil"/>
            </w:tcBorders>
            <w:shd w:val="clear" w:color="auto" w:fill="auto"/>
            <w:noWrap/>
            <w:vAlign w:val="center"/>
            <w:hideMark/>
          </w:tcPr>
          <w:p w14:paraId="0204BA7E"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445</w:t>
            </w:r>
          </w:p>
        </w:tc>
      </w:tr>
      <w:tr w:rsidR="005D474C" w:rsidRPr="005D474C" w14:paraId="413CA3BD" w14:textId="77777777" w:rsidTr="00FA21EF">
        <w:trPr>
          <w:trHeight w:val="555"/>
        </w:trPr>
        <w:tc>
          <w:tcPr>
            <w:tcW w:w="2302" w:type="dxa"/>
            <w:tcBorders>
              <w:top w:val="single" w:sz="4" w:space="0" w:color="ADD6EA"/>
              <w:left w:val="nil"/>
              <w:bottom w:val="single" w:sz="4" w:space="0" w:color="ADD6EA"/>
              <w:right w:val="nil"/>
            </w:tcBorders>
            <w:shd w:val="clear" w:color="000000" w:fill="B6D5E4"/>
            <w:vAlign w:val="center"/>
            <w:hideMark/>
          </w:tcPr>
          <w:p w14:paraId="7B8DD843" w14:textId="77777777" w:rsidR="005D474C" w:rsidRPr="005D474C" w:rsidRDefault="005D474C" w:rsidP="005D474C">
            <w:pPr>
              <w:tabs>
                <w:tab w:val="clear" w:pos="567"/>
              </w:tabs>
              <w:spacing w:before="0" w:line="240" w:lineRule="auto"/>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Total effect of assessed relativities (a)</w:t>
            </w:r>
          </w:p>
        </w:tc>
        <w:tc>
          <w:tcPr>
            <w:tcW w:w="703" w:type="dxa"/>
            <w:tcBorders>
              <w:top w:val="single" w:sz="4" w:space="0" w:color="ADD6EA"/>
              <w:left w:val="nil"/>
              <w:bottom w:val="single" w:sz="4" w:space="0" w:color="ADD6EA"/>
              <w:right w:val="nil"/>
            </w:tcBorders>
            <w:shd w:val="clear" w:color="000000" w:fill="B6D5E4"/>
            <w:noWrap/>
            <w:vAlign w:val="center"/>
            <w:hideMark/>
          </w:tcPr>
          <w:p w14:paraId="0BAE79D8"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-1,586</w:t>
            </w:r>
          </w:p>
        </w:tc>
        <w:tc>
          <w:tcPr>
            <w:tcW w:w="740" w:type="dxa"/>
            <w:tcBorders>
              <w:top w:val="single" w:sz="4" w:space="0" w:color="ADD6EA"/>
              <w:left w:val="nil"/>
              <w:bottom w:val="single" w:sz="4" w:space="0" w:color="ADD6EA"/>
              <w:right w:val="nil"/>
            </w:tcBorders>
            <w:shd w:val="clear" w:color="000000" w:fill="B6D5E4"/>
            <w:noWrap/>
            <w:vAlign w:val="center"/>
            <w:hideMark/>
          </w:tcPr>
          <w:p w14:paraId="3F85133C"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3,763</w:t>
            </w:r>
          </w:p>
        </w:tc>
        <w:tc>
          <w:tcPr>
            <w:tcW w:w="740" w:type="dxa"/>
            <w:tcBorders>
              <w:top w:val="single" w:sz="4" w:space="0" w:color="ADD6EA"/>
              <w:left w:val="nil"/>
              <w:bottom w:val="single" w:sz="4" w:space="0" w:color="ADD6EA"/>
              <w:right w:val="nil"/>
            </w:tcBorders>
            <w:shd w:val="clear" w:color="000000" w:fill="B6D5E4"/>
            <w:noWrap/>
            <w:vAlign w:val="center"/>
            <w:hideMark/>
          </w:tcPr>
          <w:p w14:paraId="6F3FAE60"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-2,770</w:t>
            </w:r>
          </w:p>
        </w:tc>
        <w:tc>
          <w:tcPr>
            <w:tcW w:w="780" w:type="dxa"/>
            <w:tcBorders>
              <w:top w:val="single" w:sz="4" w:space="0" w:color="ADD6EA"/>
              <w:left w:val="nil"/>
              <w:bottom w:val="single" w:sz="4" w:space="0" w:color="ADD6EA"/>
              <w:right w:val="nil"/>
            </w:tcBorders>
            <w:shd w:val="clear" w:color="000000" w:fill="B6D5E4"/>
            <w:noWrap/>
            <w:vAlign w:val="center"/>
            <w:hideMark/>
          </w:tcPr>
          <w:p w14:paraId="791180F2"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-8,488</w:t>
            </w:r>
          </w:p>
        </w:tc>
        <w:tc>
          <w:tcPr>
            <w:tcW w:w="740" w:type="dxa"/>
            <w:tcBorders>
              <w:top w:val="single" w:sz="4" w:space="0" w:color="ADD6EA"/>
              <w:left w:val="nil"/>
              <w:bottom w:val="single" w:sz="4" w:space="0" w:color="ADD6EA"/>
              <w:right w:val="nil"/>
            </w:tcBorders>
            <w:shd w:val="clear" w:color="000000" w:fill="B6D5E4"/>
            <w:noWrap/>
            <w:vAlign w:val="center"/>
            <w:hideMark/>
          </w:tcPr>
          <w:p w14:paraId="2F8CCFA8"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3,093</w:t>
            </w:r>
          </w:p>
        </w:tc>
        <w:tc>
          <w:tcPr>
            <w:tcW w:w="740" w:type="dxa"/>
            <w:tcBorders>
              <w:top w:val="single" w:sz="4" w:space="0" w:color="ADD6EA"/>
              <w:left w:val="nil"/>
              <w:bottom w:val="single" w:sz="4" w:space="0" w:color="ADD6EA"/>
              <w:right w:val="nil"/>
            </w:tcBorders>
            <w:shd w:val="clear" w:color="000000" w:fill="B6D5E4"/>
            <w:noWrap/>
            <w:vAlign w:val="center"/>
            <w:hideMark/>
          </w:tcPr>
          <w:p w14:paraId="480730BB"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1,833</w:t>
            </w:r>
          </w:p>
        </w:tc>
        <w:tc>
          <w:tcPr>
            <w:tcW w:w="740" w:type="dxa"/>
            <w:tcBorders>
              <w:top w:val="single" w:sz="4" w:space="0" w:color="ADD6EA"/>
              <w:left w:val="nil"/>
              <w:bottom w:val="single" w:sz="4" w:space="0" w:color="ADD6EA"/>
              <w:right w:val="nil"/>
            </w:tcBorders>
            <w:shd w:val="clear" w:color="000000" w:fill="B6D5E4"/>
            <w:noWrap/>
            <w:vAlign w:val="center"/>
            <w:hideMark/>
          </w:tcPr>
          <w:p w14:paraId="56E54176"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427</w:t>
            </w:r>
          </w:p>
        </w:tc>
        <w:tc>
          <w:tcPr>
            <w:tcW w:w="740" w:type="dxa"/>
            <w:tcBorders>
              <w:top w:val="single" w:sz="4" w:space="0" w:color="ADD6EA"/>
              <w:left w:val="nil"/>
              <w:bottom w:val="single" w:sz="4" w:space="0" w:color="ADD6EA"/>
              <w:right w:val="nil"/>
            </w:tcBorders>
            <w:shd w:val="clear" w:color="000000" w:fill="B6D5E4"/>
            <w:noWrap/>
            <w:vAlign w:val="center"/>
            <w:hideMark/>
          </w:tcPr>
          <w:p w14:paraId="340D294E"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3,729</w:t>
            </w:r>
          </w:p>
        </w:tc>
        <w:tc>
          <w:tcPr>
            <w:tcW w:w="716" w:type="dxa"/>
            <w:tcBorders>
              <w:top w:val="single" w:sz="4" w:space="0" w:color="ADD6EA"/>
              <w:left w:val="nil"/>
              <w:bottom w:val="single" w:sz="4" w:space="0" w:color="ADD6EA"/>
              <w:right w:val="nil"/>
            </w:tcBorders>
            <w:shd w:val="clear" w:color="000000" w:fill="B6D5E4"/>
            <w:noWrap/>
            <w:vAlign w:val="center"/>
            <w:hideMark/>
          </w:tcPr>
          <w:p w14:paraId="77F65C37"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12,844</w:t>
            </w:r>
          </w:p>
        </w:tc>
      </w:tr>
      <w:tr w:rsidR="005D474C" w:rsidRPr="005D474C" w14:paraId="26B080DE" w14:textId="77777777" w:rsidTr="00FA21EF">
        <w:trPr>
          <w:trHeight w:val="315"/>
        </w:trPr>
        <w:tc>
          <w:tcPr>
            <w:tcW w:w="2302" w:type="dxa"/>
            <w:tcBorders>
              <w:top w:val="nil"/>
              <w:left w:val="nil"/>
              <w:bottom w:val="nil"/>
              <w:right w:val="nil"/>
            </w:tcBorders>
            <w:shd w:val="clear" w:color="auto" w:fill="auto"/>
            <w:vAlign w:val="center"/>
            <w:hideMark/>
          </w:tcPr>
          <w:p w14:paraId="4E6269F1" w14:textId="77777777" w:rsidR="005D474C" w:rsidRPr="005D474C" w:rsidRDefault="005D474C" w:rsidP="005D474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Blending relativities</w:t>
            </w:r>
          </w:p>
        </w:tc>
        <w:tc>
          <w:tcPr>
            <w:tcW w:w="703" w:type="dxa"/>
            <w:tcBorders>
              <w:top w:val="nil"/>
              <w:left w:val="nil"/>
              <w:bottom w:val="nil"/>
              <w:right w:val="nil"/>
            </w:tcBorders>
            <w:shd w:val="clear" w:color="auto" w:fill="auto"/>
            <w:noWrap/>
            <w:vAlign w:val="center"/>
            <w:hideMark/>
          </w:tcPr>
          <w:p w14:paraId="30872C0D"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-2,498</w:t>
            </w:r>
          </w:p>
        </w:tc>
        <w:tc>
          <w:tcPr>
            <w:tcW w:w="740" w:type="dxa"/>
            <w:tcBorders>
              <w:top w:val="nil"/>
              <w:left w:val="nil"/>
              <w:bottom w:val="nil"/>
              <w:right w:val="nil"/>
            </w:tcBorders>
            <w:shd w:val="clear" w:color="auto" w:fill="auto"/>
            <w:noWrap/>
            <w:vAlign w:val="center"/>
            <w:hideMark/>
          </w:tcPr>
          <w:p w14:paraId="4CB1BEF8"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-2,073</w:t>
            </w:r>
          </w:p>
        </w:tc>
        <w:tc>
          <w:tcPr>
            <w:tcW w:w="740" w:type="dxa"/>
            <w:tcBorders>
              <w:top w:val="nil"/>
              <w:left w:val="nil"/>
              <w:bottom w:val="nil"/>
              <w:right w:val="nil"/>
            </w:tcBorders>
            <w:shd w:val="clear" w:color="auto" w:fill="auto"/>
            <w:noWrap/>
            <w:vAlign w:val="center"/>
            <w:hideMark/>
          </w:tcPr>
          <w:p w14:paraId="59F81E89"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-217</w:t>
            </w:r>
          </w:p>
        </w:tc>
        <w:tc>
          <w:tcPr>
            <w:tcW w:w="780" w:type="dxa"/>
            <w:tcBorders>
              <w:top w:val="nil"/>
              <w:left w:val="nil"/>
              <w:bottom w:val="nil"/>
              <w:right w:val="nil"/>
            </w:tcBorders>
            <w:shd w:val="clear" w:color="auto" w:fill="auto"/>
            <w:noWrap/>
            <w:vAlign w:val="center"/>
            <w:hideMark/>
          </w:tcPr>
          <w:p w14:paraId="1EB863EF"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5,728</w:t>
            </w:r>
          </w:p>
        </w:tc>
        <w:tc>
          <w:tcPr>
            <w:tcW w:w="740" w:type="dxa"/>
            <w:tcBorders>
              <w:top w:val="nil"/>
              <w:left w:val="nil"/>
              <w:bottom w:val="nil"/>
              <w:right w:val="nil"/>
            </w:tcBorders>
            <w:shd w:val="clear" w:color="auto" w:fill="auto"/>
            <w:noWrap/>
            <w:vAlign w:val="center"/>
            <w:hideMark/>
          </w:tcPr>
          <w:p w14:paraId="22DE8C76"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-553</w:t>
            </w:r>
          </w:p>
        </w:tc>
        <w:tc>
          <w:tcPr>
            <w:tcW w:w="740" w:type="dxa"/>
            <w:tcBorders>
              <w:top w:val="nil"/>
              <w:left w:val="nil"/>
              <w:bottom w:val="nil"/>
              <w:right w:val="nil"/>
            </w:tcBorders>
            <w:shd w:val="clear" w:color="auto" w:fill="auto"/>
            <w:noWrap/>
            <w:vAlign w:val="center"/>
            <w:hideMark/>
          </w:tcPr>
          <w:p w14:paraId="4EBF4D07"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-169</w:t>
            </w:r>
          </w:p>
        </w:tc>
        <w:tc>
          <w:tcPr>
            <w:tcW w:w="740" w:type="dxa"/>
            <w:tcBorders>
              <w:top w:val="nil"/>
              <w:left w:val="nil"/>
              <w:bottom w:val="nil"/>
              <w:right w:val="nil"/>
            </w:tcBorders>
            <w:shd w:val="clear" w:color="auto" w:fill="auto"/>
            <w:noWrap/>
            <w:vAlign w:val="center"/>
            <w:hideMark/>
          </w:tcPr>
          <w:p w14:paraId="1BFAEE4C"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-140</w:t>
            </w:r>
          </w:p>
        </w:tc>
        <w:tc>
          <w:tcPr>
            <w:tcW w:w="740" w:type="dxa"/>
            <w:tcBorders>
              <w:top w:val="nil"/>
              <w:left w:val="nil"/>
              <w:bottom w:val="nil"/>
              <w:right w:val="nil"/>
            </w:tcBorders>
            <w:shd w:val="clear" w:color="auto" w:fill="auto"/>
            <w:noWrap/>
            <w:vAlign w:val="center"/>
            <w:hideMark/>
          </w:tcPr>
          <w:p w14:paraId="04948A8B"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-79</w:t>
            </w:r>
          </w:p>
        </w:tc>
        <w:tc>
          <w:tcPr>
            <w:tcW w:w="716" w:type="dxa"/>
            <w:tcBorders>
              <w:top w:val="nil"/>
              <w:left w:val="nil"/>
              <w:bottom w:val="nil"/>
              <w:right w:val="nil"/>
            </w:tcBorders>
            <w:shd w:val="clear" w:color="auto" w:fill="auto"/>
            <w:noWrap/>
            <w:vAlign w:val="center"/>
            <w:hideMark/>
          </w:tcPr>
          <w:p w14:paraId="51939B0F"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5,728</w:t>
            </w:r>
          </w:p>
        </w:tc>
      </w:tr>
      <w:tr w:rsidR="005D474C" w:rsidRPr="005D474C" w14:paraId="2388F430" w14:textId="77777777" w:rsidTr="00FA21EF">
        <w:trPr>
          <w:trHeight w:val="315"/>
        </w:trPr>
        <w:tc>
          <w:tcPr>
            <w:tcW w:w="2302" w:type="dxa"/>
            <w:tcBorders>
              <w:top w:val="single" w:sz="4" w:space="0" w:color="ADD6EA"/>
              <w:left w:val="nil"/>
              <w:bottom w:val="nil"/>
              <w:right w:val="nil"/>
            </w:tcBorders>
            <w:shd w:val="clear" w:color="auto" w:fill="auto"/>
            <w:vAlign w:val="center"/>
            <w:hideMark/>
          </w:tcPr>
          <w:p w14:paraId="5C4C8622" w14:textId="77777777" w:rsidR="005D474C" w:rsidRPr="005D474C" w:rsidRDefault="005D474C" w:rsidP="005D474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Floor applied</w:t>
            </w:r>
          </w:p>
        </w:tc>
        <w:tc>
          <w:tcPr>
            <w:tcW w:w="703" w:type="dxa"/>
            <w:tcBorders>
              <w:top w:val="single" w:sz="4" w:space="0" w:color="ADD6EA"/>
              <w:left w:val="nil"/>
              <w:bottom w:val="nil"/>
              <w:right w:val="nil"/>
            </w:tcBorders>
            <w:shd w:val="clear" w:color="auto" w:fill="auto"/>
            <w:noWrap/>
            <w:vAlign w:val="center"/>
            <w:hideMark/>
          </w:tcPr>
          <w:p w14:paraId="7EC2BD1C"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-52</w:t>
            </w:r>
          </w:p>
        </w:tc>
        <w:tc>
          <w:tcPr>
            <w:tcW w:w="740" w:type="dxa"/>
            <w:tcBorders>
              <w:top w:val="single" w:sz="4" w:space="0" w:color="ADD6EA"/>
              <w:left w:val="nil"/>
              <w:bottom w:val="nil"/>
              <w:right w:val="nil"/>
            </w:tcBorders>
            <w:shd w:val="clear" w:color="auto" w:fill="auto"/>
            <w:noWrap/>
            <w:vAlign w:val="center"/>
            <w:hideMark/>
          </w:tcPr>
          <w:p w14:paraId="0FDDD78E"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-43</w:t>
            </w:r>
          </w:p>
        </w:tc>
        <w:tc>
          <w:tcPr>
            <w:tcW w:w="740" w:type="dxa"/>
            <w:tcBorders>
              <w:top w:val="single" w:sz="4" w:space="0" w:color="ADD6EA"/>
              <w:left w:val="nil"/>
              <w:bottom w:val="nil"/>
              <w:right w:val="nil"/>
            </w:tcBorders>
            <w:shd w:val="clear" w:color="auto" w:fill="auto"/>
            <w:noWrap/>
            <w:vAlign w:val="center"/>
            <w:hideMark/>
          </w:tcPr>
          <w:p w14:paraId="4CA32A24"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-34</w:t>
            </w:r>
          </w:p>
        </w:tc>
        <w:tc>
          <w:tcPr>
            <w:tcW w:w="780" w:type="dxa"/>
            <w:tcBorders>
              <w:top w:val="single" w:sz="4" w:space="0" w:color="ADD6EA"/>
              <w:left w:val="nil"/>
              <w:bottom w:val="nil"/>
              <w:right w:val="nil"/>
            </w:tcBorders>
            <w:shd w:val="clear" w:color="auto" w:fill="auto"/>
            <w:noWrap/>
            <w:vAlign w:val="center"/>
            <w:hideMark/>
          </w:tcPr>
          <w:p w14:paraId="2A9492D4"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149</w:t>
            </w:r>
          </w:p>
        </w:tc>
        <w:tc>
          <w:tcPr>
            <w:tcW w:w="740" w:type="dxa"/>
            <w:tcBorders>
              <w:top w:val="single" w:sz="4" w:space="0" w:color="ADD6EA"/>
              <w:left w:val="nil"/>
              <w:bottom w:val="nil"/>
              <w:right w:val="nil"/>
            </w:tcBorders>
            <w:shd w:val="clear" w:color="auto" w:fill="auto"/>
            <w:noWrap/>
            <w:vAlign w:val="center"/>
            <w:hideMark/>
          </w:tcPr>
          <w:p w14:paraId="20D18A23"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-11</w:t>
            </w:r>
          </w:p>
        </w:tc>
        <w:tc>
          <w:tcPr>
            <w:tcW w:w="740" w:type="dxa"/>
            <w:tcBorders>
              <w:top w:val="single" w:sz="4" w:space="0" w:color="ADD6EA"/>
              <w:left w:val="nil"/>
              <w:bottom w:val="nil"/>
              <w:right w:val="nil"/>
            </w:tcBorders>
            <w:shd w:val="clear" w:color="auto" w:fill="auto"/>
            <w:noWrap/>
            <w:vAlign w:val="center"/>
            <w:hideMark/>
          </w:tcPr>
          <w:p w14:paraId="21AD2042"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w:t>
            </w:r>
          </w:p>
        </w:tc>
        <w:tc>
          <w:tcPr>
            <w:tcW w:w="740" w:type="dxa"/>
            <w:tcBorders>
              <w:top w:val="single" w:sz="4" w:space="0" w:color="ADD6EA"/>
              <w:left w:val="nil"/>
              <w:bottom w:val="nil"/>
              <w:right w:val="nil"/>
            </w:tcBorders>
            <w:shd w:val="clear" w:color="auto" w:fill="auto"/>
            <w:noWrap/>
            <w:vAlign w:val="center"/>
            <w:hideMark/>
          </w:tcPr>
          <w:p w14:paraId="09BB38A8"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-3</w:t>
            </w:r>
          </w:p>
        </w:tc>
        <w:tc>
          <w:tcPr>
            <w:tcW w:w="740" w:type="dxa"/>
            <w:tcBorders>
              <w:top w:val="single" w:sz="4" w:space="0" w:color="ADD6EA"/>
              <w:left w:val="nil"/>
              <w:bottom w:val="nil"/>
              <w:right w:val="nil"/>
            </w:tcBorders>
            <w:shd w:val="clear" w:color="auto" w:fill="auto"/>
            <w:noWrap/>
            <w:vAlign w:val="center"/>
            <w:hideMark/>
          </w:tcPr>
          <w:p w14:paraId="6E792CBE"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-2</w:t>
            </w:r>
          </w:p>
        </w:tc>
        <w:tc>
          <w:tcPr>
            <w:tcW w:w="716" w:type="dxa"/>
            <w:tcBorders>
              <w:top w:val="single" w:sz="4" w:space="0" w:color="ADD6EA"/>
              <w:left w:val="nil"/>
              <w:bottom w:val="nil"/>
              <w:right w:val="nil"/>
            </w:tcBorders>
            <w:shd w:val="clear" w:color="auto" w:fill="auto"/>
            <w:noWrap/>
            <w:vAlign w:val="center"/>
            <w:hideMark/>
          </w:tcPr>
          <w:p w14:paraId="39B65934" w14:textId="77777777" w:rsidR="005D474C" w:rsidRPr="005D474C" w:rsidRDefault="005D474C" w:rsidP="005D474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5D474C">
              <w:rPr>
                <w:rFonts w:ascii="Open Sans Light" w:eastAsia="Times New Roman" w:hAnsi="Open Sans Light" w:cs="Open Sans Light"/>
                <w:color w:val="000000"/>
                <w:sz w:val="16"/>
                <w:szCs w:val="16"/>
                <w:lang w:eastAsia="en-AU"/>
              </w:rPr>
              <w:t>149</w:t>
            </w:r>
          </w:p>
        </w:tc>
      </w:tr>
      <w:tr w:rsidR="005D474C" w:rsidRPr="005D474C" w14:paraId="38B29AF7" w14:textId="77777777" w:rsidTr="00FA21EF">
        <w:trPr>
          <w:trHeight w:val="315"/>
        </w:trPr>
        <w:tc>
          <w:tcPr>
            <w:tcW w:w="2302" w:type="dxa"/>
            <w:tcBorders>
              <w:top w:val="nil"/>
              <w:left w:val="nil"/>
              <w:bottom w:val="nil"/>
              <w:right w:val="nil"/>
            </w:tcBorders>
            <w:shd w:val="clear" w:color="000000" w:fill="B6D5E4"/>
            <w:vAlign w:val="center"/>
            <w:hideMark/>
          </w:tcPr>
          <w:p w14:paraId="580C962D" w14:textId="77777777" w:rsidR="005D474C" w:rsidRPr="005D474C" w:rsidRDefault="005D474C" w:rsidP="005D474C">
            <w:pPr>
              <w:tabs>
                <w:tab w:val="clear" w:pos="567"/>
              </w:tabs>
              <w:spacing w:before="0" w:line="240" w:lineRule="auto"/>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TOTAL</w:t>
            </w:r>
          </w:p>
        </w:tc>
        <w:tc>
          <w:tcPr>
            <w:tcW w:w="703" w:type="dxa"/>
            <w:tcBorders>
              <w:top w:val="nil"/>
              <w:left w:val="nil"/>
              <w:bottom w:val="nil"/>
              <w:right w:val="nil"/>
            </w:tcBorders>
            <w:shd w:val="clear" w:color="000000" w:fill="B6D5E4"/>
            <w:noWrap/>
            <w:vAlign w:val="center"/>
            <w:hideMark/>
          </w:tcPr>
          <w:p w14:paraId="75EA13C9"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-4,137</w:t>
            </w:r>
          </w:p>
        </w:tc>
        <w:tc>
          <w:tcPr>
            <w:tcW w:w="740" w:type="dxa"/>
            <w:tcBorders>
              <w:top w:val="nil"/>
              <w:left w:val="nil"/>
              <w:bottom w:val="nil"/>
              <w:right w:val="nil"/>
            </w:tcBorders>
            <w:shd w:val="clear" w:color="000000" w:fill="B6D5E4"/>
            <w:noWrap/>
            <w:vAlign w:val="center"/>
            <w:hideMark/>
          </w:tcPr>
          <w:p w14:paraId="30060540"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1,647</w:t>
            </w:r>
          </w:p>
        </w:tc>
        <w:tc>
          <w:tcPr>
            <w:tcW w:w="740" w:type="dxa"/>
            <w:tcBorders>
              <w:top w:val="nil"/>
              <w:left w:val="nil"/>
              <w:bottom w:val="nil"/>
              <w:right w:val="nil"/>
            </w:tcBorders>
            <w:shd w:val="clear" w:color="000000" w:fill="B6D5E4"/>
            <w:noWrap/>
            <w:vAlign w:val="center"/>
            <w:hideMark/>
          </w:tcPr>
          <w:p w14:paraId="72042C35"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-3,021</w:t>
            </w:r>
          </w:p>
        </w:tc>
        <w:tc>
          <w:tcPr>
            <w:tcW w:w="780" w:type="dxa"/>
            <w:tcBorders>
              <w:top w:val="nil"/>
              <w:left w:val="nil"/>
              <w:bottom w:val="nil"/>
              <w:right w:val="nil"/>
            </w:tcBorders>
            <w:shd w:val="clear" w:color="000000" w:fill="B6D5E4"/>
            <w:noWrap/>
            <w:vAlign w:val="center"/>
            <w:hideMark/>
          </w:tcPr>
          <w:p w14:paraId="2520E3CB"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-2,610</w:t>
            </w:r>
          </w:p>
        </w:tc>
        <w:tc>
          <w:tcPr>
            <w:tcW w:w="740" w:type="dxa"/>
            <w:tcBorders>
              <w:top w:val="nil"/>
              <w:left w:val="nil"/>
              <w:bottom w:val="nil"/>
              <w:right w:val="nil"/>
            </w:tcBorders>
            <w:shd w:val="clear" w:color="000000" w:fill="B6D5E4"/>
            <w:noWrap/>
            <w:vAlign w:val="center"/>
            <w:hideMark/>
          </w:tcPr>
          <w:p w14:paraId="79CFA401"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2,528</w:t>
            </w:r>
          </w:p>
        </w:tc>
        <w:tc>
          <w:tcPr>
            <w:tcW w:w="740" w:type="dxa"/>
            <w:tcBorders>
              <w:top w:val="nil"/>
              <w:left w:val="nil"/>
              <w:bottom w:val="nil"/>
              <w:right w:val="nil"/>
            </w:tcBorders>
            <w:shd w:val="clear" w:color="000000" w:fill="B6D5E4"/>
            <w:noWrap/>
            <w:vAlign w:val="center"/>
            <w:hideMark/>
          </w:tcPr>
          <w:p w14:paraId="2DD3C296"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1,660</w:t>
            </w:r>
          </w:p>
        </w:tc>
        <w:tc>
          <w:tcPr>
            <w:tcW w:w="740" w:type="dxa"/>
            <w:tcBorders>
              <w:top w:val="nil"/>
              <w:left w:val="nil"/>
              <w:bottom w:val="nil"/>
              <w:right w:val="nil"/>
            </w:tcBorders>
            <w:shd w:val="clear" w:color="000000" w:fill="B6D5E4"/>
            <w:noWrap/>
            <w:vAlign w:val="center"/>
            <w:hideMark/>
          </w:tcPr>
          <w:p w14:paraId="2FDCB0A9"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284</w:t>
            </w:r>
          </w:p>
        </w:tc>
        <w:tc>
          <w:tcPr>
            <w:tcW w:w="740" w:type="dxa"/>
            <w:tcBorders>
              <w:top w:val="nil"/>
              <w:left w:val="nil"/>
              <w:bottom w:val="nil"/>
              <w:right w:val="nil"/>
            </w:tcBorders>
            <w:shd w:val="clear" w:color="000000" w:fill="B6D5E4"/>
            <w:noWrap/>
            <w:vAlign w:val="center"/>
            <w:hideMark/>
          </w:tcPr>
          <w:p w14:paraId="407217C4"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3,648</w:t>
            </w:r>
          </w:p>
        </w:tc>
        <w:tc>
          <w:tcPr>
            <w:tcW w:w="716" w:type="dxa"/>
            <w:tcBorders>
              <w:top w:val="nil"/>
              <w:left w:val="nil"/>
              <w:bottom w:val="nil"/>
              <w:right w:val="nil"/>
            </w:tcBorders>
            <w:shd w:val="clear" w:color="000000" w:fill="B6D5E4"/>
            <w:noWrap/>
            <w:vAlign w:val="center"/>
            <w:hideMark/>
          </w:tcPr>
          <w:p w14:paraId="740681E8" w14:textId="77777777" w:rsidR="005D474C" w:rsidRPr="005D474C" w:rsidRDefault="005D474C" w:rsidP="005D474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D474C">
              <w:rPr>
                <w:rFonts w:ascii="Open Sans Semibold" w:eastAsia="Times New Roman" w:hAnsi="Open Sans Semibold" w:cs="Open Sans Semibold"/>
                <w:color w:val="000000"/>
                <w:sz w:val="16"/>
                <w:szCs w:val="16"/>
                <w:lang w:eastAsia="en-AU"/>
              </w:rPr>
              <w:t>9,768</w:t>
            </w:r>
          </w:p>
        </w:tc>
      </w:tr>
    </w:tbl>
    <w:p w14:paraId="51927FF0" w14:textId="77777777" w:rsidR="00215F3C" w:rsidRPr="00AC3375" w:rsidRDefault="00215F3C" w:rsidP="00BE242E">
      <w:pPr>
        <w:pStyle w:val="CGC2025TableNote"/>
      </w:pPr>
      <w:r w:rsidRPr="00AC3375">
        <w:t>Note: This table shows the drivers for each state receiving more or less than an equal per capita share of GST in 2025–</w:t>
      </w:r>
      <w:r w:rsidRPr="00AC3375">
        <w:rPr>
          <w:rFonts w:ascii="Times New Roman" w:hAnsi="Times New Roman" w:cs="Times New Roman"/>
        </w:rPr>
        <w:t>‍</w:t>
      </w:r>
      <w:r w:rsidRPr="00AC3375">
        <w:t>26.</w:t>
      </w:r>
    </w:p>
    <w:p w14:paraId="124D8B97" w14:textId="712E55E7" w:rsidR="00D0681F" w:rsidRPr="00FB2709" w:rsidRDefault="00215F3C" w:rsidP="00FB2709">
      <w:pPr>
        <w:pStyle w:val="CGC2025TableNote"/>
        <w:numPr>
          <w:ilvl w:val="0"/>
          <w:numId w:val="28"/>
        </w:numPr>
      </w:pPr>
      <w:r w:rsidRPr="00AC3375">
        <w:t>Assessed relativities reflect the GST each state needs to have the same capacity to provide services as the other states. Legislation specifies how these are adjusted to derive GST relativities, which determine GST distribution.</w:t>
      </w:r>
    </w:p>
    <w:p w14:paraId="74509D14" w14:textId="4133897D" w:rsidR="00DD0528" w:rsidRDefault="00DD0528">
      <w:pPr>
        <w:tabs>
          <w:tab w:val="clear" w:pos="567"/>
        </w:tabs>
        <w:spacing w:before="0" w:after="200" w:line="276" w:lineRule="auto"/>
        <w:rPr>
          <w:rFonts w:eastAsia="Times New Roman" w:cs="Open Sans"/>
          <w:b/>
          <w:bCs/>
          <w:color w:val="006991"/>
          <w:sz w:val="40"/>
          <w:szCs w:val="40"/>
        </w:rPr>
      </w:pPr>
      <w:r>
        <w:rPr>
          <w:noProof/>
        </w:rPr>
        <w:lastRenderedPageBreak/>
        <mc:AlternateContent>
          <mc:Choice Requires="wps">
            <w:drawing>
              <wp:anchor distT="45720" distB="45720" distL="114300" distR="114300" simplePos="0" relativeHeight="251658258" behindDoc="0" locked="0" layoutInCell="1" allowOverlap="1" wp14:anchorId="438B3474" wp14:editId="05A6AB78">
                <wp:simplePos x="0" y="0"/>
                <wp:positionH relativeFrom="margin">
                  <wp:align>left</wp:align>
                </wp:positionH>
                <wp:positionV relativeFrom="paragraph">
                  <wp:posOffset>0</wp:posOffset>
                </wp:positionV>
                <wp:extent cx="5853430" cy="7202805"/>
                <wp:effectExtent l="0" t="0" r="13970" b="17145"/>
                <wp:wrapSquare wrapText="bothSides"/>
                <wp:docPr id="908283432" name="Text Box 908283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430" cy="7202805"/>
                        </a:xfrm>
                        <a:prstGeom prst="rect">
                          <a:avLst/>
                        </a:prstGeom>
                        <a:solidFill>
                          <a:srgbClr val="E5F8FF"/>
                        </a:solidFill>
                        <a:ln w="9525">
                          <a:solidFill>
                            <a:schemeClr val="bg1"/>
                          </a:solidFill>
                          <a:miter lim="800000"/>
                          <a:headEnd/>
                          <a:tailEnd/>
                        </a:ln>
                      </wps:spPr>
                      <wps:txbx>
                        <w:txbxContent>
                          <w:p w14:paraId="53A6F24A" w14:textId="77777777" w:rsidR="00DD0528" w:rsidRPr="00607566" w:rsidRDefault="00DD0528" w:rsidP="003D34F4">
                            <w:pPr>
                              <w:pStyle w:val="HeadingBox-Level3"/>
                            </w:pPr>
                            <w:bookmarkStart w:id="131" w:name="Box_2_1"/>
                            <w:bookmarkStart w:id="132" w:name="_Toc159675695"/>
                            <w:bookmarkStart w:id="133" w:name="_Toc159676002"/>
                            <w:bookmarkStart w:id="134" w:name="_Toc159676069"/>
                            <w:bookmarkStart w:id="135" w:name="_Toc190780945"/>
                            <w:r>
                              <w:t>Box 2-</w:t>
                            </w:r>
                            <w:bookmarkEnd w:id="131"/>
                            <w:r>
                              <w:t>4</w:t>
                            </w:r>
                            <w:r>
                              <w:tab/>
                            </w:r>
                            <w:bookmarkEnd w:id="132"/>
                            <w:bookmarkEnd w:id="133"/>
                            <w:bookmarkEnd w:id="134"/>
                            <w:r>
                              <w:t>Population dispersion</w:t>
                            </w:r>
                            <w:bookmarkEnd w:id="135"/>
                            <w:r>
                              <w:t xml:space="preserve"> </w:t>
                            </w:r>
                          </w:p>
                          <w:p w14:paraId="46A9DB9F" w14:textId="77777777" w:rsidR="00DD0528" w:rsidRDefault="00DD0528" w:rsidP="00DD0528">
                            <w:pPr>
                              <w:pStyle w:val="CGC2025Bullet1"/>
                              <w:numPr>
                                <w:ilvl w:val="0"/>
                                <w:numId w:val="0"/>
                              </w:numPr>
                            </w:pPr>
                            <w:r>
                              <w:t>Population dispersion relates to how remote a state’s population is and how this can impact expense needs. For a range of services, states provide more services per capita to populations in more remote areas, where services can also be more expensive to deliver.</w:t>
                            </w:r>
                          </w:p>
                          <w:p w14:paraId="7D5B3B53" w14:textId="77777777" w:rsidR="00DD0528" w:rsidRDefault="00DD0528" w:rsidP="00DD0528">
                            <w:pPr>
                              <w:pStyle w:val="CGC2025Bullet1"/>
                              <w:numPr>
                                <w:ilvl w:val="0"/>
                                <w:numId w:val="0"/>
                              </w:numPr>
                            </w:pPr>
                            <w:r>
                              <w:t xml:space="preserve">The Commission uses the ABS’ 5 remoteness areas to classify populations by remoteness. This classification uses the Accessibility/Remoteness Index of Australia Plus (ARIA+) which was created in 2001 and is produced by the Australian Centre for Housing Research at the University of Adelaide. The classification is widely used by academics, and Commonwealth and state government agencies as it provides a relatively stable, nationally consistent measure of accessibility to services. </w:t>
                            </w:r>
                          </w:p>
                          <w:p w14:paraId="2FFFD3D1" w14:textId="77777777" w:rsidR="00DD0528" w:rsidRPr="00CB6B9B" w:rsidRDefault="00DD0528" w:rsidP="00DD0528">
                            <w:pPr>
                              <w:pStyle w:val="CGC2025Bullet1"/>
                              <w:numPr>
                                <w:ilvl w:val="0"/>
                                <w:numId w:val="0"/>
                              </w:numPr>
                            </w:pPr>
                            <w:r>
                              <w:t xml:space="preserve">ARIA+ considers how far a </w:t>
                            </w:r>
                            <w:r w:rsidRPr="00CB6B9B">
                              <w:t>location is from a range of differently sized service centres. If a location is relatively close to a major city, it can be classified as akin to a ‘major city’ even if it has a small population. For example, Kiama, Noosa Heads and Pinjarra have populations under 25,000 and are classified as having access to major city level services. If a location is relatively distant from larger service centres, it can be classified as remote even if it has a relatively large population. For example, Mount Isa, Broome and Port Lincoln have populations over 15,000 and are classified as remote.</w:t>
                            </w:r>
                          </w:p>
                          <w:p w14:paraId="046DCBBA" w14:textId="77777777" w:rsidR="00DD0528" w:rsidRDefault="00DD0528" w:rsidP="00DD0528">
                            <w:r w:rsidRPr="00CB6B9B">
                              <w:t>While remote and very remote areas are very</w:t>
                            </w:r>
                            <w:r>
                              <w:t xml:space="preserve"> expensive to service, they contain less than 2% of Australia’s population (see Table 2-12). Inner regional and outer regional areas are less expensive than remote areas but more expensive than major cities and contain more than 25% of Australia’s population. </w:t>
                            </w:r>
                          </w:p>
                          <w:p w14:paraId="032D4709" w14:textId="4997AE74" w:rsidR="00DD0528" w:rsidRDefault="00DD0528" w:rsidP="00DD0528">
                            <w:r>
                              <w:t>This means that population dispersion increases GST needs for Tasmania with a relatively large regional population, while the high expenses associated with Western Australia’s relatively large remote and very remote populations are moderated by it having an above</w:t>
                            </w:r>
                            <w:r w:rsidR="00EC687F">
                              <w:noBreakHyphen/>
                            </w:r>
                            <w:r>
                              <w:t>average share of people living in a major city. Population dispersion increases GST</w:t>
                            </w:r>
                            <w:r w:rsidR="00EC687F">
                              <w:t> </w:t>
                            </w:r>
                            <w:r>
                              <w:t xml:space="preserve">needs for the Northern Territory because more than 40% of its population live in remote or very remote areas and because Darwin is an outer </w:t>
                            </w:r>
                            <w:r w:rsidRPr="00300750">
                              <w:t xml:space="preserve">regional city, rather than a major city. </w:t>
                            </w:r>
                          </w:p>
                          <w:p w14:paraId="7B0ADB0A" w14:textId="77777777" w:rsidR="00DD0528" w:rsidRPr="00176917" w:rsidRDefault="00DD0528" w:rsidP="00246CA8">
                            <w:pPr>
                              <w:pStyle w:val="CGC2025Caption"/>
                            </w:pPr>
                            <w:r>
                              <w:t>Table 2-12</w:t>
                            </w:r>
                            <w:r>
                              <w:tab/>
                              <w:t>Estimated population by remoteness, 2023</w:t>
                            </w:r>
                          </w:p>
                          <w:tbl>
                            <w:tblPr>
                              <w:tblW w:w="8940" w:type="dxa"/>
                              <w:tblLook w:val="04A0" w:firstRow="1" w:lastRow="0" w:firstColumn="1" w:lastColumn="0" w:noHBand="0" w:noVBand="1"/>
                            </w:tblPr>
                            <w:tblGrid>
                              <w:gridCol w:w="3180"/>
                              <w:gridCol w:w="640"/>
                              <w:gridCol w:w="640"/>
                              <w:gridCol w:w="640"/>
                              <w:gridCol w:w="640"/>
                              <w:gridCol w:w="640"/>
                              <w:gridCol w:w="640"/>
                              <w:gridCol w:w="640"/>
                              <w:gridCol w:w="640"/>
                              <w:gridCol w:w="640"/>
                            </w:tblGrid>
                            <w:tr w:rsidR="00DD0528" w:rsidRPr="00B9584D" w14:paraId="1608F2CD" w14:textId="77777777" w:rsidTr="000F637C">
                              <w:trPr>
                                <w:trHeight w:val="315"/>
                              </w:trPr>
                              <w:tc>
                                <w:tcPr>
                                  <w:tcW w:w="3180" w:type="dxa"/>
                                  <w:tcBorders>
                                    <w:top w:val="nil"/>
                                    <w:left w:val="nil"/>
                                    <w:bottom w:val="nil"/>
                                    <w:right w:val="nil"/>
                                  </w:tcBorders>
                                  <w:shd w:val="clear" w:color="000000" w:fill="006991"/>
                                  <w:vAlign w:val="center"/>
                                  <w:hideMark/>
                                </w:tcPr>
                                <w:p w14:paraId="6A82065E" w14:textId="77777777" w:rsidR="00DD0528" w:rsidRPr="001E3A42" w:rsidRDefault="00DD0528">
                                  <w:pPr>
                                    <w:tabs>
                                      <w:tab w:val="clear" w:pos="567"/>
                                    </w:tabs>
                                    <w:spacing w:before="0" w:line="240" w:lineRule="auto"/>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 </w:t>
                                  </w:r>
                                </w:p>
                              </w:tc>
                              <w:tc>
                                <w:tcPr>
                                  <w:tcW w:w="640" w:type="dxa"/>
                                  <w:tcBorders>
                                    <w:top w:val="nil"/>
                                    <w:left w:val="nil"/>
                                    <w:bottom w:val="nil"/>
                                    <w:right w:val="nil"/>
                                  </w:tcBorders>
                                  <w:shd w:val="clear" w:color="000000" w:fill="006991"/>
                                  <w:vAlign w:val="center"/>
                                  <w:hideMark/>
                                </w:tcPr>
                                <w:p w14:paraId="193B3F1C"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NSW</w:t>
                                  </w:r>
                                </w:p>
                              </w:tc>
                              <w:tc>
                                <w:tcPr>
                                  <w:tcW w:w="640" w:type="dxa"/>
                                  <w:tcBorders>
                                    <w:top w:val="nil"/>
                                    <w:left w:val="nil"/>
                                    <w:bottom w:val="nil"/>
                                    <w:right w:val="nil"/>
                                  </w:tcBorders>
                                  <w:shd w:val="clear" w:color="000000" w:fill="006991"/>
                                  <w:vAlign w:val="center"/>
                                  <w:hideMark/>
                                </w:tcPr>
                                <w:p w14:paraId="10F0CB6C"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Vic</w:t>
                                  </w:r>
                                </w:p>
                              </w:tc>
                              <w:tc>
                                <w:tcPr>
                                  <w:tcW w:w="640" w:type="dxa"/>
                                  <w:tcBorders>
                                    <w:top w:val="nil"/>
                                    <w:left w:val="nil"/>
                                    <w:bottom w:val="nil"/>
                                    <w:right w:val="nil"/>
                                  </w:tcBorders>
                                  <w:shd w:val="clear" w:color="000000" w:fill="006991"/>
                                  <w:vAlign w:val="center"/>
                                  <w:hideMark/>
                                </w:tcPr>
                                <w:p w14:paraId="00B8B532"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Qld</w:t>
                                  </w:r>
                                </w:p>
                              </w:tc>
                              <w:tc>
                                <w:tcPr>
                                  <w:tcW w:w="640" w:type="dxa"/>
                                  <w:tcBorders>
                                    <w:top w:val="nil"/>
                                    <w:left w:val="nil"/>
                                    <w:bottom w:val="nil"/>
                                    <w:right w:val="nil"/>
                                  </w:tcBorders>
                                  <w:shd w:val="clear" w:color="000000" w:fill="006991"/>
                                  <w:vAlign w:val="center"/>
                                  <w:hideMark/>
                                </w:tcPr>
                                <w:p w14:paraId="490BF32A"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WA</w:t>
                                  </w:r>
                                </w:p>
                              </w:tc>
                              <w:tc>
                                <w:tcPr>
                                  <w:tcW w:w="640" w:type="dxa"/>
                                  <w:tcBorders>
                                    <w:top w:val="nil"/>
                                    <w:left w:val="nil"/>
                                    <w:bottom w:val="nil"/>
                                    <w:right w:val="nil"/>
                                  </w:tcBorders>
                                  <w:shd w:val="clear" w:color="000000" w:fill="006991"/>
                                  <w:vAlign w:val="center"/>
                                  <w:hideMark/>
                                </w:tcPr>
                                <w:p w14:paraId="6A7C6E58"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SA</w:t>
                                  </w:r>
                                </w:p>
                              </w:tc>
                              <w:tc>
                                <w:tcPr>
                                  <w:tcW w:w="640" w:type="dxa"/>
                                  <w:tcBorders>
                                    <w:top w:val="nil"/>
                                    <w:left w:val="nil"/>
                                    <w:bottom w:val="nil"/>
                                    <w:right w:val="nil"/>
                                  </w:tcBorders>
                                  <w:shd w:val="clear" w:color="000000" w:fill="006991"/>
                                  <w:vAlign w:val="center"/>
                                  <w:hideMark/>
                                </w:tcPr>
                                <w:p w14:paraId="42A21457"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Tas</w:t>
                                  </w:r>
                                </w:p>
                              </w:tc>
                              <w:tc>
                                <w:tcPr>
                                  <w:tcW w:w="640" w:type="dxa"/>
                                  <w:tcBorders>
                                    <w:top w:val="nil"/>
                                    <w:left w:val="nil"/>
                                    <w:bottom w:val="nil"/>
                                    <w:right w:val="nil"/>
                                  </w:tcBorders>
                                  <w:shd w:val="clear" w:color="000000" w:fill="006991"/>
                                  <w:vAlign w:val="center"/>
                                  <w:hideMark/>
                                </w:tcPr>
                                <w:p w14:paraId="5EF3166F"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ACT</w:t>
                                  </w:r>
                                </w:p>
                              </w:tc>
                              <w:tc>
                                <w:tcPr>
                                  <w:tcW w:w="640" w:type="dxa"/>
                                  <w:tcBorders>
                                    <w:top w:val="nil"/>
                                    <w:left w:val="nil"/>
                                    <w:bottom w:val="nil"/>
                                    <w:right w:val="nil"/>
                                  </w:tcBorders>
                                  <w:shd w:val="clear" w:color="000000" w:fill="006991"/>
                                  <w:vAlign w:val="center"/>
                                  <w:hideMark/>
                                </w:tcPr>
                                <w:p w14:paraId="2EB08F72"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NT</w:t>
                                  </w:r>
                                </w:p>
                              </w:tc>
                              <w:tc>
                                <w:tcPr>
                                  <w:tcW w:w="640" w:type="dxa"/>
                                  <w:tcBorders>
                                    <w:top w:val="nil"/>
                                    <w:left w:val="nil"/>
                                    <w:bottom w:val="nil"/>
                                    <w:right w:val="nil"/>
                                  </w:tcBorders>
                                  <w:shd w:val="clear" w:color="000000" w:fill="006991"/>
                                  <w:vAlign w:val="center"/>
                                  <w:hideMark/>
                                </w:tcPr>
                                <w:p w14:paraId="467BCA33"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Total</w:t>
                                  </w:r>
                                </w:p>
                              </w:tc>
                            </w:tr>
                            <w:tr w:rsidR="00DD0528" w:rsidRPr="00B9584D" w14:paraId="1406E4C9" w14:textId="77777777" w:rsidTr="000F637C">
                              <w:trPr>
                                <w:trHeight w:val="260"/>
                              </w:trPr>
                              <w:tc>
                                <w:tcPr>
                                  <w:tcW w:w="3180" w:type="dxa"/>
                                  <w:tcBorders>
                                    <w:top w:val="single" w:sz="4" w:space="0" w:color="ADD6EA"/>
                                    <w:left w:val="nil"/>
                                    <w:bottom w:val="nil"/>
                                    <w:right w:val="nil"/>
                                  </w:tcBorders>
                                  <w:shd w:val="clear" w:color="000000" w:fill="B6D5E4"/>
                                  <w:vAlign w:val="bottom"/>
                                  <w:hideMark/>
                                </w:tcPr>
                                <w:p w14:paraId="70576801" w14:textId="77777777" w:rsidR="00DD0528" w:rsidRPr="001E3A42" w:rsidRDefault="00DD0528">
                                  <w:pPr>
                                    <w:tabs>
                                      <w:tab w:val="clear" w:pos="567"/>
                                    </w:tabs>
                                    <w:spacing w:before="0" w:line="240" w:lineRule="auto"/>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 </w:t>
                                  </w:r>
                                </w:p>
                              </w:tc>
                              <w:tc>
                                <w:tcPr>
                                  <w:tcW w:w="640" w:type="dxa"/>
                                  <w:tcBorders>
                                    <w:top w:val="single" w:sz="4" w:space="0" w:color="ADD6EA"/>
                                    <w:left w:val="nil"/>
                                    <w:bottom w:val="nil"/>
                                    <w:right w:val="nil"/>
                                  </w:tcBorders>
                                  <w:shd w:val="clear" w:color="000000" w:fill="B6D5E4"/>
                                  <w:vAlign w:val="bottom"/>
                                  <w:hideMark/>
                                </w:tcPr>
                                <w:p w14:paraId="643DDDC8"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c>
                                <w:tcPr>
                                  <w:tcW w:w="640" w:type="dxa"/>
                                  <w:tcBorders>
                                    <w:top w:val="single" w:sz="4" w:space="0" w:color="ADD6EA"/>
                                    <w:left w:val="nil"/>
                                    <w:bottom w:val="nil"/>
                                    <w:right w:val="nil"/>
                                  </w:tcBorders>
                                  <w:shd w:val="clear" w:color="000000" w:fill="B6D5E4"/>
                                  <w:vAlign w:val="bottom"/>
                                  <w:hideMark/>
                                </w:tcPr>
                                <w:p w14:paraId="34721F64"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c>
                                <w:tcPr>
                                  <w:tcW w:w="640" w:type="dxa"/>
                                  <w:tcBorders>
                                    <w:top w:val="single" w:sz="4" w:space="0" w:color="ADD6EA"/>
                                    <w:left w:val="nil"/>
                                    <w:bottom w:val="nil"/>
                                    <w:right w:val="nil"/>
                                  </w:tcBorders>
                                  <w:shd w:val="clear" w:color="000000" w:fill="B6D5E4"/>
                                  <w:vAlign w:val="bottom"/>
                                  <w:hideMark/>
                                </w:tcPr>
                                <w:p w14:paraId="192B2216"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c>
                                <w:tcPr>
                                  <w:tcW w:w="640" w:type="dxa"/>
                                  <w:tcBorders>
                                    <w:top w:val="single" w:sz="4" w:space="0" w:color="ADD6EA"/>
                                    <w:left w:val="nil"/>
                                    <w:bottom w:val="nil"/>
                                    <w:right w:val="nil"/>
                                  </w:tcBorders>
                                  <w:shd w:val="clear" w:color="000000" w:fill="B6D5E4"/>
                                  <w:vAlign w:val="bottom"/>
                                  <w:hideMark/>
                                </w:tcPr>
                                <w:p w14:paraId="26C768E8"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c>
                                <w:tcPr>
                                  <w:tcW w:w="640" w:type="dxa"/>
                                  <w:tcBorders>
                                    <w:top w:val="single" w:sz="4" w:space="0" w:color="ADD6EA"/>
                                    <w:left w:val="nil"/>
                                    <w:bottom w:val="nil"/>
                                    <w:right w:val="nil"/>
                                  </w:tcBorders>
                                  <w:shd w:val="clear" w:color="000000" w:fill="B6D5E4"/>
                                  <w:vAlign w:val="bottom"/>
                                  <w:hideMark/>
                                </w:tcPr>
                                <w:p w14:paraId="4B1047A0"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c>
                                <w:tcPr>
                                  <w:tcW w:w="640" w:type="dxa"/>
                                  <w:tcBorders>
                                    <w:top w:val="single" w:sz="4" w:space="0" w:color="ADD6EA"/>
                                    <w:left w:val="nil"/>
                                    <w:bottom w:val="nil"/>
                                    <w:right w:val="nil"/>
                                  </w:tcBorders>
                                  <w:shd w:val="clear" w:color="000000" w:fill="B6D5E4"/>
                                  <w:vAlign w:val="bottom"/>
                                  <w:hideMark/>
                                </w:tcPr>
                                <w:p w14:paraId="4A989992"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c>
                                <w:tcPr>
                                  <w:tcW w:w="640" w:type="dxa"/>
                                  <w:tcBorders>
                                    <w:top w:val="single" w:sz="4" w:space="0" w:color="ADD6EA"/>
                                    <w:left w:val="nil"/>
                                    <w:bottom w:val="nil"/>
                                    <w:right w:val="nil"/>
                                  </w:tcBorders>
                                  <w:shd w:val="clear" w:color="000000" w:fill="B6D5E4"/>
                                  <w:vAlign w:val="bottom"/>
                                  <w:hideMark/>
                                </w:tcPr>
                                <w:p w14:paraId="5B4844B6"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c>
                                <w:tcPr>
                                  <w:tcW w:w="640" w:type="dxa"/>
                                  <w:tcBorders>
                                    <w:top w:val="single" w:sz="4" w:space="0" w:color="ADD6EA"/>
                                    <w:left w:val="nil"/>
                                    <w:bottom w:val="nil"/>
                                    <w:right w:val="nil"/>
                                  </w:tcBorders>
                                  <w:shd w:val="clear" w:color="000000" w:fill="B6D5E4"/>
                                  <w:vAlign w:val="bottom"/>
                                  <w:hideMark/>
                                </w:tcPr>
                                <w:p w14:paraId="7E80EFAD"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c>
                                <w:tcPr>
                                  <w:tcW w:w="640" w:type="dxa"/>
                                  <w:tcBorders>
                                    <w:top w:val="single" w:sz="4" w:space="0" w:color="ADD6EA"/>
                                    <w:left w:val="nil"/>
                                    <w:bottom w:val="nil"/>
                                    <w:right w:val="nil"/>
                                  </w:tcBorders>
                                  <w:shd w:val="clear" w:color="000000" w:fill="B6D5E4"/>
                                  <w:vAlign w:val="bottom"/>
                                  <w:hideMark/>
                                </w:tcPr>
                                <w:p w14:paraId="3377BFD4"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r>
                            <w:tr w:rsidR="00DD0528" w:rsidRPr="00B9584D" w14:paraId="09746CF8" w14:textId="77777777" w:rsidTr="000F637C">
                              <w:trPr>
                                <w:trHeight w:val="320"/>
                              </w:trPr>
                              <w:tc>
                                <w:tcPr>
                                  <w:tcW w:w="3180" w:type="dxa"/>
                                  <w:tcBorders>
                                    <w:top w:val="single" w:sz="4" w:space="0" w:color="ADD6EA"/>
                                    <w:left w:val="nil"/>
                                    <w:bottom w:val="nil"/>
                                    <w:right w:val="nil"/>
                                  </w:tcBorders>
                                  <w:shd w:val="clear" w:color="000000" w:fill="FFFFFF"/>
                                  <w:vAlign w:val="bottom"/>
                                  <w:hideMark/>
                                </w:tcPr>
                                <w:p w14:paraId="6783B268" w14:textId="77777777" w:rsidR="00DD0528" w:rsidRPr="001E3A42" w:rsidRDefault="00DD0528">
                                  <w:pPr>
                                    <w:tabs>
                                      <w:tab w:val="clear" w:pos="567"/>
                                    </w:tabs>
                                    <w:spacing w:before="0" w:line="240" w:lineRule="auto"/>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Major cities of Australia</w:t>
                                  </w:r>
                                </w:p>
                              </w:tc>
                              <w:tc>
                                <w:tcPr>
                                  <w:tcW w:w="640" w:type="dxa"/>
                                  <w:tcBorders>
                                    <w:top w:val="single" w:sz="4" w:space="0" w:color="ADD6EA"/>
                                    <w:left w:val="nil"/>
                                    <w:bottom w:val="nil"/>
                                    <w:right w:val="nil"/>
                                  </w:tcBorders>
                                  <w:shd w:val="clear" w:color="000000" w:fill="FFFFFF"/>
                                  <w:vAlign w:val="bottom"/>
                                  <w:hideMark/>
                                </w:tcPr>
                                <w:p w14:paraId="4260333F"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75.8</w:t>
                                  </w:r>
                                </w:p>
                              </w:tc>
                              <w:tc>
                                <w:tcPr>
                                  <w:tcW w:w="640" w:type="dxa"/>
                                  <w:tcBorders>
                                    <w:top w:val="single" w:sz="4" w:space="0" w:color="ADD6EA"/>
                                    <w:left w:val="nil"/>
                                    <w:bottom w:val="nil"/>
                                    <w:right w:val="nil"/>
                                  </w:tcBorders>
                                  <w:shd w:val="clear" w:color="000000" w:fill="FFFFFF"/>
                                  <w:vAlign w:val="bottom"/>
                                  <w:hideMark/>
                                </w:tcPr>
                                <w:p w14:paraId="7F9ACE33"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77.9</w:t>
                                  </w:r>
                                </w:p>
                              </w:tc>
                              <w:tc>
                                <w:tcPr>
                                  <w:tcW w:w="640" w:type="dxa"/>
                                  <w:tcBorders>
                                    <w:top w:val="single" w:sz="4" w:space="0" w:color="ADD6EA"/>
                                    <w:left w:val="nil"/>
                                    <w:bottom w:val="nil"/>
                                    <w:right w:val="nil"/>
                                  </w:tcBorders>
                                  <w:shd w:val="clear" w:color="000000" w:fill="FFFFFF"/>
                                  <w:vAlign w:val="bottom"/>
                                  <w:hideMark/>
                                </w:tcPr>
                                <w:p w14:paraId="70E5845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65.2</w:t>
                                  </w:r>
                                </w:p>
                              </w:tc>
                              <w:tc>
                                <w:tcPr>
                                  <w:tcW w:w="640" w:type="dxa"/>
                                  <w:tcBorders>
                                    <w:top w:val="single" w:sz="4" w:space="0" w:color="ADD6EA"/>
                                    <w:left w:val="nil"/>
                                    <w:bottom w:val="nil"/>
                                    <w:right w:val="nil"/>
                                  </w:tcBorders>
                                  <w:shd w:val="clear" w:color="000000" w:fill="FFFFFF"/>
                                  <w:vAlign w:val="bottom"/>
                                  <w:hideMark/>
                                </w:tcPr>
                                <w:p w14:paraId="3012192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79.0</w:t>
                                  </w:r>
                                </w:p>
                              </w:tc>
                              <w:tc>
                                <w:tcPr>
                                  <w:tcW w:w="640" w:type="dxa"/>
                                  <w:tcBorders>
                                    <w:top w:val="single" w:sz="4" w:space="0" w:color="ADD6EA"/>
                                    <w:left w:val="nil"/>
                                    <w:bottom w:val="nil"/>
                                    <w:right w:val="nil"/>
                                  </w:tcBorders>
                                  <w:shd w:val="clear" w:color="000000" w:fill="FFFFFF"/>
                                  <w:vAlign w:val="bottom"/>
                                  <w:hideMark/>
                                </w:tcPr>
                                <w:p w14:paraId="415ACAA6"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75.6</w:t>
                                  </w:r>
                                </w:p>
                              </w:tc>
                              <w:tc>
                                <w:tcPr>
                                  <w:tcW w:w="640" w:type="dxa"/>
                                  <w:tcBorders>
                                    <w:top w:val="single" w:sz="4" w:space="0" w:color="ADD6EA"/>
                                    <w:left w:val="nil"/>
                                    <w:bottom w:val="nil"/>
                                    <w:right w:val="nil"/>
                                  </w:tcBorders>
                                  <w:shd w:val="clear" w:color="000000" w:fill="FFFFFF"/>
                                  <w:vAlign w:val="bottom"/>
                                  <w:hideMark/>
                                </w:tcPr>
                                <w:p w14:paraId="531D1CF8"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w:t>
                                  </w:r>
                                </w:p>
                              </w:tc>
                              <w:tc>
                                <w:tcPr>
                                  <w:tcW w:w="640" w:type="dxa"/>
                                  <w:tcBorders>
                                    <w:top w:val="single" w:sz="4" w:space="0" w:color="ADD6EA"/>
                                    <w:left w:val="nil"/>
                                    <w:bottom w:val="nil"/>
                                    <w:right w:val="nil"/>
                                  </w:tcBorders>
                                  <w:shd w:val="clear" w:color="000000" w:fill="FFFFFF"/>
                                  <w:vAlign w:val="bottom"/>
                                  <w:hideMark/>
                                </w:tcPr>
                                <w:p w14:paraId="1EED27B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99.9</w:t>
                                  </w:r>
                                </w:p>
                              </w:tc>
                              <w:tc>
                                <w:tcPr>
                                  <w:tcW w:w="640" w:type="dxa"/>
                                  <w:tcBorders>
                                    <w:top w:val="single" w:sz="4" w:space="0" w:color="ADD6EA"/>
                                    <w:left w:val="nil"/>
                                    <w:bottom w:val="nil"/>
                                    <w:right w:val="nil"/>
                                  </w:tcBorders>
                                  <w:shd w:val="clear" w:color="000000" w:fill="FFFFFF"/>
                                  <w:vAlign w:val="bottom"/>
                                  <w:hideMark/>
                                </w:tcPr>
                                <w:p w14:paraId="0B1883BA"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w:t>
                                  </w:r>
                                </w:p>
                              </w:tc>
                              <w:tc>
                                <w:tcPr>
                                  <w:tcW w:w="640" w:type="dxa"/>
                                  <w:tcBorders>
                                    <w:top w:val="single" w:sz="4" w:space="0" w:color="ADD6EA"/>
                                    <w:left w:val="nil"/>
                                    <w:bottom w:val="nil"/>
                                    <w:right w:val="nil"/>
                                  </w:tcBorders>
                                  <w:shd w:val="clear" w:color="000000" w:fill="FFFFFF"/>
                                  <w:vAlign w:val="bottom"/>
                                  <w:hideMark/>
                                </w:tcPr>
                                <w:p w14:paraId="4682228E"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72.6</w:t>
                                  </w:r>
                                </w:p>
                              </w:tc>
                            </w:tr>
                            <w:tr w:rsidR="00DD0528" w:rsidRPr="00B9584D" w14:paraId="7ACEB312" w14:textId="77777777" w:rsidTr="000F637C">
                              <w:trPr>
                                <w:trHeight w:val="320"/>
                              </w:trPr>
                              <w:tc>
                                <w:tcPr>
                                  <w:tcW w:w="3180" w:type="dxa"/>
                                  <w:tcBorders>
                                    <w:top w:val="single" w:sz="4" w:space="0" w:color="ADD6EA"/>
                                    <w:left w:val="nil"/>
                                    <w:bottom w:val="nil"/>
                                    <w:right w:val="nil"/>
                                  </w:tcBorders>
                                  <w:shd w:val="clear" w:color="000000" w:fill="FFFFFF"/>
                                  <w:vAlign w:val="bottom"/>
                                  <w:hideMark/>
                                </w:tcPr>
                                <w:p w14:paraId="52850F3B" w14:textId="77777777" w:rsidR="00DD0528" w:rsidRPr="001E3A42" w:rsidRDefault="00DD0528">
                                  <w:pPr>
                                    <w:tabs>
                                      <w:tab w:val="clear" w:pos="567"/>
                                    </w:tabs>
                                    <w:spacing w:before="0" w:line="240" w:lineRule="auto"/>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Inner regional Australia</w:t>
                                  </w:r>
                                </w:p>
                              </w:tc>
                              <w:tc>
                                <w:tcPr>
                                  <w:tcW w:w="640" w:type="dxa"/>
                                  <w:tcBorders>
                                    <w:top w:val="single" w:sz="4" w:space="0" w:color="ADD6EA"/>
                                    <w:left w:val="nil"/>
                                    <w:bottom w:val="nil"/>
                                    <w:right w:val="nil"/>
                                  </w:tcBorders>
                                  <w:shd w:val="clear" w:color="000000" w:fill="FFFFFF"/>
                                  <w:vAlign w:val="bottom"/>
                                  <w:hideMark/>
                                </w:tcPr>
                                <w:p w14:paraId="55A6198F"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19.2</w:t>
                                  </w:r>
                                </w:p>
                              </w:tc>
                              <w:tc>
                                <w:tcPr>
                                  <w:tcW w:w="640" w:type="dxa"/>
                                  <w:tcBorders>
                                    <w:top w:val="single" w:sz="4" w:space="0" w:color="ADD6EA"/>
                                    <w:left w:val="nil"/>
                                    <w:bottom w:val="nil"/>
                                    <w:right w:val="nil"/>
                                  </w:tcBorders>
                                  <w:shd w:val="clear" w:color="000000" w:fill="FFFFFF"/>
                                  <w:vAlign w:val="bottom"/>
                                  <w:hideMark/>
                                </w:tcPr>
                                <w:p w14:paraId="602F5598"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18.2</w:t>
                                  </w:r>
                                </w:p>
                              </w:tc>
                              <w:tc>
                                <w:tcPr>
                                  <w:tcW w:w="640" w:type="dxa"/>
                                  <w:tcBorders>
                                    <w:top w:val="single" w:sz="4" w:space="0" w:color="ADD6EA"/>
                                    <w:left w:val="nil"/>
                                    <w:bottom w:val="nil"/>
                                    <w:right w:val="nil"/>
                                  </w:tcBorders>
                                  <w:shd w:val="clear" w:color="000000" w:fill="FFFFFF"/>
                                  <w:vAlign w:val="bottom"/>
                                  <w:hideMark/>
                                </w:tcPr>
                                <w:p w14:paraId="12F38F79"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19.2</w:t>
                                  </w:r>
                                </w:p>
                              </w:tc>
                              <w:tc>
                                <w:tcPr>
                                  <w:tcW w:w="640" w:type="dxa"/>
                                  <w:tcBorders>
                                    <w:top w:val="single" w:sz="4" w:space="0" w:color="ADD6EA"/>
                                    <w:left w:val="nil"/>
                                    <w:bottom w:val="nil"/>
                                    <w:right w:val="nil"/>
                                  </w:tcBorders>
                                  <w:shd w:val="clear" w:color="000000" w:fill="FFFFFF"/>
                                  <w:vAlign w:val="bottom"/>
                                  <w:hideMark/>
                                </w:tcPr>
                                <w:p w14:paraId="24D3D3F9"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8.6</w:t>
                                  </w:r>
                                </w:p>
                              </w:tc>
                              <w:tc>
                                <w:tcPr>
                                  <w:tcW w:w="640" w:type="dxa"/>
                                  <w:tcBorders>
                                    <w:top w:val="single" w:sz="4" w:space="0" w:color="ADD6EA"/>
                                    <w:left w:val="nil"/>
                                    <w:bottom w:val="nil"/>
                                    <w:right w:val="nil"/>
                                  </w:tcBorders>
                                  <w:shd w:val="clear" w:color="000000" w:fill="FFFFFF"/>
                                  <w:vAlign w:val="bottom"/>
                                  <w:hideMark/>
                                </w:tcPr>
                                <w:p w14:paraId="6D77C814"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9.9</w:t>
                                  </w:r>
                                </w:p>
                              </w:tc>
                              <w:tc>
                                <w:tcPr>
                                  <w:tcW w:w="640" w:type="dxa"/>
                                  <w:tcBorders>
                                    <w:top w:val="single" w:sz="4" w:space="0" w:color="ADD6EA"/>
                                    <w:left w:val="nil"/>
                                    <w:bottom w:val="nil"/>
                                    <w:right w:val="nil"/>
                                  </w:tcBorders>
                                  <w:shd w:val="clear" w:color="000000" w:fill="FFFFFF"/>
                                  <w:vAlign w:val="bottom"/>
                                  <w:hideMark/>
                                </w:tcPr>
                                <w:p w14:paraId="2743923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61.9</w:t>
                                  </w:r>
                                </w:p>
                              </w:tc>
                              <w:tc>
                                <w:tcPr>
                                  <w:tcW w:w="640" w:type="dxa"/>
                                  <w:tcBorders>
                                    <w:top w:val="single" w:sz="4" w:space="0" w:color="ADD6EA"/>
                                    <w:left w:val="nil"/>
                                    <w:bottom w:val="nil"/>
                                    <w:right w:val="nil"/>
                                  </w:tcBorders>
                                  <w:shd w:val="clear" w:color="000000" w:fill="FFFFFF"/>
                                  <w:vAlign w:val="bottom"/>
                                  <w:hideMark/>
                                </w:tcPr>
                                <w:p w14:paraId="664C1D1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0.1</w:t>
                                  </w:r>
                                </w:p>
                              </w:tc>
                              <w:tc>
                                <w:tcPr>
                                  <w:tcW w:w="640" w:type="dxa"/>
                                  <w:tcBorders>
                                    <w:top w:val="single" w:sz="4" w:space="0" w:color="ADD6EA"/>
                                    <w:left w:val="nil"/>
                                    <w:bottom w:val="nil"/>
                                    <w:right w:val="nil"/>
                                  </w:tcBorders>
                                  <w:shd w:val="clear" w:color="000000" w:fill="FFFFFF"/>
                                  <w:vAlign w:val="bottom"/>
                                  <w:hideMark/>
                                </w:tcPr>
                                <w:p w14:paraId="11040905"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w:t>
                                  </w:r>
                                </w:p>
                              </w:tc>
                              <w:tc>
                                <w:tcPr>
                                  <w:tcW w:w="640" w:type="dxa"/>
                                  <w:tcBorders>
                                    <w:top w:val="single" w:sz="4" w:space="0" w:color="ADD6EA"/>
                                    <w:left w:val="nil"/>
                                    <w:bottom w:val="nil"/>
                                    <w:right w:val="nil"/>
                                  </w:tcBorders>
                                  <w:shd w:val="clear" w:color="000000" w:fill="FFFFFF"/>
                                  <w:vAlign w:val="bottom"/>
                                  <w:hideMark/>
                                </w:tcPr>
                                <w:p w14:paraId="62DAB13F"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17.6</w:t>
                                  </w:r>
                                </w:p>
                              </w:tc>
                            </w:tr>
                            <w:tr w:rsidR="00DD0528" w:rsidRPr="00B9584D" w14:paraId="5235EC96" w14:textId="77777777" w:rsidTr="000F637C">
                              <w:trPr>
                                <w:trHeight w:val="320"/>
                              </w:trPr>
                              <w:tc>
                                <w:tcPr>
                                  <w:tcW w:w="3180" w:type="dxa"/>
                                  <w:tcBorders>
                                    <w:top w:val="single" w:sz="4" w:space="0" w:color="ADD6EA"/>
                                    <w:left w:val="nil"/>
                                    <w:bottom w:val="nil"/>
                                    <w:right w:val="nil"/>
                                  </w:tcBorders>
                                  <w:shd w:val="clear" w:color="000000" w:fill="FFFFFF"/>
                                  <w:vAlign w:val="bottom"/>
                                  <w:hideMark/>
                                </w:tcPr>
                                <w:p w14:paraId="66B8BD09" w14:textId="77777777" w:rsidR="00DD0528" w:rsidRPr="001E3A42" w:rsidRDefault="00DD0528">
                                  <w:pPr>
                                    <w:tabs>
                                      <w:tab w:val="clear" w:pos="567"/>
                                    </w:tabs>
                                    <w:spacing w:before="0" w:line="240" w:lineRule="auto"/>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Outer regional Australia</w:t>
                                  </w:r>
                                </w:p>
                              </w:tc>
                              <w:tc>
                                <w:tcPr>
                                  <w:tcW w:w="640" w:type="dxa"/>
                                  <w:tcBorders>
                                    <w:top w:val="single" w:sz="4" w:space="0" w:color="ADD6EA"/>
                                    <w:left w:val="nil"/>
                                    <w:bottom w:val="nil"/>
                                    <w:right w:val="nil"/>
                                  </w:tcBorders>
                                  <w:shd w:val="clear" w:color="000000" w:fill="FFFFFF"/>
                                  <w:vAlign w:val="bottom"/>
                                  <w:hideMark/>
                                </w:tcPr>
                                <w:p w14:paraId="5838FA14"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4.6</w:t>
                                  </w:r>
                                </w:p>
                              </w:tc>
                              <w:tc>
                                <w:tcPr>
                                  <w:tcW w:w="640" w:type="dxa"/>
                                  <w:tcBorders>
                                    <w:top w:val="single" w:sz="4" w:space="0" w:color="ADD6EA"/>
                                    <w:left w:val="nil"/>
                                    <w:bottom w:val="nil"/>
                                    <w:right w:val="nil"/>
                                  </w:tcBorders>
                                  <w:shd w:val="clear" w:color="000000" w:fill="FFFFFF"/>
                                  <w:vAlign w:val="bottom"/>
                                  <w:hideMark/>
                                </w:tcPr>
                                <w:p w14:paraId="1CDEBC1E"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3.8</w:t>
                                  </w:r>
                                </w:p>
                              </w:tc>
                              <w:tc>
                                <w:tcPr>
                                  <w:tcW w:w="640" w:type="dxa"/>
                                  <w:tcBorders>
                                    <w:top w:val="single" w:sz="4" w:space="0" w:color="ADD6EA"/>
                                    <w:left w:val="nil"/>
                                    <w:bottom w:val="nil"/>
                                    <w:right w:val="nil"/>
                                  </w:tcBorders>
                                  <w:shd w:val="clear" w:color="000000" w:fill="FFFFFF"/>
                                  <w:vAlign w:val="bottom"/>
                                  <w:hideMark/>
                                </w:tcPr>
                                <w:p w14:paraId="27E37F20"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13.2</w:t>
                                  </w:r>
                                </w:p>
                              </w:tc>
                              <w:tc>
                                <w:tcPr>
                                  <w:tcW w:w="640" w:type="dxa"/>
                                  <w:tcBorders>
                                    <w:top w:val="single" w:sz="4" w:space="0" w:color="ADD6EA"/>
                                    <w:left w:val="nil"/>
                                    <w:bottom w:val="nil"/>
                                    <w:right w:val="nil"/>
                                  </w:tcBorders>
                                  <w:shd w:val="clear" w:color="000000" w:fill="FFFFFF"/>
                                  <w:vAlign w:val="bottom"/>
                                  <w:hideMark/>
                                </w:tcPr>
                                <w:p w14:paraId="5D90B94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6.7</w:t>
                                  </w:r>
                                </w:p>
                              </w:tc>
                              <w:tc>
                                <w:tcPr>
                                  <w:tcW w:w="640" w:type="dxa"/>
                                  <w:tcBorders>
                                    <w:top w:val="single" w:sz="4" w:space="0" w:color="ADD6EA"/>
                                    <w:left w:val="nil"/>
                                    <w:bottom w:val="nil"/>
                                    <w:right w:val="nil"/>
                                  </w:tcBorders>
                                  <w:shd w:val="clear" w:color="000000" w:fill="FFFFFF"/>
                                  <w:vAlign w:val="bottom"/>
                                  <w:hideMark/>
                                </w:tcPr>
                                <w:p w14:paraId="141FC929"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11.2</w:t>
                                  </w:r>
                                </w:p>
                              </w:tc>
                              <w:tc>
                                <w:tcPr>
                                  <w:tcW w:w="640" w:type="dxa"/>
                                  <w:tcBorders>
                                    <w:top w:val="single" w:sz="4" w:space="0" w:color="ADD6EA"/>
                                    <w:left w:val="nil"/>
                                    <w:bottom w:val="nil"/>
                                    <w:right w:val="nil"/>
                                  </w:tcBorders>
                                  <w:shd w:val="clear" w:color="000000" w:fill="FFFFFF"/>
                                  <w:vAlign w:val="bottom"/>
                                  <w:hideMark/>
                                </w:tcPr>
                                <w:p w14:paraId="2274D58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36.1</w:t>
                                  </w:r>
                                </w:p>
                              </w:tc>
                              <w:tc>
                                <w:tcPr>
                                  <w:tcW w:w="640" w:type="dxa"/>
                                  <w:tcBorders>
                                    <w:top w:val="single" w:sz="4" w:space="0" w:color="ADD6EA"/>
                                    <w:left w:val="nil"/>
                                    <w:bottom w:val="nil"/>
                                    <w:right w:val="nil"/>
                                  </w:tcBorders>
                                  <w:shd w:val="clear" w:color="000000" w:fill="FFFFFF"/>
                                  <w:vAlign w:val="bottom"/>
                                  <w:hideMark/>
                                </w:tcPr>
                                <w:p w14:paraId="772F84C2"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w:t>
                                  </w:r>
                                </w:p>
                              </w:tc>
                              <w:tc>
                                <w:tcPr>
                                  <w:tcW w:w="640" w:type="dxa"/>
                                  <w:tcBorders>
                                    <w:top w:val="single" w:sz="4" w:space="0" w:color="ADD6EA"/>
                                    <w:left w:val="nil"/>
                                    <w:bottom w:val="nil"/>
                                    <w:right w:val="nil"/>
                                  </w:tcBorders>
                                  <w:shd w:val="clear" w:color="000000" w:fill="FFFFFF"/>
                                  <w:vAlign w:val="bottom"/>
                                  <w:hideMark/>
                                </w:tcPr>
                                <w:p w14:paraId="750510F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59.7</w:t>
                                  </w:r>
                                </w:p>
                              </w:tc>
                              <w:tc>
                                <w:tcPr>
                                  <w:tcW w:w="640" w:type="dxa"/>
                                  <w:tcBorders>
                                    <w:top w:val="single" w:sz="4" w:space="0" w:color="ADD6EA"/>
                                    <w:left w:val="nil"/>
                                    <w:bottom w:val="nil"/>
                                    <w:right w:val="nil"/>
                                  </w:tcBorders>
                                  <w:shd w:val="clear" w:color="000000" w:fill="FFFFFF"/>
                                  <w:vAlign w:val="bottom"/>
                                  <w:hideMark/>
                                </w:tcPr>
                                <w:p w14:paraId="5E67E12A"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7.9</w:t>
                                  </w:r>
                                </w:p>
                              </w:tc>
                            </w:tr>
                            <w:tr w:rsidR="00DD0528" w:rsidRPr="00B9584D" w14:paraId="0FD52A2F" w14:textId="77777777" w:rsidTr="000F637C">
                              <w:trPr>
                                <w:trHeight w:val="320"/>
                              </w:trPr>
                              <w:tc>
                                <w:tcPr>
                                  <w:tcW w:w="3180" w:type="dxa"/>
                                  <w:tcBorders>
                                    <w:top w:val="single" w:sz="4" w:space="0" w:color="ADD6EA"/>
                                    <w:left w:val="nil"/>
                                    <w:bottom w:val="nil"/>
                                    <w:right w:val="nil"/>
                                  </w:tcBorders>
                                  <w:shd w:val="clear" w:color="000000" w:fill="FFFFFF"/>
                                  <w:vAlign w:val="bottom"/>
                                  <w:hideMark/>
                                </w:tcPr>
                                <w:p w14:paraId="79C218A5" w14:textId="77777777" w:rsidR="00DD0528" w:rsidRPr="001E3A42" w:rsidRDefault="00DD0528">
                                  <w:pPr>
                                    <w:tabs>
                                      <w:tab w:val="clear" w:pos="567"/>
                                    </w:tabs>
                                    <w:spacing w:before="0" w:line="240" w:lineRule="auto"/>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Remote Australia</w:t>
                                  </w:r>
                                </w:p>
                              </w:tc>
                              <w:tc>
                                <w:tcPr>
                                  <w:tcW w:w="640" w:type="dxa"/>
                                  <w:tcBorders>
                                    <w:top w:val="single" w:sz="4" w:space="0" w:color="ADD6EA"/>
                                    <w:left w:val="nil"/>
                                    <w:bottom w:val="nil"/>
                                    <w:right w:val="nil"/>
                                  </w:tcBorders>
                                  <w:shd w:val="clear" w:color="000000" w:fill="FFFFFF"/>
                                  <w:vAlign w:val="bottom"/>
                                  <w:hideMark/>
                                </w:tcPr>
                                <w:p w14:paraId="26387033"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0.3</w:t>
                                  </w:r>
                                </w:p>
                              </w:tc>
                              <w:tc>
                                <w:tcPr>
                                  <w:tcW w:w="640" w:type="dxa"/>
                                  <w:tcBorders>
                                    <w:top w:val="single" w:sz="4" w:space="0" w:color="ADD6EA"/>
                                    <w:left w:val="nil"/>
                                    <w:bottom w:val="nil"/>
                                    <w:right w:val="nil"/>
                                  </w:tcBorders>
                                  <w:shd w:val="clear" w:color="000000" w:fill="FFFFFF"/>
                                  <w:vAlign w:val="bottom"/>
                                  <w:hideMark/>
                                </w:tcPr>
                                <w:p w14:paraId="5E350A8D"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0.0</w:t>
                                  </w:r>
                                </w:p>
                              </w:tc>
                              <w:tc>
                                <w:tcPr>
                                  <w:tcW w:w="640" w:type="dxa"/>
                                  <w:tcBorders>
                                    <w:top w:val="single" w:sz="4" w:space="0" w:color="ADD6EA"/>
                                    <w:left w:val="nil"/>
                                    <w:bottom w:val="nil"/>
                                    <w:right w:val="nil"/>
                                  </w:tcBorders>
                                  <w:shd w:val="clear" w:color="000000" w:fill="FFFFFF"/>
                                  <w:vAlign w:val="bottom"/>
                                  <w:hideMark/>
                                </w:tcPr>
                                <w:p w14:paraId="33E29BA4"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1.3</w:t>
                                  </w:r>
                                </w:p>
                              </w:tc>
                              <w:tc>
                                <w:tcPr>
                                  <w:tcW w:w="640" w:type="dxa"/>
                                  <w:tcBorders>
                                    <w:top w:val="single" w:sz="4" w:space="0" w:color="ADD6EA"/>
                                    <w:left w:val="nil"/>
                                    <w:bottom w:val="nil"/>
                                    <w:right w:val="nil"/>
                                  </w:tcBorders>
                                  <w:shd w:val="clear" w:color="000000" w:fill="FFFFFF"/>
                                  <w:vAlign w:val="bottom"/>
                                  <w:hideMark/>
                                </w:tcPr>
                                <w:p w14:paraId="1779A2F2"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3.3</w:t>
                                  </w:r>
                                </w:p>
                              </w:tc>
                              <w:tc>
                                <w:tcPr>
                                  <w:tcW w:w="640" w:type="dxa"/>
                                  <w:tcBorders>
                                    <w:top w:val="single" w:sz="4" w:space="0" w:color="ADD6EA"/>
                                    <w:left w:val="nil"/>
                                    <w:bottom w:val="nil"/>
                                    <w:right w:val="nil"/>
                                  </w:tcBorders>
                                  <w:shd w:val="clear" w:color="000000" w:fill="FFFFFF"/>
                                  <w:vAlign w:val="bottom"/>
                                  <w:hideMark/>
                                </w:tcPr>
                                <w:p w14:paraId="306CD284"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2.4</w:t>
                                  </w:r>
                                </w:p>
                              </w:tc>
                              <w:tc>
                                <w:tcPr>
                                  <w:tcW w:w="640" w:type="dxa"/>
                                  <w:tcBorders>
                                    <w:top w:val="single" w:sz="4" w:space="0" w:color="ADD6EA"/>
                                    <w:left w:val="nil"/>
                                    <w:bottom w:val="nil"/>
                                    <w:right w:val="nil"/>
                                  </w:tcBorders>
                                  <w:shd w:val="clear" w:color="000000" w:fill="FFFFFF"/>
                                  <w:vAlign w:val="bottom"/>
                                  <w:hideMark/>
                                </w:tcPr>
                                <w:p w14:paraId="59D4D90F"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1.5</w:t>
                                  </w:r>
                                </w:p>
                              </w:tc>
                              <w:tc>
                                <w:tcPr>
                                  <w:tcW w:w="640" w:type="dxa"/>
                                  <w:tcBorders>
                                    <w:top w:val="single" w:sz="4" w:space="0" w:color="ADD6EA"/>
                                    <w:left w:val="nil"/>
                                    <w:bottom w:val="nil"/>
                                    <w:right w:val="nil"/>
                                  </w:tcBorders>
                                  <w:shd w:val="clear" w:color="000000" w:fill="FFFFFF"/>
                                  <w:vAlign w:val="bottom"/>
                                  <w:hideMark/>
                                </w:tcPr>
                                <w:p w14:paraId="5597FCC0"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w:t>
                                  </w:r>
                                </w:p>
                              </w:tc>
                              <w:tc>
                                <w:tcPr>
                                  <w:tcW w:w="640" w:type="dxa"/>
                                  <w:tcBorders>
                                    <w:top w:val="single" w:sz="4" w:space="0" w:color="ADD6EA"/>
                                    <w:left w:val="nil"/>
                                    <w:bottom w:val="nil"/>
                                    <w:right w:val="nil"/>
                                  </w:tcBorders>
                                  <w:shd w:val="clear" w:color="000000" w:fill="FFFFFF"/>
                                  <w:vAlign w:val="bottom"/>
                                  <w:hideMark/>
                                </w:tcPr>
                                <w:p w14:paraId="42C82598"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21.1</w:t>
                                  </w:r>
                                </w:p>
                              </w:tc>
                              <w:tc>
                                <w:tcPr>
                                  <w:tcW w:w="640" w:type="dxa"/>
                                  <w:tcBorders>
                                    <w:top w:val="single" w:sz="4" w:space="0" w:color="ADD6EA"/>
                                    <w:left w:val="nil"/>
                                    <w:bottom w:val="nil"/>
                                    <w:right w:val="nil"/>
                                  </w:tcBorders>
                                  <w:shd w:val="clear" w:color="000000" w:fill="FFFFFF"/>
                                  <w:vAlign w:val="bottom"/>
                                  <w:hideMark/>
                                </w:tcPr>
                                <w:p w14:paraId="13571BE0"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1.1</w:t>
                                  </w:r>
                                </w:p>
                              </w:tc>
                            </w:tr>
                            <w:tr w:rsidR="00DD0528" w:rsidRPr="00B9584D" w14:paraId="245E4E34" w14:textId="77777777" w:rsidTr="000F637C">
                              <w:trPr>
                                <w:trHeight w:val="320"/>
                              </w:trPr>
                              <w:tc>
                                <w:tcPr>
                                  <w:tcW w:w="3180" w:type="dxa"/>
                                  <w:tcBorders>
                                    <w:top w:val="single" w:sz="4" w:space="0" w:color="ADD6EA"/>
                                    <w:left w:val="nil"/>
                                    <w:bottom w:val="nil"/>
                                    <w:right w:val="nil"/>
                                  </w:tcBorders>
                                  <w:shd w:val="clear" w:color="000000" w:fill="FFFFFF"/>
                                  <w:vAlign w:val="bottom"/>
                                  <w:hideMark/>
                                </w:tcPr>
                                <w:p w14:paraId="7FBFFD53" w14:textId="77777777" w:rsidR="00DD0528" w:rsidRPr="001E3A42" w:rsidRDefault="00DD0528">
                                  <w:pPr>
                                    <w:tabs>
                                      <w:tab w:val="clear" w:pos="567"/>
                                    </w:tabs>
                                    <w:spacing w:before="0" w:line="240" w:lineRule="auto"/>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Very remote Australia</w:t>
                                  </w:r>
                                </w:p>
                              </w:tc>
                              <w:tc>
                                <w:tcPr>
                                  <w:tcW w:w="640" w:type="dxa"/>
                                  <w:tcBorders>
                                    <w:top w:val="single" w:sz="4" w:space="0" w:color="ADD6EA"/>
                                    <w:left w:val="nil"/>
                                    <w:bottom w:val="nil"/>
                                    <w:right w:val="nil"/>
                                  </w:tcBorders>
                                  <w:shd w:val="clear" w:color="000000" w:fill="FFFFFF"/>
                                  <w:vAlign w:val="bottom"/>
                                  <w:hideMark/>
                                </w:tcPr>
                                <w:p w14:paraId="03665876"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0.1</w:t>
                                  </w:r>
                                </w:p>
                              </w:tc>
                              <w:tc>
                                <w:tcPr>
                                  <w:tcW w:w="640" w:type="dxa"/>
                                  <w:tcBorders>
                                    <w:top w:val="single" w:sz="4" w:space="0" w:color="ADD6EA"/>
                                    <w:left w:val="nil"/>
                                    <w:bottom w:val="nil"/>
                                    <w:right w:val="nil"/>
                                  </w:tcBorders>
                                  <w:shd w:val="clear" w:color="000000" w:fill="FFFFFF"/>
                                  <w:vAlign w:val="bottom"/>
                                  <w:hideMark/>
                                </w:tcPr>
                                <w:p w14:paraId="085C4B5C"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w:t>
                                  </w:r>
                                </w:p>
                              </w:tc>
                              <w:tc>
                                <w:tcPr>
                                  <w:tcW w:w="640" w:type="dxa"/>
                                  <w:tcBorders>
                                    <w:top w:val="single" w:sz="4" w:space="0" w:color="ADD6EA"/>
                                    <w:left w:val="nil"/>
                                    <w:bottom w:val="nil"/>
                                    <w:right w:val="nil"/>
                                  </w:tcBorders>
                                  <w:shd w:val="clear" w:color="000000" w:fill="FFFFFF"/>
                                  <w:vAlign w:val="bottom"/>
                                  <w:hideMark/>
                                </w:tcPr>
                                <w:p w14:paraId="57C3CD8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1.0</w:t>
                                  </w:r>
                                </w:p>
                              </w:tc>
                              <w:tc>
                                <w:tcPr>
                                  <w:tcW w:w="640" w:type="dxa"/>
                                  <w:tcBorders>
                                    <w:top w:val="single" w:sz="4" w:space="0" w:color="ADD6EA"/>
                                    <w:left w:val="nil"/>
                                    <w:bottom w:val="nil"/>
                                    <w:right w:val="nil"/>
                                  </w:tcBorders>
                                  <w:shd w:val="clear" w:color="000000" w:fill="FFFFFF"/>
                                  <w:vAlign w:val="bottom"/>
                                  <w:hideMark/>
                                </w:tcPr>
                                <w:p w14:paraId="0DAFB9D7"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2.3</w:t>
                                  </w:r>
                                </w:p>
                              </w:tc>
                              <w:tc>
                                <w:tcPr>
                                  <w:tcW w:w="640" w:type="dxa"/>
                                  <w:tcBorders>
                                    <w:top w:val="single" w:sz="4" w:space="0" w:color="ADD6EA"/>
                                    <w:left w:val="nil"/>
                                    <w:bottom w:val="nil"/>
                                    <w:right w:val="nil"/>
                                  </w:tcBorders>
                                  <w:shd w:val="clear" w:color="000000" w:fill="FFFFFF"/>
                                  <w:vAlign w:val="bottom"/>
                                  <w:hideMark/>
                                </w:tcPr>
                                <w:p w14:paraId="297916C4"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0.8</w:t>
                                  </w:r>
                                </w:p>
                              </w:tc>
                              <w:tc>
                                <w:tcPr>
                                  <w:tcW w:w="640" w:type="dxa"/>
                                  <w:tcBorders>
                                    <w:top w:val="single" w:sz="4" w:space="0" w:color="ADD6EA"/>
                                    <w:left w:val="nil"/>
                                    <w:bottom w:val="nil"/>
                                    <w:right w:val="nil"/>
                                  </w:tcBorders>
                                  <w:shd w:val="clear" w:color="000000" w:fill="FFFFFF"/>
                                  <w:vAlign w:val="bottom"/>
                                  <w:hideMark/>
                                </w:tcPr>
                                <w:p w14:paraId="256B36BF"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0.5</w:t>
                                  </w:r>
                                </w:p>
                              </w:tc>
                              <w:tc>
                                <w:tcPr>
                                  <w:tcW w:w="640" w:type="dxa"/>
                                  <w:tcBorders>
                                    <w:top w:val="single" w:sz="4" w:space="0" w:color="ADD6EA"/>
                                    <w:left w:val="nil"/>
                                    <w:bottom w:val="nil"/>
                                    <w:right w:val="nil"/>
                                  </w:tcBorders>
                                  <w:shd w:val="clear" w:color="000000" w:fill="FFFFFF"/>
                                  <w:vAlign w:val="bottom"/>
                                  <w:hideMark/>
                                </w:tcPr>
                                <w:p w14:paraId="1D1FF330"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w:t>
                                  </w:r>
                                </w:p>
                              </w:tc>
                              <w:tc>
                                <w:tcPr>
                                  <w:tcW w:w="640" w:type="dxa"/>
                                  <w:tcBorders>
                                    <w:top w:val="single" w:sz="4" w:space="0" w:color="ADD6EA"/>
                                    <w:left w:val="nil"/>
                                    <w:bottom w:val="nil"/>
                                    <w:right w:val="nil"/>
                                  </w:tcBorders>
                                  <w:shd w:val="clear" w:color="000000" w:fill="FFFFFF"/>
                                  <w:vAlign w:val="bottom"/>
                                  <w:hideMark/>
                                </w:tcPr>
                                <w:p w14:paraId="6DC13BF2"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19.3</w:t>
                                  </w:r>
                                </w:p>
                              </w:tc>
                              <w:tc>
                                <w:tcPr>
                                  <w:tcW w:w="640" w:type="dxa"/>
                                  <w:tcBorders>
                                    <w:top w:val="single" w:sz="4" w:space="0" w:color="ADD6EA"/>
                                    <w:left w:val="nil"/>
                                    <w:bottom w:val="nil"/>
                                    <w:right w:val="nil"/>
                                  </w:tcBorders>
                                  <w:shd w:val="clear" w:color="000000" w:fill="FFFFFF"/>
                                  <w:vAlign w:val="bottom"/>
                                  <w:hideMark/>
                                </w:tcPr>
                                <w:p w14:paraId="2925A60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0.7</w:t>
                                  </w:r>
                                </w:p>
                              </w:tc>
                            </w:tr>
                            <w:tr w:rsidR="00DD0528" w:rsidRPr="00B9584D" w14:paraId="67110325" w14:textId="77777777" w:rsidTr="000F637C">
                              <w:trPr>
                                <w:trHeight w:val="320"/>
                              </w:trPr>
                              <w:tc>
                                <w:tcPr>
                                  <w:tcW w:w="3180" w:type="dxa"/>
                                  <w:tcBorders>
                                    <w:top w:val="single" w:sz="4" w:space="0" w:color="ADD6EA"/>
                                    <w:left w:val="nil"/>
                                    <w:bottom w:val="single" w:sz="4" w:space="0" w:color="ADD6EA"/>
                                    <w:right w:val="nil"/>
                                  </w:tcBorders>
                                  <w:shd w:val="clear" w:color="000000" w:fill="D6E7F0"/>
                                  <w:vAlign w:val="bottom"/>
                                  <w:hideMark/>
                                </w:tcPr>
                                <w:p w14:paraId="50EAF290" w14:textId="77777777" w:rsidR="00DD0528" w:rsidRPr="001E3A42" w:rsidRDefault="00DD0528">
                                  <w:pPr>
                                    <w:tabs>
                                      <w:tab w:val="clear" w:pos="567"/>
                                    </w:tabs>
                                    <w:spacing w:before="0" w:line="240" w:lineRule="auto"/>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Total</w:t>
                                  </w:r>
                                </w:p>
                              </w:tc>
                              <w:tc>
                                <w:tcPr>
                                  <w:tcW w:w="640" w:type="dxa"/>
                                  <w:tcBorders>
                                    <w:top w:val="single" w:sz="4" w:space="0" w:color="ADD6EA"/>
                                    <w:left w:val="nil"/>
                                    <w:bottom w:val="single" w:sz="4" w:space="0" w:color="ADD6EA"/>
                                    <w:right w:val="nil"/>
                                  </w:tcBorders>
                                  <w:shd w:val="clear" w:color="000000" w:fill="D6E7F0"/>
                                  <w:vAlign w:val="bottom"/>
                                  <w:hideMark/>
                                </w:tcPr>
                                <w:p w14:paraId="606857B3"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c>
                                <w:tcPr>
                                  <w:tcW w:w="640" w:type="dxa"/>
                                  <w:tcBorders>
                                    <w:top w:val="single" w:sz="4" w:space="0" w:color="ADD6EA"/>
                                    <w:left w:val="nil"/>
                                    <w:bottom w:val="single" w:sz="4" w:space="0" w:color="ADD6EA"/>
                                    <w:right w:val="nil"/>
                                  </w:tcBorders>
                                  <w:shd w:val="clear" w:color="000000" w:fill="D6E7F0"/>
                                  <w:vAlign w:val="bottom"/>
                                  <w:hideMark/>
                                </w:tcPr>
                                <w:p w14:paraId="1DF9629E"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c>
                                <w:tcPr>
                                  <w:tcW w:w="640" w:type="dxa"/>
                                  <w:tcBorders>
                                    <w:top w:val="single" w:sz="4" w:space="0" w:color="ADD6EA"/>
                                    <w:left w:val="nil"/>
                                    <w:bottom w:val="single" w:sz="4" w:space="0" w:color="ADD6EA"/>
                                    <w:right w:val="nil"/>
                                  </w:tcBorders>
                                  <w:shd w:val="clear" w:color="000000" w:fill="D6E7F0"/>
                                  <w:vAlign w:val="bottom"/>
                                  <w:hideMark/>
                                </w:tcPr>
                                <w:p w14:paraId="03491328"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c>
                                <w:tcPr>
                                  <w:tcW w:w="640" w:type="dxa"/>
                                  <w:tcBorders>
                                    <w:top w:val="single" w:sz="4" w:space="0" w:color="ADD6EA"/>
                                    <w:left w:val="nil"/>
                                    <w:bottom w:val="single" w:sz="4" w:space="0" w:color="ADD6EA"/>
                                    <w:right w:val="nil"/>
                                  </w:tcBorders>
                                  <w:shd w:val="clear" w:color="000000" w:fill="D6E7F0"/>
                                  <w:vAlign w:val="bottom"/>
                                  <w:hideMark/>
                                </w:tcPr>
                                <w:p w14:paraId="25708B26"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c>
                                <w:tcPr>
                                  <w:tcW w:w="640" w:type="dxa"/>
                                  <w:tcBorders>
                                    <w:top w:val="single" w:sz="4" w:space="0" w:color="ADD6EA"/>
                                    <w:left w:val="nil"/>
                                    <w:bottom w:val="single" w:sz="4" w:space="0" w:color="ADD6EA"/>
                                    <w:right w:val="nil"/>
                                  </w:tcBorders>
                                  <w:shd w:val="clear" w:color="000000" w:fill="D6E7F0"/>
                                  <w:vAlign w:val="bottom"/>
                                  <w:hideMark/>
                                </w:tcPr>
                                <w:p w14:paraId="6996EB53"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c>
                                <w:tcPr>
                                  <w:tcW w:w="640" w:type="dxa"/>
                                  <w:tcBorders>
                                    <w:top w:val="single" w:sz="4" w:space="0" w:color="ADD6EA"/>
                                    <w:left w:val="nil"/>
                                    <w:bottom w:val="single" w:sz="4" w:space="0" w:color="ADD6EA"/>
                                    <w:right w:val="nil"/>
                                  </w:tcBorders>
                                  <w:shd w:val="clear" w:color="000000" w:fill="D6E7F0"/>
                                  <w:vAlign w:val="bottom"/>
                                  <w:hideMark/>
                                </w:tcPr>
                                <w:p w14:paraId="5DCEBAAC"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c>
                                <w:tcPr>
                                  <w:tcW w:w="640" w:type="dxa"/>
                                  <w:tcBorders>
                                    <w:top w:val="single" w:sz="4" w:space="0" w:color="ADD6EA"/>
                                    <w:left w:val="nil"/>
                                    <w:bottom w:val="single" w:sz="4" w:space="0" w:color="ADD6EA"/>
                                    <w:right w:val="nil"/>
                                  </w:tcBorders>
                                  <w:shd w:val="clear" w:color="000000" w:fill="D6E7F0"/>
                                  <w:vAlign w:val="bottom"/>
                                  <w:hideMark/>
                                </w:tcPr>
                                <w:p w14:paraId="5EDC4B6C"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c>
                                <w:tcPr>
                                  <w:tcW w:w="640" w:type="dxa"/>
                                  <w:tcBorders>
                                    <w:top w:val="single" w:sz="4" w:space="0" w:color="ADD6EA"/>
                                    <w:left w:val="nil"/>
                                    <w:bottom w:val="single" w:sz="4" w:space="0" w:color="ADD6EA"/>
                                    <w:right w:val="nil"/>
                                  </w:tcBorders>
                                  <w:shd w:val="clear" w:color="000000" w:fill="D6E7F0"/>
                                  <w:vAlign w:val="bottom"/>
                                  <w:hideMark/>
                                </w:tcPr>
                                <w:p w14:paraId="44466080"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c>
                                <w:tcPr>
                                  <w:tcW w:w="640" w:type="dxa"/>
                                  <w:tcBorders>
                                    <w:top w:val="single" w:sz="4" w:space="0" w:color="ADD6EA"/>
                                    <w:left w:val="nil"/>
                                    <w:bottom w:val="single" w:sz="4" w:space="0" w:color="ADD6EA"/>
                                    <w:right w:val="nil"/>
                                  </w:tcBorders>
                                  <w:shd w:val="clear" w:color="000000" w:fill="D6E7F0"/>
                                  <w:vAlign w:val="bottom"/>
                                  <w:hideMark/>
                                </w:tcPr>
                                <w:p w14:paraId="5AF0E86A"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r>
                          </w:tbl>
                          <w:p w14:paraId="12B29E14" w14:textId="0249F5D3" w:rsidR="00DD0528" w:rsidRPr="001E3A42" w:rsidRDefault="00DD0528" w:rsidP="00DD0528">
                            <w:pPr>
                              <w:pStyle w:val="CGC2025Caption"/>
                              <w:rPr>
                                <w:b w:val="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8B3474" id="Text Box 908283432" o:spid="_x0000_s1042" type="#_x0000_t202" style="position:absolute;margin-left:0;margin-top:0;width:460.9pt;height:567.15pt;z-index:25165825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" fillcolor="#e5f8ff" strokecolor="white [3212]">
                <v:textbox>
                  <w:txbxContent>
                    <w:p w14:paraId="53A6F24A" w14:textId="77777777" w:rsidR="00DD0528" w:rsidRPr="00607566" w:rsidRDefault="00DD0528" w:rsidP="003D34F4">
                      <w:pPr>
                        <w:pStyle w:val="HeadingBox-Level3"/>
                      </w:pPr>
                      <w:bookmarkStart w:id="136" w:name="Box_2_1"/>
                      <w:bookmarkStart w:id="137" w:name="_Toc159675695"/>
                      <w:bookmarkStart w:id="138" w:name="_Toc159676002"/>
                      <w:bookmarkStart w:id="139" w:name="_Toc159676069"/>
                      <w:bookmarkStart w:id="140" w:name="_Toc190780945"/>
                      <w:r>
                        <w:t>Box 2-</w:t>
                      </w:r>
                      <w:bookmarkEnd w:id="136"/>
                      <w:r>
                        <w:t>4</w:t>
                      </w:r>
                      <w:r>
                        <w:tab/>
                      </w:r>
                      <w:bookmarkEnd w:id="137"/>
                      <w:bookmarkEnd w:id="138"/>
                      <w:bookmarkEnd w:id="139"/>
                      <w:r>
                        <w:t>Population dispersion</w:t>
                      </w:r>
                      <w:bookmarkEnd w:id="140"/>
                      <w:r>
                        <w:t xml:space="preserve"> </w:t>
                      </w:r>
                    </w:p>
                    <w:p w14:paraId="46A9DB9F" w14:textId="77777777" w:rsidR="00DD0528" w:rsidRDefault="00DD0528" w:rsidP="00DD0528">
                      <w:pPr>
                        <w:pStyle w:val="CGC2025Bullet1"/>
                        <w:numPr>
                          <w:ilvl w:val="0"/>
                          <w:numId w:val="0"/>
                        </w:numPr>
                      </w:pPr>
                      <w:r>
                        <w:t>Population dispersion relates to how remote a state’s population is and how this can impact expense needs. For a range of services, states provide more services per capita to populations in more remote areas, where services can also be more expensive to deliver.</w:t>
                      </w:r>
                    </w:p>
                    <w:p w14:paraId="7D5B3B53" w14:textId="77777777" w:rsidR="00DD0528" w:rsidRDefault="00DD0528" w:rsidP="00DD0528">
                      <w:pPr>
                        <w:pStyle w:val="CGC2025Bullet1"/>
                        <w:numPr>
                          <w:ilvl w:val="0"/>
                          <w:numId w:val="0"/>
                        </w:numPr>
                      </w:pPr>
                      <w:r>
                        <w:t xml:space="preserve">The Commission uses the ABS’ 5 remoteness areas to classify populations by remoteness. This classification uses the Accessibility/Remoteness Index of Australia Plus (ARIA+) which was created in 2001 and is produced by the Australian Centre for Housing Research at the University of Adelaide. The classification is widely used by academics, and Commonwealth and state government agencies as it provides a relatively stable, nationally consistent measure of accessibility to services. </w:t>
                      </w:r>
                    </w:p>
                    <w:p w14:paraId="2FFFD3D1" w14:textId="77777777" w:rsidR="00DD0528" w:rsidRPr="00CB6B9B" w:rsidRDefault="00DD0528" w:rsidP="00DD0528">
                      <w:pPr>
                        <w:pStyle w:val="CGC2025Bullet1"/>
                        <w:numPr>
                          <w:ilvl w:val="0"/>
                          <w:numId w:val="0"/>
                        </w:numPr>
                      </w:pPr>
                      <w:r>
                        <w:t xml:space="preserve">ARIA+ considers how far a </w:t>
                      </w:r>
                      <w:r w:rsidRPr="00CB6B9B">
                        <w:t>location is from a range of differently sized service centres. If a location is relatively close to a major city, it can be classified as akin to a ‘major city’ even if it has a small population. For example, Kiama, Noosa Heads and Pinjarra have populations under 25,000 and are classified as having access to major city level services. If a location is relatively distant from larger service centres, it can be classified as remote even if it has a relatively large population. For example, Mount Isa, Broome and Port Lincoln have populations over 15,000 and are classified as remote.</w:t>
                      </w:r>
                    </w:p>
                    <w:p w14:paraId="046DCBBA" w14:textId="77777777" w:rsidR="00DD0528" w:rsidRDefault="00DD0528" w:rsidP="00DD0528">
                      <w:r w:rsidRPr="00CB6B9B">
                        <w:t>While remote and very remote areas are very</w:t>
                      </w:r>
                      <w:r>
                        <w:t xml:space="preserve"> expensive to service, they contain less than 2% of Australia’s population (see Table 2-12). Inner regional and outer regional areas are less expensive than remote areas but more expensive than major cities and contain more than 25% of Australia’s population. </w:t>
                      </w:r>
                    </w:p>
                    <w:p w14:paraId="032D4709" w14:textId="4997AE74" w:rsidR="00DD0528" w:rsidRDefault="00DD0528" w:rsidP="00DD0528">
                      <w:r>
                        <w:t>This means that population dispersion increases GST needs for Tasmania with a relatively large regional population, while the high expenses associated with Western Australia’s relatively large remote and very remote populations are moderated by it having an above</w:t>
                      </w:r>
                      <w:r w:rsidR="00EC687F">
                        <w:noBreakHyphen/>
                      </w:r>
                      <w:r>
                        <w:t>average share of people living in a major city. Population dispersion increases GST</w:t>
                      </w:r>
                      <w:r w:rsidR="00EC687F">
                        <w:t> </w:t>
                      </w:r>
                      <w:r>
                        <w:t xml:space="preserve">needs for the Northern Territory because more than 40% of its population live in remote or very remote areas and because Darwin is an outer </w:t>
                      </w:r>
                      <w:r w:rsidRPr="00300750">
                        <w:t xml:space="preserve">regional city, rather than a major city. </w:t>
                      </w:r>
                    </w:p>
                    <w:p w14:paraId="7B0ADB0A" w14:textId="77777777" w:rsidR="00DD0528" w:rsidRPr="00176917" w:rsidRDefault="00DD0528" w:rsidP="00246CA8">
                      <w:pPr>
                        <w:pStyle w:val="CGC2025Caption"/>
                      </w:pPr>
                      <w:r>
                        <w:t>Table 2-12</w:t>
                      </w:r>
                      <w:r>
                        <w:tab/>
                        <w:t>Estimated population by remoteness, 2023</w:t>
                      </w:r>
                    </w:p>
                    <w:tbl>
                      <w:tblPr>
                        <w:tblW w:w="8940" w:type="dxa"/>
                        <w:tblLook w:val="04A0" w:firstRow="1" w:lastRow="0" w:firstColumn="1" w:lastColumn="0" w:noHBand="0" w:noVBand="1"/>
                      </w:tblPr>
                      <w:tblGrid>
                        <w:gridCol w:w="3180"/>
                        <w:gridCol w:w="640"/>
                        <w:gridCol w:w="640"/>
                        <w:gridCol w:w="640"/>
                        <w:gridCol w:w="640"/>
                        <w:gridCol w:w="640"/>
                        <w:gridCol w:w="640"/>
                        <w:gridCol w:w="640"/>
                        <w:gridCol w:w="640"/>
                        <w:gridCol w:w="640"/>
                      </w:tblGrid>
                      <w:tr w:rsidR="00DD0528" w:rsidRPr="00B9584D" w14:paraId="1608F2CD" w14:textId="77777777" w:rsidTr="000F637C">
                        <w:trPr>
                          <w:trHeight w:val="315"/>
                        </w:trPr>
                        <w:tc>
                          <w:tcPr>
                            <w:tcW w:w="3180" w:type="dxa"/>
                            <w:tcBorders>
                              <w:top w:val="nil"/>
                              <w:left w:val="nil"/>
                              <w:bottom w:val="nil"/>
                              <w:right w:val="nil"/>
                            </w:tcBorders>
                            <w:shd w:val="clear" w:color="000000" w:fill="006991"/>
                            <w:vAlign w:val="center"/>
                            <w:hideMark/>
                          </w:tcPr>
                          <w:p w14:paraId="6A82065E" w14:textId="77777777" w:rsidR="00DD0528" w:rsidRPr="001E3A42" w:rsidRDefault="00DD0528">
                            <w:pPr>
                              <w:tabs>
                                <w:tab w:val="clear" w:pos="567"/>
                              </w:tabs>
                              <w:spacing w:before="0" w:line="240" w:lineRule="auto"/>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 </w:t>
                            </w:r>
                          </w:p>
                        </w:tc>
                        <w:tc>
                          <w:tcPr>
                            <w:tcW w:w="640" w:type="dxa"/>
                            <w:tcBorders>
                              <w:top w:val="nil"/>
                              <w:left w:val="nil"/>
                              <w:bottom w:val="nil"/>
                              <w:right w:val="nil"/>
                            </w:tcBorders>
                            <w:shd w:val="clear" w:color="000000" w:fill="006991"/>
                            <w:vAlign w:val="center"/>
                            <w:hideMark/>
                          </w:tcPr>
                          <w:p w14:paraId="193B3F1C"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NSW</w:t>
                            </w:r>
                          </w:p>
                        </w:tc>
                        <w:tc>
                          <w:tcPr>
                            <w:tcW w:w="640" w:type="dxa"/>
                            <w:tcBorders>
                              <w:top w:val="nil"/>
                              <w:left w:val="nil"/>
                              <w:bottom w:val="nil"/>
                              <w:right w:val="nil"/>
                            </w:tcBorders>
                            <w:shd w:val="clear" w:color="000000" w:fill="006991"/>
                            <w:vAlign w:val="center"/>
                            <w:hideMark/>
                          </w:tcPr>
                          <w:p w14:paraId="10F0CB6C"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Vic</w:t>
                            </w:r>
                          </w:p>
                        </w:tc>
                        <w:tc>
                          <w:tcPr>
                            <w:tcW w:w="640" w:type="dxa"/>
                            <w:tcBorders>
                              <w:top w:val="nil"/>
                              <w:left w:val="nil"/>
                              <w:bottom w:val="nil"/>
                              <w:right w:val="nil"/>
                            </w:tcBorders>
                            <w:shd w:val="clear" w:color="000000" w:fill="006991"/>
                            <w:vAlign w:val="center"/>
                            <w:hideMark/>
                          </w:tcPr>
                          <w:p w14:paraId="00B8B532"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Qld</w:t>
                            </w:r>
                          </w:p>
                        </w:tc>
                        <w:tc>
                          <w:tcPr>
                            <w:tcW w:w="640" w:type="dxa"/>
                            <w:tcBorders>
                              <w:top w:val="nil"/>
                              <w:left w:val="nil"/>
                              <w:bottom w:val="nil"/>
                              <w:right w:val="nil"/>
                            </w:tcBorders>
                            <w:shd w:val="clear" w:color="000000" w:fill="006991"/>
                            <w:vAlign w:val="center"/>
                            <w:hideMark/>
                          </w:tcPr>
                          <w:p w14:paraId="490BF32A"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WA</w:t>
                            </w:r>
                          </w:p>
                        </w:tc>
                        <w:tc>
                          <w:tcPr>
                            <w:tcW w:w="640" w:type="dxa"/>
                            <w:tcBorders>
                              <w:top w:val="nil"/>
                              <w:left w:val="nil"/>
                              <w:bottom w:val="nil"/>
                              <w:right w:val="nil"/>
                            </w:tcBorders>
                            <w:shd w:val="clear" w:color="000000" w:fill="006991"/>
                            <w:vAlign w:val="center"/>
                            <w:hideMark/>
                          </w:tcPr>
                          <w:p w14:paraId="6A7C6E58"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SA</w:t>
                            </w:r>
                          </w:p>
                        </w:tc>
                        <w:tc>
                          <w:tcPr>
                            <w:tcW w:w="640" w:type="dxa"/>
                            <w:tcBorders>
                              <w:top w:val="nil"/>
                              <w:left w:val="nil"/>
                              <w:bottom w:val="nil"/>
                              <w:right w:val="nil"/>
                            </w:tcBorders>
                            <w:shd w:val="clear" w:color="000000" w:fill="006991"/>
                            <w:vAlign w:val="center"/>
                            <w:hideMark/>
                          </w:tcPr>
                          <w:p w14:paraId="42A21457"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Tas</w:t>
                            </w:r>
                          </w:p>
                        </w:tc>
                        <w:tc>
                          <w:tcPr>
                            <w:tcW w:w="640" w:type="dxa"/>
                            <w:tcBorders>
                              <w:top w:val="nil"/>
                              <w:left w:val="nil"/>
                              <w:bottom w:val="nil"/>
                              <w:right w:val="nil"/>
                            </w:tcBorders>
                            <w:shd w:val="clear" w:color="000000" w:fill="006991"/>
                            <w:vAlign w:val="center"/>
                            <w:hideMark/>
                          </w:tcPr>
                          <w:p w14:paraId="5EF3166F"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ACT</w:t>
                            </w:r>
                          </w:p>
                        </w:tc>
                        <w:tc>
                          <w:tcPr>
                            <w:tcW w:w="640" w:type="dxa"/>
                            <w:tcBorders>
                              <w:top w:val="nil"/>
                              <w:left w:val="nil"/>
                              <w:bottom w:val="nil"/>
                              <w:right w:val="nil"/>
                            </w:tcBorders>
                            <w:shd w:val="clear" w:color="000000" w:fill="006991"/>
                            <w:vAlign w:val="center"/>
                            <w:hideMark/>
                          </w:tcPr>
                          <w:p w14:paraId="2EB08F72"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NT</w:t>
                            </w:r>
                          </w:p>
                        </w:tc>
                        <w:tc>
                          <w:tcPr>
                            <w:tcW w:w="640" w:type="dxa"/>
                            <w:tcBorders>
                              <w:top w:val="nil"/>
                              <w:left w:val="nil"/>
                              <w:bottom w:val="nil"/>
                              <w:right w:val="nil"/>
                            </w:tcBorders>
                            <w:shd w:val="clear" w:color="000000" w:fill="006991"/>
                            <w:vAlign w:val="center"/>
                            <w:hideMark/>
                          </w:tcPr>
                          <w:p w14:paraId="467BCA33"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E3A42">
                              <w:rPr>
                                <w:rFonts w:ascii="Open Sans Semibold" w:eastAsia="Times New Roman" w:hAnsi="Open Sans Semibold" w:cs="Open Sans Semibold"/>
                                <w:color w:val="FFFFFF"/>
                                <w:sz w:val="16"/>
                                <w:szCs w:val="16"/>
                                <w:lang w:eastAsia="en-AU"/>
                              </w:rPr>
                              <w:t>Total</w:t>
                            </w:r>
                          </w:p>
                        </w:tc>
                      </w:tr>
                      <w:tr w:rsidR="00DD0528" w:rsidRPr="00B9584D" w14:paraId="1406E4C9" w14:textId="77777777" w:rsidTr="000F637C">
                        <w:trPr>
                          <w:trHeight w:val="260"/>
                        </w:trPr>
                        <w:tc>
                          <w:tcPr>
                            <w:tcW w:w="3180" w:type="dxa"/>
                            <w:tcBorders>
                              <w:top w:val="single" w:sz="4" w:space="0" w:color="ADD6EA"/>
                              <w:left w:val="nil"/>
                              <w:bottom w:val="nil"/>
                              <w:right w:val="nil"/>
                            </w:tcBorders>
                            <w:shd w:val="clear" w:color="000000" w:fill="B6D5E4"/>
                            <w:vAlign w:val="bottom"/>
                            <w:hideMark/>
                          </w:tcPr>
                          <w:p w14:paraId="70576801" w14:textId="77777777" w:rsidR="00DD0528" w:rsidRPr="001E3A42" w:rsidRDefault="00DD0528">
                            <w:pPr>
                              <w:tabs>
                                <w:tab w:val="clear" w:pos="567"/>
                              </w:tabs>
                              <w:spacing w:before="0" w:line="240" w:lineRule="auto"/>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 </w:t>
                            </w:r>
                          </w:p>
                        </w:tc>
                        <w:tc>
                          <w:tcPr>
                            <w:tcW w:w="640" w:type="dxa"/>
                            <w:tcBorders>
                              <w:top w:val="single" w:sz="4" w:space="0" w:color="ADD6EA"/>
                              <w:left w:val="nil"/>
                              <w:bottom w:val="nil"/>
                              <w:right w:val="nil"/>
                            </w:tcBorders>
                            <w:shd w:val="clear" w:color="000000" w:fill="B6D5E4"/>
                            <w:vAlign w:val="bottom"/>
                            <w:hideMark/>
                          </w:tcPr>
                          <w:p w14:paraId="643DDDC8"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c>
                          <w:tcPr>
                            <w:tcW w:w="640" w:type="dxa"/>
                            <w:tcBorders>
                              <w:top w:val="single" w:sz="4" w:space="0" w:color="ADD6EA"/>
                              <w:left w:val="nil"/>
                              <w:bottom w:val="nil"/>
                              <w:right w:val="nil"/>
                            </w:tcBorders>
                            <w:shd w:val="clear" w:color="000000" w:fill="B6D5E4"/>
                            <w:vAlign w:val="bottom"/>
                            <w:hideMark/>
                          </w:tcPr>
                          <w:p w14:paraId="34721F64"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c>
                          <w:tcPr>
                            <w:tcW w:w="640" w:type="dxa"/>
                            <w:tcBorders>
                              <w:top w:val="single" w:sz="4" w:space="0" w:color="ADD6EA"/>
                              <w:left w:val="nil"/>
                              <w:bottom w:val="nil"/>
                              <w:right w:val="nil"/>
                            </w:tcBorders>
                            <w:shd w:val="clear" w:color="000000" w:fill="B6D5E4"/>
                            <w:vAlign w:val="bottom"/>
                            <w:hideMark/>
                          </w:tcPr>
                          <w:p w14:paraId="192B2216"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c>
                          <w:tcPr>
                            <w:tcW w:w="640" w:type="dxa"/>
                            <w:tcBorders>
                              <w:top w:val="single" w:sz="4" w:space="0" w:color="ADD6EA"/>
                              <w:left w:val="nil"/>
                              <w:bottom w:val="nil"/>
                              <w:right w:val="nil"/>
                            </w:tcBorders>
                            <w:shd w:val="clear" w:color="000000" w:fill="B6D5E4"/>
                            <w:vAlign w:val="bottom"/>
                            <w:hideMark/>
                          </w:tcPr>
                          <w:p w14:paraId="26C768E8"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c>
                          <w:tcPr>
                            <w:tcW w:w="640" w:type="dxa"/>
                            <w:tcBorders>
                              <w:top w:val="single" w:sz="4" w:space="0" w:color="ADD6EA"/>
                              <w:left w:val="nil"/>
                              <w:bottom w:val="nil"/>
                              <w:right w:val="nil"/>
                            </w:tcBorders>
                            <w:shd w:val="clear" w:color="000000" w:fill="B6D5E4"/>
                            <w:vAlign w:val="bottom"/>
                            <w:hideMark/>
                          </w:tcPr>
                          <w:p w14:paraId="4B1047A0"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c>
                          <w:tcPr>
                            <w:tcW w:w="640" w:type="dxa"/>
                            <w:tcBorders>
                              <w:top w:val="single" w:sz="4" w:space="0" w:color="ADD6EA"/>
                              <w:left w:val="nil"/>
                              <w:bottom w:val="nil"/>
                              <w:right w:val="nil"/>
                            </w:tcBorders>
                            <w:shd w:val="clear" w:color="000000" w:fill="B6D5E4"/>
                            <w:vAlign w:val="bottom"/>
                            <w:hideMark/>
                          </w:tcPr>
                          <w:p w14:paraId="4A989992"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c>
                          <w:tcPr>
                            <w:tcW w:w="640" w:type="dxa"/>
                            <w:tcBorders>
                              <w:top w:val="single" w:sz="4" w:space="0" w:color="ADD6EA"/>
                              <w:left w:val="nil"/>
                              <w:bottom w:val="nil"/>
                              <w:right w:val="nil"/>
                            </w:tcBorders>
                            <w:shd w:val="clear" w:color="000000" w:fill="B6D5E4"/>
                            <w:vAlign w:val="bottom"/>
                            <w:hideMark/>
                          </w:tcPr>
                          <w:p w14:paraId="5B4844B6"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c>
                          <w:tcPr>
                            <w:tcW w:w="640" w:type="dxa"/>
                            <w:tcBorders>
                              <w:top w:val="single" w:sz="4" w:space="0" w:color="ADD6EA"/>
                              <w:left w:val="nil"/>
                              <w:bottom w:val="nil"/>
                              <w:right w:val="nil"/>
                            </w:tcBorders>
                            <w:shd w:val="clear" w:color="000000" w:fill="B6D5E4"/>
                            <w:vAlign w:val="bottom"/>
                            <w:hideMark/>
                          </w:tcPr>
                          <w:p w14:paraId="7E80EFAD"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c>
                          <w:tcPr>
                            <w:tcW w:w="640" w:type="dxa"/>
                            <w:tcBorders>
                              <w:top w:val="single" w:sz="4" w:space="0" w:color="ADD6EA"/>
                              <w:left w:val="nil"/>
                              <w:bottom w:val="nil"/>
                              <w:right w:val="nil"/>
                            </w:tcBorders>
                            <w:shd w:val="clear" w:color="000000" w:fill="B6D5E4"/>
                            <w:vAlign w:val="bottom"/>
                            <w:hideMark/>
                          </w:tcPr>
                          <w:p w14:paraId="3377BFD4"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w:t>
                            </w:r>
                          </w:p>
                        </w:tc>
                      </w:tr>
                      <w:tr w:rsidR="00DD0528" w:rsidRPr="00B9584D" w14:paraId="09746CF8" w14:textId="77777777" w:rsidTr="000F637C">
                        <w:trPr>
                          <w:trHeight w:val="320"/>
                        </w:trPr>
                        <w:tc>
                          <w:tcPr>
                            <w:tcW w:w="3180" w:type="dxa"/>
                            <w:tcBorders>
                              <w:top w:val="single" w:sz="4" w:space="0" w:color="ADD6EA"/>
                              <w:left w:val="nil"/>
                              <w:bottom w:val="nil"/>
                              <w:right w:val="nil"/>
                            </w:tcBorders>
                            <w:shd w:val="clear" w:color="000000" w:fill="FFFFFF"/>
                            <w:vAlign w:val="bottom"/>
                            <w:hideMark/>
                          </w:tcPr>
                          <w:p w14:paraId="6783B268" w14:textId="77777777" w:rsidR="00DD0528" w:rsidRPr="001E3A42" w:rsidRDefault="00DD0528">
                            <w:pPr>
                              <w:tabs>
                                <w:tab w:val="clear" w:pos="567"/>
                              </w:tabs>
                              <w:spacing w:before="0" w:line="240" w:lineRule="auto"/>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Major cities of Australia</w:t>
                            </w:r>
                          </w:p>
                        </w:tc>
                        <w:tc>
                          <w:tcPr>
                            <w:tcW w:w="640" w:type="dxa"/>
                            <w:tcBorders>
                              <w:top w:val="single" w:sz="4" w:space="0" w:color="ADD6EA"/>
                              <w:left w:val="nil"/>
                              <w:bottom w:val="nil"/>
                              <w:right w:val="nil"/>
                            </w:tcBorders>
                            <w:shd w:val="clear" w:color="000000" w:fill="FFFFFF"/>
                            <w:vAlign w:val="bottom"/>
                            <w:hideMark/>
                          </w:tcPr>
                          <w:p w14:paraId="4260333F"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75.8</w:t>
                            </w:r>
                          </w:p>
                        </w:tc>
                        <w:tc>
                          <w:tcPr>
                            <w:tcW w:w="640" w:type="dxa"/>
                            <w:tcBorders>
                              <w:top w:val="single" w:sz="4" w:space="0" w:color="ADD6EA"/>
                              <w:left w:val="nil"/>
                              <w:bottom w:val="nil"/>
                              <w:right w:val="nil"/>
                            </w:tcBorders>
                            <w:shd w:val="clear" w:color="000000" w:fill="FFFFFF"/>
                            <w:vAlign w:val="bottom"/>
                            <w:hideMark/>
                          </w:tcPr>
                          <w:p w14:paraId="7F9ACE33"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77.9</w:t>
                            </w:r>
                          </w:p>
                        </w:tc>
                        <w:tc>
                          <w:tcPr>
                            <w:tcW w:w="640" w:type="dxa"/>
                            <w:tcBorders>
                              <w:top w:val="single" w:sz="4" w:space="0" w:color="ADD6EA"/>
                              <w:left w:val="nil"/>
                              <w:bottom w:val="nil"/>
                              <w:right w:val="nil"/>
                            </w:tcBorders>
                            <w:shd w:val="clear" w:color="000000" w:fill="FFFFFF"/>
                            <w:vAlign w:val="bottom"/>
                            <w:hideMark/>
                          </w:tcPr>
                          <w:p w14:paraId="70E5845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65.2</w:t>
                            </w:r>
                          </w:p>
                        </w:tc>
                        <w:tc>
                          <w:tcPr>
                            <w:tcW w:w="640" w:type="dxa"/>
                            <w:tcBorders>
                              <w:top w:val="single" w:sz="4" w:space="0" w:color="ADD6EA"/>
                              <w:left w:val="nil"/>
                              <w:bottom w:val="nil"/>
                              <w:right w:val="nil"/>
                            </w:tcBorders>
                            <w:shd w:val="clear" w:color="000000" w:fill="FFFFFF"/>
                            <w:vAlign w:val="bottom"/>
                            <w:hideMark/>
                          </w:tcPr>
                          <w:p w14:paraId="3012192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79.0</w:t>
                            </w:r>
                          </w:p>
                        </w:tc>
                        <w:tc>
                          <w:tcPr>
                            <w:tcW w:w="640" w:type="dxa"/>
                            <w:tcBorders>
                              <w:top w:val="single" w:sz="4" w:space="0" w:color="ADD6EA"/>
                              <w:left w:val="nil"/>
                              <w:bottom w:val="nil"/>
                              <w:right w:val="nil"/>
                            </w:tcBorders>
                            <w:shd w:val="clear" w:color="000000" w:fill="FFFFFF"/>
                            <w:vAlign w:val="bottom"/>
                            <w:hideMark/>
                          </w:tcPr>
                          <w:p w14:paraId="415ACAA6"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75.6</w:t>
                            </w:r>
                          </w:p>
                        </w:tc>
                        <w:tc>
                          <w:tcPr>
                            <w:tcW w:w="640" w:type="dxa"/>
                            <w:tcBorders>
                              <w:top w:val="single" w:sz="4" w:space="0" w:color="ADD6EA"/>
                              <w:left w:val="nil"/>
                              <w:bottom w:val="nil"/>
                              <w:right w:val="nil"/>
                            </w:tcBorders>
                            <w:shd w:val="clear" w:color="000000" w:fill="FFFFFF"/>
                            <w:vAlign w:val="bottom"/>
                            <w:hideMark/>
                          </w:tcPr>
                          <w:p w14:paraId="531D1CF8"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w:t>
                            </w:r>
                          </w:p>
                        </w:tc>
                        <w:tc>
                          <w:tcPr>
                            <w:tcW w:w="640" w:type="dxa"/>
                            <w:tcBorders>
                              <w:top w:val="single" w:sz="4" w:space="0" w:color="ADD6EA"/>
                              <w:left w:val="nil"/>
                              <w:bottom w:val="nil"/>
                              <w:right w:val="nil"/>
                            </w:tcBorders>
                            <w:shd w:val="clear" w:color="000000" w:fill="FFFFFF"/>
                            <w:vAlign w:val="bottom"/>
                            <w:hideMark/>
                          </w:tcPr>
                          <w:p w14:paraId="1EED27B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99.9</w:t>
                            </w:r>
                          </w:p>
                        </w:tc>
                        <w:tc>
                          <w:tcPr>
                            <w:tcW w:w="640" w:type="dxa"/>
                            <w:tcBorders>
                              <w:top w:val="single" w:sz="4" w:space="0" w:color="ADD6EA"/>
                              <w:left w:val="nil"/>
                              <w:bottom w:val="nil"/>
                              <w:right w:val="nil"/>
                            </w:tcBorders>
                            <w:shd w:val="clear" w:color="000000" w:fill="FFFFFF"/>
                            <w:vAlign w:val="bottom"/>
                            <w:hideMark/>
                          </w:tcPr>
                          <w:p w14:paraId="0B1883BA"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w:t>
                            </w:r>
                          </w:p>
                        </w:tc>
                        <w:tc>
                          <w:tcPr>
                            <w:tcW w:w="640" w:type="dxa"/>
                            <w:tcBorders>
                              <w:top w:val="single" w:sz="4" w:space="0" w:color="ADD6EA"/>
                              <w:left w:val="nil"/>
                              <w:bottom w:val="nil"/>
                              <w:right w:val="nil"/>
                            </w:tcBorders>
                            <w:shd w:val="clear" w:color="000000" w:fill="FFFFFF"/>
                            <w:vAlign w:val="bottom"/>
                            <w:hideMark/>
                          </w:tcPr>
                          <w:p w14:paraId="4682228E"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72.6</w:t>
                            </w:r>
                          </w:p>
                        </w:tc>
                      </w:tr>
                      <w:tr w:rsidR="00DD0528" w:rsidRPr="00B9584D" w14:paraId="7ACEB312" w14:textId="77777777" w:rsidTr="000F637C">
                        <w:trPr>
                          <w:trHeight w:val="320"/>
                        </w:trPr>
                        <w:tc>
                          <w:tcPr>
                            <w:tcW w:w="3180" w:type="dxa"/>
                            <w:tcBorders>
                              <w:top w:val="single" w:sz="4" w:space="0" w:color="ADD6EA"/>
                              <w:left w:val="nil"/>
                              <w:bottom w:val="nil"/>
                              <w:right w:val="nil"/>
                            </w:tcBorders>
                            <w:shd w:val="clear" w:color="000000" w:fill="FFFFFF"/>
                            <w:vAlign w:val="bottom"/>
                            <w:hideMark/>
                          </w:tcPr>
                          <w:p w14:paraId="52850F3B" w14:textId="77777777" w:rsidR="00DD0528" w:rsidRPr="001E3A42" w:rsidRDefault="00DD0528">
                            <w:pPr>
                              <w:tabs>
                                <w:tab w:val="clear" w:pos="567"/>
                              </w:tabs>
                              <w:spacing w:before="0" w:line="240" w:lineRule="auto"/>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Inner regional Australia</w:t>
                            </w:r>
                          </w:p>
                        </w:tc>
                        <w:tc>
                          <w:tcPr>
                            <w:tcW w:w="640" w:type="dxa"/>
                            <w:tcBorders>
                              <w:top w:val="single" w:sz="4" w:space="0" w:color="ADD6EA"/>
                              <w:left w:val="nil"/>
                              <w:bottom w:val="nil"/>
                              <w:right w:val="nil"/>
                            </w:tcBorders>
                            <w:shd w:val="clear" w:color="000000" w:fill="FFFFFF"/>
                            <w:vAlign w:val="bottom"/>
                            <w:hideMark/>
                          </w:tcPr>
                          <w:p w14:paraId="55A6198F"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19.2</w:t>
                            </w:r>
                          </w:p>
                        </w:tc>
                        <w:tc>
                          <w:tcPr>
                            <w:tcW w:w="640" w:type="dxa"/>
                            <w:tcBorders>
                              <w:top w:val="single" w:sz="4" w:space="0" w:color="ADD6EA"/>
                              <w:left w:val="nil"/>
                              <w:bottom w:val="nil"/>
                              <w:right w:val="nil"/>
                            </w:tcBorders>
                            <w:shd w:val="clear" w:color="000000" w:fill="FFFFFF"/>
                            <w:vAlign w:val="bottom"/>
                            <w:hideMark/>
                          </w:tcPr>
                          <w:p w14:paraId="602F5598"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18.2</w:t>
                            </w:r>
                          </w:p>
                        </w:tc>
                        <w:tc>
                          <w:tcPr>
                            <w:tcW w:w="640" w:type="dxa"/>
                            <w:tcBorders>
                              <w:top w:val="single" w:sz="4" w:space="0" w:color="ADD6EA"/>
                              <w:left w:val="nil"/>
                              <w:bottom w:val="nil"/>
                              <w:right w:val="nil"/>
                            </w:tcBorders>
                            <w:shd w:val="clear" w:color="000000" w:fill="FFFFFF"/>
                            <w:vAlign w:val="bottom"/>
                            <w:hideMark/>
                          </w:tcPr>
                          <w:p w14:paraId="12F38F79"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19.2</w:t>
                            </w:r>
                          </w:p>
                        </w:tc>
                        <w:tc>
                          <w:tcPr>
                            <w:tcW w:w="640" w:type="dxa"/>
                            <w:tcBorders>
                              <w:top w:val="single" w:sz="4" w:space="0" w:color="ADD6EA"/>
                              <w:left w:val="nil"/>
                              <w:bottom w:val="nil"/>
                              <w:right w:val="nil"/>
                            </w:tcBorders>
                            <w:shd w:val="clear" w:color="000000" w:fill="FFFFFF"/>
                            <w:vAlign w:val="bottom"/>
                            <w:hideMark/>
                          </w:tcPr>
                          <w:p w14:paraId="24D3D3F9"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8.6</w:t>
                            </w:r>
                          </w:p>
                        </w:tc>
                        <w:tc>
                          <w:tcPr>
                            <w:tcW w:w="640" w:type="dxa"/>
                            <w:tcBorders>
                              <w:top w:val="single" w:sz="4" w:space="0" w:color="ADD6EA"/>
                              <w:left w:val="nil"/>
                              <w:bottom w:val="nil"/>
                              <w:right w:val="nil"/>
                            </w:tcBorders>
                            <w:shd w:val="clear" w:color="000000" w:fill="FFFFFF"/>
                            <w:vAlign w:val="bottom"/>
                            <w:hideMark/>
                          </w:tcPr>
                          <w:p w14:paraId="6D77C814"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9.9</w:t>
                            </w:r>
                          </w:p>
                        </w:tc>
                        <w:tc>
                          <w:tcPr>
                            <w:tcW w:w="640" w:type="dxa"/>
                            <w:tcBorders>
                              <w:top w:val="single" w:sz="4" w:space="0" w:color="ADD6EA"/>
                              <w:left w:val="nil"/>
                              <w:bottom w:val="nil"/>
                              <w:right w:val="nil"/>
                            </w:tcBorders>
                            <w:shd w:val="clear" w:color="000000" w:fill="FFFFFF"/>
                            <w:vAlign w:val="bottom"/>
                            <w:hideMark/>
                          </w:tcPr>
                          <w:p w14:paraId="2743923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61.9</w:t>
                            </w:r>
                          </w:p>
                        </w:tc>
                        <w:tc>
                          <w:tcPr>
                            <w:tcW w:w="640" w:type="dxa"/>
                            <w:tcBorders>
                              <w:top w:val="single" w:sz="4" w:space="0" w:color="ADD6EA"/>
                              <w:left w:val="nil"/>
                              <w:bottom w:val="nil"/>
                              <w:right w:val="nil"/>
                            </w:tcBorders>
                            <w:shd w:val="clear" w:color="000000" w:fill="FFFFFF"/>
                            <w:vAlign w:val="bottom"/>
                            <w:hideMark/>
                          </w:tcPr>
                          <w:p w14:paraId="664C1D1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0.1</w:t>
                            </w:r>
                          </w:p>
                        </w:tc>
                        <w:tc>
                          <w:tcPr>
                            <w:tcW w:w="640" w:type="dxa"/>
                            <w:tcBorders>
                              <w:top w:val="single" w:sz="4" w:space="0" w:color="ADD6EA"/>
                              <w:left w:val="nil"/>
                              <w:bottom w:val="nil"/>
                              <w:right w:val="nil"/>
                            </w:tcBorders>
                            <w:shd w:val="clear" w:color="000000" w:fill="FFFFFF"/>
                            <w:vAlign w:val="bottom"/>
                            <w:hideMark/>
                          </w:tcPr>
                          <w:p w14:paraId="11040905"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w:t>
                            </w:r>
                          </w:p>
                        </w:tc>
                        <w:tc>
                          <w:tcPr>
                            <w:tcW w:w="640" w:type="dxa"/>
                            <w:tcBorders>
                              <w:top w:val="single" w:sz="4" w:space="0" w:color="ADD6EA"/>
                              <w:left w:val="nil"/>
                              <w:bottom w:val="nil"/>
                              <w:right w:val="nil"/>
                            </w:tcBorders>
                            <w:shd w:val="clear" w:color="000000" w:fill="FFFFFF"/>
                            <w:vAlign w:val="bottom"/>
                            <w:hideMark/>
                          </w:tcPr>
                          <w:p w14:paraId="62DAB13F"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17.6</w:t>
                            </w:r>
                          </w:p>
                        </w:tc>
                      </w:tr>
                      <w:tr w:rsidR="00DD0528" w:rsidRPr="00B9584D" w14:paraId="5235EC96" w14:textId="77777777" w:rsidTr="000F637C">
                        <w:trPr>
                          <w:trHeight w:val="320"/>
                        </w:trPr>
                        <w:tc>
                          <w:tcPr>
                            <w:tcW w:w="3180" w:type="dxa"/>
                            <w:tcBorders>
                              <w:top w:val="single" w:sz="4" w:space="0" w:color="ADD6EA"/>
                              <w:left w:val="nil"/>
                              <w:bottom w:val="nil"/>
                              <w:right w:val="nil"/>
                            </w:tcBorders>
                            <w:shd w:val="clear" w:color="000000" w:fill="FFFFFF"/>
                            <w:vAlign w:val="bottom"/>
                            <w:hideMark/>
                          </w:tcPr>
                          <w:p w14:paraId="66B8BD09" w14:textId="77777777" w:rsidR="00DD0528" w:rsidRPr="001E3A42" w:rsidRDefault="00DD0528">
                            <w:pPr>
                              <w:tabs>
                                <w:tab w:val="clear" w:pos="567"/>
                              </w:tabs>
                              <w:spacing w:before="0" w:line="240" w:lineRule="auto"/>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Outer regional Australia</w:t>
                            </w:r>
                          </w:p>
                        </w:tc>
                        <w:tc>
                          <w:tcPr>
                            <w:tcW w:w="640" w:type="dxa"/>
                            <w:tcBorders>
                              <w:top w:val="single" w:sz="4" w:space="0" w:color="ADD6EA"/>
                              <w:left w:val="nil"/>
                              <w:bottom w:val="nil"/>
                              <w:right w:val="nil"/>
                            </w:tcBorders>
                            <w:shd w:val="clear" w:color="000000" w:fill="FFFFFF"/>
                            <w:vAlign w:val="bottom"/>
                            <w:hideMark/>
                          </w:tcPr>
                          <w:p w14:paraId="5838FA14"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4.6</w:t>
                            </w:r>
                          </w:p>
                        </w:tc>
                        <w:tc>
                          <w:tcPr>
                            <w:tcW w:w="640" w:type="dxa"/>
                            <w:tcBorders>
                              <w:top w:val="single" w:sz="4" w:space="0" w:color="ADD6EA"/>
                              <w:left w:val="nil"/>
                              <w:bottom w:val="nil"/>
                              <w:right w:val="nil"/>
                            </w:tcBorders>
                            <w:shd w:val="clear" w:color="000000" w:fill="FFFFFF"/>
                            <w:vAlign w:val="bottom"/>
                            <w:hideMark/>
                          </w:tcPr>
                          <w:p w14:paraId="1CDEBC1E"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3.8</w:t>
                            </w:r>
                          </w:p>
                        </w:tc>
                        <w:tc>
                          <w:tcPr>
                            <w:tcW w:w="640" w:type="dxa"/>
                            <w:tcBorders>
                              <w:top w:val="single" w:sz="4" w:space="0" w:color="ADD6EA"/>
                              <w:left w:val="nil"/>
                              <w:bottom w:val="nil"/>
                              <w:right w:val="nil"/>
                            </w:tcBorders>
                            <w:shd w:val="clear" w:color="000000" w:fill="FFFFFF"/>
                            <w:vAlign w:val="bottom"/>
                            <w:hideMark/>
                          </w:tcPr>
                          <w:p w14:paraId="27E37F20"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13.2</w:t>
                            </w:r>
                          </w:p>
                        </w:tc>
                        <w:tc>
                          <w:tcPr>
                            <w:tcW w:w="640" w:type="dxa"/>
                            <w:tcBorders>
                              <w:top w:val="single" w:sz="4" w:space="0" w:color="ADD6EA"/>
                              <w:left w:val="nil"/>
                              <w:bottom w:val="nil"/>
                              <w:right w:val="nil"/>
                            </w:tcBorders>
                            <w:shd w:val="clear" w:color="000000" w:fill="FFFFFF"/>
                            <w:vAlign w:val="bottom"/>
                            <w:hideMark/>
                          </w:tcPr>
                          <w:p w14:paraId="5D90B94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6.7</w:t>
                            </w:r>
                          </w:p>
                        </w:tc>
                        <w:tc>
                          <w:tcPr>
                            <w:tcW w:w="640" w:type="dxa"/>
                            <w:tcBorders>
                              <w:top w:val="single" w:sz="4" w:space="0" w:color="ADD6EA"/>
                              <w:left w:val="nil"/>
                              <w:bottom w:val="nil"/>
                              <w:right w:val="nil"/>
                            </w:tcBorders>
                            <w:shd w:val="clear" w:color="000000" w:fill="FFFFFF"/>
                            <w:vAlign w:val="bottom"/>
                            <w:hideMark/>
                          </w:tcPr>
                          <w:p w14:paraId="141FC929"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11.2</w:t>
                            </w:r>
                          </w:p>
                        </w:tc>
                        <w:tc>
                          <w:tcPr>
                            <w:tcW w:w="640" w:type="dxa"/>
                            <w:tcBorders>
                              <w:top w:val="single" w:sz="4" w:space="0" w:color="ADD6EA"/>
                              <w:left w:val="nil"/>
                              <w:bottom w:val="nil"/>
                              <w:right w:val="nil"/>
                            </w:tcBorders>
                            <w:shd w:val="clear" w:color="000000" w:fill="FFFFFF"/>
                            <w:vAlign w:val="bottom"/>
                            <w:hideMark/>
                          </w:tcPr>
                          <w:p w14:paraId="2274D58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36.1</w:t>
                            </w:r>
                          </w:p>
                        </w:tc>
                        <w:tc>
                          <w:tcPr>
                            <w:tcW w:w="640" w:type="dxa"/>
                            <w:tcBorders>
                              <w:top w:val="single" w:sz="4" w:space="0" w:color="ADD6EA"/>
                              <w:left w:val="nil"/>
                              <w:bottom w:val="nil"/>
                              <w:right w:val="nil"/>
                            </w:tcBorders>
                            <w:shd w:val="clear" w:color="000000" w:fill="FFFFFF"/>
                            <w:vAlign w:val="bottom"/>
                            <w:hideMark/>
                          </w:tcPr>
                          <w:p w14:paraId="772F84C2"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w:t>
                            </w:r>
                          </w:p>
                        </w:tc>
                        <w:tc>
                          <w:tcPr>
                            <w:tcW w:w="640" w:type="dxa"/>
                            <w:tcBorders>
                              <w:top w:val="single" w:sz="4" w:space="0" w:color="ADD6EA"/>
                              <w:left w:val="nil"/>
                              <w:bottom w:val="nil"/>
                              <w:right w:val="nil"/>
                            </w:tcBorders>
                            <w:shd w:val="clear" w:color="000000" w:fill="FFFFFF"/>
                            <w:vAlign w:val="bottom"/>
                            <w:hideMark/>
                          </w:tcPr>
                          <w:p w14:paraId="750510F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59.7</w:t>
                            </w:r>
                          </w:p>
                        </w:tc>
                        <w:tc>
                          <w:tcPr>
                            <w:tcW w:w="640" w:type="dxa"/>
                            <w:tcBorders>
                              <w:top w:val="single" w:sz="4" w:space="0" w:color="ADD6EA"/>
                              <w:left w:val="nil"/>
                              <w:bottom w:val="nil"/>
                              <w:right w:val="nil"/>
                            </w:tcBorders>
                            <w:shd w:val="clear" w:color="000000" w:fill="FFFFFF"/>
                            <w:vAlign w:val="bottom"/>
                            <w:hideMark/>
                          </w:tcPr>
                          <w:p w14:paraId="5E67E12A"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7.9</w:t>
                            </w:r>
                          </w:p>
                        </w:tc>
                      </w:tr>
                      <w:tr w:rsidR="00DD0528" w:rsidRPr="00B9584D" w14:paraId="0FD52A2F" w14:textId="77777777" w:rsidTr="000F637C">
                        <w:trPr>
                          <w:trHeight w:val="320"/>
                        </w:trPr>
                        <w:tc>
                          <w:tcPr>
                            <w:tcW w:w="3180" w:type="dxa"/>
                            <w:tcBorders>
                              <w:top w:val="single" w:sz="4" w:space="0" w:color="ADD6EA"/>
                              <w:left w:val="nil"/>
                              <w:bottom w:val="nil"/>
                              <w:right w:val="nil"/>
                            </w:tcBorders>
                            <w:shd w:val="clear" w:color="000000" w:fill="FFFFFF"/>
                            <w:vAlign w:val="bottom"/>
                            <w:hideMark/>
                          </w:tcPr>
                          <w:p w14:paraId="79C218A5" w14:textId="77777777" w:rsidR="00DD0528" w:rsidRPr="001E3A42" w:rsidRDefault="00DD0528">
                            <w:pPr>
                              <w:tabs>
                                <w:tab w:val="clear" w:pos="567"/>
                              </w:tabs>
                              <w:spacing w:before="0" w:line="240" w:lineRule="auto"/>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Remote Australia</w:t>
                            </w:r>
                          </w:p>
                        </w:tc>
                        <w:tc>
                          <w:tcPr>
                            <w:tcW w:w="640" w:type="dxa"/>
                            <w:tcBorders>
                              <w:top w:val="single" w:sz="4" w:space="0" w:color="ADD6EA"/>
                              <w:left w:val="nil"/>
                              <w:bottom w:val="nil"/>
                              <w:right w:val="nil"/>
                            </w:tcBorders>
                            <w:shd w:val="clear" w:color="000000" w:fill="FFFFFF"/>
                            <w:vAlign w:val="bottom"/>
                            <w:hideMark/>
                          </w:tcPr>
                          <w:p w14:paraId="26387033"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0.3</w:t>
                            </w:r>
                          </w:p>
                        </w:tc>
                        <w:tc>
                          <w:tcPr>
                            <w:tcW w:w="640" w:type="dxa"/>
                            <w:tcBorders>
                              <w:top w:val="single" w:sz="4" w:space="0" w:color="ADD6EA"/>
                              <w:left w:val="nil"/>
                              <w:bottom w:val="nil"/>
                              <w:right w:val="nil"/>
                            </w:tcBorders>
                            <w:shd w:val="clear" w:color="000000" w:fill="FFFFFF"/>
                            <w:vAlign w:val="bottom"/>
                            <w:hideMark/>
                          </w:tcPr>
                          <w:p w14:paraId="5E350A8D"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0.0</w:t>
                            </w:r>
                          </w:p>
                        </w:tc>
                        <w:tc>
                          <w:tcPr>
                            <w:tcW w:w="640" w:type="dxa"/>
                            <w:tcBorders>
                              <w:top w:val="single" w:sz="4" w:space="0" w:color="ADD6EA"/>
                              <w:left w:val="nil"/>
                              <w:bottom w:val="nil"/>
                              <w:right w:val="nil"/>
                            </w:tcBorders>
                            <w:shd w:val="clear" w:color="000000" w:fill="FFFFFF"/>
                            <w:vAlign w:val="bottom"/>
                            <w:hideMark/>
                          </w:tcPr>
                          <w:p w14:paraId="33E29BA4"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1.3</w:t>
                            </w:r>
                          </w:p>
                        </w:tc>
                        <w:tc>
                          <w:tcPr>
                            <w:tcW w:w="640" w:type="dxa"/>
                            <w:tcBorders>
                              <w:top w:val="single" w:sz="4" w:space="0" w:color="ADD6EA"/>
                              <w:left w:val="nil"/>
                              <w:bottom w:val="nil"/>
                              <w:right w:val="nil"/>
                            </w:tcBorders>
                            <w:shd w:val="clear" w:color="000000" w:fill="FFFFFF"/>
                            <w:vAlign w:val="bottom"/>
                            <w:hideMark/>
                          </w:tcPr>
                          <w:p w14:paraId="1779A2F2"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3.3</w:t>
                            </w:r>
                          </w:p>
                        </w:tc>
                        <w:tc>
                          <w:tcPr>
                            <w:tcW w:w="640" w:type="dxa"/>
                            <w:tcBorders>
                              <w:top w:val="single" w:sz="4" w:space="0" w:color="ADD6EA"/>
                              <w:left w:val="nil"/>
                              <w:bottom w:val="nil"/>
                              <w:right w:val="nil"/>
                            </w:tcBorders>
                            <w:shd w:val="clear" w:color="000000" w:fill="FFFFFF"/>
                            <w:vAlign w:val="bottom"/>
                            <w:hideMark/>
                          </w:tcPr>
                          <w:p w14:paraId="306CD284"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2.4</w:t>
                            </w:r>
                          </w:p>
                        </w:tc>
                        <w:tc>
                          <w:tcPr>
                            <w:tcW w:w="640" w:type="dxa"/>
                            <w:tcBorders>
                              <w:top w:val="single" w:sz="4" w:space="0" w:color="ADD6EA"/>
                              <w:left w:val="nil"/>
                              <w:bottom w:val="nil"/>
                              <w:right w:val="nil"/>
                            </w:tcBorders>
                            <w:shd w:val="clear" w:color="000000" w:fill="FFFFFF"/>
                            <w:vAlign w:val="bottom"/>
                            <w:hideMark/>
                          </w:tcPr>
                          <w:p w14:paraId="59D4D90F"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1.5</w:t>
                            </w:r>
                          </w:p>
                        </w:tc>
                        <w:tc>
                          <w:tcPr>
                            <w:tcW w:w="640" w:type="dxa"/>
                            <w:tcBorders>
                              <w:top w:val="single" w:sz="4" w:space="0" w:color="ADD6EA"/>
                              <w:left w:val="nil"/>
                              <w:bottom w:val="nil"/>
                              <w:right w:val="nil"/>
                            </w:tcBorders>
                            <w:shd w:val="clear" w:color="000000" w:fill="FFFFFF"/>
                            <w:vAlign w:val="bottom"/>
                            <w:hideMark/>
                          </w:tcPr>
                          <w:p w14:paraId="5597FCC0"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w:t>
                            </w:r>
                          </w:p>
                        </w:tc>
                        <w:tc>
                          <w:tcPr>
                            <w:tcW w:w="640" w:type="dxa"/>
                            <w:tcBorders>
                              <w:top w:val="single" w:sz="4" w:space="0" w:color="ADD6EA"/>
                              <w:left w:val="nil"/>
                              <w:bottom w:val="nil"/>
                              <w:right w:val="nil"/>
                            </w:tcBorders>
                            <w:shd w:val="clear" w:color="000000" w:fill="FFFFFF"/>
                            <w:vAlign w:val="bottom"/>
                            <w:hideMark/>
                          </w:tcPr>
                          <w:p w14:paraId="42C82598"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21.1</w:t>
                            </w:r>
                          </w:p>
                        </w:tc>
                        <w:tc>
                          <w:tcPr>
                            <w:tcW w:w="640" w:type="dxa"/>
                            <w:tcBorders>
                              <w:top w:val="single" w:sz="4" w:space="0" w:color="ADD6EA"/>
                              <w:left w:val="nil"/>
                              <w:bottom w:val="nil"/>
                              <w:right w:val="nil"/>
                            </w:tcBorders>
                            <w:shd w:val="clear" w:color="000000" w:fill="FFFFFF"/>
                            <w:vAlign w:val="bottom"/>
                            <w:hideMark/>
                          </w:tcPr>
                          <w:p w14:paraId="13571BE0"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1.1</w:t>
                            </w:r>
                          </w:p>
                        </w:tc>
                      </w:tr>
                      <w:tr w:rsidR="00DD0528" w:rsidRPr="00B9584D" w14:paraId="245E4E34" w14:textId="77777777" w:rsidTr="000F637C">
                        <w:trPr>
                          <w:trHeight w:val="320"/>
                        </w:trPr>
                        <w:tc>
                          <w:tcPr>
                            <w:tcW w:w="3180" w:type="dxa"/>
                            <w:tcBorders>
                              <w:top w:val="single" w:sz="4" w:space="0" w:color="ADD6EA"/>
                              <w:left w:val="nil"/>
                              <w:bottom w:val="nil"/>
                              <w:right w:val="nil"/>
                            </w:tcBorders>
                            <w:shd w:val="clear" w:color="000000" w:fill="FFFFFF"/>
                            <w:vAlign w:val="bottom"/>
                            <w:hideMark/>
                          </w:tcPr>
                          <w:p w14:paraId="7FBFFD53" w14:textId="77777777" w:rsidR="00DD0528" w:rsidRPr="001E3A42" w:rsidRDefault="00DD0528">
                            <w:pPr>
                              <w:tabs>
                                <w:tab w:val="clear" w:pos="567"/>
                              </w:tabs>
                              <w:spacing w:before="0" w:line="240" w:lineRule="auto"/>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Very remote Australia</w:t>
                            </w:r>
                          </w:p>
                        </w:tc>
                        <w:tc>
                          <w:tcPr>
                            <w:tcW w:w="640" w:type="dxa"/>
                            <w:tcBorders>
                              <w:top w:val="single" w:sz="4" w:space="0" w:color="ADD6EA"/>
                              <w:left w:val="nil"/>
                              <w:bottom w:val="nil"/>
                              <w:right w:val="nil"/>
                            </w:tcBorders>
                            <w:shd w:val="clear" w:color="000000" w:fill="FFFFFF"/>
                            <w:vAlign w:val="bottom"/>
                            <w:hideMark/>
                          </w:tcPr>
                          <w:p w14:paraId="03665876"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0.1</w:t>
                            </w:r>
                          </w:p>
                        </w:tc>
                        <w:tc>
                          <w:tcPr>
                            <w:tcW w:w="640" w:type="dxa"/>
                            <w:tcBorders>
                              <w:top w:val="single" w:sz="4" w:space="0" w:color="ADD6EA"/>
                              <w:left w:val="nil"/>
                              <w:bottom w:val="nil"/>
                              <w:right w:val="nil"/>
                            </w:tcBorders>
                            <w:shd w:val="clear" w:color="000000" w:fill="FFFFFF"/>
                            <w:vAlign w:val="bottom"/>
                            <w:hideMark/>
                          </w:tcPr>
                          <w:p w14:paraId="085C4B5C"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w:t>
                            </w:r>
                          </w:p>
                        </w:tc>
                        <w:tc>
                          <w:tcPr>
                            <w:tcW w:w="640" w:type="dxa"/>
                            <w:tcBorders>
                              <w:top w:val="single" w:sz="4" w:space="0" w:color="ADD6EA"/>
                              <w:left w:val="nil"/>
                              <w:bottom w:val="nil"/>
                              <w:right w:val="nil"/>
                            </w:tcBorders>
                            <w:shd w:val="clear" w:color="000000" w:fill="FFFFFF"/>
                            <w:vAlign w:val="bottom"/>
                            <w:hideMark/>
                          </w:tcPr>
                          <w:p w14:paraId="57C3CD8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1.0</w:t>
                            </w:r>
                          </w:p>
                        </w:tc>
                        <w:tc>
                          <w:tcPr>
                            <w:tcW w:w="640" w:type="dxa"/>
                            <w:tcBorders>
                              <w:top w:val="single" w:sz="4" w:space="0" w:color="ADD6EA"/>
                              <w:left w:val="nil"/>
                              <w:bottom w:val="nil"/>
                              <w:right w:val="nil"/>
                            </w:tcBorders>
                            <w:shd w:val="clear" w:color="000000" w:fill="FFFFFF"/>
                            <w:vAlign w:val="bottom"/>
                            <w:hideMark/>
                          </w:tcPr>
                          <w:p w14:paraId="0DAFB9D7"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2.3</w:t>
                            </w:r>
                          </w:p>
                        </w:tc>
                        <w:tc>
                          <w:tcPr>
                            <w:tcW w:w="640" w:type="dxa"/>
                            <w:tcBorders>
                              <w:top w:val="single" w:sz="4" w:space="0" w:color="ADD6EA"/>
                              <w:left w:val="nil"/>
                              <w:bottom w:val="nil"/>
                              <w:right w:val="nil"/>
                            </w:tcBorders>
                            <w:shd w:val="clear" w:color="000000" w:fill="FFFFFF"/>
                            <w:vAlign w:val="bottom"/>
                            <w:hideMark/>
                          </w:tcPr>
                          <w:p w14:paraId="297916C4"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0.8</w:t>
                            </w:r>
                          </w:p>
                        </w:tc>
                        <w:tc>
                          <w:tcPr>
                            <w:tcW w:w="640" w:type="dxa"/>
                            <w:tcBorders>
                              <w:top w:val="single" w:sz="4" w:space="0" w:color="ADD6EA"/>
                              <w:left w:val="nil"/>
                              <w:bottom w:val="nil"/>
                              <w:right w:val="nil"/>
                            </w:tcBorders>
                            <w:shd w:val="clear" w:color="000000" w:fill="FFFFFF"/>
                            <w:vAlign w:val="bottom"/>
                            <w:hideMark/>
                          </w:tcPr>
                          <w:p w14:paraId="256B36BF"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0.5</w:t>
                            </w:r>
                          </w:p>
                        </w:tc>
                        <w:tc>
                          <w:tcPr>
                            <w:tcW w:w="640" w:type="dxa"/>
                            <w:tcBorders>
                              <w:top w:val="single" w:sz="4" w:space="0" w:color="ADD6EA"/>
                              <w:left w:val="nil"/>
                              <w:bottom w:val="nil"/>
                              <w:right w:val="nil"/>
                            </w:tcBorders>
                            <w:shd w:val="clear" w:color="000000" w:fill="FFFFFF"/>
                            <w:vAlign w:val="bottom"/>
                            <w:hideMark/>
                          </w:tcPr>
                          <w:p w14:paraId="1D1FF330"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w:t>
                            </w:r>
                          </w:p>
                        </w:tc>
                        <w:tc>
                          <w:tcPr>
                            <w:tcW w:w="640" w:type="dxa"/>
                            <w:tcBorders>
                              <w:top w:val="single" w:sz="4" w:space="0" w:color="ADD6EA"/>
                              <w:left w:val="nil"/>
                              <w:bottom w:val="nil"/>
                              <w:right w:val="nil"/>
                            </w:tcBorders>
                            <w:shd w:val="clear" w:color="000000" w:fill="FFFFFF"/>
                            <w:vAlign w:val="bottom"/>
                            <w:hideMark/>
                          </w:tcPr>
                          <w:p w14:paraId="6DC13BF2"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19.3</w:t>
                            </w:r>
                          </w:p>
                        </w:tc>
                        <w:tc>
                          <w:tcPr>
                            <w:tcW w:w="640" w:type="dxa"/>
                            <w:tcBorders>
                              <w:top w:val="single" w:sz="4" w:space="0" w:color="ADD6EA"/>
                              <w:left w:val="nil"/>
                              <w:bottom w:val="nil"/>
                              <w:right w:val="nil"/>
                            </w:tcBorders>
                            <w:shd w:val="clear" w:color="000000" w:fill="FFFFFF"/>
                            <w:vAlign w:val="bottom"/>
                            <w:hideMark/>
                          </w:tcPr>
                          <w:p w14:paraId="2925A601" w14:textId="77777777" w:rsidR="00DD0528" w:rsidRPr="001E3A42" w:rsidRDefault="00DD05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E3A42">
                              <w:rPr>
                                <w:rFonts w:ascii="Open Sans Light" w:eastAsia="Times New Roman" w:hAnsi="Open Sans Light" w:cs="Open Sans Light"/>
                                <w:color w:val="000000"/>
                                <w:sz w:val="16"/>
                                <w:szCs w:val="16"/>
                                <w:lang w:eastAsia="en-AU"/>
                              </w:rPr>
                              <w:t>0.7</w:t>
                            </w:r>
                          </w:p>
                        </w:tc>
                      </w:tr>
                      <w:tr w:rsidR="00DD0528" w:rsidRPr="00B9584D" w14:paraId="67110325" w14:textId="77777777" w:rsidTr="000F637C">
                        <w:trPr>
                          <w:trHeight w:val="320"/>
                        </w:trPr>
                        <w:tc>
                          <w:tcPr>
                            <w:tcW w:w="3180" w:type="dxa"/>
                            <w:tcBorders>
                              <w:top w:val="single" w:sz="4" w:space="0" w:color="ADD6EA"/>
                              <w:left w:val="nil"/>
                              <w:bottom w:val="single" w:sz="4" w:space="0" w:color="ADD6EA"/>
                              <w:right w:val="nil"/>
                            </w:tcBorders>
                            <w:shd w:val="clear" w:color="000000" w:fill="D6E7F0"/>
                            <w:vAlign w:val="bottom"/>
                            <w:hideMark/>
                          </w:tcPr>
                          <w:p w14:paraId="50EAF290" w14:textId="77777777" w:rsidR="00DD0528" w:rsidRPr="001E3A42" w:rsidRDefault="00DD0528">
                            <w:pPr>
                              <w:tabs>
                                <w:tab w:val="clear" w:pos="567"/>
                              </w:tabs>
                              <w:spacing w:before="0" w:line="240" w:lineRule="auto"/>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Total</w:t>
                            </w:r>
                          </w:p>
                        </w:tc>
                        <w:tc>
                          <w:tcPr>
                            <w:tcW w:w="640" w:type="dxa"/>
                            <w:tcBorders>
                              <w:top w:val="single" w:sz="4" w:space="0" w:color="ADD6EA"/>
                              <w:left w:val="nil"/>
                              <w:bottom w:val="single" w:sz="4" w:space="0" w:color="ADD6EA"/>
                              <w:right w:val="nil"/>
                            </w:tcBorders>
                            <w:shd w:val="clear" w:color="000000" w:fill="D6E7F0"/>
                            <w:vAlign w:val="bottom"/>
                            <w:hideMark/>
                          </w:tcPr>
                          <w:p w14:paraId="606857B3"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c>
                          <w:tcPr>
                            <w:tcW w:w="640" w:type="dxa"/>
                            <w:tcBorders>
                              <w:top w:val="single" w:sz="4" w:space="0" w:color="ADD6EA"/>
                              <w:left w:val="nil"/>
                              <w:bottom w:val="single" w:sz="4" w:space="0" w:color="ADD6EA"/>
                              <w:right w:val="nil"/>
                            </w:tcBorders>
                            <w:shd w:val="clear" w:color="000000" w:fill="D6E7F0"/>
                            <w:vAlign w:val="bottom"/>
                            <w:hideMark/>
                          </w:tcPr>
                          <w:p w14:paraId="1DF9629E"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c>
                          <w:tcPr>
                            <w:tcW w:w="640" w:type="dxa"/>
                            <w:tcBorders>
                              <w:top w:val="single" w:sz="4" w:space="0" w:color="ADD6EA"/>
                              <w:left w:val="nil"/>
                              <w:bottom w:val="single" w:sz="4" w:space="0" w:color="ADD6EA"/>
                              <w:right w:val="nil"/>
                            </w:tcBorders>
                            <w:shd w:val="clear" w:color="000000" w:fill="D6E7F0"/>
                            <w:vAlign w:val="bottom"/>
                            <w:hideMark/>
                          </w:tcPr>
                          <w:p w14:paraId="03491328"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c>
                          <w:tcPr>
                            <w:tcW w:w="640" w:type="dxa"/>
                            <w:tcBorders>
                              <w:top w:val="single" w:sz="4" w:space="0" w:color="ADD6EA"/>
                              <w:left w:val="nil"/>
                              <w:bottom w:val="single" w:sz="4" w:space="0" w:color="ADD6EA"/>
                              <w:right w:val="nil"/>
                            </w:tcBorders>
                            <w:shd w:val="clear" w:color="000000" w:fill="D6E7F0"/>
                            <w:vAlign w:val="bottom"/>
                            <w:hideMark/>
                          </w:tcPr>
                          <w:p w14:paraId="25708B26"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c>
                          <w:tcPr>
                            <w:tcW w:w="640" w:type="dxa"/>
                            <w:tcBorders>
                              <w:top w:val="single" w:sz="4" w:space="0" w:color="ADD6EA"/>
                              <w:left w:val="nil"/>
                              <w:bottom w:val="single" w:sz="4" w:space="0" w:color="ADD6EA"/>
                              <w:right w:val="nil"/>
                            </w:tcBorders>
                            <w:shd w:val="clear" w:color="000000" w:fill="D6E7F0"/>
                            <w:vAlign w:val="bottom"/>
                            <w:hideMark/>
                          </w:tcPr>
                          <w:p w14:paraId="6996EB53"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c>
                          <w:tcPr>
                            <w:tcW w:w="640" w:type="dxa"/>
                            <w:tcBorders>
                              <w:top w:val="single" w:sz="4" w:space="0" w:color="ADD6EA"/>
                              <w:left w:val="nil"/>
                              <w:bottom w:val="single" w:sz="4" w:space="0" w:color="ADD6EA"/>
                              <w:right w:val="nil"/>
                            </w:tcBorders>
                            <w:shd w:val="clear" w:color="000000" w:fill="D6E7F0"/>
                            <w:vAlign w:val="bottom"/>
                            <w:hideMark/>
                          </w:tcPr>
                          <w:p w14:paraId="5DCEBAAC"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c>
                          <w:tcPr>
                            <w:tcW w:w="640" w:type="dxa"/>
                            <w:tcBorders>
                              <w:top w:val="single" w:sz="4" w:space="0" w:color="ADD6EA"/>
                              <w:left w:val="nil"/>
                              <w:bottom w:val="single" w:sz="4" w:space="0" w:color="ADD6EA"/>
                              <w:right w:val="nil"/>
                            </w:tcBorders>
                            <w:shd w:val="clear" w:color="000000" w:fill="D6E7F0"/>
                            <w:vAlign w:val="bottom"/>
                            <w:hideMark/>
                          </w:tcPr>
                          <w:p w14:paraId="5EDC4B6C"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c>
                          <w:tcPr>
                            <w:tcW w:w="640" w:type="dxa"/>
                            <w:tcBorders>
                              <w:top w:val="single" w:sz="4" w:space="0" w:color="ADD6EA"/>
                              <w:left w:val="nil"/>
                              <w:bottom w:val="single" w:sz="4" w:space="0" w:color="ADD6EA"/>
                              <w:right w:val="nil"/>
                            </w:tcBorders>
                            <w:shd w:val="clear" w:color="000000" w:fill="D6E7F0"/>
                            <w:vAlign w:val="bottom"/>
                            <w:hideMark/>
                          </w:tcPr>
                          <w:p w14:paraId="44466080"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c>
                          <w:tcPr>
                            <w:tcW w:w="640" w:type="dxa"/>
                            <w:tcBorders>
                              <w:top w:val="single" w:sz="4" w:space="0" w:color="ADD6EA"/>
                              <w:left w:val="nil"/>
                              <w:bottom w:val="single" w:sz="4" w:space="0" w:color="ADD6EA"/>
                              <w:right w:val="nil"/>
                            </w:tcBorders>
                            <w:shd w:val="clear" w:color="000000" w:fill="D6E7F0"/>
                            <w:vAlign w:val="bottom"/>
                            <w:hideMark/>
                          </w:tcPr>
                          <w:p w14:paraId="5AF0E86A" w14:textId="77777777" w:rsidR="00DD0528" w:rsidRPr="001E3A42" w:rsidRDefault="00DD05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E3A42">
                              <w:rPr>
                                <w:rFonts w:ascii="Open Sans Semibold" w:eastAsia="Times New Roman" w:hAnsi="Open Sans Semibold" w:cs="Open Sans Semibold"/>
                                <w:color w:val="000000"/>
                                <w:sz w:val="16"/>
                                <w:szCs w:val="16"/>
                                <w:lang w:eastAsia="en-AU"/>
                              </w:rPr>
                              <w:t>100.0</w:t>
                            </w:r>
                          </w:p>
                        </w:tc>
                      </w:tr>
                    </w:tbl>
                    <w:p w14:paraId="12B29E14" w14:textId="0249F5D3" w:rsidR="00DD0528" w:rsidRPr="001E3A42" w:rsidRDefault="00DD0528" w:rsidP="00DD0528">
                      <w:pPr>
                        <w:pStyle w:val="CGC2025Caption"/>
                        <w:rPr>
                          <w:b w:val="0"/>
                        </w:rPr>
                      </w:pPr>
                    </w:p>
                  </w:txbxContent>
                </v:textbox>
                <w10:wrap type="square" anchorx="margin"/>
              </v:shape>
            </w:pict>
          </mc:Fallback>
        </mc:AlternateContent>
      </w:r>
      <w:r>
        <w:br w:type="page"/>
      </w:r>
    </w:p>
    <w:bookmarkStart w:id="141" w:name="_Toc190781292"/>
    <w:bookmarkStart w:id="142" w:name="_Toc190781848"/>
    <w:p w14:paraId="7E739ECF" w14:textId="714161C4" w:rsidR="00CB797E" w:rsidRPr="004D1A5B" w:rsidRDefault="00CB797E" w:rsidP="00CB797E">
      <w:pPr>
        <w:pStyle w:val="Heading1"/>
      </w:pPr>
      <w:r w:rsidRPr="004D1A5B">
        <w:rPr>
          <w:noProof/>
        </w:rPr>
        <w:lastRenderedPageBreak/>
        <mc:AlternateContent>
          <mc:Choice Requires="wps">
            <w:drawing>
              <wp:anchor distT="45720" distB="45720" distL="114300" distR="114300" simplePos="0" relativeHeight="251658253" behindDoc="0" locked="0" layoutInCell="1" allowOverlap="1" wp14:anchorId="34A061A9" wp14:editId="1155D71C">
                <wp:simplePos x="0" y="0"/>
                <wp:positionH relativeFrom="margin">
                  <wp:align>left</wp:align>
                </wp:positionH>
                <wp:positionV relativeFrom="topMargin">
                  <wp:posOffset>1336040</wp:posOffset>
                </wp:positionV>
                <wp:extent cx="5853430" cy="6203950"/>
                <wp:effectExtent l="0" t="0" r="13970" b="25400"/>
                <wp:wrapSquare wrapText="bothSides"/>
                <wp:docPr id="1777019810" name="Text Box 1777019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430" cy="6203950"/>
                        </a:xfrm>
                        <a:prstGeom prst="rect">
                          <a:avLst/>
                        </a:prstGeom>
                        <a:solidFill>
                          <a:srgbClr val="E5F8FF"/>
                        </a:solidFill>
                        <a:ln w="9525">
                          <a:solidFill>
                            <a:schemeClr val="bg1"/>
                          </a:solidFill>
                          <a:miter lim="800000"/>
                          <a:headEnd/>
                          <a:tailEnd/>
                        </a:ln>
                      </wps:spPr>
                      <wps:txbx>
                        <w:txbxContent>
                          <w:p w14:paraId="5E482BAB" w14:textId="77777777" w:rsidR="00CB797E" w:rsidRPr="00607566" w:rsidRDefault="00CB797E" w:rsidP="003D34F4">
                            <w:pPr>
                              <w:pStyle w:val="HeadingBox-Level2"/>
                            </w:pPr>
                            <w:r w:rsidRPr="00607566">
                              <w:t>Key points</w:t>
                            </w:r>
                          </w:p>
                          <w:p w14:paraId="11C01884" w14:textId="1103521B" w:rsidR="00CB797E" w:rsidRPr="00021341" w:rsidRDefault="00CB797E" w:rsidP="00CB797E">
                            <w:pPr>
                              <w:pStyle w:val="CGC2025Bullet1"/>
                            </w:pPr>
                            <w:r w:rsidRPr="008D72BE">
                              <w:t xml:space="preserve">All states </w:t>
                            </w:r>
                            <w:r w:rsidRPr="00021341">
                              <w:t>except Queensland are expected to receive more GST</w:t>
                            </w:r>
                            <w:r w:rsidR="000646E4">
                              <w:t> </w:t>
                            </w:r>
                            <w:r w:rsidRPr="00021341">
                              <w:t>revenue in 2025</w:t>
                            </w:r>
                            <w:r>
                              <w:rPr>
                                <w:rFonts w:ascii="Open Sans Light" w:hAnsi="Open Sans Light" w:cs="Open Sans Light"/>
                                <w:color w:val="000000"/>
                                <w:sz w:val="16"/>
                                <w:szCs w:val="16"/>
                              </w:rPr>
                              <w:t>‍</w:t>
                            </w:r>
                            <w:r w:rsidRPr="00021341">
                              <w:t>–</w:t>
                            </w:r>
                            <w:r>
                              <w:rPr>
                                <w:rFonts w:ascii="Open Sans Light" w:hAnsi="Open Sans Light" w:cs="Open Sans Light"/>
                                <w:color w:val="000000"/>
                                <w:sz w:val="16"/>
                                <w:szCs w:val="16"/>
                              </w:rPr>
                              <w:t>‍</w:t>
                            </w:r>
                            <w:r w:rsidRPr="00021341">
                              <w:t>26 compared with 2024–25.</w:t>
                            </w:r>
                          </w:p>
                          <w:p w14:paraId="117927D1" w14:textId="47718DB4" w:rsidR="00CB797E" w:rsidRPr="000A7031" w:rsidRDefault="00CB797E" w:rsidP="00CB797E">
                            <w:pPr>
                              <w:pStyle w:val="CGC2025Bullet1"/>
                            </w:pPr>
                            <w:r>
                              <w:t>The following states are e</w:t>
                            </w:r>
                            <w:r w:rsidRPr="000A7031">
                              <w:t xml:space="preserve">stimated </w:t>
                            </w:r>
                            <w:r>
                              <w:t xml:space="preserve">to receive an increase in </w:t>
                            </w:r>
                            <w:r w:rsidRPr="000A7031">
                              <w:t>GST</w:t>
                            </w:r>
                            <w:r w:rsidR="000646E4">
                              <w:t> </w:t>
                            </w:r>
                            <w:r w:rsidRPr="000A7031">
                              <w:t>distribution in 2025</w:t>
                            </w:r>
                            <w:r>
                              <w:rPr>
                                <w:rFonts w:ascii="Open Sans Light" w:hAnsi="Open Sans Light" w:cs="Open Sans Light"/>
                                <w:color w:val="000000"/>
                                <w:sz w:val="16"/>
                                <w:szCs w:val="16"/>
                              </w:rPr>
                              <w:t>‍</w:t>
                            </w:r>
                            <w:r w:rsidRPr="000A7031">
                              <w:t>–</w:t>
                            </w:r>
                            <w:r>
                              <w:rPr>
                                <w:rFonts w:ascii="Open Sans Light" w:hAnsi="Open Sans Light" w:cs="Open Sans Light"/>
                                <w:color w:val="000000"/>
                                <w:sz w:val="16"/>
                                <w:szCs w:val="16"/>
                              </w:rPr>
                              <w:t>‍</w:t>
                            </w:r>
                            <w:r w:rsidRPr="000A7031">
                              <w:t>26:</w:t>
                            </w:r>
                          </w:p>
                          <w:p w14:paraId="6FF948AD" w14:textId="11F818E6" w:rsidR="00CB797E" w:rsidRPr="000A7031" w:rsidRDefault="00CB797E" w:rsidP="00DB5314">
                            <w:pPr>
                              <w:pStyle w:val="CGC2025Bullet2"/>
                            </w:pPr>
                            <w:r w:rsidRPr="000A7031">
                              <w:t>New South Wales</w:t>
                            </w:r>
                            <w:r>
                              <w:t>:</w:t>
                            </w:r>
                            <w:r w:rsidRPr="000A7031">
                              <w:t xml:space="preserve"> $</w:t>
                            </w:r>
                            <w:r w:rsidR="00D25D86" w:rsidRPr="000A7031">
                              <w:t>942</w:t>
                            </w:r>
                            <w:r w:rsidR="00D25D86">
                              <w:t> </w:t>
                            </w:r>
                            <w:r w:rsidRPr="000A7031">
                              <w:t>million ($109 per capita)</w:t>
                            </w:r>
                          </w:p>
                          <w:p w14:paraId="49660730" w14:textId="77777777" w:rsidR="00CB797E" w:rsidRPr="000A7031" w:rsidRDefault="00CB797E" w:rsidP="00DB5314">
                            <w:pPr>
                              <w:pStyle w:val="CGC2025Bullet2"/>
                            </w:pPr>
                            <w:r w:rsidRPr="000A7031">
                              <w:t>Victoria</w:t>
                            </w:r>
                            <w:r>
                              <w:t>:</w:t>
                            </w:r>
                            <w:r w:rsidRPr="000A7031">
                              <w:t xml:space="preserve"> $3,65</w:t>
                            </w:r>
                            <w:r>
                              <w:t>7</w:t>
                            </w:r>
                            <w:r w:rsidRPr="000A7031">
                              <w:t> million ($510 per capita)</w:t>
                            </w:r>
                          </w:p>
                          <w:p w14:paraId="6A2E9D78" w14:textId="77777777" w:rsidR="00CB797E" w:rsidRPr="000A7031" w:rsidRDefault="00CB797E" w:rsidP="00DB5314">
                            <w:pPr>
                              <w:pStyle w:val="CGC2025Bullet2"/>
                            </w:pPr>
                            <w:r w:rsidRPr="000A7031">
                              <w:t>Western Australia</w:t>
                            </w:r>
                            <w:r>
                              <w:t>:</w:t>
                            </w:r>
                            <w:r w:rsidRPr="000A7031">
                              <w:t xml:space="preserve"> $395 million ($129 per capita)</w:t>
                            </w:r>
                          </w:p>
                          <w:p w14:paraId="195BE70D" w14:textId="77777777" w:rsidR="00CB797E" w:rsidRPr="000A7031" w:rsidRDefault="00CB797E" w:rsidP="00DB5314">
                            <w:pPr>
                              <w:pStyle w:val="CGC2025Bullet2"/>
                            </w:pPr>
                            <w:r w:rsidRPr="000A7031">
                              <w:t>South Australia</w:t>
                            </w:r>
                            <w:r>
                              <w:t>:</w:t>
                            </w:r>
                            <w:r w:rsidRPr="000A7031">
                              <w:t xml:space="preserve"> $279 million ($147 per capita)</w:t>
                            </w:r>
                          </w:p>
                          <w:p w14:paraId="75BBAB1F" w14:textId="77777777" w:rsidR="00CB797E" w:rsidRPr="000A7031" w:rsidRDefault="00CB797E" w:rsidP="00DB5314">
                            <w:pPr>
                              <w:pStyle w:val="CGC2025Bullet2"/>
                            </w:pPr>
                            <w:r w:rsidRPr="000A7031">
                              <w:t>Tasmania</w:t>
                            </w:r>
                            <w:r>
                              <w:t>:</w:t>
                            </w:r>
                            <w:r w:rsidRPr="000A7031">
                              <w:t xml:space="preserve"> $151 million ($261 per capita)</w:t>
                            </w:r>
                          </w:p>
                          <w:p w14:paraId="3BA0B674" w14:textId="77777777" w:rsidR="00CB797E" w:rsidRPr="000A7031" w:rsidRDefault="00CB797E" w:rsidP="00DB5314">
                            <w:pPr>
                              <w:pStyle w:val="CGC2025Bullet2"/>
                            </w:pPr>
                            <w:r w:rsidRPr="000A7031">
                              <w:t>the ACT</w:t>
                            </w:r>
                            <w:r>
                              <w:t>:</w:t>
                            </w:r>
                            <w:r w:rsidRPr="000A7031">
                              <w:t xml:space="preserve"> $35 million ($73 per capita)</w:t>
                            </w:r>
                          </w:p>
                          <w:p w14:paraId="1F845317" w14:textId="77777777" w:rsidR="00CB797E" w:rsidRPr="000A7031" w:rsidRDefault="00CB797E" w:rsidP="00DB5314">
                            <w:pPr>
                              <w:pStyle w:val="CGC2025Bullet2"/>
                            </w:pPr>
                            <w:r w:rsidRPr="000A7031">
                              <w:t>the Northern Territory</w:t>
                            </w:r>
                            <w:r>
                              <w:t>:</w:t>
                            </w:r>
                            <w:r w:rsidRPr="000A7031">
                              <w:t xml:space="preserve"> $24</w:t>
                            </w:r>
                            <w:r>
                              <w:t>8</w:t>
                            </w:r>
                            <w:r w:rsidRPr="000A7031">
                              <w:t> million ($96</w:t>
                            </w:r>
                            <w:r>
                              <w:t>6</w:t>
                            </w:r>
                            <w:r w:rsidRPr="000A7031">
                              <w:t> per capita).</w:t>
                            </w:r>
                          </w:p>
                          <w:p w14:paraId="32744FC1" w14:textId="6A561F8F" w:rsidR="00CB797E" w:rsidRPr="000A7031" w:rsidRDefault="00CB797E" w:rsidP="00CB797E">
                            <w:pPr>
                              <w:pStyle w:val="CGC2025Bullet1"/>
                            </w:pPr>
                            <w:r w:rsidRPr="000A7031">
                              <w:t>The estimated increase in Victoria’s GST</w:t>
                            </w:r>
                            <w:r w:rsidR="000646E4">
                              <w:t> </w:t>
                            </w:r>
                            <w:r w:rsidRPr="000A7031">
                              <w:t xml:space="preserve">payment is mainly driven by its reduced relative capacity to raise mining revenue and the change in </w:t>
                            </w:r>
                            <w:r>
                              <w:t xml:space="preserve">the </w:t>
                            </w:r>
                            <w:r w:rsidRPr="000A7031">
                              <w:t>assessment of COVID-19 business support and health expenses.</w:t>
                            </w:r>
                          </w:p>
                          <w:p w14:paraId="33247402" w14:textId="0505A3BE" w:rsidR="00CB797E" w:rsidRDefault="00CB797E" w:rsidP="00CB797E">
                            <w:pPr>
                              <w:pStyle w:val="CGC2025Bullet1"/>
                            </w:pPr>
                            <w:r w:rsidRPr="000A7031">
                              <w:t>Queensland is estimated to have a $1,</w:t>
                            </w:r>
                            <w:r w:rsidR="00D25D86" w:rsidRPr="000A7031">
                              <w:t>189</w:t>
                            </w:r>
                            <w:r w:rsidR="00D25D86">
                              <w:t> </w:t>
                            </w:r>
                            <w:r w:rsidRPr="000A7031">
                              <w:t xml:space="preserve">million ($208 per capita) decrease in </w:t>
                            </w:r>
                            <w:r w:rsidR="000646E4">
                              <w:t xml:space="preserve">its </w:t>
                            </w:r>
                            <w:r w:rsidRPr="000A7031">
                              <w:t>GST</w:t>
                            </w:r>
                            <w:r w:rsidR="000646E4">
                              <w:t> </w:t>
                            </w:r>
                            <w:r w:rsidRPr="000A7031">
                              <w:t>distribution in 2025</w:t>
                            </w:r>
                            <w:r>
                              <w:rPr>
                                <w:rFonts w:ascii="Open Sans Light" w:hAnsi="Open Sans Light" w:cs="Open Sans Light"/>
                                <w:color w:val="000000"/>
                                <w:sz w:val="16"/>
                                <w:szCs w:val="16"/>
                              </w:rPr>
                              <w:t>‍</w:t>
                            </w:r>
                            <w:r w:rsidRPr="000A7031">
                              <w:t>–</w:t>
                            </w:r>
                            <w:r>
                              <w:rPr>
                                <w:rFonts w:ascii="Open Sans Light" w:hAnsi="Open Sans Light" w:cs="Open Sans Light"/>
                                <w:color w:val="000000"/>
                                <w:sz w:val="16"/>
                                <w:szCs w:val="16"/>
                              </w:rPr>
                              <w:t>‍</w:t>
                            </w:r>
                            <w:r w:rsidRPr="000A7031">
                              <w:t xml:space="preserve">26. This is largely driven by </w:t>
                            </w:r>
                            <w:r>
                              <w:t>an increase in</w:t>
                            </w:r>
                            <w:r w:rsidRPr="000A7031">
                              <w:t xml:space="preserve"> mining revenue raising capacity and the change in </w:t>
                            </w:r>
                            <w:r>
                              <w:t xml:space="preserve">the </w:t>
                            </w:r>
                            <w:r w:rsidRPr="000A7031">
                              <w:t>assessment of COVID</w:t>
                            </w:r>
                            <w:r w:rsidR="00D25D86">
                              <w:rPr>
                                <w:rFonts w:ascii="Open Sans Light" w:hAnsi="Open Sans Light" w:cs="Open Sans Light"/>
                                <w:color w:val="000000"/>
                                <w:sz w:val="16"/>
                                <w:szCs w:val="16"/>
                              </w:rPr>
                              <w:t>‍</w:t>
                            </w:r>
                            <w:r w:rsidRPr="000A7031">
                              <w:t>-</w:t>
                            </w:r>
                            <w:r w:rsidR="00D25D86">
                              <w:rPr>
                                <w:rFonts w:ascii="Open Sans Light" w:hAnsi="Open Sans Light" w:cs="Open Sans Light"/>
                                <w:color w:val="000000"/>
                                <w:sz w:val="16"/>
                                <w:szCs w:val="16"/>
                              </w:rPr>
                              <w:t>‍</w:t>
                            </w:r>
                            <w:r w:rsidR="00D25D86" w:rsidRPr="000A7031">
                              <w:t>19</w:t>
                            </w:r>
                            <w:r w:rsidR="00D25D86">
                              <w:t xml:space="preserve"> </w:t>
                            </w:r>
                            <w:r w:rsidRPr="000A7031">
                              <w:t xml:space="preserve">business support and health expenses. </w:t>
                            </w:r>
                            <w:r>
                              <w:t>Queensland benefits from having its assessed relativity increased to that of the standard state, prior to the standard state relativities being blended with the assessed relativities to determine the GST relativities</w:t>
                            </w:r>
                            <w:r w:rsidRPr="007D14CD">
                              <w:t>.</w:t>
                            </w:r>
                          </w:p>
                          <w:p w14:paraId="188342DA" w14:textId="44676DFD" w:rsidR="00CB797E" w:rsidRPr="00E8707F" w:rsidRDefault="00CB797E" w:rsidP="00CB797E">
                            <w:pPr>
                              <w:pStyle w:val="CGC2025Bullet1"/>
                            </w:pPr>
                            <w:r w:rsidRPr="00E8707F">
                              <w:t>All states are expected to benefit from growth in the GST</w:t>
                            </w:r>
                            <w:r w:rsidR="000646E4">
                              <w:t> </w:t>
                            </w:r>
                            <w:r w:rsidRPr="00E8707F">
                              <w:t>pool.</w:t>
                            </w:r>
                          </w:p>
                          <w:p w14:paraId="7EA85BAA" w14:textId="4EF36511" w:rsidR="00CB797E" w:rsidRPr="002D5030" w:rsidRDefault="00CB797E" w:rsidP="00CB797E">
                            <w:pPr>
                              <w:pStyle w:val="CGC2025Bullet1"/>
                            </w:pPr>
                            <w:r w:rsidRPr="002D5030">
                              <w:t xml:space="preserve">This is the fifth year in a 6-year transition </w:t>
                            </w:r>
                            <w:r>
                              <w:t xml:space="preserve">to distributing GST based on the standard state benchmark (i.e. the fiscally stronger of </w:t>
                            </w:r>
                            <w:r w:rsidR="00D25D86">
                              <w:t>New South </w:t>
                            </w:r>
                            <w:r>
                              <w:t>Wales or Victoria) rather than based</w:t>
                            </w:r>
                            <w:r w:rsidRPr="002D5030">
                              <w:t xml:space="preserve"> on the Commission’s assessment of states’ relative fiscal capacities. </w:t>
                            </w:r>
                            <w:r>
                              <w:t>A relativity floor ensures no state’s GST</w:t>
                            </w:r>
                            <w:r w:rsidR="000646E4">
                              <w:t> </w:t>
                            </w:r>
                            <w:r>
                              <w:t>relativity can fall below 0.75.</w:t>
                            </w:r>
                          </w:p>
                          <w:p w14:paraId="1BD18AFC" w14:textId="77777777" w:rsidR="00CB797E" w:rsidRDefault="00CB797E" w:rsidP="00CB797E">
                            <w:pPr>
                              <w:pStyle w:val="CGC2025Bullet1"/>
                            </w:pPr>
                            <w:r w:rsidRPr="008D72BE">
                              <w:t>The estimates in this chapter do not include no worse off payments.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061A9" id="Text Box 1777019810" o:spid="_x0000_s1043" type="#_x0000_t202" style="position:absolute;margin-left:0;margin-top:105.2pt;width:460.9pt;height:488.5pt;z-index:251658253;visibility:visible;mso-wrap-style:square;mso-width-percent:0;mso-height-percent:0;mso-wrap-distance-left:9pt;mso-wrap-distance-top:3.6pt;mso-wrap-distance-right:9pt;mso-wrap-distance-bottom:3.6pt;mso-position-horizontal:lef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" fillcolor="#e5f8ff" strokecolor="white [3212]">
                <v:textbox>
                  <w:txbxContent>
                    <w:p w14:paraId="5E482BAB" w14:textId="77777777" w:rsidR="00CB797E" w:rsidRPr="00607566" w:rsidRDefault="00CB797E" w:rsidP="003D34F4">
                      <w:pPr>
                        <w:pStyle w:val="HeadingBox-Level2"/>
                      </w:pPr>
                      <w:r w:rsidRPr="00607566">
                        <w:t>Key points</w:t>
                      </w:r>
                    </w:p>
                    <w:p w14:paraId="11C01884" w14:textId="1103521B" w:rsidR="00CB797E" w:rsidRPr="00021341" w:rsidRDefault="00CB797E" w:rsidP="00CB797E">
                      <w:pPr>
                        <w:pStyle w:val="CGC2025Bullet1"/>
                      </w:pPr>
                      <w:r w:rsidRPr="008D72BE">
                        <w:t xml:space="preserve">All states </w:t>
                      </w:r>
                      <w:r w:rsidRPr="00021341">
                        <w:t>except Queensland are expected to receive more GST</w:t>
                      </w:r>
                      <w:r w:rsidR="000646E4">
                        <w:t> </w:t>
                      </w:r>
                      <w:r w:rsidRPr="00021341">
                        <w:t>revenue in 2025</w:t>
                      </w:r>
                      <w:r>
                        <w:rPr>
                          <w:rFonts w:ascii="Open Sans Light" w:hAnsi="Open Sans Light" w:cs="Open Sans Light"/>
                          <w:color w:val="000000"/>
                          <w:sz w:val="16"/>
                          <w:szCs w:val="16"/>
                        </w:rPr>
                        <w:t>‍</w:t>
                      </w:r>
                      <w:r w:rsidRPr="00021341">
                        <w:t>–</w:t>
                      </w:r>
                      <w:r>
                        <w:rPr>
                          <w:rFonts w:ascii="Open Sans Light" w:hAnsi="Open Sans Light" w:cs="Open Sans Light"/>
                          <w:color w:val="000000"/>
                          <w:sz w:val="16"/>
                          <w:szCs w:val="16"/>
                        </w:rPr>
                        <w:t>‍</w:t>
                      </w:r>
                      <w:r w:rsidRPr="00021341">
                        <w:t>26 compared with 2024–25.</w:t>
                      </w:r>
                    </w:p>
                    <w:p w14:paraId="117927D1" w14:textId="47718DB4" w:rsidR="00CB797E" w:rsidRPr="000A7031" w:rsidRDefault="00CB797E" w:rsidP="00CB797E">
                      <w:pPr>
                        <w:pStyle w:val="CGC2025Bullet1"/>
                      </w:pPr>
                      <w:r>
                        <w:t>The following states are e</w:t>
                      </w:r>
                      <w:r w:rsidRPr="000A7031">
                        <w:t xml:space="preserve">stimated </w:t>
                      </w:r>
                      <w:r>
                        <w:t xml:space="preserve">to receive an increase in </w:t>
                      </w:r>
                      <w:r w:rsidRPr="000A7031">
                        <w:t>GST</w:t>
                      </w:r>
                      <w:r w:rsidR="000646E4">
                        <w:t> </w:t>
                      </w:r>
                      <w:r w:rsidRPr="000A7031">
                        <w:t>distribution in 2025</w:t>
                      </w:r>
                      <w:r>
                        <w:rPr>
                          <w:rFonts w:ascii="Open Sans Light" w:hAnsi="Open Sans Light" w:cs="Open Sans Light"/>
                          <w:color w:val="000000"/>
                          <w:sz w:val="16"/>
                          <w:szCs w:val="16"/>
                        </w:rPr>
                        <w:t>‍</w:t>
                      </w:r>
                      <w:r w:rsidRPr="000A7031">
                        <w:t>–</w:t>
                      </w:r>
                      <w:r>
                        <w:rPr>
                          <w:rFonts w:ascii="Open Sans Light" w:hAnsi="Open Sans Light" w:cs="Open Sans Light"/>
                          <w:color w:val="000000"/>
                          <w:sz w:val="16"/>
                          <w:szCs w:val="16"/>
                        </w:rPr>
                        <w:t>‍</w:t>
                      </w:r>
                      <w:r w:rsidRPr="000A7031">
                        <w:t>26:</w:t>
                      </w:r>
                    </w:p>
                    <w:p w14:paraId="6FF948AD" w14:textId="11F818E6" w:rsidR="00CB797E" w:rsidRPr="000A7031" w:rsidRDefault="00CB797E" w:rsidP="00DB5314">
                      <w:pPr>
                        <w:pStyle w:val="CGC2025Bullet2"/>
                      </w:pPr>
                      <w:r w:rsidRPr="000A7031">
                        <w:t>New South Wales</w:t>
                      </w:r>
                      <w:r>
                        <w:t>:</w:t>
                      </w:r>
                      <w:r w:rsidRPr="000A7031">
                        <w:t xml:space="preserve"> $</w:t>
                      </w:r>
                      <w:r w:rsidR="00D25D86" w:rsidRPr="000A7031">
                        <w:t>942</w:t>
                      </w:r>
                      <w:r w:rsidR="00D25D86">
                        <w:t> </w:t>
                      </w:r>
                      <w:r w:rsidRPr="000A7031">
                        <w:t>million ($109 per capita)</w:t>
                      </w:r>
                    </w:p>
                    <w:p w14:paraId="49660730" w14:textId="77777777" w:rsidR="00CB797E" w:rsidRPr="000A7031" w:rsidRDefault="00CB797E" w:rsidP="00DB5314">
                      <w:pPr>
                        <w:pStyle w:val="CGC2025Bullet2"/>
                      </w:pPr>
                      <w:r w:rsidRPr="000A7031">
                        <w:t>Victoria</w:t>
                      </w:r>
                      <w:r>
                        <w:t>:</w:t>
                      </w:r>
                      <w:r w:rsidRPr="000A7031">
                        <w:t xml:space="preserve"> $3,65</w:t>
                      </w:r>
                      <w:r>
                        <w:t>7</w:t>
                      </w:r>
                      <w:r w:rsidRPr="000A7031">
                        <w:t> million ($510 per capita)</w:t>
                      </w:r>
                    </w:p>
                    <w:p w14:paraId="6A2E9D78" w14:textId="77777777" w:rsidR="00CB797E" w:rsidRPr="000A7031" w:rsidRDefault="00CB797E" w:rsidP="00DB5314">
                      <w:pPr>
                        <w:pStyle w:val="CGC2025Bullet2"/>
                      </w:pPr>
                      <w:r w:rsidRPr="000A7031">
                        <w:t>Western Australia</w:t>
                      </w:r>
                      <w:r>
                        <w:t>:</w:t>
                      </w:r>
                      <w:r w:rsidRPr="000A7031">
                        <w:t xml:space="preserve"> $395 million ($129 per capita)</w:t>
                      </w:r>
                    </w:p>
                    <w:p w14:paraId="195BE70D" w14:textId="77777777" w:rsidR="00CB797E" w:rsidRPr="000A7031" w:rsidRDefault="00CB797E" w:rsidP="00DB5314">
                      <w:pPr>
                        <w:pStyle w:val="CGC2025Bullet2"/>
                      </w:pPr>
                      <w:r w:rsidRPr="000A7031">
                        <w:t>South Australia</w:t>
                      </w:r>
                      <w:r>
                        <w:t>:</w:t>
                      </w:r>
                      <w:r w:rsidRPr="000A7031">
                        <w:t xml:space="preserve"> $279 million ($147 per capita)</w:t>
                      </w:r>
                    </w:p>
                    <w:p w14:paraId="75BBAB1F" w14:textId="77777777" w:rsidR="00CB797E" w:rsidRPr="000A7031" w:rsidRDefault="00CB797E" w:rsidP="00DB5314">
                      <w:pPr>
                        <w:pStyle w:val="CGC2025Bullet2"/>
                      </w:pPr>
                      <w:r w:rsidRPr="000A7031">
                        <w:t>Tasmania</w:t>
                      </w:r>
                      <w:r>
                        <w:t>:</w:t>
                      </w:r>
                      <w:r w:rsidRPr="000A7031">
                        <w:t xml:space="preserve"> $151 million ($261 per capita)</w:t>
                      </w:r>
                    </w:p>
                    <w:p w14:paraId="3BA0B674" w14:textId="77777777" w:rsidR="00CB797E" w:rsidRPr="000A7031" w:rsidRDefault="00CB797E" w:rsidP="00DB5314">
                      <w:pPr>
                        <w:pStyle w:val="CGC2025Bullet2"/>
                      </w:pPr>
                      <w:r w:rsidRPr="000A7031">
                        <w:t>the ACT</w:t>
                      </w:r>
                      <w:r>
                        <w:t>:</w:t>
                      </w:r>
                      <w:r w:rsidRPr="000A7031">
                        <w:t xml:space="preserve"> $35 million ($73 per capita)</w:t>
                      </w:r>
                    </w:p>
                    <w:p w14:paraId="1F845317" w14:textId="77777777" w:rsidR="00CB797E" w:rsidRPr="000A7031" w:rsidRDefault="00CB797E" w:rsidP="00DB5314">
                      <w:pPr>
                        <w:pStyle w:val="CGC2025Bullet2"/>
                      </w:pPr>
                      <w:r w:rsidRPr="000A7031">
                        <w:t>the Northern Territory</w:t>
                      </w:r>
                      <w:r>
                        <w:t>:</w:t>
                      </w:r>
                      <w:r w:rsidRPr="000A7031">
                        <w:t xml:space="preserve"> $24</w:t>
                      </w:r>
                      <w:r>
                        <w:t>8</w:t>
                      </w:r>
                      <w:r w:rsidRPr="000A7031">
                        <w:t> million ($96</w:t>
                      </w:r>
                      <w:r>
                        <w:t>6</w:t>
                      </w:r>
                      <w:r w:rsidRPr="000A7031">
                        <w:t> per capita).</w:t>
                      </w:r>
                    </w:p>
                    <w:p w14:paraId="32744FC1" w14:textId="6A561F8F" w:rsidR="00CB797E" w:rsidRPr="000A7031" w:rsidRDefault="00CB797E" w:rsidP="00CB797E">
                      <w:pPr>
                        <w:pStyle w:val="CGC2025Bullet1"/>
                      </w:pPr>
                      <w:r w:rsidRPr="000A7031">
                        <w:t>The estimated increase in Victoria’s GST</w:t>
                      </w:r>
                      <w:r w:rsidR="000646E4">
                        <w:t> </w:t>
                      </w:r>
                      <w:r w:rsidRPr="000A7031">
                        <w:t xml:space="preserve">payment is mainly driven by its reduced relative capacity to raise mining revenue and the change in </w:t>
                      </w:r>
                      <w:r>
                        <w:t xml:space="preserve">the </w:t>
                      </w:r>
                      <w:r w:rsidRPr="000A7031">
                        <w:t>assessment of COVID-19 business support and health expenses.</w:t>
                      </w:r>
                    </w:p>
                    <w:p w14:paraId="33247402" w14:textId="0505A3BE" w:rsidR="00CB797E" w:rsidRDefault="00CB797E" w:rsidP="00CB797E">
                      <w:pPr>
                        <w:pStyle w:val="CGC2025Bullet1"/>
                      </w:pPr>
                      <w:r w:rsidRPr="000A7031">
                        <w:t>Queensland is estimated to have a $1,</w:t>
                      </w:r>
                      <w:r w:rsidR="00D25D86" w:rsidRPr="000A7031">
                        <w:t>189</w:t>
                      </w:r>
                      <w:r w:rsidR="00D25D86">
                        <w:t> </w:t>
                      </w:r>
                      <w:r w:rsidRPr="000A7031">
                        <w:t xml:space="preserve">million ($208 per capita) decrease in </w:t>
                      </w:r>
                      <w:r w:rsidR="000646E4">
                        <w:t xml:space="preserve">its </w:t>
                      </w:r>
                      <w:r w:rsidRPr="000A7031">
                        <w:t>GST</w:t>
                      </w:r>
                      <w:r w:rsidR="000646E4">
                        <w:t> </w:t>
                      </w:r>
                      <w:r w:rsidRPr="000A7031">
                        <w:t>distribution in 2025</w:t>
                      </w:r>
                      <w:r>
                        <w:rPr>
                          <w:rFonts w:ascii="Open Sans Light" w:hAnsi="Open Sans Light" w:cs="Open Sans Light"/>
                          <w:color w:val="000000"/>
                          <w:sz w:val="16"/>
                          <w:szCs w:val="16"/>
                        </w:rPr>
                        <w:t>‍</w:t>
                      </w:r>
                      <w:r w:rsidRPr="000A7031">
                        <w:t>–</w:t>
                      </w:r>
                      <w:r>
                        <w:rPr>
                          <w:rFonts w:ascii="Open Sans Light" w:hAnsi="Open Sans Light" w:cs="Open Sans Light"/>
                          <w:color w:val="000000"/>
                          <w:sz w:val="16"/>
                          <w:szCs w:val="16"/>
                        </w:rPr>
                        <w:t>‍</w:t>
                      </w:r>
                      <w:r w:rsidRPr="000A7031">
                        <w:t xml:space="preserve">26. This is largely driven by </w:t>
                      </w:r>
                      <w:r>
                        <w:t>an increase in</w:t>
                      </w:r>
                      <w:r w:rsidRPr="000A7031">
                        <w:t xml:space="preserve"> mining revenue raising capacity and the change in </w:t>
                      </w:r>
                      <w:r>
                        <w:t xml:space="preserve">the </w:t>
                      </w:r>
                      <w:r w:rsidRPr="000A7031">
                        <w:t>assessment of COVID</w:t>
                      </w:r>
                      <w:r w:rsidR="00D25D86">
                        <w:rPr>
                          <w:rFonts w:ascii="Open Sans Light" w:hAnsi="Open Sans Light" w:cs="Open Sans Light"/>
                          <w:color w:val="000000"/>
                          <w:sz w:val="16"/>
                          <w:szCs w:val="16"/>
                        </w:rPr>
                        <w:t>‍</w:t>
                      </w:r>
                      <w:r w:rsidRPr="000A7031">
                        <w:t>-</w:t>
                      </w:r>
                      <w:r w:rsidR="00D25D86">
                        <w:rPr>
                          <w:rFonts w:ascii="Open Sans Light" w:hAnsi="Open Sans Light" w:cs="Open Sans Light"/>
                          <w:color w:val="000000"/>
                          <w:sz w:val="16"/>
                          <w:szCs w:val="16"/>
                        </w:rPr>
                        <w:t>‍</w:t>
                      </w:r>
                      <w:r w:rsidR="00D25D86" w:rsidRPr="000A7031">
                        <w:t>19</w:t>
                      </w:r>
                      <w:r w:rsidR="00D25D86">
                        <w:t xml:space="preserve"> </w:t>
                      </w:r>
                      <w:r w:rsidRPr="000A7031">
                        <w:t xml:space="preserve">business support and health expenses. </w:t>
                      </w:r>
                      <w:r>
                        <w:t>Queensland benefits from having its assessed relativity increased to that of the standard state, prior to the standard state relativities being blended with the assessed relativities to determine the GST relativities</w:t>
                      </w:r>
                      <w:r w:rsidRPr="007D14CD">
                        <w:t>.</w:t>
                      </w:r>
                    </w:p>
                    <w:p w14:paraId="188342DA" w14:textId="44676DFD" w:rsidR="00CB797E" w:rsidRPr="00E8707F" w:rsidRDefault="00CB797E" w:rsidP="00CB797E">
                      <w:pPr>
                        <w:pStyle w:val="CGC2025Bullet1"/>
                      </w:pPr>
                      <w:r w:rsidRPr="00E8707F">
                        <w:t>All states are expected to benefit from growth in the GST</w:t>
                      </w:r>
                      <w:r w:rsidR="000646E4">
                        <w:t> </w:t>
                      </w:r>
                      <w:r w:rsidRPr="00E8707F">
                        <w:t>pool.</w:t>
                      </w:r>
                    </w:p>
                    <w:p w14:paraId="7EA85BAA" w14:textId="4EF36511" w:rsidR="00CB797E" w:rsidRPr="002D5030" w:rsidRDefault="00CB797E" w:rsidP="00CB797E">
                      <w:pPr>
                        <w:pStyle w:val="CGC2025Bullet1"/>
                      </w:pPr>
                      <w:r w:rsidRPr="002D5030">
                        <w:t xml:space="preserve">This is the fifth year in a 6-year transition </w:t>
                      </w:r>
                      <w:r>
                        <w:t xml:space="preserve">to distributing GST based on the standard state benchmark (i.e. the fiscally stronger of </w:t>
                      </w:r>
                      <w:r w:rsidR="00D25D86">
                        <w:t>New South </w:t>
                      </w:r>
                      <w:r>
                        <w:t>Wales or Victoria) rather than based</w:t>
                      </w:r>
                      <w:r w:rsidRPr="002D5030">
                        <w:t xml:space="preserve"> on the Commission’s assessment of states’ relative fiscal capacities. </w:t>
                      </w:r>
                      <w:r>
                        <w:t>A relativity floor ensures no state’s GST</w:t>
                      </w:r>
                      <w:r w:rsidR="000646E4">
                        <w:t> </w:t>
                      </w:r>
                      <w:r>
                        <w:t>relativity can fall below 0.75.</w:t>
                      </w:r>
                    </w:p>
                    <w:p w14:paraId="1BD18AFC" w14:textId="77777777" w:rsidR="00CB797E" w:rsidRDefault="00CB797E" w:rsidP="00CB797E">
                      <w:pPr>
                        <w:pStyle w:val="CGC2025Bullet1"/>
                      </w:pPr>
                      <w:r w:rsidRPr="008D72BE">
                        <w:t>The estimates in this chapter do not include no worse off payments.</w:t>
                      </w:r>
                    </w:p>
                  </w:txbxContent>
                </v:textbox>
                <w10:wrap type="square" anchorx="margin" anchory="margin"/>
              </v:shape>
            </w:pict>
          </mc:Fallback>
        </mc:AlternateContent>
      </w:r>
      <w:r w:rsidR="0067740F">
        <w:t xml:space="preserve">3. </w:t>
      </w:r>
      <w:r w:rsidRPr="004D1A5B">
        <w:t>State by state changes</w:t>
      </w:r>
      <w:bookmarkEnd w:id="141"/>
      <w:bookmarkEnd w:id="142"/>
      <w:r w:rsidRPr="004D1A5B">
        <w:br w:type="page"/>
      </w:r>
    </w:p>
    <w:p w14:paraId="6739EA3F" w14:textId="26A97D0F" w:rsidR="00F365EF" w:rsidRPr="002D5030" w:rsidRDefault="00F365EF" w:rsidP="00F365EF">
      <w:r w:rsidRPr="002D5030">
        <w:lastRenderedPageBreak/>
        <w:t xml:space="preserve">This chapter sets out the </w:t>
      </w:r>
      <w:r>
        <w:t>main factors influencing the</w:t>
      </w:r>
      <w:r w:rsidRPr="002D5030">
        <w:t xml:space="preserve"> change</w:t>
      </w:r>
      <w:r>
        <w:t>s</w:t>
      </w:r>
      <w:r w:rsidRPr="002D5030">
        <w:t xml:space="preserve"> in each state’s GST</w:t>
      </w:r>
      <w:r w:rsidR="00B66F29">
        <w:t> </w:t>
      </w:r>
      <w:r w:rsidRPr="002D5030">
        <w:t xml:space="preserve">distribution </w:t>
      </w:r>
      <w:r w:rsidR="00A95357">
        <w:t>compared with</w:t>
      </w:r>
      <w:r w:rsidR="00A95357" w:rsidRPr="002D5030">
        <w:t xml:space="preserve"> </w:t>
      </w:r>
      <w:r w:rsidRPr="002D5030">
        <w:t>the 2024 Update</w:t>
      </w:r>
      <w:r>
        <w:t xml:space="preserve">. These include </w:t>
      </w:r>
      <w:r w:rsidRPr="002D5030">
        <w:t>method</w:t>
      </w:r>
      <w:r>
        <w:t xml:space="preserve"> change</w:t>
      </w:r>
      <w:r w:rsidRPr="002D5030">
        <w:t>s from the 2025 Review, data revisions and changes in state circumstances. In addition, states’ estimated GST distributions are affected by the combined impact of blended relativities and the GST</w:t>
      </w:r>
      <w:r w:rsidR="00B66F29">
        <w:t> </w:t>
      </w:r>
      <w:r w:rsidRPr="002D5030">
        <w:t>relativity floor</w:t>
      </w:r>
      <w:r>
        <w:t xml:space="preserve"> under the 2018 GST distribution legislation, </w:t>
      </w:r>
      <w:r w:rsidRPr="002D5030">
        <w:t xml:space="preserve">changes in </w:t>
      </w:r>
      <w:r>
        <w:t>estimated</w:t>
      </w:r>
      <w:r w:rsidRPr="002D5030">
        <w:t xml:space="preserve"> state populations in the </w:t>
      </w:r>
      <w:r>
        <w:t xml:space="preserve">GST distribution </w:t>
      </w:r>
      <w:r w:rsidRPr="002D5030">
        <w:t xml:space="preserve">year, and changes in the </w:t>
      </w:r>
      <w:r>
        <w:t xml:space="preserve">estimated </w:t>
      </w:r>
      <w:r w:rsidRPr="002D5030">
        <w:t>size of the GST</w:t>
      </w:r>
      <w:r w:rsidR="00B66F29">
        <w:t> </w:t>
      </w:r>
      <w:r w:rsidRPr="002D5030">
        <w:t>pool.</w:t>
      </w:r>
    </w:p>
    <w:p w14:paraId="33DC5E69" w14:textId="23070BEA" w:rsidR="00F365EF" w:rsidRDefault="00F365EF" w:rsidP="00F365EF">
      <w:r w:rsidRPr="002D5030">
        <w:t xml:space="preserve">Australia’s GST arrangements are transitioning to relativities based on a benchmark of the fiscally stronger of </w:t>
      </w:r>
      <w:r w:rsidRPr="002D5030" w:rsidDel="00126045">
        <w:t>New</w:t>
      </w:r>
      <w:r w:rsidR="00126045">
        <w:t> </w:t>
      </w:r>
      <w:r w:rsidR="00126045" w:rsidRPr="002D5030">
        <w:t>South</w:t>
      </w:r>
      <w:r w:rsidR="00126045">
        <w:t> </w:t>
      </w:r>
      <w:r w:rsidRPr="002D5030">
        <w:t>Wales or Victoria. In the 2025–26 relativities, New South Wales is assessed as the fiscally stronger</w:t>
      </w:r>
      <w:r>
        <w:t xml:space="preserve"> state</w:t>
      </w:r>
      <w:r w:rsidRPr="002D5030">
        <w:t xml:space="preserve"> in</w:t>
      </w:r>
      <w:r>
        <w:t xml:space="preserve"> the</w:t>
      </w:r>
      <w:r w:rsidRPr="002D5030">
        <w:t xml:space="preserve"> 2021</w:t>
      </w:r>
      <w:r>
        <w:rPr>
          <w:rFonts w:ascii="Open Sans Light" w:hAnsi="Open Sans Light" w:cs="Open Sans Light"/>
          <w:color w:val="000000"/>
          <w:sz w:val="16"/>
          <w:szCs w:val="16"/>
        </w:rPr>
        <w:t>‍</w:t>
      </w:r>
      <w:r w:rsidRPr="002D5030">
        <w:t>–</w:t>
      </w:r>
      <w:r>
        <w:rPr>
          <w:rFonts w:ascii="Open Sans Light" w:hAnsi="Open Sans Light" w:cs="Open Sans Light"/>
          <w:color w:val="000000"/>
          <w:sz w:val="16"/>
          <w:szCs w:val="16"/>
        </w:rPr>
        <w:t>‍</w:t>
      </w:r>
      <w:r w:rsidRPr="002D5030">
        <w:t>22</w:t>
      </w:r>
      <w:r>
        <w:t>,</w:t>
      </w:r>
      <w:r w:rsidRPr="002D5030">
        <w:t xml:space="preserve"> 2022</w:t>
      </w:r>
      <w:r>
        <w:rPr>
          <w:rFonts w:ascii="Open Sans Light" w:hAnsi="Open Sans Light" w:cs="Open Sans Light"/>
          <w:color w:val="000000"/>
          <w:sz w:val="16"/>
          <w:szCs w:val="16"/>
        </w:rPr>
        <w:t>‍</w:t>
      </w:r>
      <w:r w:rsidRPr="002D5030">
        <w:t>–</w:t>
      </w:r>
      <w:r>
        <w:rPr>
          <w:rFonts w:ascii="Open Sans Light" w:hAnsi="Open Sans Light" w:cs="Open Sans Light"/>
          <w:color w:val="000000"/>
          <w:sz w:val="16"/>
          <w:szCs w:val="16"/>
        </w:rPr>
        <w:t>‍</w:t>
      </w:r>
      <w:r w:rsidRPr="002D5030">
        <w:t>23 and 2023</w:t>
      </w:r>
      <w:r>
        <w:rPr>
          <w:rFonts w:ascii="Open Sans Light" w:hAnsi="Open Sans Light" w:cs="Open Sans Light"/>
          <w:color w:val="000000"/>
          <w:sz w:val="16"/>
          <w:szCs w:val="16"/>
        </w:rPr>
        <w:t>‍</w:t>
      </w:r>
      <w:r w:rsidRPr="002D5030">
        <w:t>–</w:t>
      </w:r>
      <w:r>
        <w:rPr>
          <w:rFonts w:ascii="Open Sans Light" w:hAnsi="Open Sans Light" w:cs="Open Sans Light"/>
          <w:color w:val="000000"/>
          <w:sz w:val="16"/>
          <w:szCs w:val="16"/>
        </w:rPr>
        <w:t>‍</w:t>
      </w:r>
      <w:r w:rsidRPr="002D5030">
        <w:t>24</w:t>
      </w:r>
      <w:r>
        <w:t xml:space="preserve"> assessment years.</w:t>
      </w:r>
    </w:p>
    <w:p w14:paraId="529483EF" w14:textId="77777777" w:rsidR="00F365EF" w:rsidRDefault="00F365EF">
      <w:pPr>
        <w:tabs>
          <w:tab w:val="clear" w:pos="567"/>
        </w:tabs>
        <w:spacing w:before="0" w:after="200" w:line="276" w:lineRule="auto"/>
      </w:pPr>
      <w:r>
        <w:br w:type="page"/>
      </w:r>
    </w:p>
    <w:p w14:paraId="0963B90E" w14:textId="77777777" w:rsidR="008B059C" w:rsidRPr="00851890" w:rsidRDefault="008B059C" w:rsidP="00383C52">
      <w:pPr>
        <w:pStyle w:val="Heading2"/>
      </w:pPr>
      <w:r w:rsidRPr="00851890">
        <w:lastRenderedPageBreak/>
        <w:t>New South Wales</w:t>
      </w:r>
    </w:p>
    <w:p w14:paraId="51BEFC9E" w14:textId="37925A96" w:rsidR="008B059C" w:rsidRPr="00851890" w:rsidRDefault="008B059C" w:rsidP="008B059C">
      <w:r w:rsidRPr="00851890">
        <w:t xml:space="preserve">In 2025–26, </w:t>
      </w:r>
      <w:r w:rsidR="00126045" w:rsidRPr="00851890">
        <w:t>New</w:t>
      </w:r>
      <w:r w:rsidR="00126045">
        <w:t> </w:t>
      </w:r>
      <w:r w:rsidR="00126045" w:rsidRPr="00851890">
        <w:t>South</w:t>
      </w:r>
      <w:r w:rsidR="00126045">
        <w:t> </w:t>
      </w:r>
      <w:r w:rsidRPr="00851890">
        <w:t xml:space="preserve">Wales’ GST distribution is estimated to increase by $942 million ($109 per capita). New South Wales’ share of the </w:t>
      </w:r>
      <w:r w:rsidRPr="00851890" w:rsidDel="00796006">
        <w:t>GST</w:t>
      </w:r>
      <w:r w:rsidR="00796006">
        <w:t> </w:t>
      </w:r>
      <w:r w:rsidRPr="00851890">
        <w:t>pool is estimated to decrease from 27.1% to 26.8%.</w:t>
      </w:r>
    </w:p>
    <w:p w14:paraId="26EE0B86" w14:textId="3F76F45D" w:rsidR="008B059C" w:rsidRPr="00851890" w:rsidRDefault="008B059C" w:rsidP="00383C52">
      <w:pPr>
        <w:pStyle w:val="CGC2025Bullet1"/>
      </w:pPr>
      <w:r w:rsidRPr="00851890">
        <w:t xml:space="preserve">The main factors leading to an increase in New South Wales’ assessed </w:t>
      </w:r>
      <w:r w:rsidRPr="00851890" w:rsidDel="00456B8E">
        <w:t>GST</w:t>
      </w:r>
      <w:r w:rsidR="00456B8E">
        <w:t> </w:t>
      </w:r>
      <w:r w:rsidRPr="00851890">
        <w:t>needs are:</w:t>
      </w:r>
    </w:p>
    <w:p w14:paraId="153CCA28" w14:textId="6616029E" w:rsidR="008B059C" w:rsidRPr="00851890" w:rsidRDefault="008B059C" w:rsidP="00383C52">
      <w:pPr>
        <w:pStyle w:val="CGC2025Bullet2"/>
      </w:pPr>
      <w:r w:rsidRPr="00851890">
        <w:t>a significant upward revision to its natural disaster relief expenses in 2022</w:t>
      </w:r>
      <w:r w:rsidRPr="00851890">
        <w:rPr>
          <w:rFonts w:ascii="Times New Roman" w:hAnsi="Times New Roman" w:cs="Times New Roman"/>
        </w:rPr>
        <w:t>‍</w:t>
      </w:r>
      <w:r w:rsidRPr="00851890">
        <w:t>–</w:t>
      </w:r>
      <w:r w:rsidRPr="00851890">
        <w:rPr>
          <w:rFonts w:ascii="Times New Roman" w:hAnsi="Times New Roman" w:cs="Times New Roman"/>
        </w:rPr>
        <w:t>‍</w:t>
      </w:r>
      <w:r w:rsidRPr="00851890">
        <w:t>23 and above-average natural disaster relief expenses in 2023</w:t>
      </w:r>
      <w:r w:rsidRPr="00851890">
        <w:rPr>
          <w:rFonts w:ascii="Times New Roman" w:hAnsi="Times New Roman" w:cs="Times New Roman"/>
        </w:rPr>
        <w:t>‍</w:t>
      </w:r>
      <w:r w:rsidRPr="00851890">
        <w:t>–</w:t>
      </w:r>
      <w:r w:rsidRPr="00851890">
        <w:rPr>
          <w:rFonts w:ascii="Times New Roman" w:hAnsi="Times New Roman" w:cs="Times New Roman"/>
        </w:rPr>
        <w:t>‍</w:t>
      </w:r>
      <w:r w:rsidRPr="00851890">
        <w:t>24</w:t>
      </w:r>
      <w:r w:rsidR="00BD23BC">
        <w:t xml:space="preserve"> </w:t>
      </w:r>
    </w:p>
    <w:p w14:paraId="58241607" w14:textId="1CCB2BB0" w:rsidR="008B059C" w:rsidRPr="00851890" w:rsidRDefault="008B059C" w:rsidP="00383C52">
      <w:pPr>
        <w:pStyle w:val="CGC2025Bullet2"/>
      </w:pPr>
      <w:r w:rsidRPr="00851890">
        <w:t xml:space="preserve">the change in the assessment method of COVID-19 business support and health expenses and </w:t>
      </w:r>
      <w:r w:rsidR="000C67AB" w:rsidRPr="00851890">
        <w:t>New</w:t>
      </w:r>
      <w:r w:rsidR="000C67AB">
        <w:t> </w:t>
      </w:r>
      <w:r w:rsidR="000C67AB" w:rsidRPr="00851890">
        <w:t>South</w:t>
      </w:r>
      <w:r w:rsidR="000C67AB">
        <w:t> </w:t>
      </w:r>
      <w:r w:rsidRPr="00851890">
        <w:t>Wales’ above-average expenses in these areas</w:t>
      </w:r>
    </w:p>
    <w:p w14:paraId="7B6DFEE7" w14:textId="2A1158AD" w:rsidR="008B059C" w:rsidRPr="00851890" w:rsidRDefault="008B059C" w:rsidP="00383C52">
      <w:pPr>
        <w:pStyle w:val="CGC2025Bullet2"/>
      </w:pPr>
      <w:r w:rsidRPr="00851890">
        <w:t xml:space="preserve">below-average growth in the value of </w:t>
      </w:r>
      <w:r w:rsidRPr="00A62241">
        <w:t>property sales</w:t>
      </w:r>
      <w:r w:rsidR="009C17D8" w:rsidRPr="00A62241">
        <w:t xml:space="preserve"> </w:t>
      </w:r>
      <w:r w:rsidRPr="00851890">
        <w:t>which reduced its assessed capacity to collect stamp duties.</w:t>
      </w:r>
    </w:p>
    <w:p w14:paraId="45D8E77E" w14:textId="1270A1E5" w:rsidR="008B059C" w:rsidRPr="00851890" w:rsidRDefault="008B059C" w:rsidP="00383C52">
      <w:pPr>
        <w:pStyle w:val="CGC2025Bullet1"/>
      </w:pPr>
      <w:r w:rsidRPr="00851890">
        <w:t xml:space="preserve">The main factors leading to a decrease in New South Wales’ assessed </w:t>
      </w:r>
      <w:r w:rsidRPr="00851890" w:rsidDel="00456B8E">
        <w:t>GST</w:t>
      </w:r>
      <w:r w:rsidR="00456B8E">
        <w:t> </w:t>
      </w:r>
      <w:r w:rsidRPr="00851890">
        <w:t>needs are:</w:t>
      </w:r>
    </w:p>
    <w:p w14:paraId="2D35A51E" w14:textId="59C402AD" w:rsidR="008B059C" w:rsidRPr="00A62241" w:rsidRDefault="008B059C" w:rsidP="00383C52">
      <w:pPr>
        <w:pStyle w:val="CGC2025Bullet2"/>
      </w:pPr>
      <w:r w:rsidRPr="00851890">
        <w:t>a</w:t>
      </w:r>
      <w:r w:rsidRPr="00A62241">
        <w:t>bove-average growth in taxable land values</w:t>
      </w:r>
      <w:r w:rsidR="009C17D8" w:rsidRPr="00A62241">
        <w:t>,</w:t>
      </w:r>
      <w:r w:rsidRPr="00A62241">
        <w:t xml:space="preserve"> which increased its relative capacity to raise land taxes</w:t>
      </w:r>
    </w:p>
    <w:p w14:paraId="7E0C294A" w14:textId="118F3438" w:rsidR="008B059C" w:rsidRPr="00A62241" w:rsidRDefault="00DA3D24" w:rsidP="00383C52">
      <w:pPr>
        <w:pStyle w:val="CGC2025Bullet2"/>
      </w:pPr>
      <w:r w:rsidRPr="00A62241">
        <w:t xml:space="preserve">a change </w:t>
      </w:r>
      <w:r w:rsidR="00753C23">
        <w:t>to</w:t>
      </w:r>
      <w:r w:rsidR="00753C23" w:rsidRPr="00A62241">
        <w:t xml:space="preserve"> </w:t>
      </w:r>
      <w:r w:rsidRPr="00A62241">
        <w:t xml:space="preserve">the </w:t>
      </w:r>
      <w:r w:rsidR="00FB0F5D" w:rsidRPr="00A62241">
        <w:t xml:space="preserve">urban transport </w:t>
      </w:r>
      <w:r w:rsidRPr="00A62241">
        <w:t>assessment method</w:t>
      </w:r>
      <w:r w:rsidR="00FB0F5D" w:rsidRPr="00A62241">
        <w:t>, which</w:t>
      </w:r>
      <w:r w:rsidR="005E24A1" w:rsidRPr="00A62241">
        <w:t xml:space="preserve"> </w:t>
      </w:r>
      <w:r w:rsidR="008B059C" w:rsidRPr="00A62241">
        <w:t xml:space="preserve">reduced the </w:t>
      </w:r>
      <w:r w:rsidR="005E24A1" w:rsidRPr="00A62241">
        <w:t>population</w:t>
      </w:r>
      <w:r w:rsidR="000C67AB" w:rsidRPr="00A62241">
        <w:rPr>
          <w:rFonts w:ascii="Times New Roman" w:hAnsi="Times New Roman" w:cs="Times New Roman"/>
        </w:rPr>
        <w:t>‍</w:t>
      </w:r>
      <w:r w:rsidR="005E24A1" w:rsidRPr="00A62241">
        <w:t>-</w:t>
      </w:r>
      <w:r w:rsidR="000C67AB" w:rsidRPr="00A62241">
        <w:rPr>
          <w:rFonts w:ascii="Times New Roman" w:hAnsi="Times New Roman" w:cs="Times New Roman"/>
        </w:rPr>
        <w:t>‍</w:t>
      </w:r>
      <w:r w:rsidR="005E24A1" w:rsidRPr="00A62241">
        <w:t xml:space="preserve">weighted </w:t>
      </w:r>
      <w:r w:rsidR="008B059C" w:rsidRPr="00A62241">
        <w:t xml:space="preserve">density of Sydney relative to other urban areas </w:t>
      </w:r>
      <w:r w:rsidR="0079365F">
        <w:t>which</w:t>
      </w:r>
      <w:r w:rsidR="0079365F" w:rsidRPr="00A62241">
        <w:t xml:space="preserve"> </w:t>
      </w:r>
      <w:r w:rsidR="008B059C" w:rsidRPr="00A62241">
        <w:t xml:space="preserve">reduced </w:t>
      </w:r>
      <w:r w:rsidR="0079365F">
        <w:t>its</w:t>
      </w:r>
      <w:r w:rsidR="008B059C" w:rsidRPr="00A62241">
        <w:t xml:space="preserve"> assessed needs.</w:t>
      </w:r>
    </w:p>
    <w:p w14:paraId="33990155" w14:textId="530BADAC" w:rsidR="008B059C" w:rsidRPr="00851890" w:rsidRDefault="008B059C" w:rsidP="00383C52">
      <w:pPr>
        <w:pStyle w:val="CGC2025Bullet1"/>
      </w:pPr>
      <w:r w:rsidRPr="00851890">
        <w:t xml:space="preserve">The expected growth in the </w:t>
      </w:r>
      <w:r w:rsidRPr="00851890" w:rsidDel="00796006">
        <w:t>GST</w:t>
      </w:r>
      <w:r w:rsidR="00796006">
        <w:t> </w:t>
      </w:r>
      <w:r w:rsidRPr="00851890">
        <w:t xml:space="preserve">pool contributed to the increase in New South Wales’ </w:t>
      </w:r>
      <w:r w:rsidRPr="00851890" w:rsidDel="00796006">
        <w:t>GST</w:t>
      </w:r>
      <w:r w:rsidR="00796006">
        <w:t> </w:t>
      </w:r>
      <w:r w:rsidRPr="00851890">
        <w:t>distribution.</w:t>
      </w:r>
    </w:p>
    <w:p w14:paraId="74BC8C5D" w14:textId="52C87DBB" w:rsidR="008B059C" w:rsidRPr="00851890" w:rsidRDefault="008B059C" w:rsidP="008B059C">
      <w:pPr>
        <w:pStyle w:val="CGC2025Bullet1"/>
      </w:pPr>
      <w:r w:rsidRPr="00851890">
        <w:t xml:space="preserve">The operation of </w:t>
      </w:r>
      <w:r w:rsidRPr="00851890" w:rsidDel="00796006">
        <w:t>blended</w:t>
      </w:r>
      <w:r w:rsidR="00796006">
        <w:t> </w:t>
      </w:r>
      <w:r w:rsidRPr="00851890">
        <w:t xml:space="preserve">relativities and the </w:t>
      </w:r>
      <w:r w:rsidRPr="00851890" w:rsidDel="00796006">
        <w:t>GST</w:t>
      </w:r>
      <w:r w:rsidR="00796006">
        <w:t> </w:t>
      </w:r>
      <w:r w:rsidRPr="00851890">
        <w:t xml:space="preserve">floor reduced </w:t>
      </w:r>
      <w:r w:rsidR="00126045" w:rsidRPr="00851890">
        <w:t>New</w:t>
      </w:r>
      <w:r w:rsidR="00126045">
        <w:t> </w:t>
      </w:r>
      <w:r w:rsidR="00126045" w:rsidRPr="00851890">
        <w:t>South</w:t>
      </w:r>
      <w:r w:rsidR="00126045">
        <w:t> </w:t>
      </w:r>
      <w:r w:rsidRPr="00851890">
        <w:t xml:space="preserve">Wales’ </w:t>
      </w:r>
      <w:r w:rsidRPr="00851890" w:rsidDel="00796006">
        <w:t>GST</w:t>
      </w:r>
      <w:r w:rsidR="00796006">
        <w:t> </w:t>
      </w:r>
      <w:r w:rsidRPr="00851890">
        <w:t>distribution by $</w:t>
      </w:r>
      <w:r w:rsidR="00C750DC" w:rsidRPr="00851890">
        <w:t>252</w:t>
      </w:r>
      <w:r w:rsidR="00C750DC">
        <w:t> </w:t>
      </w:r>
      <w:r w:rsidRPr="00851890">
        <w:t>million more than in 2024</w:t>
      </w:r>
      <w:r w:rsidR="000C67AB" w:rsidRPr="00851890">
        <w:rPr>
          <w:rFonts w:ascii="Times New Roman" w:hAnsi="Times New Roman" w:cs="Times New Roman"/>
        </w:rPr>
        <w:t>‍</w:t>
      </w:r>
      <w:r w:rsidRPr="00851890">
        <w:t>–</w:t>
      </w:r>
      <w:r w:rsidR="000C67AB" w:rsidRPr="00851890">
        <w:rPr>
          <w:rFonts w:ascii="Times New Roman" w:hAnsi="Times New Roman" w:cs="Times New Roman"/>
        </w:rPr>
        <w:t>‍</w:t>
      </w:r>
      <w:r w:rsidRPr="00851890">
        <w:t>25.</w:t>
      </w:r>
    </w:p>
    <w:p w14:paraId="0061B01E" w14:textId="77777777" w:rsidR="008B059C" w:rsidRPr="00851890" w:rsidRDefault="008B059C" w:rsidP="008B059C">
      <w:pPr>
        <w:pStyle w:val="CGC2025Caption"/>
        <w:ind w:left="1440" w:hanging="1440"/>
      </w:pPr>
      <w:r w:rsidRPr="00851890">
        <w:t>Table 3-1</w:t>
      </w:r>
      <w:r w:rsidRPr="00851890">
        <w:tab/>
        <w:t>Change in estimated GST distribution from 2024–25 to 2025</w:t>
      </w:r>
      <w:r w:rsidRPr="00851890">
        <w:rPr>
          <w:rFonts w:ascii="Times New Roman" w:hAnsi="Times New Roman" w:cs="Times New Roman"/>
        </w:rPr>
        <w:t>‍</w:t>
      </w:r>
      <w:r w:rsidRPr="00851890">
        <w:t>–</w:t>
      </w:r>
      <w:r w:rsidRPr="00851890">
        <w:rPr>
          <w:rFonts w:ascii="Times New Roman" w:hAnsi="Times New Roman" w:cs="Times New Roman"/>
        </w:rPr>
        <w:t>‍</w:t>
      </w:r>
      <w:r w:rsidRPr="00851890">
        <w:t>26, New South Wales (excludes no worse off payments)</w:t>
      </w:r>
    </w:p>
    <w:tbl>
      <w:tblPr>
        <w:tblW w:w="8940" w:type="dxa"/>
        <w:tblCellMar>
          <w:top w:w="15" w:type="dxa"/>
          <w:bottom w:w="15" w:type="dxa"/>
        </w:tblCellMar>
        <w:tblLook w:val="04A0" w:firstRow="1" w:lastRow="0" w:firstColumn="1" w:lastColumn="0" w:noHBand="0" w:noVBand="1"/>
      </w:tblPr>
      <w:tblGrid>
        <w:gridCol w:w="4060"/>
        <w:gridCol w:w="2440"/>
        <w:gridCol w:w="2440"/>
      </w:tblGrid>
      <w:tr w:rsidR="007007CC" w:rsidRPr="00AF7A45" w14:paraId="153A2B42" w14:textId="77777777">
        <w:trPr>
          <w:trHeight w:val="300"/>
        </w:trPr>
        <w:tc>
          <w:tcPr>
            <w:tcW w:w="4060" w:type="dxa"/>
            <w:tcBorders>
              <w:top w:val="nil"/>
              <w:left w:val="nil"/>
              <w:bottom w:val="single" w:sz="4" w:space="0" w:color="ADD6EA"/>
              <w:right w:val="nil"/>
            </w:tcBorders>
            <w:shd w:val="clear" w:color="000000" w:fill="006991"/>
            <w:noWrap/>
            <w:vAlign w:val="center"/>
            <w:hideMark/>
          </w:tcPr>
          <w:p w14:paraId="730F1C22" w14:textId="77777777" w:rsidR="007007CC" w:rsidRPr="00AF7A45" w:rsidRDefault="007007CC">
            <w:pPr>
              <w:tabs>
                <w:tab w:val="clear" w:pos="567"/>
              </w:tabs>
              <w:spacing w:before="0" w:line="240" w:lineRule="auto"/>
              <w:rPr>
                <w:rFonts w:ascii="Times New Roman" w:eastAsia="Times New Roman" w:hAnsi="Times New Roman" w:cs="Times New Roman"/>
                <w:sz w:val="24"/>
                <w:szCs w:val="24"/>
                <w:lang w:eastAsia="en-AU"/>
              </w:rPr>
            </w:pPr>
          </w:p>
        </w:tc>
        <w:tc>
          <w:tcPr>
            <w:tcW w:w="2440" w:type="dxa"/>
            <w:tcBorders>
              <w:top w:val="nil"/>
              <w:left w:val="nil"/>
              <w:bottom w:val="single" w:sz="4" w:space="0" w:color="ADD6EA"/>
              <w:right w:val="nil"/>
            </w:tcBorders>
            <w:shd w:val="clear" w:color="000000" w:fill="006991"/>
            <w:noWrap/>
            <w:vAlign w:val="center"/>
            <w:hideMark/>
          </w:tcPr>
          <w:p w14:paraId="25B72DED" w14:textId="77777777" w:rsidR="007007CC" w:rsidRPr="00AF7A45" w:rsidRDefault="007007C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F7A45">
              <w:rPr>
                <w:rFonts w:ascii="Open Sans Semibold" w:eastAsia="Times New Roman" w:hAnsi="Open Sans Semibold" w:cs="Open Sans Semibold"/>
                <w:color w:val="FFFFFF"/>
                <w:sz w:val="16"/>
                <w:szCs w:val="16"/>
                <w:lang w:eastAsia="en-AU"/>
              </w:rPr>
              <w:t>$m</w:t>
            </w:r>
          </w:p>
        </w:tc>
        <w:tc>
          <w:tcPr>
            <w:tcW w:w="2440" w:type="dxa"/>
            <w:tcBorders>
              <w:top w:val="nil"/>
              <w:left w:val="nil"/>
              <w:bottom w:val="single" w:sz="4" w:space="0" w:color="ADD6EA"/>
              <w:right w:val="nil"/>
            </w:tcBorders>
            <w:shd w:val="clear" w:color="000000" w:fill="006991"/>
            <w:noWrap/>
            <w:vAlign w:val="center"/>
            <w:hideMark/>
          </w:tcPr>
          <w:p w14:paraId="7F69B463" w14:textId="77777777" w:rsidR="007007CC" w:rsidRPr="00AF7A45" w:rsidRDefault="007007C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F7A45">
              <w:rPr>
                <w:rFonts w:ascii="Open Sans Semibold" w:eastAsia="Times New Roman" w:hAnsi="Open Sans Semibold" w:cs="Open Sans Semibold"/>
                <w:color w:val="FFFFFF"/>
                <w:sz w:val="16"/>
                <w:szCs w:val="16"/>
                <w:lang w:eastAsia="en-AU"/>
              </w:rPr>
              <w:t>$pc</w:t>
            </w:r>
          </w:p>
        </w:tc>
      </w:tr>
      <w:tr w:rsidR="007007CC" w:rsidRPr="00AF7A45" w14:paraId="1E236E1F" w14:textId="77777777">
        <w:trPr>
          <w:trHeight w:val="300"/>
        </w:trPr>
        <w:tc>
          <w:tcPr>
            <w:tcW w:w="4060" w:type="dxa"/>
            <w:tcBorders>
              <w:top w:val="single" w:sz="4" w:space="0" w:color="ADD6EA"/>
              <w:left w:val="nil"/>
              <w:bottom w:val="single" w:sz="4" w:space="0" w:color="ADD6EA"/>
              <w:right w:val="nil"/>
            </w:tcBorders>
            <w:noWrap/>
            <w:vAlign w:val="center"/>
            <w:hideMark/>
          </w:tcPr>
          <w:p w14:paraId="739A4F07" w14:textId="77777777" w:rsidR="007007CC" w:rsidRPr="00AF7A45" w:rsidRDefault="007007CC">
            <w:pPr>
              <w:tabs>
                <w:tab w:val="clear" w:pos="567"/>
              </w:tabs>
              <w:spacing w:before="0" w:line="240" w:lineRule="auto"/>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 xml:space="preserve">Change in </w:t>
            </w:r>
            <w:r w:rsidRPr="00AF7A45">
              <w:rPr>
                <w:rFonts w:ascii="Open Sans Light" w:eastAsia="Times New Roman" w:hAnsi="Open Sans Light" w:cs="Open Sans Light"/>
                <w:color w:val="000000"/>
                <w:sz w:val="16"/>
                <w:szCs w:val="16"/>
                <w:lang w:eastAsia="en-AU"/>
              </w:rPr>
              <w:t>population</w:t>
            </w:r>
          </w:p>
        </w:tc>
        <w:tc>
          <w:tcPr>
            <w:tcW w:w="2440" w:type="dxa"/>
            <w:tcBorders>
              <w:top w:val="single" w:sz="4" w:space="0" w:color="ADD6EA"/>
              <w:left w:val="nil"/>
              <w:bottom w:val="single" w:sz="4" w:space="0" w:color="ADD6EA"/>
              <w:right w:val="nil"/>
            </w:tcBorders>
            <w:noWrap/>
            <w:vAlign w:val="center"/>
            <w:hideMark/>
          </w:tcPr>
          <w:p w14:paraId="01D6A766" w14:textId="77777777" w:rsidR="007007CC" w:rsidRPr="00AF7A45" w:rsidRDefault="007007CC">
            <w:pPr>
              <w:tabs>
                <w:tab w:val="clear" w:pos="567"/>
              </w:tabs>
              <w:spacing w:before="0" w:line="240" w:lineRule="auto"/>
              <w:jc w:val="right"/>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-29</w:t>
            </w:r>
          </w:p>
        </w:tc>
        <w:tc>
          <w:tcPr>
            <w:tcW w:w="2440" w:type="dxa"/>
            <w:tcBorders>
              <w:top w:val="single" w:sz="4" w:space="0" w:color="ADD6EA"/>
              <w:left w:val="nil"/>
              <w:bottom w:val="single" w:sz="4" w:space="0" w:color="ADD6EA"/>
              <w:right w:val="nil"/>
            </w:tcBorders>
            <w:noWrap/>
            <w:vAlign w:val="center"/>
            <w:hideMark/>
          </w:tcPr>
          <w:p w14:paraId="22E09E3E" w14:textId="77777777" w:rsidR="007007CC" w:rsidRPr="00AF7A45" w:rsidRDefault="007007CC">
            <w:pPr>
              <w:tabs>
                <w:tab w:val="clear" w:pos="567"/>
              </w:tabs>
              <w:spacing w:before="0" w:line="240" w:lineRule="auto"/>
              <w:jc w:val="right"/>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-3</w:t>
            </w:r>
          </w:p>
        </w:tc>
      </w:tr>
      <w:tr w:rsidR="007007CC" w:rsidRPr="00AF7A45" w14:paraId="6BCAB3C2" w14:textId="77777777">
        <w:trPr>
          <w:trHeight w:val="300"/>
        </w:trPr>
        <w:tc>
          <w:tcPr>
            <w:tcW w:w="4060" w:type="dxa"/>
            <w:tcBorders>
              <w:top w:val="single" w:sz="4" w:space="0" w:color="ADD6EA"/>
              <w:left w:val="nil"/>
              <w:bottom w:val="single" w:sz="4" w:space="0" w:color="ADD6EA"/>
              <w:right w:val="nil"/>
            </w:tcBorders>
            <w:noWrap/>
            <w:vAlign w:val="center"/>
            <w:hideMark/>
          </w:tcPr>
          <w:p w14:paraId="50444B37" w14:textId="77777777" w:rsidR="007007CC" w:rsidRPr="00AF7A45" w:rsidRDefault="007007CC">
            <w:pPr>
              <w:tabs>
                <w:tab w:val="clear" w:pos="567"/>
              </w:tabs>
              <w:spacing w:before="0" w:line="240" w:lineRule="auto"/>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 xml:space="preserve">Growth in GST pool </w:t>
            </w:r>
          </w:p>
        </w:tc>
        <w:tc>
          <w:tcPr>
            <w:tcW w:w="2440" w:type="dxa"/>
            <w:tcBorders>
              <w:top w:val="single" w:sz="4" w:space="0" w:color="ADD6EA"/>
              <w:left w:val="nil"/>
              <w:bottom w:val="single" w:sz="4" w:space="0" w:color="ADD6EA"/>
              <w:right w:val="nil"/>
            </w:tcBorders>
            <w:noWrap/>
            <w:vAlign w:val="center"/>
            <w:hideMark/>
          </w:tcPr>
          <w:p w14:paraId="67066069" w14:textId="77777777" w:rsidR="007007CC" w:rsidRPr="00AF7A45" w:rsidRDefault="007007CC">
            <w:pPr>
              <w:tabs>
                <w:tab w:val="clear" w:pos="567"/>
              </w:tabs>
              <w:spacing w:before="0" w:line="240" w:lineRule="auto"/>
              <w:jc w:val="right"/>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1,222</w:t>
            </w:r>
          </w:p>
        </w:tc>
        <w:tc>
          <w:tcPr>
            <w:tcW w:w="2440" w:type="dxa"/>
            <w:tcBorders>
              <w:top w:val="single" w:sz="4" w:space="0" w:color="ADD6EA"/>
              <w:left w:val="nil"/>
              <w:bottom w:val="single" w:sz="4" w:space="0" w:color="ADD6EA"/>
              <w:right w:val="nil"/>
            </w:tcBorders>
            <w:noWrap/>
            <w:vAlign w:val="center"/>
            <w:hideMark/>
          </w:tcPr>
          <w:p w14:paraId="7AAD7767" w14:textId="77777777" w:rsidR="007007CC" w:rsidRPr="00AF7A45" w:rsidRDefault="007007CC">
            <w:pPr>
              <w:tabs>
                <w:tab w:val="clear" w:pos="567"/>
              </w:tabs>
              <w:spacing w:before="0" w:line="240" w:lineRule="auto"/>
              <w:jc w:val="right"/>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141</w:t>
            </w:r>
          </w:p>
        </w:tc>
      </w:tr>
      <w:tr w:rsidR="007007CC" w:rsidRPr="00AF7A45" w14:paraId="5108F09E" w14:textId="77777777">
        <w:trPr>
          <w:trHeight w:val="300"/>
        </w:trPr>
        <w:tc>
          <w:tcPr>
            <w:tcW w:w="4060" w:type="dxa"/>
            <w:tcBorders>
              <w:top w:val="single" w:sz="4" w:space="0" w:color="ADD6EA"/>
              <w:left w:val="nil"/>
              <w:bottom w:val="single" w:sz="4" w:space="0" w:color="ADD6EA"/>
              <w:right w:val="nil"/>
            </w:tcBorders>
            <w:noWrap/>
            <w:vAlign w:val="center"/>
            <w:hideMark/>
          </w:tcPr>
          <w:p w14:paraId="5A5F17BB" w14:textId="77777777" w:rsidR="007007CC" w:rsidRPr="00AF7A45" w:rsidRDefault="007007CC">
            <w:pPr>
              <w:tabs>
                <w:tab w:val="clear" w:pos="567"/>
              </w:tabs>
              <w:spacing w:before="0" w:line="240" w:lineRule="auto"/>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Changes in assessed needs</w:t>
            </w:r>
          </w:p>
        </w:tc>
        <w:tc>
          <w:tcPr>
            <w:tcW w:w="2440" w:type="dxa"/>
            <w:tcBorders>
              <w:top w:val="single" w:sz="4" w:space="0" w:color="ADD6EA"/>
              <w:left w:val="nil"/>
              <w:bottom w:val="single" w:sz="4" w:space="0" w:color="ADD6EA"/>
              <w:right w:val="nil"/>
            </w:tcBorders>
            <w:noWrap/>
            <w:vAlign w:val="center"/>
            <w:hideMark/>
          </w:tcPr>
          <w:p w14:paraId="0D1E3D53" w14:textId="77777777" w:rsidR="007007CC" w:rsidRPr="00AF7A45" w:rsidRDefault="007007CC">
            <w:pPr>
              <w:tabs>
                <w:tab w:val="clear" w:pos="567"/>
              </w:tabs>
              <w:spacing w:before="0" w:line="240" w:lineRule="auto"/>
              <w:rPr>
                <w:rFonts w:ascii="Open Sans Light" w:eastAsia="Times New Roman" w:hAnsi="Open Sans Light" w:cs="Open Sans Light"/>
                <w:sz w:val="16"/>
                <w:szCs w:val="16"/>
                <w:lang w:eastAsia="en-AU"/>
              </w:rPr>
            </w:pPr>
          </w:p>
        </w:tc>
        <w:tc>
          <w:tcPr>
            <w:tcW w:w="2440" w:type="dxa"/>
            <w:tcBorders>
              <w:top w:val="single" w:sz="4" w:space="0" w:color="ADD6EA"/>
              <w:left w:val="nil"/>
              <w:bottom w:val="single" w:sz="4" w:space="0" w:color="ADD6EA"/>
              <w:right w:val="nil"/>
            </w:tcBorders>
            <w:noWrap/>
            <w:vAlign w:val="center"/>
            <w:hideMark/>
          </w:tcPr>
          <w:p w14:paraId="5C234B34" w14:textId="77777777" w:rsidR="007007CC" w:rsidRPr="00AF7A45" w:rsidRDefault="007007CC">
            <w:pPr>
              <w:tabs>
                <w:tab w:val="clear" w:pos="567"/>
              </w:tabs>
              <w:spacing w:before="0" w:line="240" w:lineRule="auto"/>
              <w:jc w:val="right"/>
              <w:rPr>
                <w:rFonts w:ascii="Times New Roman" w:eastAsia="Times New Roman" w:hAnsi="Times New Roman" w:cs="Times New Roman"/>
                <w:szCs w:val="20"/>
                <w:lang w:eastAsia="en-AU"/>
              </w:rPr>
            </w:pPr>
          </w:p>
        </w:tc>
      </w:tr>
      <w:tr w:rsidR="007007CC" w:rsidRPr="00AF7A45" w14:paraId="2D272AD6" w14:textId="77777777">
        <w:trPr>
          <w:trHeight w:val="300"/>
        </w:trPr>
        <w:tc>
          <w:tcPr>
            <w:tcW w:w="4060" w:type="dxa"/>
            <w:tcBorders>
              <w:top w:val="single" w:sz="4" w:space="0" w:color="ADD6EA"/>
              <w:left w:val="nil"/>
              <w:bottom w:val="single" w:sz="4" w:space="0" w:color="ADD6EA"/>
              <w:right w:val="nil"/>
            </w:tcBorders>
            <w:noWrap/>
            <w:vAlign w:val="center"/>
            <w:hideMark/>
          </w:tcPr>
          <w:p w14:paraId="5F03B85C" w14:textId="77777777" w:rsidR="007007CC" w:rsidRPr="00AF7A45" w:rsidRDefault="007007CC">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Method changes</w:t>
            </w:r>
          </w:p>
        </w:tc>
        <w:tc>
          <w:tcPr>
            <w:tcW w:w="2440" w:type="dxa"/>
            <w:tcBorders>
              <w:top w:val="single" w:sz="4" w:space="0" w:color="ADD6EA"/>
              <w:left w:val="nil"/>
              <w:bottom w:val="single" w:sz="4" w:space="0" w:color="ADD6EA"/>
              <w:right w:val="nil"/>
            </w:tcBorders>
            <w:noWrap/>
            <w:vAlign w:val="center"/>
            <w:hideMark/>
          </w:tcPr>
          <w:p w14:paraId="2CC48EE5" w14:textId="77777777" w:rsidR="007007CC" w:rsidRPr="00AF7A45" w:rsidRDefault="007007CC">
            <w:pPr>
              <w:tabs>
                <w:tab w:val="clear" w:pos="567"/>
              </w:tabs>
              <w:spacing w:before="0" w:line="240" w:lineRule="auto"/>
              <w:jc w:val="right"/>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237</w:t>
            </w:r>
          </w:p>
        </w:tc>
        <w:tc>
          <w:tcPr>
            <w:tcW w:w="2440" w:type="dxa"/>
            <w:tcBorders>
              <w:top w:val="single" w:sz="4" w:space="0" w:color="ADD6EA"/>
              <w:left w:val="nil"/>
              <w:bottom w:val="single" w:sz="4" w:space="0" w:color="ADD6EA"/>
              <w:right w:val="nil"/>
            </w:tcBorders>
            <w:noWrap/>
            <w:vAlign w:val="center"/>
            <w:hideMark/>
          </w:tcPr>
          <w:p w14:paraId="0BAAA922" w14:textId="77777777" w:rsidR="007007CC" w:rsidRPr="00AF7A45" w:rsidRDefault="007007CC">
            <w:pPr>
              <w:tabs>
                <w:tab w:val="clear" w:pos="567"/>
              </w:tabs>
              <w:spacing w:before="0" w:line="240" w:lineRule="auto"/>
              <w:jc w:val="right"/>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27</w:t>
            </w:r>
          </w:p>
        </w:tc>
      </w:tr>
      <w:tr w:rsidR="007007CC" w:rsidRPr="00AF7A45" w14:paraId="14352A42" w14:textId="77777777">
        <w:trPr>
          <w:trHeight w:val="300"/>
        </w:trPr>
        <w:tc>
          <w:tcPr>
            <w:tcW w:w="4060" w:type="dxa"/>
            <w:tcBorders>
              <w:top w:val="single" w:sz="4" w:space="0" w:color="ADD6EA"/>
              <w:left w:val="nil"/>
              <w:bottom w:val="single" w:sz="4" w:space="0" w:color="ADD6EA"/>
              <w:right w:val="nil"/>
            </w:tcBorders>
            <w:noWrap/>
            <w:vAlign w:val="center"/>
            <w:hideMark/>
          </w:tcPr>
          <w:p w14:paraId="52A31108" w14:textId="77777777" w:rsidR="007007CC" w:rsidRPr="00AF7A45" w:rsidRDefault="007007CC">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Data revisions</w:t>
            </w:r>
          </w:p>
        </w:tc>
        <w:tc>
          <w:tcPr>
            <w:tcW w:w="2440" w:type="dxa"/>
            <w:tcBorders>
              <w:top w:val="single" w:sz="4" w:space="0" w:color="ADD6EA"/>
              <w:left w:val="nil"/>
              <w:bottom w:val="single" w:sz="4" w:space="0" w:color="ADD6EA"/>
              <w:right w:val="nil"/>
            </w:tcBorders>
            <w:noWrap/>
            <w:vAlign w:val="center"/>
            <w:hideMark/>
          </w:tcPr>
          <w:p w14:paraId="54D15013" w14:textId="77777777" w:rsidR="007007CC" w:rsidRPr="00AF7A45" w:rsidRDefault="007007CC">
            <w:pPr>
              <w:tabs>
                <w:tab w:val="clear" w:pos="567"/>
              </w:tabs>
              <w:spacing w:before="0" w:line="240" w:lineRule="auto"/>
              <w:jc w:val="right"/>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729</w:t>
            </w:r>
          </w:p>
        </w:tc>
        <w:tc>
          <w:tcPr>
            <w:tcW w:w="2440" w:type="dxa"/>
            <w:tcBorders>
              <w:top w:val="single" w:sz="4" w:space="0" w:color="ADD6EA"/>
              <w:left w:val="nil"/>
              <w:bottom w:val="single" w:sz="4" w:space="0" w:color="ADD6EA"/>
              <w:right w:val="nil"/>
            </w:tcBorders>
            <w:noWrap/>
            <w:vAlign w:val="center"/>
            <w:hideMark/>
          </w:tcPr>
          <w:p w14:paraId="7CF9BF84" w14:textId="77777777" w:rsidR="007007CC" w:rsidRPr="00AF7A45" w:rsidRDefault="007007CC">
            <w:pPr>
              <w:tabs>
                <w:tab w:val="clear" w:pos="567"/>
              </w:tabs>
              <w:spacing w:before="0" w:line="240" w:lineRule="auto"/>
              <w:jc w:val="right"/>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84</w:t>
            </w:r>
          </w:p>
        </w:tc>
      </w:tr>
      <w:tr w:rsidR="007007CC" w:rsidRPr="00AF7A45" w14:paraId="70DBDA20" w14:textId="77777777">
        <w:trPr>
          <w:trHeight w:val="300"/>
        </w:trPr>
        <w:tc>
          <w:tcPr>
            <w:tcW w:w="4060" w:type="dxa"/>
            <w:tcBorders>
              <w:top w:val="single" w:sz="4" w:space="0" w:color="ADD6EA"/>
              <w:left w:val="nil"/>
              <w:bottom w:val="single" w:sz="4" w:space="0" w:color="ADD6EA"/>
              <w:right w:val="nil"/>
            </w:tcBorders>
            <w:noWrap/>
            <w:vAlign w:val="center"/>
            <w:hideMark/>
          </w:tcPr>
          <w:p w14:paraId="56A2F0D4" w14:textId="77777777" w:rsidR="007007CC" w:rsidRPr="00AF7A45" w:rsidRDefault="007007CC">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State circumstances</w:t>
            </w:r>
          </w:p>
        </w:tc>
        <w:tc>
          <w:tcPr>
            <w:tcW w:w="2440" w:type="dxa"/>
            <w:tcBorders>
              <w:top w:val="single" w:sz="4" w:space="0" w:color="ADD6EA"/>
              <w:left w:val="nil"/>
              <w:bottom w:val="single" w:sz="4" w:space="0" w:color="ADD6EA"/>
              <w:right w:val="nil"/>
            </w:tcBorders>
            <w:noWrap/>
            <w:vAlign w:val="center"/>
            <w:hideMark/>
          </w:tcPr>
          <w:p w14:paraId="43FDE076" w14:textId="77777777" w:rsidR="007007CC" w:rsidRPr="00AF7A45" w:rsidRDefault="007007CC">
            <w:pPr>
              <w:tabs>
                <w:tab w:val="clear" w:pos="567"/>
              </w:tabs>
              <w:spacing w:before="0" w:line="240" w:lineRule="auto"/>
              <w:jc w:val="right"/>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-966</w:t>
            </w:r>
          </w:p>
        </w:tc>
        <w:tc>
          <w:tcPr>
            <w:tcW w:w="2440" w:type="dxa"/>
            <w:tcBorders>
              <w:top w:val="single" w:sz="4" w:space="0" w:color="ADD6EA"/>
              <w:left w:val="nil"/>
              <w:bottom w:val="single" w:sz="4" w:space="0" w:color="ADD6EA"/>
              <w:right w:val="nil"/>
            </w:tcBorders>
            <w:noWrap/>
            <w:vAlign w:val="center"/>
            <w:hideMark/>
          </w:tcPr>
          <w:p w14:paraId="7D98FAD6" w14:textId="77777777" w:rsidR="007007CC" w:rsidRPr="00AF7A45" w:rsidRDefault="007007CC">
            <w:pPr>
              <w:tabs>
                <w:tab w:val="clear" w:pos="567"/>
              </w:tabs>
              <w:spacing w:before="0" w:line="240" w:lineRule="auto"/>
              <w:jc w:val="right"/>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-111</w:t>
            </w:r>
          </w:p>
        </w:tc>
      </w:tr>
      <w:tr w:rsidR="007007CC" w:rsidRPr="00AF7A45" w14:paraId="6DC7F9D1" w14:textId="77777777">
        <w:trPr>
          <w:trHeight w:val="300"/>
        </w:trPr>
        <w:tc>
          <w:tcPr>
            <w:tcW w:w="4060" w:type="dxa"/>
            <w:tcBorders>
              <w:top w:val="single" w:sz="4" w:space="0" w:color="ADD6EA"/>
              <w:left w:val="nil"/>
              <w:bottom w:val="single" w:sz="4" w:space="0" w:color="ADD6EA"/>
              <w:right w:val="nil"/>
            </w:tcBorders>
            <w:noWrap/>
            <w:vAlign w:val="center"/>
            <w:hideMark/>
          </w:tcPr>
          <w:p w14:paraId="3D4BFD87" w14:textId="77777777" w:rsidR="007007CC" w:rsidRPr="00AF7A45" w:rsidRDefault="007007CC">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Total</w:t>
            </w:r>
          </w:p>
        </w:tc>
        <w:tc>
          <w:tcPr>
            <w:tcW w:w="2440" w:type="dxa"/>
            <w:tcBorders>
              <w:top w:val="single" w:sz="4" w:space="0" w:color="ADD6EA"/>
              <w:left w:val="nil"/>
              <w:bottom w:val="single" w:sz="4" w:space="0" w:color="ADD6EA"/>
              <w:right w:val="nil"/>
            </w:tcBorders>
            <w:noWrap/>
            <w:vAlign w:val="center"/>
            <w:hideMark/>
          </w:tcPr>
          <w:p w14:paraId="274A0048" w14:textId="77777777" w:rsidR="007007CC" w:rsidRPr="00AF7A45" w:rsidRDefault="007007CC">
            <w:pPr>
              <w:tabs>
                <w:tab w:val="clear" w:pos="567"/>
              </w:tabs>
              <w:spacing w:before="0" w:line="240" w:lineRule="auto"/>
              <w:jc w:val="right"/>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0</w:t>
            </w:r>
          </w:p>
        </w:tc>
        <w:tc>
          <w:tcPr>
            <w:tcW w:w="2440" w:type="dxa"/>
            <w:tcBorders>
              <w:top w:val="single" w:sz="4" w:space="0" w:color="ADD6EA"/>
              <w:left w:val="nil"/>
              <w:bottom w:val="single" w:sz="4" w:space="0" w:color="ADD6EA"/>
              <w:right w:val="nil"/>
            </w:tcBorders>
            <w:noWrap/>
            <w:vAlign w:val="center"/>
            <w:hideMark/>
          </w:tcPr>
          <w:p w14:paraId="5CF994A2" w14:textId="77777777" w:rsidR="007007CC" w:rsidRPr="00AF7A45" w:rsidRDefault="007007CC">
            <w:pPr>
              <w:tabs>
                <w:tab w:val="clear" w:pos="567"/>
              </w:tabs>
              <w:spacing w:before="0" w:line="240" w:lineRule="auto"/>
              <w:jc w:val="right"/>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0</w:t>
            </w:r>
          </w:p>
        </w:tc>
      </w:tr>
      <w:tr w:rsidR="007007CC" w:rsidRPr="00AF7A45" w14:paraId="01567843" w14:textId="77777777">
        <w:trPr>
          <w:trHeight w:val="300"/>
        </w:trPr>
        <w:tc>
          <w:tcPr>
            <w:tcW w:w="4060" w:type="dxa"/>
            <w:tcBorders>
              <w:top w:val="single" w:sz="4" w:space="0" w:color="ADD6EA"/>
              <w:left w:val="nil"/>
              <w:bottom w:val="single" w:sz="4" w:space="0" w:color="ADD6EA"/>
              <w:right w:val="nil"/>
            </w:tcBorders>
            <w:noWrap/>
            <w:vAlign w:val="center"/>
            <w:hideMark/>
          </w:tcPr>
          <w:p w14:paraId="2BC7C781" w14:textId="186AF9D3" w:rsidR="007007CC" w:rsidRPr="00AF7A45" w:rsidRDefault="007007CC">
            <w:pPr>
              <w:tabs>
                <w:tab w:val="clear" w:pos="567"/>
              </w:tabs>
              <w:spacing w:before="0" w:line="240" w:lineRule="auto"/>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Blended relativities and GST floor</w:t>
            </w:r>
          </w:p>
        </w:tc>
        <w:tc>
          <w:tcPr>
            <w:tcW w:w="2440" w:type="dxa"/>
            <w:tcBorders>
              <w:top w:val="single" w:sz="4" w:space="0" w:color="ADD6EA"/>
              <w:left w:val="nil"/>
              <w:bottom w:val="single" w:sz="4" w:space="0" w:color="ADD6EA"/>
              <w:right w:val="nil"/>
            </w:tcBorders>
            <w:noWrap/>
            <w:vAlign w:val="center"/>
            <w:hideMark/>
          </w:tcPr>
          <w:p w14:paraId="2A3D6E04" w14:textId="77777777" w:rsidR="007007CC" w:rsidRPr="00AF7A45" w:rsidRDefault="007007CC">
            <w:pPr>
              <w:tabs>
                <w:tab w:val="clear" w:pos="567"/>
              </w:tabs>
              <w:spacing w:before="0" w:line="240" w:lineRule="auto"/>
              <w:jc w:val="right"/>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-252</w:t>
            </w:r>
          </w:p>
        </w:tc>
        <w:tc>
          <w:tcPr>
            <w:tcW w:w="2440" w:type="dxa"/>
            <w:tcBorders>
              <w:top w:val="single" w:sz="4" w:space="0" w:color="ADD6EA"/>
              <w:left w:val="nil"/>
              <w:bottom w:val="single" w:sz="4" w:space="0" w:color="ADD6EA"/>
              <w:right w:val="nil"/>
            </w:tcBorders>
            <w:noWrap/>
            <w:vAlign w:val="center"/>
            <w:hideMark/>
          </w:tcPr>
          <w:p w14:paraId="11B2543E" w14:textId="77777777" w:rsidR="007007CC" w:rsidRPr="00AF7A45" w:rsidRDefault="007007CC">
            <w:pPr>
              <w:tabs>
                <w:tab w:val="clear" w:pos="567"/>
              </w:tabs>
              <w:spacing w:before="0" w:line="240" w:lineRule="auto"/>
              <w:jc w:val="right"/>
              <w:rPr>
                <w:rFonts w:ascii="Open Sans Light" w:eastAsia="Times New Roman" w:hAnsi="Open Sans Light" w:cs="Open Sans Light"/>
                <w:sz w:val="16"/>
                <w:szCs w:val="16"/>
                <w:lang w:eastAsia="en-AU"/>
              </w:rPr>
            </w:pPr>
            <w:r w:rsidRPr="00AF7A45">
              <w:rPr>
                <w:rFonts w:ascii="Open Sans Light" w:eastAsia="Times New Roman" w:hAnsi="Open Sans Light" w:cs="Open Sans Light"/>
                <w:sz w:val="16"/>
                <w:szCs w:val="16"/>
                <w:lang w:eastAsia="en-AU"/>
              </w:rPr>
              <w:t>-29</w:t>
            </w:r>
          </w:p>
        </w:tc>
      </w:tr>
      <w:tr w:rsidR="007007CC" w:rsidRPr="00AF7A45" w14:paraId="6A529EAE" w14:textId="77777777">
        <w:trPr>
          <w:trHeight w:val="300"/>
        </w:trPr>
        <w:tc>
          <w:tcPr>
            <w:tcW w:w="4060" w:type="dxa"/>
            <w:tcBorders>
              <w:top w:val="single" w:sz="4" w:space="0" w:color="ADD6EA"/>
              <w:left w:val="nil"/>
              <w:bottom w:val="single" w:sz="4" w:space="0" w:color="ADD6EA"/>
              <w:right w:val="nil"/>
            </w:tcBorders>
            <w:shd w:val="clear" w:color="000000" w:fill="D6E7F0"/>
            <w:noWrap/>
            <w:vAlign w:val="center"/>
            <w:hideMark/>
          </w:tcPr>
          <w:p w14:paraId="6D505C7B" w14:textId="77777777" w:rsidR="007007CC" w:rsidRPr="00AF7A45" w:rsidRDefault="007007CC">
            <w:pPr>
              <w:tabs>
                <w:tab w:val="clear" w:pos="567"/>
              </w:tabs>
              <w:spacing w:before="0" w:line="240" w:lineRule="auto"/>
              <w:rPr>
                <w:rFonts w:ascii="Open Sans Semibold" w:eastAsia="Times New Roman" w:hAnsi="Open Sans Semibold" w:cs="Open Sans Semibold"/>
                <w:color w:val="000000"/>
                <w:sz w:val="16"/>
                <w:szCs w:val="16"/>
                <w:lang w:eastAsia="en-AU"/>
              </w:rPr>
            </w:pPr>
            <w:r w:rsidRPr="00AF7A45">
              <w:rPr>
                <w:rFonts w:ascii="Open Sans Semibold" w:eastAsia="Times New Roman" w:hAnsi="Open Sans Semibold" w:cs="Open Sans Semibold"/>
                <w:color w:val="000000"/>
                <w:sz w:val="16"/>
                <w:szCs w:val="16"/>
                <w:lang w:eastAsia="en-AU"/>
              </w:rPr>
              <w:t>Total change</w:t>
            </w:r>
          </w:p>
        </w:tc>
        <w:tc>
          <w:tcPr>
            <w:tcW w:w="2440" w:type="dxa"/>
            <w:tcBorders>
              <w:top w:val="single" w:sz="4" w:space="0" w:color="ADD6EA"/>
              <w:left w:val="nil"/>
              <w:bottom w:val="single" w:sz="4" w:space="0" w:color="ADD6EA"/>
              <w:right w:val="nil"/>
            </w:tcBorders>
            <w:shd w:val="clear" w:color="000000" w:fill="D6E7F0"/>
            <w:noWrap/>
            <w:vAlign w:val="center"/>
            <w:hideMark/>
          </w:tcPr>
          <w:p w14:paraId="3EF8D917" w14:textId="77777777" w:rsidR="007007CC" w:rsidRPr="00AF7A45" w:rsidRDefault="007007C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F7A45">
              <w:rPr>
                <w:rFonts w:ascii="Open Sans Semibold" w:eastAsia="Times New Roman" w:hAnsi="Open Sans Semibold" w:cs="Open Sans Semibold"/>
                <w:color w:val="000000"/>
                <w:sz w:val="16"/>
                <w:szCs w:val="16"/>
                <w:lang w:eastAsia="en-AU"/>
              </w:rPr>
              <w:t>942</w:t>
            </w:r>
          </w:p>
        </w:tc>
        <w:tc>
          <w:tcPr>
            <w:tcW w:w="2440" w:type="dxa"/>
            <w:tcBorders>
              <w:top w:val="single" w:sz="4" w:space="0" w:color="ADD6EA"/>
              <w:left w:val="nil"/>
              <w:bottom w:val="single" w:sz="4" w:space="0" w:color="ADD6EA"/>
              <w:right w:val="nil"/>
            </w:tcBorders>
            <w:shd w:val="clear" w:color="000000" w:fill="D6E7F0"/>
            <w:noWrap/>
            <w:vAlign w:val="center"/>
            <w:hideMark/>
          </w:tcPr>
          <w:p w14:paraId="6BAD16DA" w14:textId="77777777" w:rsidR="007007CC" w:rsidRPr="00AF7A45" w:rsidRDefault="007007C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F7A45">
              <w:rPr>
                <w:rFonts w:ascii="Open Sans Semibold" w:eastAsia="Times New Roman" w:hAnsi="Open Sans Semibold" w:cs="Open Sans Semibold"/>
                <w:color w:val="000000"/>
                <w:sz w:val="16"/>
                <w:szCs w:val="16"/>
                <w:lang w:eastAsia="en-AU"/>
              </w:rPr>
              <w:t>109</w:t>
            </w:r>
          </w:p>
        </w:tc>
      </w:tr>
    </w:tbl>
    <w:p w14:paraId="291AE0CC" w14:textId="77777777" w:rsidR="00D92F49" w:rsidRDefault="0019268A" w:rsidP="0019268A">
      <w:pPr>
        <w:pStyle w:val="CGC2025TableNote"/>
      </w:pPr>
      <w:r>
        <w:t>Note: Table may not add due to rounding.</w:t>
      </w:r>
    </w:p>
    <w:p w14:paraId="70FC49D7" w14:textId="77777777" w:rsidR="00D92F49" w:rsidRDefault="00D92F49" w:rsidP="00D92F49">
      <w:pPr>
        <w:pStyle w:val="CGC2025TableNote"/>
        <w:ind w:left="0" w:firstLine="0"/>
      </w:pPr>
    </w:p>
    <w:p w14:paraId="1F96D409" w14:textId="77777777" w:rsidR="00D92F49" w:rsidRDefault="00D92F49">
      <w:pPr>
        <w:tabs>
          <w:tab w:val="clear" w:pos="567"/>
        </w:tabs>
        <w:spacing w:before="0" w:after="200" w:line="276" w:lineRule="auto"/>
        <w:rPr>
          <w:sz w:val="14"/>
        </w:rPr>
      </w:pPr>
      <w:r>
        <w:br w:type="page"/>
      </w:r>
    </w:p>
    <w:p w14:paraId="7454A0D9" w14:textId="49AE0E75" w:rsidR="00D92F49" w:rsidRPr="00851890" w:rsidRDefault="00D92F49" w:rsidP="004550B7">
      <w:pPr>
        <w:pStyle w:val="CGC2025Caption"/>
        <w:ind w:left="1440" w:hanging="1440"/>
      </w:pPr>
      <w:r w:rsidRPr="00851890">
        <w:lastRenderedPageBreak/>
        <w:t>Figure 3-1</w:t>
      </w:r>
      <w:r w:rsidRPr="00851890">
        <w:tab/>
        <w:t>New South Wales: main changes in assessed GST needs, 2025</w:t>
      </w:r>
      <w:r w:rsidR="00442B05" w:rsidRPr="00851890">
        <w:rPr>
          <w:rFonts w:ascii="Times New Roman" w:hAnsi="Times New Roman" w:cs="Times New Roman"/>
        </w:rPr>
        <w:t>‍</w:t>
      </w:r>
      <w:r w:rsidRPr="00851890">
        <w:t>–</w:t>
      </w:r>
      <w:r w:rsidR="00442B05" w:rsidRPr="00851890">
        <w:rPr>
          <w:rFonts w:ascii="Times New Roman" w:hAnsi="Times New Roman" w:cs="Times New Roman"/>
        </w:rPr>
        <w:t>‍</w:t>
      </w:r>
      <w:r w:rsidRPr="00851890">
        <w:t>26</w:t>
      </w:r>
      <w:r w:rsidR="005C328E">
        <w:t> </w:t>
      </w:r>
      <w:r w:rsidRPr="00851890">
        <w:t>relativities</w:t>
      </w:r>
    </w:p>
    <w:tbl>
      <w:tblPr>
        <w:tblW w:w="8940" w:type="dxa"/>
        <w:tblLook w:val="04A0" w:firstRow="1" w:lastRow="0" w:firstColumn="1" w:lastColumn="0" w:noHBand="0" w:noVBand="1"/>
      </w:tblPr>
      <w:tblGrid>
        <w:gridCol w:w="2640"/>
        <w:gridCol w:w="700"/>
        <w:gridCol w:w="700"/>
        <w:gridCol w:w="4900"/>
      </w:tblGrid>
      <w:tr w:rsidR="004550B7" w:rsidRPr="009E0790" w14:paraId="4D2A679F" w14:textId="77777777">
        <w:trPr>
          <w:trHeight w:val="390"/>
        </w:trPr>
        <w:tc>
          <w:tcPr>
            <w:tcW w:w="8940" w:type="dxa"/>
            <w:gridSpan w:val="4"/>
            <w:tcBorders>
              <w:top w:val="nil"/>
              <w:left w:val="nil"/>
              <w:bottom w:val="nil"/>
              <w:right w:val="nil"/>
            </w:tcBorders>
            <w:shd w:val="clear" w:color="000000" w:fill="006991"/>
            <w:vAlign w:val="center"/>
            <w:hideMark/>
          </w:tcPr>
          <w:p w14:paraId="0E8CDDEC" w14:textId="77777777" w:rsidR="004550B7" w:rsidRPr="009E0790" w:rsidRDefault="004550B7">
            <w:pPr>
              <w:tabs>
                <w:tab w:val="clear" w:pos="567"/>
              </w:tabs>
              <w:spacing w:before="0" w:line="240" w:lineRule="auto"/>
              <w:rPr>
                <w:rFonts w:ascii="Open Sans Semibold" w:eastAsia="Times New Roman" w:hAnsi="Open Sans Semibold" w:cs="Open Sans Semibold"/>
                <w:color w:val="FFFFFF"/>
                <w:sz w:val="16"/>
                <w:szCs w:val="16"/>
                <w:lang w:eastAsia="en-AU"/>
              </w:rPr>
            </w:pPr>
            <w:r w:rsidRPr="009E0790">
              <w:rPr>
                <w:rFonts w:ascii="Open Sans Semibold" w:eastAsia="Times New Roman" w:hAnsi="Open Sans Semibold" w:cs="Open Sans Semibold"/>
                <w:color w:val="FFFFFF"/>
                <w:sz w:val="16"/>
                <w:szCs w:val="16"/>
                <w:lang w:eastAsia="en-AU"/>
              </w:rPr>
              <w:t>Method changes</w:t>
            </w:r>
          </w:p>
        </w:tc>
      </w:tr>
      <w:tr w:rsidR="004550B7" w:rsidRPr="009E0790" w14:paraId="3E6A45D6" w14:textId="77777777">
        <w:trPr>
          <w:trHeight w:val="255"/>
        </w:trPr>
        <w:tc>
          <w:tcPr>
            <w:tcW w:w="2640" w:type="dxa"/>
            <w:tcBorders>
              <w:top w:val="single" w:sz="4" w:space="0" w:color="ADD6EA"/>
              <w:left w:val="nil"/>
              <w:bottom w:val="nil"/>
              <w:right w:val="nil"/>
            </w:tcBorders>
            <w:shd w:val="clear" w:color="000000" w:fill="D6E7F0"/>
            <w:hideMark/>
          </w:tcPr>
          <w:p w14:paraId="6ED62423" w14:textId="77777777" w:rsidR="004550B7" w:rsidRPr="009E0790" w:rsidRDefault="004550B7">
            <w:pPr>
              <w:tabs>
                <w:tab w:val="clear" w:pos="567"/>
              </w:tabs>
              <w:spacing w:before="0" w:line="240" w:lineRule="auto"/>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283549B4" w14:textId="77777777" w:rsidR="004550B7" w:rsidRPr="009E0790" w:rsidRDefault="004550B7">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1F5942F4" w14:textId="77777777" w:rsidR="004550B7" w:rsidRPr="009E0790" w:rsidRDefault="004550B7">
            <w:pPr>
              <w:tabs>
                <w:tab w:val="clear" w:pos="567"/>
              </w:tabs>
              <w:spacing w:before="0" w:line="240" w:lineRule="auto"/>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Explanation</w:t>
            </w:r>
          </w:p>
        </w:tc>
      </w:tr>
      <w:tr w:rsidR="004550B7" w:rsidRPr="009E0790" w14:paraId="22DE6A4B" w14:textId="77777777">
        <w:trPr>
          <w:trHeight w:val="255"/>
        </w:trPr>
        <w:tc>
          <w:tcPr>
            <w:tcW w:w="2640" w:type="dxa"/>
            <w:tcBorders>
              <w:top w:val="single" w:sz="4" w:space="0" w:color="ADD6EA"/>
              <w:left w:val="nil"/>
              <w:bottom w:val="nil"/>
              <w:right w:val="nil"/>
            </w:tcBorders>
            <w:shd w:val="clear" w:color="000000" w:fill="B6D5E4"/>
            <w:hideMark/>
          </w:tcPr>
          <w:p w14:paraId="0E05E941" w14:textId="77777777" w:rsidR="004550B7" w:rsidRPr="009E0790" w:rsidRDefault="004550B7">
            <w:pPr>
              <w:tabs>
                <w:tab w:val="clear" w:pos="567"/>
              </w:tabs>
              <w:spacing w:before="0" w:line="240" w:lineRule="auto"/>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13D2132B" w14:textId="77777777" w:rsidR="004550B7" w:rsidRPr="009E0790" w:rsidRDefault="004550B7">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7D362711" w14:textId="77777777" w:rsidR="004550B7" w:rsidRPr="009E0790" w:rsidRDefault="004550B7">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2185BE33" w14:textId="77777777" w:rsidR="004550B7" w:rsidRPr="009E0790" w:rsidRDefault="004550B7">
            <w:pPr>
              <w:tabs>
                <w:tab w:val="clear" w:pos="567"/>
              </w:tabs>
              <w:spacing w:before="0" w:line="240" w:lineRule="auto"/>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 </w:t>
            </w:r>
          </w:p>
        </w:tc>
      </w:tr>
      <w:tr w:rsidR="004550B7" w:rsidRPr="009E0790" w14:paraId="79729495" w14:textId="77777777">
        <w:trPr>
          <w:trHeight w:val="795"/>
        </w:trPr>
        <w:tc>
          <w:tcPr>
            <w:tcW w:w="2640" w:type="dxa"/>
            <w:tcBorders>
              <w:top w:val="single" w:sz="4" w:space="0" w:color="ADD6EA"/>
              <w:left w:val="nil"/>
              <w:bottom w:val="nil"/>
              <w:right w:val="nil"/>
            </w:tcBorders>
            <w:shd w:val="clear" w:color="000000" w:fill="FFFFFF"/>
            <w:hideMark/>
          </w:tcPr>
          <w:p w14:paraId="49A088D3" w14:textId="63374DBD" w:rsidR="004550B7" w:rsidRPr="009E0790" w:rsidRDefault="004550B7">
            <w:pPr>
              <w:tabs>
                <w:tab w:val="clear" w:pos="567"/>
              </w:tabs>
              <w:spacing w:before="0" w:line="240" w:lineRule="auto"/>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 xml:space="preserve">COVID-19 in </w:t>
            </w:r>
            <w:r w:rsidR="00D55876">
              <w:rPr>
                <w:rFonts w:ascii="Open Sans Light" w:eastAsia="Times New Roman" w:hAnsi="Open Sans Light" w:cs="Open Sans Light"/>
                <w:color w:val="000000"/>
                <w:sz w:val="16"/>
                <w:szCs w:val="16"/>
                <w:lang w:eastAsia="en-AU"/>
              </w:rPr>
              <w:t>s</w:t>
            </w:r>
            <w:r w:rsidR="00D55876" w:rsidRPr="009E0790">
              <w:rPr>
                <w:rFonts w:ascii="Open Sans Light" w:eastAsia="Times New Roman" w:hAnsi="Open Sans Light" w:cs="Open Sans Light"/>
                <w:color w:val="000000"/>
                <w:sz w:val="16"/>
                <w:szCs w:val="16"/>
                <w:lang w:eastAsia="en-AU"/>
              </w:rPr>
              <w:t xml:space="preserve">ervices </w:t>
            </w:r>
            <w:r w:rsidRPr="009E0790">
              <w:rPr>
                <w:rFonts w:ascii="Open Sans Light" w:eastAsia="Times New Roman" w:hAnsi="Open Sans Light" w:cs="Open Sans Light"/>
                <w:color w:val="000000"/>
                <w:sz w:val="16"/>
                <w:szCs w:val="16"/>
                <w:lang w:eastAsia="en-AU"/>
              </w:rPr>
              <w:t>to industry</w:t>
            </w:r>
          </w:p>
        </w:tc>
        <w:tc>
          <w:tcPr>
            <w:tcW w:w="700" w:type="dxa"/>
            <w:tcBorders>
              <w:top w:val="single" w:sz="4" w:space="0" w:color="ADD6EA"/>
              <w:left w:val="nil"/>
              <w:bottom w:val="nil"/>
              <w:right w:val="nil"/>
            </w:tcBorders>
            <w:shd w:val="clear" w:color="000000" w:fill="ADD6EA"/>
            <w:hideMark/>
          </w:tcPr>
          <w:p w14:paraId="2EADEEBB" w14:textId="77777777" w:rsidR="004550B7" w:rsidRPr="009E0790" w:rsidRDefault="004550B7">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456</w:t>
            </w:r>
          </w:p>
        </w:tc>
        <w:tc>
          <w:tcPr>
            <w:tcW w:w="700" w:type="dxa"/>
            <w:tcBorders>
              <w:top w:val="single" w:sz="4" w:space="0" w:color="ADD6EA"/>
              <w:left w:val="nil"/>
              <w:bottom w:val="nil"/>
              <w:right w:val="nil"/>
            </w:tcBorders>
            <w:shd w:val="clear" w:color="000000" w:fill="ADD6EA"/>
            <w:hideMark/>
          </w:tcPr>
          <w:p w14:paraId="61AC3ADF" w14:textId="77777777" w:rsidR="004550B7" w:rsidRPr="009E0790" w:rsidRDefault="004550B7">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53</w:t>
            </w:r>
          </w:p>
        </w:tc>
        <w:tc>
          <w:tcPr>
            <w:tcW w:w="4900" w:type="dxa"/>
            <w:tcBorders>
              <w:top w:val="single" w:sz="4" w:space="0" w:color="ADD6EA"/>
              <w:left w:val="nil"/>
              <w:bottom w:val="nil"/>
              <w:right w:val="nil"/>
            </w:tcBorders>
            <w:shd w:val="clear" w:color="000000" w:fill="FFFFFF"/>
            <w:hideMark/>
          </w:tcPr>
          <w:p w14:paraId="275B6D08" w14:textId="3626A61C" w:rsidR="004550B7" w:rsidRPr="009E0790" w:rsidRDefault="004550B7">
            <w:pPr>
              <w:tabs>
                <w:tab w:val="clear" w:pos="567"/>
              </w:tabs>
              <w:spacing w:before="0" w:line="240" w:lineRule="auto"/>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The Commission introduced an actual per capita assessment of COVID-19 business support expenses covered by the national partnership agreements. New South Wales' above-average COVID-19 business support expenses increased its assessed GST</w:t>
            </w:r>
            <w:r w:rsidR="00A97DBE">
              <w:rPr>
                <w:rFonts w:ascii="Open Sans Light" w:eastAsia="Times New Roman" w:hAnsi="Open Sans Light" w:cs="Open Sans Light"/>
                <w:color w:val="000000"/>
                <w:sz w:val="16"/>
                <w:szCs w:val="16"/>
                <w:lang w:eastAsia="en-AU"/>
              </w:rPr>
              <w:t> </w:t>
            </w:r>
            <w:r w:rsidRPr="009E0790">
              <w:rPr>
                <w:rFonts w:ascii="Open Sans Light" w:eastAsia="Times New Roman" w:hAnsi="Open Sans Light" w:cs="Open Sans Light"/>
                <w:color w:val="000000"/>
                <w:sz w:val="16"/>
                <w:szCs w:val="16"/>
                <w:lang w:eastAsia="en-AU"/>
              </w:rPr>
              <w:t>needs.</w:t>
            </w:r>
          </w:p>
        </w:tc>
      </w:tr>
      <w:tr w:rsidR="004550B7" w:rsidRPr="009E0790" w14:paraId="64DC2174" w14:textId="77777777">
        <w:trPr>
          <w:trHeight w:val="1343"/>
        </w:trPr>
        <w:tc>
          <w:tcPr>
            <w:tcW w:w="2640" w:type="dxa"/>
            <w:tcBorders>
              <w:top w:val="single" w:sz="4" w:space="0" w:color="ADD6EA"/>
              <w:left w:val="nil"/>
              <w:bottom w:val="nil"/>
              <w:right w:val="nil"/>
            </w:tcBorders>
            <w:shd w:val="clear" w:color="000000" w:fill="FFFFFF"/>
            <w:hideMark/>
          </w:tcPr>
          <w:p w14:paraId="3BBB1FAD" w14:textId="6E85262A" w:rsidR="004550B7" w:rsidRPr="009E0790" w:rsidRDefault="004550B7">
            <w:pPr>
              <w:tabs>
                <w:tab w:val="clear" w:pos="567"/>
              </w:tabs>
              <w:spacing w:before="0" w:line="240" w:lineRule="auto"/>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 xml:space="preserve">Change to square km density measure in </w:t>
            </w:r>
            <w:r w:rsidR="000D72F7">
              <w:rPr>
                <w:rFonts w:ascii="Open Sans Light" w:eastAsia="Times New Roman" w:hAnsi="Open Sans Light" w:cs="Open Sans Light"/>
                <w:color w:val="000000"/>
                <w:sz w:val="16"/>
                <w:szCs w:val="16"/>
                <w:lang w:eastAsia="en-AU"/>
              </w:rPr>
              <w:t>t</w:t>
            </w:r>
            <w:r w:rsidRPr="009E0790">
              <w:rPr>
                <w:rFonts w:ascii="Open Sans Light" w:eastAsia="Times New Roman" w:hAnsi="Open Sans Light" w:cs="Open Sans Light"/>
                <w:color w:val="000000"/>
                <w:sz w:val="16"/>
                <w:szCs w:val="16"/>
                <w:lang w:eastAsia="en-AU"/>
              </w:rPr>
              <w:t>ransport</w:t>
            </w:r>
          </w:p>
        </w:tc>
        <w:tc>
          <w:tcPr>
            <w:tcW w:w="700" w:type="dxa"/>
            <w:tcBorders>
              <w:top w:val="single" w:sz="4" w:space="0" w:color="ADD6EA"/>
              <w:left w:val="nil"/>
              <w:bottom w:val="nil"/>
              <w:right w:val="nil"/>
            </w:tcBorders>
            <w:shd w:val="clear" w:color="000000" w:fill="EBBFA0"/>
            <w:hideMark/>
          </w:tcPr>
          <w:p w14:paraId="14BAF9F4" w14:textId="77777777" w:rsidR="004550B7" w:rsidRPr="009E0790" w:rsidRDefault="004550B7">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-254</w:t>
            </w:r>
          </w:p>
        </w:tc>
        <w:tc>
          <w:tcPr>
            <w:tcW w:w="700" w:type="dxa"/>
            <w:tcBorders>
              <w:top w:val="single" w:sz="4" w:space="0" w:color="ADD6EA"/>
              <w:left w:val="nil"/>
              <w:bottom w:val="nil"/>
              <w:right w:val="nil"/>
            </w:tcBorders>
            <w:shd w:val="clear" w:color="000000" w:fill="EBBFA0"/>
            <w:hideMark/>
          </w:tcPr>
          <w:p w14:paraId="6413D1C4" w14:textId="77777777" w:rsidR="004550B7" w:rsidRPr="009E0790" w:rsidRDefault="004550B7">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-29</w:t>
            </w:r>
          </w:p>
        </w:tc>
        <w:tc>
          <w:tcPr>
            <w:tcW w:w="4900" w:type="dxa"/>
            <w:tcBorders>
              <w:top w:val="single" w:sz="4" w:space="0" w:color="ADD6EA"/>
              <w:left w:val="nil"/>
              <w:bottom w:val="nil"/>
              <w:right w:val="nil"/>
            </w:tcBorders>
            <w:shd w:val="clear" w:color="000000" w:fill="FFFFFF"/>
            <w:hideMark/>
          </w:tcPr>
          <w:p w14:paraId="67633B05" w14:textId="179F2027" w:rsidR="004550B7" w:rsidRPr="009E0790" w:rsidRDefault="004550B7">
            <w:pPr>
              <w:tabs>
                <w:tab w:val="clear" w:pos="567"/>
              </w:tabs>
              <w:spacing w:before="0" w:line="240" w:lineRule="auto"/>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To improve comparability and reduce volatility, the Commission updated its measure of population-weighted density to a measure based on population per square km rather than population for each ABS SA1. This reduced the population</w:t>
            </w:r>
            <w:r w:rsidR="002F017D" w:rsidRPr="007872D7">
              <w:rPr>
                <w:rFonts w:ascii="Arial" w:eastAsia="Times New Roman" w:hAnsi="Arial" w:cs="Arial"/>
                <w:color w:val="000000"/>
                <w:sz w:val="16"/>
                <w:szCs w:val="16"/>
                <w:lang w:eastAsia="en-AU"/>
              </w:rPr>
              <w:t>‍</w:t>
            </w:r>
            <w:r w:rsidRPr="009E0790">
              <w:rPr>
                <w:rFonts w:ascii="Open Sans Light" w:eastAsia="Times New Roman" w:hAnsi="Open Sans Light" w:cs="Open Sans Light"/>
                <w:color w:val="000000"/>
                <w:sz w:val="16"/>
                <w:szCs w:val="16"/>
                <w:lang w:eastAsia="en-AU"/>
              </w:rPr>
              <w:t>-</w:t>
            </w:r>
            <w:r w:rsidR="002F017D" w:rsidRPr="007872D7">
              <w:rPr>
                <w:rFonts w:ascii="Arial" w:eastAsia="Times New Roman" w:hAnsi="Arial" w:cs="Arial"/>
                <w:color w:val="000000"/>
                <w:sz w:val="16"/>
                <w:szCs w:val="16"/>
                <w:lang w:eastAsia="en-AU"/>
              </w:rPr>
              <w:t>‍</w:t>
            </w:r>
            <w:r w:rsidRPr="009E0790">
              <w:rPr>
                <w:rFonts w:ascii="Open Sans Light" w:eastAsia="Times New Roman" w:hAnsi="Open Sans Light" w:cs="Open Sans Light"/>
                <w:color w:val="000000"/>
                <w:sz w:val="16"/>
                <w:szCs w:val="16"/>
                <w:lang w:eastAsia="en-AU"/>
              </w:rPr>
              <w:t>weighted density of Sydney relative to other urban areas, reducing New South Wales' assessed GST needs.</w:t>
            </w:r>
          </w:p>
        </w:tc>
      </w:tr>
      <w:tr w:rsidR="004550B7" w:rsidRPr="009E0790" w14:paraId="79D3DAB7" w14:textId="77777777">
        <w:trPr>
          <w:trHeight w:val="795"/>
        </w:trPr>
        <w:tc>
          <w:tcPr>
            <w:tcW w:w="2640" w:type="dxa"/>
            <w:tcBorders>
              <w:top w:val="single" w:sz="4" w:space="0" w:color="ADD6EA"/>
              <w:left w:val="nil"/>
              <w:bottom w:val="single" w:sz="4" w:space="0" w:color="ADD6EA"/>
              <w:right w:val="nil"/>
            </w:tcBorders>
            <w:shd w:val="clear" w:color="000000" w:fill="FFFFFF"/>
            <w:hideMark/>
          </w:tcPr>
          <w:p w14:paraId="6BFC5BE5" w14:textId="668C8948" w:rsidR="004550B7" w:rsidRPr="009E0790" w:rsidRDefault="004550B7">
            <w:pPr>
              <w:tabs>
                <w:tab w:val="clear" w:pos="567"/>
              </w:tabs>
              <w:spacing w:before="0" w:line="240" w:lineRule="auto"/>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 xml:space="preserve">COVID-19 in </w:t>
            </w:r>
            <w:r w:rsidR="000D72F7">
              <w:rPr>
                <w:rFonts w:ascii="Open Sans Light" w:eastAsia="Times New Roman" w:hAnsi="Open Sans Light" w:cs="Open Sans Light"/>
                <w:color w:val="000000"/>
                <w:sz w:val="16"/>
                <w:szCs w:val="16"/>
                <w:lang w:eastAsia="en-AU"/>
              </w:rPr>
              <w:t>h</w:t>
            </w:r>
            <w:r w:rsidRPr="009E0790">
              <w:rPr>
                <w:rFonts w:ascii="Open Sans Light" w:eastAsia="Times New Roman" w:hAnsi="Open Sans Light" w:cs="Open Sans Light"/>
                <w:color w:val="000000"/>
                <w:sz w:val="16"/>
                <w:szCs w:val="16"/>
                <w:lang w:eastAsia="en-AU"/>
              </w:rPr>
              <w:t>ealth</w:t>
            </w:r>
          </w:p>
        </w:tc>
        <w:tc>
          <w:tcPr>
            <w:tcW w:w="700" w:type="dxa"/>
            <w:tcBorders>
              <w:top w:val="single" w:sz="4" w:space="0" w:color="ADD6EA"/>
              <w:left w:val="nil"/>
              <w:bottom w:val="single" w:sz="4" w:space="0" w:color="ADD6EA"/>
              <w:right w:val="nil"/>
            </w:tcBorders>
            <w:shd w:val="clear" w:color="000000" w:fill="ADD6EA"/>
            <w:hideMark/>
          </w:tcPr>
          <w:p w14:paraId="4B5E4A97" w14:textId="77777777" w:rsidR="004550B7" w:rsidRPr="009E0790" w:rsidRDefault="004550B7">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209</w:t>
            </w:r>
          </w:p>
        </w:tc>
        <w:tc>
          <w:tcPr>
            <w:tcW w:w="700" w:type="dxa"/>
            <w:tcBorders>
              <w:top w:val="single" w:sz="4" w:space="0" w:color="ADD6EA"/>
              <w:left w:val="nil"/>
              <w:bottom w:val="single" w:sz="4" w:space="0" w:color="ADD6EA"/>
              <w:right w:val="nil"/>
            </w:tcBorders>
            <w:shd w:val="clear" w:color="000000" w:fill="ADD6EA"/>
            <w:hideMark/>
          </w:tcPr>
          <w:p w14:paraId="7B6059FE" w14:textId="77777777" w:rsidR="004550B7" w:rsidRPr="009E0790" w:rsidRDefault="004550B7">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24</w:t>
            </w:r>
          </w:p>
        </w:tc>
        <w:tc>
          <w:tcPr>
            <w:tcW w:w="4900" w:type="dxa"/>
            <w:tcBorders>
              <w:top w:val="single" w:sz="4" w:space="0" w:color="ADD6EA"/>
              <w:left w:val="nil"/>
              <w:bottom w:val="nil"/>
              <w:right w:val="nil"/>
            </w:tcBorders>
            <w:shd w:val="clear" w:color="000000" w:fill="FFFFFF"/>
            <w:hideMark/>
          </w:tcPr>
          <w:p w14:paraId="3A696EFE" w14:textId="77777777" w:rsidR="004550B7" w:rsidRPr="009E0790" w:rsidRDefault="004550B7">
            <w:pPr>
              <w:tabs>
                <w:tab w:val="clear" w:pos="567"/>
              </w:tabs>
              <w:spacing w:before="0" w:line="240" w:lineRule="auto"/>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The Commission introduced an actual per capita assessment of COVID-19 health expenses covered by the national partnership agreement. New South Wales' above-average COVID-19 health expenses increased its assessed GST needs.</w:t>
            </w:r>
          </w:p>
        </w:tc>
      </w:tr>
      <w:tr w:rsidR="004550B7" w:rsidRPr="009E0790" w14:paraId="2C7A24AB" w14:textId="77777777">
        <w:trPr>
          <w:trHeight w:val="379"/>
        </w:trPr>
        <w:tc>
          <w:tcPr>
            <w:tcW w:w="8940" w:type="dxa"/>
            <w:gridSpan w:val="4"/>
            <w:tcBorders>
              <w:top w:val="single" w:sz="4" w:space="0" w:color="ADD6EA"/>
              <w:left w:val="nil"/>
              <w:bottom w:val="nil"/>
              <w:right w:val="nil"/>
            </w:tcBorders>
            <w:shd w:val="clear" w:color="000000" w:fill="006991"/>
            <w:vAlign w:val="center"/>
            <w:hideMark/>
          </w:tcPr>
          <w:p w14:paraId="4F7A9385" w14:textId="77777777" w:rsidR="004550B7" w:rsidRPr="009E0790" w:rsidRDefault="004550B7">
            <w:pPr>
              <w:tabs>
                <w:tab w:val="clear" w:pos="567"/>
              </w:tabs>
              <w:spacing w:before="0" w:line="240" w:lineRule="auto"/>
              <w:rPr>
                <w:rFonts w:ascii="Open Sans Semibold" w:eastAsia="Times New Roman" w:hAnsi="Open Sans Semibold" w:cs="Open Sans Semibold"/>
                <w:color w:val="FFFFFF"/>
                <w:sz w:val="16"/>
                <w:szCs w:val="16"/>
                <w:lang w:eastAsia="en-AU"/>
              </w:rPr>
            </w:pPr>
            <w:r w:rsidRPr="009E0790">
              <w:rPr>
                <w:rFonts w:ascii="Open Sans Semibold" w:eastAsia="Times New Roman" w:hAnsi="Open Sans Semibold" w:cs="Open Sans Semibold"/>
                <w:color w:val="FFFFFF"/>
                <w:sz w:val="16"/>
                <w:szCs w:val="16"/>
                <w:lang w:eastAsia="en-AU"/>
              </w:rPr>
              <w:t>Revisions</w:t>
            </w:r>
          </w:p>
        </w:tc>
      </w:tr>
      <w:tr w:rsidR="004550B7" w:rsidRPr="009E0790" w14:paraId="32181EB2" w14:textId="77777777">
        <w:trPr>
          <w:trHeight w:val="255"/>
        </w:trPr>
        <w:tc>
          <w:tcPr>
            <w:tcW w:w="2640" w:type="dxa"/>
            <w:tcBorders>
              <w:top w:val="single" w:sz="4" w:space="0" w:color="ADD6EA"/>
              <w:left w:val="nil"/>
              <w:bottom w:val="nil"/>
              <w:right w:val="nil"/>
            </w:tcBorders>
            <w:shd w:val="clear" w:color="000000" w:fill="D6E7F0"/>
            <w:hideMark/>
          </w:tcPr>
          <w:p w14:paraId="64DD754F" w14:textId="77777777" w:rsidR="004550B7" w:rsidRPr="009E0790" w:rsidRDefault="004550B7">
            <w:pPr>
              <w:tabs>
                <w:tab w:val="clear" w:pos="567"/>
              </w:tabs>
              <w:spacing w:before="0" w:line="240" w:lineRule="auto"/>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1EEA3297" w14:textId="77777777" w:rsidR="004550B7" w:rsidRPr="009E0790" w:rsidRDefault="004550B7">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19A38AFF" w14:textId="77777777" w:rsidR="004550B7" w:rsidRPr="009E0790" w:rsidRDefault="004550B7">
            <w:pPr>
              <w:tabs>
                <w:tab w:val="clear" w:pos="567"/>
              </w:tabs>
              <w:spacing w:before="0" w:line="240" w:lineRule="auto"/>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Explanation</w:t>
            </w:r>
          </w:p>
        </w:tc>
      </w:tr>
      <w:tr w:rsidR="004550B7" w:rsidRPr="009E0790" w14:paraId="224B48A7" w14:textId="77777777">
        <w:trPr>
          <w:trHeight w:val="255"/>
        </w:trPr>
        <w:tc>
          <w:tcPr>
            <w:tcW w:w="2640" w:type="dxa"/>
            <w:tcBorders>
              <w:top w:val="single" w:sz="4" w:space="0" w:color="ADD6EA"/>
              <w:left w:val="nil"/>
              <w:bottom w:val="nil"/>
              <w:right w:val="nil"/>
            </w:tcBorders>
            <w:shd w:val="clear" w:color="000000" w:fill="B6D5E4"/>
            <w:hideMark/>
          </w:tcPr>
          <w:p w14:paraId="625E6622" w14:textId="77777777" w:rsidR="004550B7" w:rsidRPr="009E0790" w:rsidRDefault="004550B7">
            <w:pPr>
              <w:tabs>
                <w:tab w:val="clear" w:pos="567"/>
              </w:tabs>
              <w:spacing w:before="0" w:line="240" w:lineRule="auto"/>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5A810D87" w14:textId="77777777" w:rsidR="004550B7" w:rsidRPr="009E0790" w:rsidRDefault="004550B7">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23F0D274" w14:textId="77777777" w:rsidR="004550B7" w:rsidRPr="009E0790" w:rsidRDefault="004550B7">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68C680E2" w14:textId="77777777" w:rsidR="004550B7" w:rsidRPr="009E0790" w:rsidRDefault="004550B7">
            <w:pPr>
              <w:tabs>
                <w:tab w:val="clear" w:pos="567"/>
              </w:tabs>
              <w:spacing w:before="0" w:line="240" w:lineRule="auto"/>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 </w:t>
            </w:r>
          </w:p>
        </w:tc>
      </w:tr>
      <w:tr w:rsidR="004550B7" w:rsidRPr="009E0790" w14:paraId="21F60342" w14:textId="77777777">
        <w:trPr>
          <w:trHeight w:val="630"/>
        </w:trPr>
        <w:tc>
          <w:tcPr>
            <w:tcW w:w="2640" w:type="dxa"/>
            <w:tcBorders>
              <w:top w:val="single" w:sz="4" w:space="0" w:color="ADD6EA"/>
              <w:left w:val="nil"/>
              <w:bottom w:val="single" w:sz="4" w:space="0" w:color="ADD6EA"/>
              <w:right w:val="nil"/>
            </w:tcBorders>
            <w:shd w:val="clear" w:color="000000" w:fill="FFFFFF"/>
            <w:hideMark/>
          </w:tcPr>
          <w:p w14:paraId="3D2EED62" w14:textId="77777777" w:rsidR="004550B7" w:rsidRPr="009E0790" w:rsidRDefault="004550B7">
            <w:pPr>
              <w:tabs>
                <w:tab w:val="clear" w:pos="567"/>
              </w:tabs>
              <w:spacing w:before="0" w:line="240" w:lineRule="auto"/>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Natural disaster relief</w:t>
            </w:r>
          </w:p>
        </w:tc>
        <w:tc>
          <w:tcPr>
            <w:tcW w:w="700" w:type="dxa"/>
            <w:tcBorders>
              <w:top w:val="single" w:sz="4" w:space="0" w:color="ADD6EA"/>
              <w:left w:val="nil"/>
              <w:bottom w:val="single" w:sz="4" w:space="0" w:color="ADD6EA"/>
              <w:right w:val="nil"/>
            </w:tcBorders>
            <w:shd w:val="clear" w:color="000000" w:fill="ADD6EA"/>
            <w:hideMark/>
          </w:tcPr>
          <w:p w14:paraId="4C55A3B7" w14:textId="77777777" w:rsidR="004550B7" w:rsidRPr="009E0790" w:rsidRDefault="004550B7">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611</w:t>
            </w:r>
          </w:p>
        </w:tc>
        <w:tc>
          <w:tcPr>
            <w:tcW w:w="700" w:type="dxa"/>
            <w:tcBorders>
              <w:top w:val="single" w:sz="4" w:space="0" w:color="ADD6EA"/>
              <w:left w:val="nil"/>
              <w:bottom w:val="single" w:sz="4" w:space="0" w:color="ADD6EA"/>
              <w:right w:val="nil"/>
            </w:tcBorders>
            <w:shd w:val="clear" w:color="000000" w:fill="ADD6EA"/>
            <w:hideMark/>
          </w:tcPr>
          <w:p w14:paraId="0C767887" w14:textId="77777777" w:rsidR="004550B7" w:rsidRPr="009E0790" w:rsidRDefault="004550B7">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71</w:t>
            </w:r>
          </w:p>
        </w:tc>
        <w:tc>
          <w:tcPr>
            <w:tcW w:w="4900" w:type="dxa"/>
            <w:tcBorders>
              <w:top w:val="single" w:sz="4" w:space="0" w:color="ADD6EA"/>
              <w:left w:val="nil"/>
              <w:bottom w:val="nil"/>
              <w:right w:val="nil"/>
            </w:tcBorders>
            <w:shd w:val="clear" w:color="000000" w:fill="FFFFFF"/>
            <w:hideMark/>
          </w:tcPr>
          <w:p w14:paraId="37FA8CBD" w14:textId="7EB06E37" w:rsidR="004550B7" w:rsidRPr="009E0790" w:rsidRDefault="004550B7">
            <w:pPr>
              <w:tabs>
                <w:tab w:val="clear" w:pos="567"/>
              </w:tabs>
              <w:spacing w:before="0" w:line="240" w:lineRule="auto"/>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A significant upward revision to New South Wales' natural disaster relief expenses in 2022–23 increased its assessed GST</w:t>
            </w:r>
            <w:r w:rsidR="00A97DBE">
              <w:rPr>
                <w:rFonts w:ascii="Open Sans Light" w:eastAsia="Times New Roman" w:hAnsi="Open Sans Light" w:cs="Open Sans Light"/>
                <w:color w:val="000000"/>
                <w:sz w:val="16"/>
                <w:szCs w:val="16"/>
                <w:lang w:eastAsia="en-AU"/>
              </w:rPr>
              <w:t> </w:t>
            </w:r>
            <w:r w:rsidRPr="009E0790">
              <w:rPr>
                <w:rFonts w:ascii="Open Sans Light" w:eastAsia="Times New Roman" w:hAnsi="Open Sans Light" w:cs="Open Sans Light"/>
                <w:color w:val="000000"/>
                <w:sz w:val="16"/>
                <w:szCs w:val="16"/>
                <w:lang w:eastAsia="en-AU"/>
              </w:rPr>
              <w:t>needs.</w:t>
            </w:r>
          </w:p>
        </w:tc>
      </w:tr>
      <w:tr w:rsidR="004550B7" w:rsidRPr="009E0790" w14:paraId="5486C507" w14:textId="77777777">
        <w:trPr>
          <w:trHeight w:val="379"/>
        </w:trPr>
        <w:tc>
          <w:tcPr>
            <w:tcW w:w="8940" w:type="dxa"/>
            <w:gridSpan w:val="4"/>
            <w:tcBorders>
              <w:top w:val="single" w:sz="4" w:space="0" w:color="ADD6EA"/>
              <w:left w:val="nil"/>
              <w:bottom w:val="nil"/>
              <w:right w:val="nil"/>
            </w:tcBorders>
            <w:shd w:val="clear" w:color="000000" w:fill="006991"/>
            <w:vAlign w:val="center"/>
            <w:hideMark/>
          </w:tcPr>
          <w:p w14:paraId="75E7B139" w14:textId="77777777" w:rsidR="004550B7" w:rsidRPr="009E0790" w:rsidRDefault="004550B7">
            <w:pPr>
              <w:tabs>
                <w:tab w:val="clear" w:pos="567"/>
              </w:tabs>
              <w:spacing w:before="0" w:line="240" w:lineRule="auto"/>
              <w:rPr>
                <w:rFonts w:ascii="Open Sans Semibold" w:eastAsia="Times New Roman" w:hAnsi="Open Sans Semibold" w:cs="Open Sans Semibold"/>
                <w:color w:val="FFFFFF"/>
                <w:sz w:val="16"/>
                <w:szCs w:val="16"/>
                <w:lang w:eastAsia="en-AU"/>
              </w:rPr>
            </w:pPr>
            <w:r w:rsidRPr="009E0790">
              <w:rPr>
                <w:rFonts w:ascii="Open Sans Semibold" w:eastAsia="Times New Roman" w:hAnsi="Open Sans Semibold" w:cs="Open Sans Semibold"/>
                <w:color w:val="FFFFFF"/>
                <w:sz w:val="16"/>
                <w:szCs w:val="16"/>
                <w:lang w:eastAsia="en-AU"/>
              </w:rPr>
              <w:t>Changes in circumstances (a)</w:t>
            </w:r>
          </w:p>
        </w:tc>
      </w:tr>
      <w:tr w:rsidR="004550B7" w:rsidRPr="009E0790" w14:paraId="29E1A223" w14:textId="77777777">
        <w:trPr>
          <w:trHeight w:val="255"/>
        </w:trPr>
        <w:tc>
          <w:tcPr>
            <w:tcW w:w="2640" w:type="dxa"/>
            <w:tcBorders>
              <w:top w:val="single" w:sz="4" w:space="0" w:color="ADD6EA"/>
              <w:left w:val="nil"/>
              <w:bottom w:val="nil"/>
              <w:right w:val="nil"/>
            </w:tcBorders>
            <w:shd w:val="clear" w:color="000000" w:fill="D6E7F0"/>
            <w:hideMark/>
          </w:tcPr>
          <w:p w14:paraId="514177FB" w14:textId="77777777" w:rsidR="004550B7" w:rsidRPr="009E0790" w:rsidRDefault="004550B7">
            <w:pPr>
              <w:tabs>
                <w:tab w:val="clear" w:pos="567"/>
              </w:tabs>
              <w:spacing w:before="0" w:line="240" w:lineRule="auto"/>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57A4BB3D" w14:textId="77777777" w:rsidR="004550B7" w:rsidRPr="009E0790" w:rsidRDefault="004550B7">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65AFF1F1" w14:textId="77777777" w:rsidR="004550B7" w:rsidRPr="009E0790" w:rsidRDefault="004550B7">
            <w:pPr>
              <w:tabs>
                <w:tab w:val="clear" w:pos="567"/>
              </w:tabs>
              <w:spacing w:before="0" w:line="240" w:lineRule="auto"/>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Explanation</w:t>
            </w:r>
          </w:p>
        </w:tc>
      </w:tr>
      <w:tr w:rsidR="004550B7" w:rsidRPr="009E0790" w14:paraId="66ED974F" w14:textId="77777777">
        <w:trPr>
          <w:trHeight w:val="255"/>
        </w:trPr>
        <w:tc>
          <w:tcPr>
            <w:tcW w:w="2640" w:type="dxa"/>
            <w:tcBorders>
              <w:top w:val="single" w:sz="4" w:space="0" w:color="ADD6EA"/>
              <w:left w:val="nil"/>
              <w:bottom w:val="nil"/>
              <w:right w:val="nil"/>
            </w:tcBorders>
            <w:shd w:val="clear" w:color="000000" w:fill="B6D5E4"/>
            <w:hideMark/>
          </w:tcPr>
          <w:p w14:paraId="5015EEA8" w14:textId="77777777" w:rsidR="004550B7" w:rsidRPr="009E0790" w:rsidRDefault="004550B7">
            <w:pPr>
              <w:tabs>
                <w:tab w:val="clear" w:pos="567"/>
              </w:tabs>
              <w:spacing w:before="0" w:line="240" w:lineRule="auto"/>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747189FB" w14:textId="77777777" w:rsidR="004550B7" w:rsidRPr="009E0790" w:rsidRDefault="004550B7">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42C7520D" w14:textId="77777777" w:rsidR="004550B7" w:rsidRPr="009E0790" w:rsidRDefault="004550B7">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73A39DE7" w14:textId="77777777" w:rsidR="004550B7" w:rsidRPr="009E0790" w:rsidRDefault="004550B7">
            <w:pPr>
              <w:tabs>
                <w:tab w:val="clear" w:pos="567"/>
              </w:tabs>
              <w:spacing w:before="0" w:line="240" w:lineRule="auto"/>
              <w:rPr>
                <w:rFonts w:ascii="Open Sans Semibold" w:eastAsia="Times New Roman" w:hAnsi="Open Sans Semibold" w:cs="Open Sans Semibold"/>
                <w:color w:val="000000"/>
                <w:sz w:val="16"/>
                <w:szCs w:val="16"/>
                <w:lang w:eastAsia="en-AU"/>
              </w:rPr>
            </w:pPr>
            <w:r w:rsidRPr="009E0790">
              <w:rPr>
                <w:rFonts w:ascii="Open Sans Semibold" w:eastAsia="Times New Roman" w:hAnsi="Open Sans Semibold" w:cs="Open Sans Semibold"/>
                <w:color w:val="000000"/>
                <w:sz w:val="16"/>
                <w:szCs w:val="16"/>
                <w:lang w:eastAsia="en-AU"/>
              </w:rPr>
              <w:t> </w:t>
            </w:r>
          </w:p>
        </w:tc>
      </w:tr>
      <w:tr w:rsidR="004550B7" w:rsidRPr="009E0790" w14:paraId="77E36285" w14:textId="77777777">
        <w:trPr>
          <w:trHeight w:val="589"/>
        </w:trPr>
        <w:tc>
          <w:tcPr>
            <w:tcW w:w="2640" w:type="dxa"/>
            <w:tcBorders>
              <w:top w:val="single" w:sz="4" w:space="0" w:color="ADD6EA"/>
              <w:left w:val="nil"/>
              <w:bottom w:val="nil"/>
              <w:right w:val="nil"/>
            </w:tcBorders>
            <w:shd w:val="clear" w:color="000000" w:fill="FFFFFF"/>
            <w:hideMark/>
          </w:tcPr>
          <w:p w14:paraId="43D29D39" w14:textId="77777777" w:rsidR="004550B7" w:rsidRPr="009E0790" w:rsidRDefault="004550B7">
            <w:pPr>
              <w:tabs>
                <w:tab w:val="clear" w:pos="567"/>
              </w:tabs>
              <w:spacing w:before="0" w:line="240" w:lineRule="auto"/>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Taxable land values</w:t>
            </w:r>
          </w:p>
        </w:tc>
        <w:tc>
          <w:tcPr>
            <w:tcW w:w="700" w:type="dxa"/>
            <w:tcBorders>
              <w:top w:val="single" w:sz="4" w:space="0" w:color="ADD6EA"/>
              <w:left w:val="nil"/>
              <w:bottom w:val="nil"/>
              <w:right w:val="nil"/>
            </w:tcBorders>
            <w:shd w:val="clear" w:color="000000" w:fill="EBBFA0"/>
            <w:hideMark/>
          </w:tcPr>
          <w:p w14:paraId="01E6604A" w14:textId="77777777" w:rsidR="004550B7" w:rsidRPr="009E0790" w:rsidRDefault="004550B7">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-597</w:t>
            </w:r>
          </w:p>
        </w:tc>
        <w:tc>
          <w:tcPr>
            <w:tcW w:w="700" w:type="dxa"/>
            <w:tcBorders>
              <w:top w:val="single" w:sz="4" w:space="0" w:color="ADD6EA"/>
              <w:left w:val="nil"/>
              <w:bottom w:val="nil"/>
              <w:right w:val="nil"/>
            </w:tcBorders>
            <w:shd w:val="clear" w:color="000000" w:fill="EBBFA0"/>
            <w:hideMark/>
          </w:tcPr>
          <w:p w14:paraId="7E089C6B" w14:textId="77777777" w:rsidR="004550B7" w:rsidRPr="009E0790" w:rsidRDefault="004550B7">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-69</w:t>
            </w:r>
          </w:p>
        </w:tc>
        <w:tc>
          <w:tcPr>
            <w:tcW w:w="4900" w:type="dxa"/>
            <w:tcBorders>
              <w:top w:val="single" w:sz="4" w:space="0" w:color="ADD6EA"/>
              <w:left w:val="nil"/>
              <w:bottom w:val="nil"/>
              <w:right w:val="nil"/>
            </w:tcBorders>
            <w:shd w:val="clear" w:color="000000" w:fill="FFFFFF"/>
            <w:hideMark/>
          </w:tcPr>
          <w:p w14:paraId="2B65B527" w14:textId="086F3B70" w:rsidR="004550B7" w:rsidRPr="009E0790" w:rsidRDefault="004550B7">
            <w:pPr>
              <w:tabs>
                <w:tab w:val="clear" w:pos="567"/>
              </w:tabs>
              <w:spacing w:before="0" w:line="240" w:lineRule="auto"/>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Above-average growth in taxable land values in 2023</w:t>
            </w:r>
            <w:r w:rsidRPr="009E0790">
              <w:rPr>
                <w:rFonts w:ascii="Arial" w:eastAsia="Times New Roman" w:hAnsi="Arial" w:cs="Arial"/>
                <w:color w:val="000000"/>
                <w:sz w:val="16"/>
                <w:szCs w:val="16"/>
                <w:lang w:eastAsia="en-AU"/>
              </w:rPr>
              <w:t>‍</w:t>
            </w:r>
            <w:r w:rsidRPr="009E0790">
              <w:rPr>
                <w:rFonts w:ascii="Open Sans Light" w:eastAsia="Times New Roman" w:hAnsi="Open Sans Light" w:cs="Open Sans Light"/>
                <w:color w:val="000000"/>
                <w:sz w:val="16"/>
                <w:szCs w:val="16"/>
                <w:lang w:eastAsia="en-AU"/>
              </w:rPr>
              <w:t>–</w:t>
            </w:r>
            <w:r w:rsidRPr="009E0790">
              <w:rPr>
                <w:rFonts w:ascii="Arial" w:eastAsia="Times New Roman" w:hAnsi="Arial" w:cs="Arial"/>
                <w:color w:val="000000"/>
                <w:sz w:val="16"/>
                <w:szCs w:val="16"/>
                <w:lang w:eastAsia="en-AU"/>
              </w:rPr>
              <w:t>‍</w:t>
            </w:r>
            <w:r w:rsidRPr="009E0790">
              <w:rPr>
                <w:rFonts w:ascii="Open Sans Light" w:eastAsia="Times New Roman" w:hAnsi="Open Sans Light" w:cs="Open Sans Light"/>
                <w:color w:val="000000"/>
                <w:sz w:val="16"/>
                <w:szCs w:val="16"/>
                <w:lang w:eastAsia="en-AU"/>
              </w:rPr>
              <w:t xml:space="preserve">24 compared with 2020–21 increased </w:t>
            </w:r>
            <w:r w:rsidR="00F228E4" w:rsidRPr="009E0790">
              <w:rPr>
                <w:rFonts w:ascii="Open Sans Light" w:eastAsia="Times New Roman" w:hAnsi="Open Sans Light" w:cs="Open Sans Light"/>
                <w:color w:val="000000"/>
                <w:sz w:val="16"/>
                <w:szCs w:val="16"/>
                <w:lang w:eastAsia="en-AU"/>
              </w:rPr>
              <w:t>New</w:t>
            </w:r>
            <w:r w:rsidR="00F228E4">
              <w:rPr>
                <w:rFonts w:ascii="Open Sans Light" w:eastAsia="Times New Roman" w:hAnsi="Open Sans Light" w:cs="Open Sans Light"/>
                <w:color w:val="000000"/>
                <w:sz w:val="16"/>
                <w:szCs w:val="16"/>
                <w:lang w:eastAsia="en-AU"/>
              </w:rPr>
              <w:t> </w:t>
            </w:r>
            <w:r w:rsidR="00F228E4" w:rsidRPr="009E0790">
              <w:rPr>
                <w:rFonts w:ascii="Open Sans Light" w:eastAsia="Times New Roman" w:hAnsi="Open Sans Light" w:cs="Open Sans Light"/>
                <w:color w:val="000000"/>
                <w:sz w:val="16"/>
                <w:szCs w:val="16"/>
                <w:lang w:eastAsia="en-AU"/>
              </w:rPr>
              <w:t>South</w:t>
            </w:r>
            <w:r w:rsidR="00F228E4">
              <w:rPr>
                <w:rFonts w:ascii="Open Sans Light" w:eastAsia="Times New Roman" w:hAnsi="Open Sans Light" w:cs="Open Sans Light"/>
                <w:color w:val="000000"/>
                <w:sz w:val="16"/>
                <w:szCs w:val="16"/>
                <w:lang w:eastAsia="en-AU"/>
              </w:rPr>
              <w:t> </w:t>
            </w:r>
            <w:r w:rsidRPr="009E0790">
              <w:rPr>
                <w:rFonts w:ascii="Open Sans Light" w:eastAsia="Times New Roman" w:hAnsi="Open Sans Light" w:cs="Open Sans Light"/>
                <w:color w:val="000000"/>
                <w:sz w:val="16"/>
                <w:szCs w:val="16"/>
                <w:lang w:eastAsia="en-AU"/>
              </w:rPr>
              <w:t>Wales' relative revenue raising capacity, reducing its assessed GST needs.</w:t>
            </w:r>
          </w:p>
        </w:tc>
      </w:tr>
      <w:tr w:rsidR="004550B7" w:rsidRPr="009E0790" w14:paraId="5F7BC6A9" w14:textId="77777777">
        <w:trPr>
          <w:trHeight w:val="628"/>
        </w:trPr>
        <w:tc>
          <w:tcPr>
            <w:tcW w:w="2640" w:type="dxa"/>
            <w:tcBorders>
              <w:top w:val="single" w:sz="4" w:space="0" w:color="ADD6EA"/>
              <w:left w:val="nil"/>
              <w:bottom w:val="nil"/>
              <w:right w:val="nil"/>
            </w:tcBorders>
            <w:shd w:val="clear" w:color="000000" w:fill="FFFFFF"/>
            <w:hideMark/>
          </w:tcPr>
          <w:p w14:paraId="694781D9" w14:textId="77777777" w:rsidR="004550B7" w:rsidRPr="009E0790" w:rsidRDefault="004550B7">
            <w:pPr>
              <w:tabs>
                <w:tab w:val="clear" w:pos="567"/>
              </w:tabs>
              <w:spacing w:before="0" w:line="240" w:lineRule="auto"/>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Property sales</w:t>
            </w:r>
          </w:p>
        </w:tc>
        <w:tc>
          <w:tcPr>
            <w:tcW w:w="700" w:type="dxa"/>
            <w:tcBorders>
              <w:top w:val="single" w:sz="4" w:space="0" w:color="ADD6EA"/>
              <w:left w:val="nil"/>
              <w:bottom w:val="nil"/>
              <w:right w:val="nil"/>
            </w:tcBorders>
            <w:shd w:val="clear" w:color="000000" w:fill="ADD6EA"/>
            <w:hideMark/>
          </w:tcPr>
          <w:p w14:paraId="774D53A5" w14:textId="77777777" w:rsidR="004550B7" w:rsidRPr="009E0790" w:rsidRDefault="004550B7">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205</w:t>
            </w:r>
          </w:p>
        </w:tc>
        <w:tc>
          <w:tcPr>
            <w:tcW w:w="700" w:type="dxa"/>
            <w:tcBorders>
              <w:top w:val="single" w:sz="4" w:space="0" w:color="ADD6EA"/>
              <w:left w:val="nil"/>
              <w:bottom w:val="nil"/>
              <w:right w:val="nil"/>
            </w:tcBorders>
            <w:shd w:val="clear" w:color="000000" w:fill="ADD6EA"/>
            <w:hideMark/>
          </w:tcPr>
          <w:p w14:paraId="6C8EDDC5" w14:textId="77777777" w:rsidR="004550B7" w:rsidRPr="009E0790" w:rsidRDefault="004550B7">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24</w:t>
            </w:r>
          </w:p>
        </w:tc>
        <w:tc>
          <w:tcPr>
            <w:tcW w:w="4900" w:type="dxa"/>
            <w:tcBorders>
              <w:top w:val="single" w:sz="4" w:space="0" w:color="ADD6EA"/>
              <w:left w:val="nil"/>
              <w:bottom w:val="nil"/>
              <w:right w:val="nil"/>
            </w:tcBorders>
            <w:shd w:val="clear" w:color="000000" w:fill="FFFFFF"/>
            <w:hideMark/>
          </w:tcPr>
          <w:p w14:paraId="3FDEC015" w14:textId="10B76E19" w:rsidR="004550B7" w:rsidRPr="009E0790" w:rsidRDefault="004550B7">
            <w:pPr>
              <w:tabs>
                <w:tab w:val="clear" w:pos="567"/>
              </w:tabs>
              <w:spacing w:before="0" w:line="240" w:lineRule="auto"/>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Below-average growth in the value of property transfers in 2023</w:t>
            </w:r>
            <w:r w:rsidR="00D16816" w:rsidRPr="009E0790">
              <w:rPr>
                <w:rFonts w:ascii="Arial" w:eastAsia="Times New Roman" w:hAnsi="Arial" w:cs="Arial"/>
                <w:color w:val="000000"/>
                <w:sz w:val="16"/>
                <w:szCs w:val="16"/>
                <w:lang w:eastAsia="en-AU"/>
              </w:rPr>
              <w:t>‍</w:t>
            </w:r>
            <w:r w:rsidRPr="009E0790">
              <w:rPr>
                <w:rFonts w:ascii="Open Sans Light" w:eastAsia="Times New Roman" w:hAnsi="Open Sans Light" w:cs="Open Sans Light"/>
                <w:color w:val="000000"/>
                <w:sz w:val="16"/>
                <w:szCs w:val="16"/>
                <w:lang w:eastAsia="en-AU"/>
              </w:rPr>
              <w:t>–</w:t>
            </w:r>
            <w:r w:rsidR="00D16816" w:rsidRPr="009E0790">
              <w:rPr>
                <w:rFonts w:ascii="Arial" w:eastAsia="Times New Roman" w:hAnsi="Arial" w:cs="Arial"/>
                <w:color w:val="000000"/>
                <w:sz w:val="16"/>
                <w:szCs w:val="16"/>
                <w:lang w:eastAsia="en-AU"/>
              </w:rPr>
              <w:t>‍</w:t>
            </w:r>
            <w:r w:rsidRPr="009E0790">
              <w:rPr>
                <w:rFonts w:ascii="Open Sans Light" w:eastAsia="Times New Roman" w:hAnsi="Open Sans Light" w:cs="Open Sans Light"/>
                <w:color w:val="000000"/>
                <w:sz w:val="16"/>
                <w:szCs w:val="16"/>
                <w:lang w:eastAsia="en-AU"/>
              </w:rPr>
              <w:t xml:space="preserve">24 compared with 2020–21 reduced </w:t>
            </w:r>
            <w:r w:rsidR="00F228E4" w:rsidRPr="009E0790">
              <w:rPr>
                <w:rFonts w:ascii="Open Sans Light" w:eastAsia="Times New Roman" w:hAnsi="Open Sans Light" w:cs="Open Sans Light"/>
                <w:color w:val="000000"/>
                <w:sz w:val="16"/>
                <w:szCs w:val="16"/>
                <w:lang w:eastAsia="en-AU"/>
              </w:rPr>
              <w:t>New</w:t>
            </w:r>
            <w:r w:rsidR="00F228E4">
              <w:rPr>
                <w:rFonts w:ascii="Open Sans Light" w:eastAsia="Times New Roman" w:hAnsi="Open Sans Light" w:cs="Open Sans Light"/>
                <w:color w:val="000000"/>
                <w:sz w:val="16"/>
                <w:szCs w:val="16"/>
                <w:lang w:eastAsia="en-AU"/>
              </w:rPr>
              <w:t> </w:t>
            </w:r>
            <w:r w:rsidR="00F228E4" w:rsidRPr="009E0790">
              <w:rPr>
                <w:rFonts w:ascii="Open Sans Light" w:eastAsia="Times New Roman" w:hAnsi="Open Sans Light" w:cs="Open Sans Light"/>
                <w:color w:val="000000"/>
                <w:sz w:val="16"/>
                <w:szCs w:val="16"/>
                <w:lang w:eastAsia="en-AU"/>
              </w:rPr>
              <w:t>South</w:t>
            </w:r>
            <w:r w:rsidR="00F228E4">
              <w:rPr>
                <w:rFonts w:ascii="Open Sans Light" w:eastAsia="Times New Roman" w:hAnsi="Open Sans Light" w:cs="Open Sans Light"/>
                <w:color w:val="000000"/>
                <w:sz w:val="16"/>
                <w:szCs w:val="16"/>
                <w:lang w:eastAsia="en-AU"/>
              </w:rPr>
              <w:t> </w:t>
            </w:r>
            <w:r w:rsidRPr="009E0790">
              <w:rPr>
                <w:rFonts w:ascii="Open Sans Light" w:eastAsia="Times New Roman" w:hAnsi="Open Sans Light" w:cs="Open Sans Light"/>
                <w:color w:val="000000"/>
                <w:sz w:val="16"/>
                <w:szCs w:val="16"/>
                <w:lang w:eastAsia="en-AU"/>
              </w:rPr>
              <w:t>Wales' relative revenue raising capacity, increasing its assessed GST</w:t>
            </w:r>
            <w:r w:rsidR="00A97DBE">
              <w:rPr>
                <w:rFonts w:ascii="Open Sans Light" w:eastAsia="Times New Roman" w:hAnsi="Open Sans Light" w:cs="Open Sans Light"/>
                <w:color w:val="000000"/>
                <w:sz w:val="16"/>
                <w:szCs w:val="16"/>
                <w:lang w:eastAsia="en-AU"/>
              </w:rPr>
              <w:t> </w:t>
            </w:r>
            <w:r w:rsidRPr="009E0790">
              <w:rPr>
                <w:rFonts w:ascii="Open Sans Light" w:eastAsia="Times New Roman" w:hAnsi="Open Sans Light" w:cs="Open Sans Light"/>
                <w:color w:val="000000"/>
                <w:sz w:val="16"/>
                <w:szCs w:val="16"/>
                <w:lang w:eastAsia="en-AU"/>
              </w:rPr>
              <w:t>needs.</w:t>
            </w:r>
          </w:p>
        </w:tc>
      </w:tr>
      <w:tr w:rsidR="004550B7" w:rsidRPr="009E0790" w14:paraId="65716E1D" w14:textId="77777777">
        <w:trPr>
          <w:trHeight w:val="669"/>
        </w:trPr>
        <w:tc>
          <w:tcPr>
            <w:tcW w:w="2640" w:type="dxa"/>
            <w:tcBorders>
              <w:top w:val="single" w:sz="4" w:space="0" w:color="ADD6EA"/>
              <w:left w:val="nil"/>
              <w:bottom w:val="single" w:sz="4" w:space="0" w:color="ADD6EA"/>
              <w:right w:val="nil"/>
            </w:tcBorders>
            <w:shd w:val="clear" w:color="000000" w:fill="FFFFFF"/>
            <w:hideMark/>
          </w:tcPr>
          <w:p w14:paraId="2A8123DA" w14:textId="77777777" w:rsidR="004550B7" w:rsidRPr="009E0790" w:rsidRDefault="004550B7">
            <w:pPr>
              <w:tabs>
                <w:tab w:val="clear" w:pos="567"/>
              </w:tabs>
              <w:spacing w:before="0" w:line="240" w:lineRule="auto"/>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Natural disaster relief</w:t>
            </w:r>
          </w:p>
        </w:tc>
        <w:tc>
          <w:tcPr>
            <w:tcW w:w="700" w:type="dxa"/>
            <w:tcBorders>
              <w:top w:val="single" w:sz="4" w:space="0" w:color="ADD6EA"/>
              <w:left w:val="nil"/>
              <w:bottom w:val="single" w:sz="4" w:space="0" w:color="ADD6EA"/>
              <w:right w:val="nil"/>
            </w:tcBorders>
            <w:shd w:val="clear" w:color="000000" w:fill="ADD6EA"/>
            <w:hideMark/>
          </w:tcPr>
          <w:p w14:paraId="37492F99" w14:textId="77777777" w:rsidR="004550B7" w:rsidRPr="009E0790" w:rsidRDefault="004550B7">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159</w:t>
            </w:r>
          </w:p>
        </w:tc>
        <w:tc>
          <w:tcPr>
            <w:tcW w:w="700" w:type="dxa"/>
            <w:tcBorders>
              <w:top w:val="single" w:sz="4" w:space="0" w:color="ADD6EA"/>
              <w:left w:val="nil"/>
              <w:bottom w:val="single" w:sz="4" w:space="0" w:color="ADD6EA"/>
              <w:right w:val="nil"/>
            </w:tcBorders>
            <w:shd w:val="clear" w:color="000000" w:fill="ADD6EA"/>
            <w:hideMark/>
          </w:tcPr>
          <w:p w14:paraId="0DB3CC6A" w14:textId="77777777" w:rsidR="004550B7" w:rsidRPr="009E0790" w:rsidRDefault="004550B7">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18</w:t>
            </w:r>
          </w:p>
        </w:tc>
        <w:tc>
          <w:tcPr>
            <w:tcW w:w="4900" w:type="dxa"/>
            <w:tcBorders>
              <w:top w:val="single" w:sz="4" w:space="0" w:color="ADD6EA"/>
              <w:left w:val="nil"/>
              <w:bottom w:val="single" w:sz="4" w:space="0" w:color="ADD6EA"/>
              <w:right w:val="nil"/>
            </w:tcBorders>
            <w:shd w:val="clear" w:color="000000" w:fill="FFFFFF"/>
            <w:hideMark/>
          </w:tcPr>
          <w:p w14:paraId="45B5AB17" w14:textId="77777777" w:rsidR="004550B7" w:rsidRPr="009E0790" w:rsidRDefault="004550B7">
            <w:pPr>
              <w:tabs>
                <w:tab w:val="clear" w:pos="567"/>
              </w:tabs>
              <w:spacing w:before="0" w:line="240" w:lineRule="auto"/>
              <w:rPr>
                <w:rFonts w:ascii="Open Sans Light" w:eastAsia="Times New Roman" w:hAnsi="Open Sans Light" w:cs="Open Sans Light"/>
                <w:color w:val="000000"/>
                <w:sz w:val="16"/>
                <w:szCs w:val="16"/>
                <w:lang w:eastAsia="en-AU"/>
              </w:rPr>
            </w:pPr>
            <w:r w:rsidRPr="009E0790">
              <w:rPr>
                <w:rFonts w:ascii="Open Sans Light" w:eastAsia="Times New Roman" w:hAnsi="Open Sans Light" w:cs="Open Sans Light"/>
                <w:color w:val="000000"/>
                <w:sz w:val="16"/>
                <w:szCs w:val="16"/>
                <w:lang w:eastAsia="en-AU"/>
              </w:rPr>
              <w:t>An above-average increase in New South Wales’ natural disaster relief expenses in 2023–24 compared with 2020</w:t>
            </w:r>
            <w:r w:rsidRPr="009E0790">
              <w:rPr>
                <w:rFonts w:ascii="Arial" w:eastAsia="Times New Roman" w:hAnsi="Arial" w:cs="Arial"/>
                <w:color w:val="000000"/>
                <w:sz w:val="16"/>
                <w:szCs w:val="16"/>
                <w:lang w:eastAsia="en-AU"/>
              </w:rPr>
              <w:t>‍</w:t>
            </w:r>
            <w:r w:rsidRPr="009E0790">
              <w:rPr>
                <w:rFonts w:ascii="Open Sans Light" w:eastAsia="Times New Roman" w:hAnsi="Open Sans Light" w:cs="Open Sans Light"/>
                <w:color w:val="000000"/>
                <w:sz w:val="16"/>
                <w:szCs w:val="16"/>
                <w:lang w:eastAsia="en-AU"/>
              </w:rPr>
              <w:t>–</w:t>
            </w:r>
            <w:r w:rsidRPr="009E0790">
              <w:rPr>
                <w:rFonts w:ascii="Arial" w:eastAsia="Times New Roman" w:hAnsi="Arial" w:cs="Arial"/>
                <w:color w:val="000000"/>
                <w:sz w:val="16"/>
                <w:szCs w:val="16"/>
                <w:lang w:eastAsia="en-AU"/>
              </w:rPr>
              <w:t>‍</w:t>
            </w:r>
            <w:r w:rsidRPr="009E0790">
              <w:rPr>
                <w:rFonts w:ascii="Open Sans Light" w:eastAsia="Times New Roman" w:hAnsi="Open Sans Light" w:cs="Open Sans Light"/>
                <w:color w:val="000000"/>
                <w:sz w:val="16"/>
                <w:szCs w:val="16"/>
                <w:lang w:eastAsia="en-AU"/>
              </w:rPr>
              <w:t>21 increased its assessed GST needs.</w:t>
            </w:r>
          </w:p>
        </w:tc>
      </w:tr>
    </w:tbl>
    <w:p w14:paraId="55BD5345" w14:textId="006FBFF3" w:rsidR="002D4562" w:rsidRDefault="002D4562" w:rsidP="00FB2709">
      <w:pPr>
        <w:pStyle w:val="CGC2025TableNote"/>
        <w:numPr>
          <w:ilvl w:val="0"/>
          <w:numId w:val="19"/>
        </w:numPr>
      </w:pPr>
      <w:r w:rsidRPr="00EF198A">
        <w:t xml:space="preserve">Change of circumstances refers to the impact of replacing </w:t>
      </w:r>
      <w:r w:rsidRPr="008759B3">
        <w:rPr>
          <w:szCs w:val="14"/>
        </w:rPr>
        <w:t>the</w:t>
      </w:r>
      <w:r w:rsidRPr="00EF198A">
        <w:t xml:space="preserve"> 2020–21 assessment year </w:t>
      </w:r>
      <w:r>
        <w:t xml:space="preserve">data </w:t>
      </w:r>
      <w:r w:rsidRPr="00EF198A">
        <w:t>with</w:t>
      </w:r>
      <w:r>
        <w:t xml:space="preserve"> the</w:t>
      </w:r>
      <w:r w:rsidRPr="00EF198A">
        <w:t xml:space="preserve"> 2023</w:t>
      </w:r>
      <w:r>
        <w:noBreakHyphen/>
      </w:r>
      <w:r w:rsidRPr="00EF198A">
        <w:t xml:space="preserve">24 assessment year </w:t>
      </w:r>
      <w:r>
        <w:t xml:space="preserve">data </w:t>
      </w:r>
      <w:r w:rsidRPr="00EF198A">
        <w:t>in the calculation of relativities.</w:t>
      </w:r>
    </w:p>
    <w:p w14:paraId="55382D97" w14:textId="6B96CA03" w:rsidR="00163A34" w:rsidRDefault="00163A34">
      <w:pPr>
        <w:tabs>
          <w:tab w:val="clear" w:pos="567"/>
        </w:tabs>
        <w:spacing w:before="0" w:after="200" w:line="276" w:lineRule="auto"/>
        <w:rPr>
          <w:sz w:val="14"/>
        </w:rPr>
      </w:pPr>
      <w:r>
        <w:br w:type="page"/>
      </w:r>
    </w:p>
    <w:p w14:paraId="5EF1B458" w14:textId="77777777" w:rsidR="00812240" w:rsidRPr="00851890" w:rsidRDefault="00812240" w:rsidP="00812240">
      <w:pPr>
        <w:pStyle w:val="Heading2"/>
      </w:pPr>
      <w:r w:rsidRPr="00851890">
        <w:lastRenderedPageBreak/>
        <w:t>Victoria</w:t>
      </w:r>
    </w:p>
    <w:p w14:paraId="79A06EB4" w14:textId="6D412183" w:rsidR="00812240" w:rsidRPr="00851890" w:rsidRDefault="00812240" w:rsidP="00812240">
      <w:r w:rsidRPr="00851890">
        <w:t xml:space="preserve">In 2025–26, Victoria’s GST distribution is estimated to increase by $3,657 million ($510 per capita). Victoria’s share of the </w:t>
      </w:r>
      <w:r w:rsidRPr="00851890" w:rsidDel="00796006">
        <w:t>GST</w:t>
      </w:r>
      <w:r w:rsidR="00796006">
        <w:t> </w:t>
      </w:r>
      <w:r w:rsidRPr="00851890">
        <w:t>pool is estimated to increase from around 24.8% to 27.5%.</w:t>
      </w:r>
    </w:p>
    <w:p w14:paraId="1AC3EE52" w14:textId="5283E6E8" w:rsidR="00812240" w:rsidRPr="00851890" w:rsidRDefault="00812240" w:rsidP="005F31B7">
      <w:pPr>
        <w:pStyle w:val="CGC2025Bullet1"/>
      </w:pPr>
      <w:r w:rsidRPr="00851890">
        <w:t xml:space="preserve">The main factors leading to the increase in Victoria’s assessed </w:t>
      </w:r>
      <w:r w:rsidRPr="00851890" w:rsidDel="00796006">
        <w:t>GST</w:t>
      </w:r>
      <w:r w:rsidR="00796006">
        <w:t> </w:t>
      </w:r>
      <w:r w:rsidRPr="00851890">
        <w:t>needs are:</w:t>
      </w:r>
    </w:p>
    <w:p w14:paraId="699A8E3D" w14:textId="357ED399" w:rsidR="00812240" w:rsidRPr="00851890" w:rsidRDefault="00812240" w:rsidP="005F31B7">
      <w:pPr>
        <w:pStyle w:val="CGC2025Bullet2"/>
      </w:pPr>
      <w:r w:rsidRPr="00851890">
        <w:t>a reduced relative capacity to raise mining revenue because of the increase in the revenue raising capacity of the main coal producing states (New</w:t>
      </w:r>
      <w:r w:rsidR="003C53A4">
        <w:t> </w:t>
      </w:r>
      <w:r w:rsidRPr="00851890">
        <w:t>South</w:t>
      </w:r>
      <w:r w:rsidR="003C53A4">
        <w:t> </w:t>
      </w:r>
      <w:r w:rsidRPr="00851890">
        <w:t>Wales and Queensland)</w:t>
      </w:r>
    </w:p>
    <w:p w14:paraId="694F9AD1" w14:textId="77777777" w:rsidR="00812240" w:rsidRPr="00851890" w:rsidRDefault="00812240" w:rsidP="005F31B7">
      <w:pPr>
        <w:pStyle w:val="CGC2025Bullet2"/>
      </w:pPr>
      <w:r w:rsidRPr="00851890">
        <w:t>the change in the assessment method of COVID-19 business support and health expenses and Victoria’s above-average expenses in these areas</w:t>
      </w:r>
    </w:p>
    <w:p w14:paraId="2DF329E8" w14:textId="14574715" w:rsidR="00812240" w:rsidRPr="00851890" w:rsidRDefault="00812240" w:rsidP="005F31B7">
      <w:pPr>
        <w:pStyle w:val="CGC2025Bullet2"/>
      </w:pPr>
      <w:r w:rsidRPr="00851890">
        <w:t xml:space="preserve">an increase in the </w:t>
      </w:r>
      <w:r w:rsidR="005A298D" w:rsidRPr="00851890">
        <w:t xml:space="preserve">growth </w:t>
      </w:r>
      <w:r w:rsidRPr="00851890">
        <w:t>rate of Melbourne’s population-weighted density, which increased its assessed need</w:t>
      </w:r>
      <w:r w:rsidR="00843752">
        <w:t>s</w:t>
      </w:r>
      <w:r w:rsidRPr="00851890">
        <w:t xml:space="preserve"> for urban transport investment</w:t>
      </w:r>
    </w:p>
    <w:p w14:paraId="649B64EC" w14:textId="3D1BFEBD" w:rsidR="00812240" w:rsidRPr="00851890" w:rsidRDefault="007755D0" w:rsidP="005F31B7">
      <w:pPr>
        <w:pStyle w:val="CGC2025Bullet2"/>
      </w:pPr>
      <w:r w:rsidRPr="00A62241">
        <w:t>a decrease in Victoria’s</w:t>
      </w:r>
      <w:r w:rsidR="00812240" w:rsidRPr="00A62241">
        <w:t xml:space="preserve"> share</w:t>
      </w:r>
      <w:r w:rsidR="00812240" w:rsidRPr="00851890">
        <w:t xml:space="preserve"> of assessed Commonwealth payments in 2023</w:t>
      </w:r>
      <w:r w:rsidR="00812240" w:rsidRPr="00851890">
        <w:rPr>
          <w:rFonts w:ascii="Times New Roman" w:hAnsi="Times New Roman" w:cs="Times New Roman"/>
        </w:rPr>
        <w:t>‍</w:t>
      </w:r>
      <w:r w:rsidR="00812240" w:rsidRPr="00851890">
        <w:t>–</w:t>
      </w:r>
      <w:r w:rsidR="00812240" w:rsidRPr="00851890">
        <w:rPr>
          <w:rFonts w:ascii="Times New Roman" w:hAnsi="Times New Roman" w:cs="Times New Roman"/>
        </w:rPr>
        <w:t>‍</w:t>
      </w:r>
      <w:r w:rsidR="00812240" w:rsidRPr="00851890">
        <w:t>24 compared with 2020</w:t>
      </w:r>
      <w:r w:rsidR="00812240" w:rsidRPr="00851890">
        <w:rPr>
          <w:rFonts w:ascii="Times New Roman" w:hAnsi="Times New Roman" w:cs="Times New Roman"/>
        </w:rPr>
        <w:t>‍</w:t>
      </w:r>
      <w:r w:rsidR="00812240" w:rsidRPr="00851890">
        <w:t>–</w:t>
      </w:r>
      <w:r w:rsidR="00812240" w:rsidRPr="00851890">
        <w:rPr>
          <w:rFonts w:ascii="Times New Roman" w:hAnsi="Times New Roman" w:cs="Times New Roman"/>
        </w:rPr>
        <w:t>‍</w:t>
      </w:r>
      <w:r w:rsidR="00812240" w:rsidRPr="00851890">
        <w:t>21.</w:t>
      </w:r>
    </w:p>
    <w:p w14:paraId="387BA20D" w14:textId="7020795B" w:rsidR="00812240" w:rsidRPr="00851890" w:rsidRDefault="00812240" w:rsidP="003D28F2">
      <w:pPr>
        <w:pStyle w:val="CGC2025Bullet1"/>
      </w:pPr>
      <w:r w:rsidRPr="00851890">
        <w:t xml:space="preserve">The main factors partially offsetting Victoria’s increase in assessed </w:t>
      </w:r>
      <w:r w:rsidRPr="00851890" w:rsidDel="00456B8E">
        <w:t>GST</w:t>
      </w:r>
      <w:r w:rsidR="00456B8E">
        <w:t> </w:t>
      </w:r>
      <w:r w:rsidRPr="00851890">
        <w:t>needs are:</w:t>
      </w:r>
    </w:p>
    <w:p w14:paraId="7A04B146" w14:textId="53550E18" w:rsidR="00812240" w:rsidRPr="00851890" w:rsidRDefault="00812240" w:rsidP="00AE72DD">
      <w:pPr>
        <w:pStyle w:val="CGC2025Bullet2"/>
      </w:pPr>
      <w:r w:rsidRPr="00851890">
        <w:t>a decrease in natural disaster expenses relative to other states, which is largely driven by upward revisions to natural disaster expenses in New</w:t>
      </w:r>
      <w:r w:rsidR="005C328E">
        <w:t> </w:t>
      </w:r>
      <w:r w:rsidRPr="00851890">
        <w:t>South</w:t>
      </w:r>
      <w:r w:rsidR="005C328E">
        <w:t> </w:t>
      </w:r>
      <w:r w:rsidRPr="00851890">
        <w:t>Wales</w:t>
      </w:r>
    </w:p>
    <w:p w14:paraId="2111C17E" w14:textId="0F62C1E4" w:rsidR="00812240" w:rsidRPr="00851890" w:rsidRDefault="00812240" w:rsidP="00AE72DD">
      <w:pPr>
        <w:pStyle w:val="CGC2025Bullet2"/>
      </w:pPr>
      <w:r w:rsidRPr="00851890">
        <w:t>an increase in Victoria’s share of national population growth, increasing its capacity to maintain its per capita share of total net financial liabilities.</w:t>
      </w:r>
    </w:p>
    <w:p w14:paraId="4138CA60" w14:textId="74FC1EC1" w:rsidR="00812240" w:rsidRPr="00851890" w:rsidRDefault="00812240" w:rsidP="00AE72DD">
      <w:pPr>
        <w:pStyle w:val="CGC2025Bullet1"/>
      </w:pPr>
      <w:r w:rsidRPr="00851890">
        <w:t xml:space="preserve">The expected growth in the </w:t>
      </w:r>
      <w:r w:rsidRPr="00851890" w:rsidDel="00796006">
        <w:t>GST</w:t>
      </w:r>
      <w:r w:rsidR="00796006">
        <w:t> </w:t>
      </w:r>
      <w:r w:rsidRPr="00851890">
        <w:t>pool contributed to the increase in Victoria’s GST distribution.</w:t>
      </w:r>
    </w:p>
    <w:p w14:paraId="3AB8A948" w14:textId="438E4C14" w:rsidR="00812240" w:rsidRPr="00851890" w:rsidRDefault="00812240" w:rsidP="00AE72DD">
      <w:pPr>
        <w:pStyle w:val="CGC2025Bullet1"/>
      </w:pPr>
      <w:r w:rsidRPr="00851890">
        <w:t xml:space="preserve">The operation of </w:t>
      </w:r>
      <w:r w:rsidRPr="00851890" w:rsidDel="00796006">
        <w:t>blended</w:t>
      </w:r>
      <w:r w:rsidR="00796006">
        <w:t> </w:t>
      </w:r>
      <w:r w:rsidRPr="00851890">
        <w:t xml:space="preserve">relativities and the </w:t>
      </w:r>
      <w:r w:rsidRPr="00851890" w:rsidDel="00796006">
        <w:t>GST</w:t>
      </w:r>
      <w:r w:rsidR="00796006">
        <w:t> </w:t>
      </w:r>
      <w:r w:rsidRPr="00851890">
        <w:t xml:space="preserve">floor reduced Victoria’s </w:t>
      </w:r>
      <w:r w:rsidRPr="00851890" w:rsidDel="00796006">
        <w:t>GST</w:t>
      </w:r>
      <w:r w:rsidR="00796006">
        <w:t> </w:t>
      </w:r>
      <w:r w:rsidRPr="00851890">
        <w:t>distribution by $</w:t>
      </w:r>
      <w:r w:rsidR="00C750DC" w:rsidRPr="00851890">
        <w:t>211</w:t>
      </w:r>
      <w:r w:rsidR="00C750DC">
        <w:t> </w:t>
      </w:r>
      <w:r w:rsidRPr="00851890">
        <w:t>million more than in 2024–25.</w:t>
      </w:r>
    </w:p>
    <w:p w14:paraId="5942F1EB" w14:textId="5C759660" w:rsidR="00812240" w:rsidRPr="00851890" w:rsidRDefault="00812240" w:rsidP="0092498A">
      <w:pPr>
        <w:pStyle w:val="CGC2025Caption"/>
        <w:ind w:left="1440" w:hanging="1440"/>
      </w:pPr>
      <w:r w:rsidRPr="00851890">
        <w:t>Table 3-2</w:t>
      </w:r>
      <w:r w:rsidRPr="00851890">
        <w:tab/>
        <w:t>Change in estimated GST distribution from 2024–25 to 2025</w:t>
      </w:r>
      <w:r w:rsidR="00442B05" w:rsidRPr="00851890">
        <w:rPr>
          <w:rFonts w:ascii="Times New Roman" w:hAnsi="Times New Roman" w:cs="Times New Roman"/>
        </w:rPr>
        <w:t>‍</w:t>
      </w:r>
      <w:r w:rsidRPr="00851890">
        <w:t>–</w:t>
      </w:r>
      <w:r w:rsidR="00442B05" w:rsidRPr="00851890">
        <w:rPr>
          <w:rFonts w:ascii="Times New Roman" w:hAnsi="Times New Roman" w:cs="Times New Roman"/>
        </w:rPr>
        <w:t>‍</w:t>
      </w:r>
      <w:r w:rsidRPr="00851890">
        <w:t>26, Victoria (excludes no worse off payments)</w:t>
      </w:r>
    </w:p>
    <w:tbl>
      <w:tblPr>
        <w:tblW w:w="8940" w:type="dxa"/>
        <w:tblCellMar>
          <w:top w:w="15" w:type="dxa"/>
          <w:bottom w:w="15" w:type="dxa"/>
        </w:tblCellMar>
        <w:tblLook w:val="04A0" w:firstRow="1" w:lastRow="0" w:firstColumn="1" w:lastColumn="0" w:noHBand="0" w:noVBand="1"/>
      </w:tblPr>
      <w:tblGrid>
        <w:gridCol w:w="4060"/>
        <w:gridCol w:w="2440"/>
        <w:gridCol w:w="2440"/>
      </w:tblGrid>
      <w:tr w:rsidR="00303E9D" w:rsidRPr="00E5102E" w14:paraId="55C51883" w14:textId="77777777">
        <w:trPr>
          <w:trHeight w:val="300"/>
        </w:trPr>
        <w:tc>
          <w:tcPr>
            <w:tcW w:w="4060" w:type="dxa"/>
            <w:tcBorders>
              <w:top w:val="nil"/>
              <w:left w:val="nil"/>
              <w:bottom w:val="single" w:sz="4" w:space="0" w:color="ADD6EA"/>
              <w:right w:val="nil"/>
            </w:tcBorders>
            <w:shd w:val="clear" w:color="000000" w:fill="006991"/>
            <w:noWrap/>
            <w:vAlign w:val="center"/>
            <w:hideMark/>
          </w:tcPr>
          <w:p w14:paraId="45FD0E31" w14:textId="77777777" w:rsidR="00303E9D" w:rsidRPr="00E5102E" w:rsidRDefault="00303E9D">
            <w:pPr>
              <w:tabs>
                <w:tab w:val="clear" w:pos="567"/>
              </w:tabs>
              <w:spacing w:before="0" w:line="240" w:lineRule="auto"/>
              <w:rPr>
                <w:rFonts w:ascii="Times New Roman" w:eastAsia="Times New Roman" w:hAnsi="Times New Roman" w:cs="Times New Roman"/>
                <w:sz w:val="24"/>
                <w:szCs w:val="24"/>
                <w:lang w:eastAsia="en-AU"/>
              </w:rPr>
            </w:pPr>
          </w:p>
        </w:tc>
        <w:tc>
          <w:tcPr>
            <w:tcW w:w="2440" w:type="dxa"/>
            <w:tcBorders>
              <w:top w:val="nil"/>
              <w:left w:val="nil"/>
              <w:bottom w:val="single" w:sz="4" w:space="0" w:color="ADD6EA"/>
              <w:right w:val="nil"/>
            </w:tcBorders>
            <w:shd w:val="clear" w:color="000000" w:fill="006991"/>
            <w:noWrap/>
            <w:vAlign w:val="center"/>
            <w:hideMark/>
          </w:tcPr>
          <w:p w14:paraId="1816423F" w14:textId="77777777" w:rsidR="00303E9D" w:rsidRPr="00E5102E" w:rsidRDefault="00303E9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E5102E">
              <w:rPr>
                <w:rFonts w:ascii="Open Sans Semibold" w:eastAsia="Times New Roman" w:hAnsi="Open Sans Semibold" w:cs="Open Sans Semibold"/>
                <w:color w:val="FFFFFF"/>
                <w:sz w:val="16"/>
                <w:szCs w:val="16"/>
                <w:lang w:eastAsia="en-AU"/>
              </w:rPr>
              <w:t>$m</w:t>
            </w:r>
          </w:p>
        </w:tc>
        <w:tc>
          <w:tcPr>
            <w:tcW w:w="2440" w:type="dxa"/>
            <w:tcBorders>
              <w:top w:val="nil"/>
              <w:left w:val="nil"/>
              <w:bottom w:val="single" w:sz="4" w:space="0" w:color="ADD6EA"/>
              <w:right w:val="nil"/>
            </w:tcBorders>
            <w:shd w:val="clear" w:color="000000" w:fill="006991"/>
            <w:noWrap/>
            <w:vAlign w:val="center"/>
            <w:hideMark/>
          </w:tcPr>
          <w:p w14:paraId="28F83990" w14:textId="77777777" w:rsidR="00303E9D" w:rsidRPr="00E5102E" w:rsidRDefault="00303E9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E5102E">
              <w:rPr>
                <w:rFonts w:ascii="Open Sans Semibold" w:eastAsia="Times New Roman" w:hAnsi="Open Sans Semibold" w:cs="Open Sans Semibold"/>
                <w:color w:val="FFFFFF"/>
                <w:sz w:val="16"/>
                <w:szCs w:val="16"/>
                <w:lang w:eastAsia="en-AU"/>
              </w:rPr>
              <w:t>$pc</w:t>
            </w:r>
          </w:p>
        </w:tc>
      </w:tr>
      <w:tr w:rsidR="00303E9D" w:rsidRPr="00E5102E" w14:paraId="6A933C23" w14:textId="77777777">
        <w:trPr>
          <w:trHeight w:val="300"/>
        </w:trPr>
        <w:tc>
          <w:tcPr>
            <w:tcW w:w="4060" w:type="dxa"/>
            <w:tcBorders>
              <w:top w:val="single" w:sz="4" w:space="0" w:color="ADD6EA"/>
              <w:left w:val="nil"/>
              <w:bottom w:val="single" w:sz="4" w:space="0" w:color="ADD6EA"/>
              <w:right w:val="nil"/>
            </w:tcBorders>
            <w:noWrap/>
            <w:vAlign w:val="center"/>
            <w:hideMark/>
          </w:tcPr>
          <w:p w14:paraId="054A3335" w14:textId="77777777" w:rsidR="00303E9D" w:rsidRPr="00E5102E" w:rsidRDefault="00303E9D">
            <w:pPr>
              <w:tabs>
                <w:tab w:val="clear" w:pos="567"/>
              </w:tabs>
              <w:spacing w:before="0" w:line="240" w:lineRule="auto"/>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 xml:space="preserve">Change in </w:t>
            </w:r>
            <w:r w:rsidRPr="00E5102E">
              <w:rPr>
                <w:rFonts w:ascii="Open Sans Light" w:eastAsia="Times New Roman" w:hAnsi="Open Sans Light" w:cs="Open Sans Light"/>
                <w:color w:val="000000"/>
                <w:sz w:val="16"/>
                <w:szCs w:val="16"/>
                <w:lang w:eastAsia="en-AU"/>
              </w:rPr>
              <w:t>population</w:t>
            </w:r>
          </w:p>
        </w:tc>
        <w:tc>
          <w:tcPr>
            <w:tcW w:w="2440" w:type="dxa"/>
            <w:tcBorders>
              <w:top w:val="single" w:sz="4" w:space="0" w:color="ADD6EA"/>
              <w:left w:val="nil"/>
              <w:bottom w:val="single" w:sz="4" w:space="0" w:color="ADD6EA"/>
              <w:right w:val="nil"/>
            </w:tcBorders>
            <w:noWrap/>
            <w:vAlign w:val="center"/>
            <w:hideMark/>
          </w:tcPr>
          <w:p w14:paraId="0A9B3506" w14:textId="77777777" w:rsidR="00303E9D" w:rsidRPr="00E5102E" w:rsidRDefault="00303E9D">
            <w:pPr>
              <w:tabs>
                <w:tab w:val="clear" w:pos="567"/>
              </w:tabs>
              <w:spacing w:before="0" w:line="240" w:lineRule="auto"/>
              <w:jc w:val="right"/>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68</w:t>
            </w:r>
          </w:p>
        </w:tc>
        <w:tc>
          <w:tcPr>
            <w:tcW w:w="2440" w:type="dxa"/>
            <w:tcBorders>
              <w:top w:val="single" w:sz="4" w:space="0" w:color="ADD6EA"/>
              <w:left w:val="nil"/>
              <w:bottom w:val="single" w:sz="4" w:space="0" w:color="ADD6EA"/>
              <w:right w:val="nil"/>
            </w:tcBorders>
            <w:noWrap/>
            <w:vAlign w:val="center"/>
            <w:hideMark/>
          </w:tcPr>
          <w:p w14:paraId="7F4DE691" w14:textId="77777777" w:rsidR="00303E9D" w:rsidRPr="00E5102E" w:rsidRDefault="00303E9D">
            <w:pPr>
              <w:tabs>
                <w:tab w:val="clear" w:pos="567"/>
              </w:tabs>
              <w:spacing w:before="0" w:line="240" w:lineRule="auto"/>
              <w:jc w:val="right"/>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9</w:t>
            </w:r>
          </w:p>
        </w:tc>
      </w:tr>
      <w:tr w:rsidR="00303E9D" w:rsidRPr="00E5102E" w14:paraId="2602A0DD" w14:textId="77777777">
        <w:trPr>
          <w:trHeight w:val="300"/>
        </w:trPr>
        <w:tc>
          <w:tcPr>
            <w:tcW w:w="4060" w:type="dxa"/>
            <w:tcBorders>
              <w:top w:val="single" w:sz="4" w:space="0" w:color="ADD6EA"/>
              <w:left w:val="nil"/>
              <w:bottom w:val="single" w:sz="4" w:space="0" w:color="ADD6EA"/>
              <w:right w:val="nil"/>
            </w:tcBorders>
            <w:noWrap/>
            <w:vAlign w:val="center"/>
            <w:hideMark/>
          </w:tcPr>
          <w:p w14:paraId="2D770779" w14:textId="77777777" w:rsidR="00303E9D" w:rsidRPr="00E5102E" w:rsidRDefault="00303E9D">
            <w:pPr>
              <w:tabs>
                <w:tab w:val="clear" w:pos="567"/>
              </w:tabs>
              <w:spacing w:before="0" w:line="240" w:lineRule="auto"/>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 xml:space="preserve">Growth in GST pool </w:t>
            </w:r>
          </w:p>
        </w:tc>
        <w:tc>
          <w:tcPr>
            <w:tcW w:w="2440" w:type="dxa"/>
            <w:tcBorders>
              <w:top w:val="single" w:sz="4" w:space="0" w:color="ADD6EA"/>
              <w:left w:val="nil"/>
              <w:bottom w:val="single" w:sz="4" w:space="0" w:color="ADD6EA"/>
              <w:right w:val="nil"/>
            </w:tcBorders>
            <w:noWrap/>
            <w:vAlign w:val="center"/>
            <w:hideMark/>
          </w:tcPr>
          <w:p w14:paraId="4A6670FE" w14:textId="77777777" w:rsidR="00303E9D" w:rsidRPr="00E5102E" w:rsidRDefault="00303E9D">
            <w:pPr>
              <w:tabs>
                <w:tab w:val="clear" w:pos="567"/>
              </w:tabs>
              <w:spacing w:before="0" w:line="240" w:lineRule="auto"/>
              <w:jc w:val="right"/>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1,125</w:t>
            </w:r>
          </w:p>
        </w:tc>
        <w:tc>
          <w:tcPr>
            <w:tcW w:w="2440" w:type="dxa"/>
            <w:tcBorders>
              <w:top w:val="single" w:sz="4" w:space="0" w:color="ADD6EA"/>
              <w:left w:val="nil"/>
              <w:bottom w:val="single" w:sz="4" w:space="0" w:color="ADD6EA"/>
              <w:right w:val="nil"/>
            </w:tcBorders>
            <w:noWrap/>
            <w:vAlign w:val="center"/>
            <w:hideMark/>
          </w:tcPr>
          <w:p w14:paraId="5709976A" w14:textId="77777777" w:rsidR="00303E9D" w:rsidRPr="00E5102E" w:rsidRDefault="00303E9D">
            <w:pPr>
              <w:tabs>
                <w:tab w:val="clear" w:pos="567"/>
              </w:tabs>
              <w:spacing w:before="0" w:line="240" w:lineRule="auto"/>
              <w:jc w:val="right"/>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157</w:t>
            </w:r>
          </w:p>
        </w:tc>
      </w:tr>
      <w:tr w:rsidR="00303E9D" w:rsidRPr="00E5102E" w14:paraId="6CC1854B" w14:textId="77777777">
        <w:trPr>
          <w:trHeight w:val="300"/>
        </w:trPr>
        <w:tc>
          <w:tcPr>
            <w:tcW w:w="4060" w:type="dxa"/>
            <w:tcBorders>
              <w:top w:val="single" w:sz="4" w:space="0" w:color="ADD6EA"/>
              <w:left w:val="nil"/>
              <w:bottom w:val="single" w:sz="4" w:space="0" w:color="ADD6EA"/>
              <w:right w:val="nil"/>
            </w:tcBorders>
            <w:noWrap/>
            <w:vAlign w:val="center"/>
            <w:hideMark/>
          </w:tcPr>
          <w:p w14:paraId="4DE21294" w14:textId="77777777" w:rsidR="00303E9D" w:rsidRPr="00E5102E" w:rsidRDefault="00303E9D">
            <w:pPr>
              <w:tabs>
                <w:tab w:val="clear" w:pos="567"/>
              </w:tabs>
              <w:spacing w:before="0" w:line="240" w:lineRule="auto"/>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Changes in assessed needs</w:t>
            </w:r>
          </w:p>
        </w:tc>
        <w:tc>
          <w:tcPr>
            <w:tcW w:w="2440" w:type="dxa"/>
            <w:tcBorders>
              <w:top w:val="single" w:sz="4" w:space="0" w:color="ADD6EA"/>
              <w:left w:val="nil"/>
              <w:bottom w:val="single" w:sz="4" w:space="0" w:color="ADD6EA"/>
              <w:right w:val="nil"/>
            </w:tcBorders>
            <w:noWrap/>
            <w:vAlign w:val="center"/>
            <w:hideMark/>
          </w:tcPr>
          <w:p w14:paraId="74EF9EDD" w14:textId="77777777" w:rsidR="00303E9D" w:rsidRPr="00E5102E" w:rsidRDefault="00303E9D">
            <w:pPr>
              <w:tabs>
                <w:tab w:val="clear" w:pos="567"/>
              </w:tabs>
              <w:spacing w:before="0" w:line="240" w:lineRule="auto"/>
              <w:rPr>
                <w:rFonts w:ascii="Open Sans Light" w:eastAsia="Times New Roman" w:hAnsi="Open Sans Light" w:cs="Open Sans Light"/>
                <w:sz w:val="16"/>
                <w:szCs w:val="16"/>
                <w:lang w:eastAsia="en-AU"/>
              </w:rPr>
            </w:pPr>
          </w:p>
        </w:tc>
        <w:tc>
          <w:tcPr>
            <w:tcW w:w="2440" w:type="dxa"/>
            <w:tcBorders>
              <w:top w:val="single" w:sz="4" w:space="0" w:color="ADD6EA"/>
              <w:left w:val="nil"/>
              <w:bottom w:val="single" w:sz="4" w:space="0" w:color="ADD6EA"/>
              <w:right w:val="nil"/>
            </w:tcBorders>
            <w:noWrap/>
            <w:vAlign w:val="center"/>
            <w:hideMark/>
          </w:tcPr>
          <w:p w14:paraId="27AE8217" w14:textId="77777777" w:rsidR="00303E9D" w:rsidRPr="00E5102E" w:rsidRDefault="00303E9D">
            <w:pPr>
              <w:tabs>
                <w:tab w:val="clear" w:pos="567"/>
              </w:tabs>
              <w:spacing w:before="0" w:line="240" w:lineRule="auto"/>
              <w:jc w:val="right"/>
              <w:rPr>
                <w:rFonts w:ascii="Times New Roman" w:eastAsia="Times New Roman" w:hAnsi="Times New Roman" w:cs="Times New Roman"/>
                <w:szCs w:val="20"/>
                <w:lang w:eastAsia="en-AU"/>
              </w:rPr>
            </w:pPr>
          </w:p>
        </w:tc>
      </w:tr>
      <w:tr w:rsidR="00303E9D" w:rsidRPr="00E5102E" w14:paraId="6393B6DF" w14:textId="77777777">
        <w:trPr>
          <w:trHeight w:val="300"/>
        </w:trPr>
        <w:tc>
          <w:tcPr>
            <w:tcW w:w="4060" w:type="dxa"/>
            <w:tcBorders>
              <w:top w:val="single" w:sz="4" w:space="0" w:color="ADD6EA"/>
              <w:left w:val="nil"/>
              <w:bottom w:val="single" w:sz="4" w:space="0" w:color="ADD6EA"/>
              <w:right w:val="nil"/>
            </w:tcBorders>
            <w:noWrap/>
            <w:vAlign w:val="center"/>
            <w:hideMark/>
          </w:tcPr>
          <w:p w14:paraId="57237F63" w14:textId="77777777" w:rsidR="00303E9D" w:rsidRPr="00E5102E" w:rsidRDefault="00303E9D">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Method changes</w:t>
            </w:r>
          </w:p>
        </w:tc>
        <w:tc>
          <w:tcPr>
            <w:tcW w:w="2440" w:type="dxa"/>
            <w:tcBorders>
              <w:top w:val="single" w:sz="4" w:space="0" w:color="ADD6EA"/>
              <w:left w:val="nil"/>
              <w:bottom w:val="single" w:sz="4" w:space="0" w:color="ADD6EA"/>
              <w:right w:val="nil"/>
            </w:tcBorders>
            <w:noWrap/>
            <w:vAlign w:val="center"/>
            <w:hideMark/>
          </w:tcPr>
          <w:p w14:paraId="07DADD99" w14:textId="77777777" w:rsidR="00303E9D" w:rsidRPr="00E5102E" w:rsidRDefault="00303E9D">
            <w:pPr>
              <w:tabs>
                <w:tab w:val="clear" w:pos="567"/>
              </w:tabs>
              <w:spacing w:before="0" w:line="240" w:lineRule="auto"/>
              <w:jc w:val="right"/>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1,059</w:t>
            </w:r>
          </w:p>
        </w:tc>
        <w:tc>
          <w:tcPr>
            <w:tcW w:w="2440" w:type="dxa"/>
            <w:tcBorders>
              <w:top w:val="single" w:sz="4" w:space="0" w:color="ADD6EA"/>
              <w:left w:val="nil"/>
              <w:bottom w:val="single" w:sz="4" w:space="0" w:color="ADD6EA"/>
              <w:right w:val="nil"/>
            </w:tcBorders>
            <w:noWrap/>
            <w:vAlign w:val="center"/>
            <w:hideMark/>
          </w:tcPr>
          <w:p w14:paraId="7273E7E2" w14:textId="77777777" w:rsidR="00303E9D" w:rsidRPr="00E5102E" w:rsidRDefault="00303E9D">
            <w:pPr>
              <w:tabs>
                <w:tab w:val="clear" w:pos="567"/>
              </w:tabs>
              <w:spacing w:before="0" w:line="240" w:lineRule="auto"/>
              <w:jc w:val="right"/>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148</w:t>
            </w:r>
          </w:p>
        </w:tc>
      </w:tr>
      <w:tr w:rsidR="00303E9D" w:rsidRPr="00E5102E" w14:paraId="277764CF" w14:textId="77777777">
        <w:trPr>
          <w:trHeight w:val="300"/>
        </w:trPr>
        <w:tc>
          <w:tcPr>
            <w:tcW w:w="4060" w:type="dxa"/>
            <w:tcBorders>
              <w:top w:val="single" w:sz="4" w:space="0" w:color="ADD6EA"/>
              <w:left w:val="nil"/>
              <w:bottom w:val="single" w:sz="4" w:space="0" w:color="ADD6EA"/>
              <w:right w:val="nil"/>
            </w:tcBorders>
            <w:noWrap/>
            <w:vAlign w:val="center"/>
            <w:hideMark/>
          </w:tcPr>
          <w:p w14:paraId="34DB66E6" w14:textId="77777777" w:rsidR="00303E9D" w:rsidRPr="00E5102E" w:rsidRDefault="00303E9D">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Data revisions</w:t>
            </w:r>
          </w:p>
        </w:tc>
        <w:tc>
          <w:tcPr>
            <w:tcW w:w="2440" w:type="dxa"/>
            <w:tcBorders>
              <w:top w:val="single" w:sz="4" w:space="0" w:color="ADD6EA"/>
              <w:left w:val="nil"/>
              <w:bottom w:val="single" w:sz="4" w:space="0" w:color="ADD6EA"/>
              <w:right w:val="nil"/>
            </w:tcBorders>
            <w:noWrap/>
            <w:vAlign w:val="center"/>
            <w:hideMark/>
          </w:tcPr>
          <w:p w14:paraId="60074FE2" w14:textId="77777777" w:rsidR="00303E9D" w:rsidRPr="00E5102E" w:rsidRDefault="00303E9D">
            <w:pPr>
              <w:tabs>
                <w:tab w:val="clear" w:pos="567"/>
              </w:tabs>
              <w:spacing w:before="0" w:line="240" w:lineRule="auto"/>
              <w:jc w:val="right"/>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-342</w:t>
            </w:r>
          </w:p>
        </w:tc>
        <w:tc>
          <w:tcPr>
            <w:tcW w:w="2440" w:type="dxa"/>
            <w:tcBorders>
              <w:top w:val="single" w:sz="4" w:space="0" w:color="ADD6EA"/>
              <w:left w:val="nil"/>
              <w:bottom w:val="single" w:sz="4" w:space="0" w:color="ADD6EA"/>
              <w:right w:val="nil"/>
            </w:tcBorders>
            <w:noWrap/>
            <w:vAlign w:val="center"/>
            <w:hideMark/>
          </w:tcPr>
          <w:p w14:paraId="13907223" w14:textId="77777777" w:rsidR="00303E9D" w:rsidRPr="00E5102E" w:rsidRDefault="00303E9D">
            <w:pPr>
              <w:tabs>
                <w:tab w:val="clear" w:pos="567"/>
              </w:tabs>
              <w:spacing w:before="0" w:line="240" w:lineRule="auto"/>
              <w:jc w:val="right"/>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-48</w:t>
            </w:r>
          </w:p>
        </w:tc>
      </w:tr>
      <w:tr w:rsidR="00303E9D" w:rsidRPr="00E5102E" w14:paraId="0FBF0924" w14:textId="77777777">
        <w:trPr>
          <w:trHeight w:val="300"/>
        </w:trPr>
        <w:tc>
          <w:tcPr>
            <w:tcW w:w="4060" w:type="dxa"/>
            <w:tcBorders>
              <w:top w:val="single" w:sz="4" w:space="0" w:color="ADD6EA"/>
              <w:left w:val="nil"/>
              <w:bottom w:val="single" w:sz="4" w:space="0" w:color="ADD6EA"/>
              <w:right w:val="nil"/>
            </w:tcBorders>
            <w:noWrap/>
            <w:vAlign w:val="center"/>
            <w:hideMark/>
          </w:tcPr>
          <w:p w14:paraId="2A63269A" w14:textId="77777777" w:rsidR="00303E9D" w:rsidRPr="00E5102E" w:rsidRDefault="00303E9D">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State circumstances</w:t>
            </w:r>
          </w:p>
        </w:tc>
        <w:tc>
          <w:tcPr>
            <w:tcW w:w="2440" w:type="dxa"/>
            <w:tcBorders>
              <w:top w:val="single" w:sz="4" w:space="0" w:color="ADD6EA"/>
              <w:left w:val="nil"/>
              <w:bottom w:val="single" w:sz="4" w:space="0" w:color="ADD6EA"/>
              <w:right w:val="nil"/>
            </w:tcBorders>
            <w:noWrap/>
            <w:vAlign w:val="center"/>
            <w:hideMark/>
          </w:tcPr>
          <w:p w14:paraId="38CCADC6" w14:textId="77777777" w:rsidR="00303E9D" w:rsidRPr="00E5102E" w:rsidRDefault="00303E9D">
            <w:pPr>
              <w:tabs>
                <w:tab w:val="clear" w:pos="567"/>
              </w:tabs>
              <w:spacing w:before="0" w:line="240" w:lineRule="auto"/>
              <w:jc w:val="right"/>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1,957</w:t>
            </w:r>
          </w:p>
        </w:tc>
        <w:tc>
          <w:tcPr>
            <w:tcW w:w="2440" w:type="dxa"/>
            <w:tcBorders>
              <w:top w:val="single" w:sz="4" w:space="0" w:color="ADD6EA"/>
              <w:left w:val="nil"/>
              <w:bottom w:val="single" w:sz="4" w:space="0" w:color="ADD6EA"/>
              <w:right w:val="nil"/>
            </w:tcBorders>
            <w:noWrap/>
            <w:vAlign w:val="center"/>
            <w:hideMark/>
          </w:tcPr>
          <w:p w14:paraId="1F3357E1" w14:textId="77777777" w:rsidR="00303E9D" w:rsidRPr="00E5102E" w:rsidRDefault="00303E9D">
            <w:pPr>
              <w:tabs>
                <w:tab w:val="clear" w:pos="567"/>
              </w:tabs>
              <w:spacing w:before="0" w:line="240" w:lineRule="auto"/>
              <w:jc w:val="right"/>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273</w:t>
            </w:r>
          </w:p>
        </w:tc>
      </w:tr>
      <w:tr w:rsidR="00303E9D" w:rsidRPr="00E5102E" w14:paraId="63A951FD" w14:textId="77777777">
        <w:trPr>
          <w:trHeight w:val="300"/>
        </w:trPr>
        <w:tc>
          <w:tcPr>
            <w:tcW w:w="4060" w:type="dxa"/>
            <w:tcBorders>
              <w:top w:val="single" w:sz="4" w:space="0" w:color="ADD6EA"/>
              <w:left w:val="nil"/>
              <w:bottom w:val="single" w:sz="4" w:space="0" w:color="ADD6EA"/>
              <w:right w:val="nil"/>
            </w:tcBorders>
            <w:noWrap/>
            <w:vAlign w:val="center"/>
            <w:hideMark/>
          </w:tcPr>
          <w:p w14:paraId="2ECE589C" w14:textId="77777777" w:rsidR="00303E9D" w:rsidRPr="00E5102E" w:rsidRDefault="00303E9D">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Total</w:t>
            </w:r>
          </w:p>
        </w:tc>
        <w:tc>
          <w:tcPr>
            <w:tcW w:w="2440" w:type="dxa"/>
            <w:tcBorders>
              <w:top w:val="single" w:sz="4" w:space="0" w:color="ADD6EA"/>
              <w:left w:val="nil"/>
              <w:bottom w:val="single" w:sz="4" w:space="0" w:color="ADD6EA"/>
              <w:right w:val="nil"/>
            </w:tcBorders>
            <w:noWrap/>
            <w:vAlign w:val="center"/>
            <w:hideMark/>
          </w:tcPr>
          <w:p w14:paraId="3D2A2ACB" w14:textId="77777777" w:rsidR="00303E9D" w:rsidRPr="00E5102E" w:rsidRDefault="00303E9D">
            <w:pPr>
              <w:tabs>
                <w:tab w:val="clear" w:pos="567"/>
              </w:tabs>
              <w:spacing w:before="0" w:line="240" w:lineRule="auto"/>
              <w:jc w:val="right"/>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2,675</w:t>
            </w:r>
          </w:p>
        </w:tc>
        <w:tc>
          <w:tcPr>
            <w:tcW w:w="2440" w:type="dxa"/>
            <w:tcBorders>
              <w:top w:val="single" w:sz="4" w:space="0" w:color="ADD6EA"/>
              <w:left w:val="nil"/>
              <w:bottom w:val="single" w:sz="4" w:space="0" w:color="ADD6EA"/>
              <w:right w:val="nil"/>
            </w:tcBorders>
            <w:noWrap/>
            <w:vAlign w:val="center"/>
            <w:hideMark/>
          </w:tcPr>
          <w:p w14:paraId="15B88A96" w14:textId="77777777" w:rsidR="00303E9D" w:rsidRPr="00E5102E" w:rsidRDefault="00303E9D">
            <w:pPr>
              <w:tabs>
                <w:tab w:val="clear" w:pos="567"/>
              </w:tabs>
              <w:spacing w:before="0" w:line="240" w:lineRule="auto"/>
              <w:jc w:val="right"/>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373</w:t>
            </w:r>
          </w:p>
        </w:tc>
      </w:tr>
      <w:tr w:rsidR="00303E9D" w:rsidRPr="00E5102E" w14:paraId="0AB21722" w14:textId="77777777">
        <w:trPr>
          <w:trHeight w:val="300"/>
        </w:trPr>
        <w:tc>
          <w:tcPr>
            <w:tcW w:w="4060" w:type="dxa"/>
            <w:tcBorders>
              <w:top w:val="single" w:sz="4" w:space="0" w:color="ADD6EA"/>
              <w:left w:val="nil"/>
              <w:bottom w:val="single" w:sz="4" w:space="0" w:color="ADD6EA"/>
              <w:right w:val="nil"/>
            </w:tcBorders>
            <w:noWrap/>
            <w:vAlign w:val="center"/>
            <w:hideMark/>
          </w:tcPr>
          <w:p w14:paraId="71BB4B45" w14:textId="7446584A" w:rsidR="00303E9D" w:rsidRPr="00E5102E" w:rsidRDefault="00303E9D">
            <w:pPr>
              <w:tabs>
                <w:tab w:val="clear" w:pos="567"/>
              </w:tabs>
              <w:spacing w:before="0" w:line="240" w:lineRule="auto"/>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Blended relativities and GST floor</w:t>
            </w:r>
          </w:p>
        </w:tc>
        <w:tc>
          <w:tcPr>
            <w:tcW w:w="2440" w:type="dxa"/>
            <w:tcBorders>
              <w:top w:val="single" w:sz="4" w:space="0" w:color="ADD6EA"/>
              <w:left w:val="nil"/>
              <w:bottom w:val="single" w:sz="4" w:space="0" w:color="ADD6EA"/>
              <w:right w:val="nil"/>
            </w:tcBorders>
            <w:noWrap/>
            <w:vAlign w:val="center"/>
            <w:hideMark/>
          </w:tcPr>
          <w:p w14:paraId="394399A4" w14:textId="77777777" w:rsidR="00303E9D" w:rsidRPr="00E5102E" w:rsidRDefault="00303E9D">
            <w:pPr>
              <w:tabs>
                <w:tab w:val="clear" w:pos="567"/>
              </w:tabs>
              <w:spacing w:before="0" w:line="240" w:lineRule="auto"/>
              <w:jc w:val="right"/>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-211</w:t>
            </w:r>
          </w:p>
        </w:tc>
        <w:tc>
          <w:tcPr>
            <w:tcW w:w="2440" w:type="dxa"/>
            <w:tcBorders>
              <w:top w:val="single" w:sz="4" w:space="0" w:color="ADD6EA"/>
              <w:left w:val="nil"/>
              <w:bottom w:val="single" w:sz="4" w:space="0" w:color="ADD6EA"/>
              <w:right w:val="nil"/>
            </w:tcBorders>
            <w:noWrap/>
            <w:vAlign w:val="center"/>
            <w:hideMark/>
          </w:tcPr>
          <w:p w14:paraId="716A00EA" w14:textId="77777777" w:rsidR="00303E9D" w:rsidRPr="00E5102E" w:rsidRDefault="00303E9D">
            <w:pPr>
              <w:tabs>
                <w:tab w:val="clear" w:pos="567"/>
              </w:tabs>
              <w:spacing w:before="0" w:line="240" w:lineRule="auto"/>
              <w:jc w:val="right"/>
              <w:rPr>
                <w:rFonts w:ascii="Open Sans Light" w:eastAsia="Times New Roman" w:hAnsi="Open Sans Light" w:cs="Open Sans Light"/>
                <w:sz w:val="16"/>
                <w:szCs w:val="16"/>
                <w:lang w:eastAsia="en-AU"/>
              </w:rPr>
            </w:pPr>
            <w:r w:rsidRPr="00E5102E">
              <w:rPr>
                <w:rFonts w:ascii="Open Sans Light" w:eastAsia="Times New Roman" w:hAnsi="Open Sans Light" w:cs="Open Sans Light"/>
                <w:sz w:val="16"/>
                <w:szCs w:val="16"/>
                <w:lang w:eastAsia="en-AU"/>
              </w:rPr>
              <w:t>-29</w:t>
            </w:r>
          </w:p>
        </w:tc>
      </w:tr>
      <w:tr w:rsidR="00303E9D" w:rsidRPr="00E5102E" w14:paraId="64A1EC14" w14:textId="77777777">
        <w:trPr>
          <w:trHeight w:val="300"/>
        </w:trPr>
        <w:tc>
          <w:tcPr>
            <w:tcW w:w="4060" w:type="dxa"/>
            <w:tcBorders>
              <w:top w:val="single" w:sz="4" w:space="0" w:color="ADD6EA"/>
              <w:left w:val="nil"/>
              <w:bottom w:val="single" w:sz="4" w:space="0" w:color="ADD6EA"/>
              <w:right w:val="nil"/>
            </w:tcBorders>
            <w:shd w:val="clear" w:color="000000" w:fill="D6E7F0"/>
            <w:noWrap/>
            <w:vAlign w:val="center"/>
            <w:hideMark/>
          </w:tcPr>
          <w:p w14:paraId="6D2E2C38" w14:textId="77777777" w:rsidR="00303E9D" w:rsidRPr="00E5102E" w:rsidRDefault="00303E9D">
            <w:pPr>
              <w:tabs>
                <w:tab w:val="clear" w:pos="567"/>
              </w:tabs>
              <w:spacing w:before="0" w:line="240" w:lineRule="auto"/>
              <w:rPr>
                <w:rFonts w:ascii="Open Sans Semibold" w:eastAsia="Times New Roman" w:hAnsi="Open Sans Semibold" w:cs="Open Sans Semibold"/>
                <w:color w:val="000000"/>
                <w:sz w:val="16"/>
                <w:szCs w:val="16"/>
                <w:lang w:eastAsia="en-AU"/>
              </w:rPr>
            </w:pPr>
            <w:r w:rsidRPr="00E5102E">
              <w:rPr>
                <w:rFonts w:ascii="Open Sans Semibold" w:eastAsia="Times New Roman" w:hAnsi="Open Sans Semibold" w:cs="Open Sans Semibold"/>
                <w:color w:val="000000"/>
                <w:sz w:val="16"/>
                <w:szCs w:val="16"/>
                <w:lang w:eastAsia="en-AU"/>
              </w:rPr>
              <w:t>Total change</w:t>
            </w:r>
          </w:p>
        </w:tc>
        <w:tc>
          <w:tcPr>
            <w:tcW w:w="2440" w:type="dxa"/>
            <w:tcBorders>
              <w:top w:val="single" w:sz="4" w:space="0" w:color="ADD6EA"/>
              <w:left w:val="nil"/>
              <w:bottom w:val="single" w:sz="4" w:space="0" w:color="ADD6EA"/>
              <w:right w:val="nil"/>
            </w:tcBorders>
            <w:shd w:val="clear" w:color="000000" w:fill="D6E7F0"/>
            <w:noWrap/>
            <w:vAlign w:val="center"/>
            <w:hideMark/>
          </w:tcPr>
          <w:p w14:paraId="1F635B61" w14:textId="77777777" w:rsidR="00303E9D" w:rsidRPr="00E5102E" w:rsidRDefault="00303E9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5102E">
              <w:rPr>
                <w:rFonts w:ascii="Open Sans Semibold" w:eastAsia="Times New Roman" w:hAnsi="Open Sans Semibold" w:cs="Open Sans Semibold"/>
                <w:color w:val="000000"/>
                <w:sz w:val="16"/>
                <w:szCs w:val="16"/>
                <w:lang w:eastAsia="en-AU"/>
              </w:rPr>
              <w:t>3,657</w:t>
            </w:r>
          </w:p>
        </w:tc>
        <w:tc>
          <w:tcPr>
            <w:tcW w:w="2440" w:type="dxa"/>
            <w:tcBorders>
              <w:top w:val="single" w:sz="4" w:space="0" w:color="ADD6EA"/>
              <w:left w:val="nil"/>
              <w:bottom w:val="single" w:sz="4" w:space="0" w:color="ADD6EA"/>
              <w:right w:val="nil"/>
            </w:tcBorders>
            <w:shd w:val="clear" w:color="000000" w:fill="D6E7F0"/>
            <w:noWrap/>
            <w:vAlign w:val="center"/>
            <w:hideMark/>
          </w:tcPr>
          <w:p w14:paraId="41B5559B" w14:textId="77777777" w:rsidR="00303E9D" w:rsidRPr="00E5102E" w:rsidRDefault="00303E9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5102E">
              <w:rPr>
                <w:rFonts w:ascii="Open Sans Semibold" w:eastAsia="Times New Roman" w:hAnsi="Open Sans Semibold" w:cs="Open Sans Semibold"/>
                <w:color w:val="000000"/>
                <w:sz w:val="16"/>
                <w:szCs w:val="16"/>
                <w:lang w:eastAsia="en-AU"/>
              </w:rPr>
              <w:t>510</w:t>
            </w:r>
          </w:p>
        </w:tc>
      </w:tr>
    </w:tbl>
    <w:p w14:paraId="6BF5B943" w14:textId="77777777" w:rsidR="0092498A" w:rsidRPr="00851890" w:rsidRDefault="0092498A" w:rsidP="0092498A">
      <w:pPr>
        <w:pStyle w:val="CGC2025TableNote"/>
      </w:pPr>
      <w:r w:rsidRPr="00851890">
        <w:t xml:space="preserve">Note: </w:t>
      </w:r>
      <w:r w:rsidRPr="00851890">
        <w:tab/>
        <w:t>Table may not add due to rounding.</w:t>
      </w:r>
    </w:p>
    <w:p w14:paraId="5BA532E8" w14:textId="77777777" w:rsidR="00812240" w:rsidRDefault="00812240" w:rsidP="00D92F49">
      <w:pPr>
        <w:pStyle w:val="CGC2025TableNote"/>
        <w:ind w:left="0" w:firstLine="0"/>
      </w:pPr>
    </w:p>
    <w:p w14:paraId="1B0068FE" w14:textId="77777777" w:rsidR="00AE72DD" w:rsidRDefault="00AE72DD">
      <w:pPr>
        <w:tabs>
          <w:tab w:val="clear" w:pos="567"/>
        </w:tabs>
        <w:spacing w:before="0" w:after="200" w:line="276" w:lineRule="auto"/>
      </w:pPr>
      <w:r>
        <w:br w:type="page"/>
      </w:r>
    </w:p>
    <w:p w14:paraId="6551E245" w14:textId="113BC0EA" w:rsidR="00237BC3" w:rsidRPr="00B63C72" w:rsidRDefault="00237BC3" w:rsidP="00237BC3">
      <w:pPr>
        <w:pStyle w:val="CGC2025Caption"/>
      </w:pPr>
      <w:r w:rsidRPr="00B63C72">
        <w:lastRenderedPageBreak/>
        <w:t>Figure 3-2</w:t>
      </w:r>
      <w:r w:rsidRPr="00B63C72">
        <w:tab/>
        <w:t>Victoria: main changes in assessed GST needs, 2025</w:t>
      </w:r>
      <w:r w:rsidR="00442B05" w:rsidRPr="00851890">
        <w:rPr>
          <w:rFonts w:ascii="Times New Roman" w:hAnsi="Times New Roman" w:cs="Times New Roman"/>
        </w:rPr>
        <w:t>‍</w:t>
      </w:r>
      <w:r w:rsidRPr="00B63C72">
        <w:t>–</w:t>
      </w:r>
      <w:r w:rsidR="00442B05" w:rsidRPr="00851890">
        <w:rPr>
          <w:rFonts w:ascii="Times New Roman" w:hAnsi="Times New Roman" w:cs="Times New Roman"/>
        </w:rPr>
        <w:t>‍</w:t>
      </w:r>
      <w:r w:rsidRPr="00B63C72">
        <w:t>26 relativities</w:t>
      </w:r>
    </w:p>
    <w:tbl>
      <w:tblPr>
        <w:tblW w:w="8940" w:type="dxa"/>
        <w:tblLook w:val="04A0" w:firstRow="1" w:lastRow="0" w:firstColumn="1" w:lastColumn="0" w:noHBand="0" w:noVBand="1"/>
      </w:tblPr>
      <w:tblGrid>
        <w:gridCol w:w="2640"/>
        <w:gridCol w:w="700"/>
        <w:gridCol w:w="700"/>
        <w:gridCol w:w="4900"/>
      </w:tblGrid>
      <w:tr w:rsidR="00237BC3" w:rsidRPr="00737ECC" w14:paraId="03F18BAC" w14:textId="77777777">
        <w:trPr>
          <w:trHeight w:val="375"/>
        </w:trPr>
        <w:tc>
          <w:tcPr>
            <w:tcW w:w="8940" w:type="dxa"/>
            <w:gridSpan w:val="4"/>
            <w:tcBorders>
              <w:top w:val="nil"/>
              <w:left w:val="nil"/>
              <w:bottom w:val="nil"/>
              <w:right w:val="nil"/>
            </w:tcBorders>
            <w:shd w:val="clear" w:color="000000" w:fill="006991"/>
            <w:vAlign w:val="center"/>
            <w:hideMark/>
          </w:tcPr>
          <w:p w14:paraId="11625207" w14:textId="77777777" w:rsidR="00237BC3" w:rsidRPr="00737ECC" w:rsidRDefault="00237BC3">
            <w:pPr>
              <w:tabs>
                <w:tab w:val="clear" w:pos="567"/>
              </w:tabs>
              <w:spacing w:before="0" w:line="240" w:lineRule="auto"/>
              <w:rPr>
                <w:rFonts w:ascii="Open Sans Semibold" w:eastAsia="Times New Roman" w:hAnsi="Open Sans Semibold" w:cs="Open Sans Semibold"/>
                <w:color w:val="FFFFFF"/>
                <w:sz w:val="16"/>
                <w:szCs w:val="16"/>
                <w:lang w:eastAsia="en-AU"/>
              </w:rPr>
            </w:pPr>
            <w:r w:rsidRPr="00737ECC">
              <w:rPr>
                <w:rFonts w:ascii="Open Sans Semibold" w:eastAsia="Times New Roman" w:hAnsi="Open Sans Semibold" w:cs="Open Sans Semibold"/>
                <w:color w:val="FFFFFF"/>
                <w:sz w:val="16"/>
                <w:szCs w:val="16"/>
                <w:lang w:eastAsia="en-AU"/>
              </w:rPr>
              <w:t>Method changes</w:t>
            </w:r>
          </w:p>
        </w:tc>
      </w:tr>
      <w:tr w:rsidR="00237BC3" w:rsidRPr="00737ECC" w14:paraId="540081E6" w14:textId="77777777">
        <w:trPr>
          <w:trHeight w:val="255"/>
        </w:trPr>
        <w:tc>
          <w:tcPr>
            <w:tcW w:w="2640" w:type="dxa"/>
            <w:tcBorders>
              <w:top w:val="single" w:sz="4" w:space="0" w:color="ADD6EA"/>
              <w:left w:val="nil"/>
              <w:bottom w:val="nil"/>
              <w:right w:val="nil"/>
            </w:tcBorders>
            <w:shd w:val="clear" w:color="000000" w:fill="D6E7F0"/>
            <w:hideMark/>
          </w:tcPr>
          <w:p w14:paraId="6487F0A4" w14:textId="77777777" w:rsidR="00237BC3" w:rsidRPr="00737ECC" w:rsidRDefault="00237BC3">
            <w:pPr>
              <w:tabs>
                <w:tab w:val="clear" w:pos="567"/>
              </w:tabs>
              <w:spacing w:before="0" w:line="240" w:lineRule="auto"/>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4E27B565" w14:textId="77777777" w:rsidR="00237BC3" w:rsidRPr="00737ECC" w:rsidRDefault="00237BC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6466BA28" w14:textId="77777777" w:rsidR="00237BC3" w:rsidRPr="00737ECC" w:rsidRDefault="00237BC3">
            <w:pPr>
              <w:tabs>
                <w:tab w:val="clear" w:pos="567"/>
              </w:tabs>
              <w:spacing w:before="0" w:line="240" w:lineRule="auto"/>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Explanation</w:t>
            </w:r>
          </w:p>
        </w:tc>
      </w:tr>
      <w:tr w:rsidR="00237BC3" w:rsidRPr="00737ECC" w14:paraId="28DC43A7" w14:textId="77777777">
        <w:trPr>
          <w:trHeight w:val="255"/>
        </w:trPr>
        <w:tc>
          <w:tcPr>
            <w:tcW w:w="2640" w:type="dxa"/>
            <w:tcBorders>
              <w:top w:val="single" w:sz="4" w:space="0" w:color="ADD6EA"/>
              <w:left w:val="nil"/>
              <w:bottom w:val="nil"/>
              <w:right w:val="nil"/>
            </w:tcBorders>
            <w:shd w:val="clear" w:color="000000" w:fill="B6D5E4"/>
            <w:hideMark/>
          </w:tcPr>
          <w:p w14:paraId="32842794" w14:textId="77777777" w:rsidR="00237BC3" w:rsidRPr="00737ECC" w:rsidRDefault="00237BC3">
            <w:pPr>
              <w:tabs>
                <w:tab w:val="clear" w:pos="567"/>
              </w:tabs>
              <w:spacing w:before="0" w:line="240" w:lineRule="auto"/>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12EF1623" w14:textId="77777777" w:rsidR="00237BC3" w:rsidRPr="00737ECC" w:rsidRDefault="00237BC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7930E71F" w14:textId="77777777" w:rsidR="00237BC3" w:rsidRPr="00737ECC" w:rsidRDefault="00237BC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641F891F" w14:textId="77777777" w:rsidR="00237BC3" w:rsidRPr="00737ECC" w:rsidRDefault="00237BC3">
            <w:pPr>
              <w:tabs>
                <w:tab w:val="clear" w:pos="567"/>
              </w:tabs>
              <w:spacing w:before="0" w:line="240" w:lineRule="auto"/>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 </w:t>
            </w:r>
          </w:p>
        </w:tc>
      </w:tr>
      <w:tr w:rsidR="00237BC3" w:rsidRPr="00737ECC" w14:paraId="249087B7" w14:textId="77777777">
        <w:trPr>
          <w:trHeight w:val="859"/>
        </w:trPr>
        <w:tc>
          <w:tcPr>
            <w:tcW w:w="2640" w:type="dxa"/>
            <w:tcBorders>
              <w:top w:val="single" w:sz="4" w:space="0" w:color="ADD6EA"/>
              <w:left w:val="nil"/>
              <w:bottom w:val="nil"/>
              <w:right w:val="nil"/>
            </w:tcBorders>
            <w:shd w:val="clear" w:color="000000" w:fill="FFFFFF"/>
            <w:hideMark/>
          </w:tcPr>
          <w:p w14:paraId="251C2BE5" w14:textId="4B9E6CA0" w:rsidR="00237BC3" w:rsidRPr="00737ECC" w:rsidRDefault="00237BC3">
            <w:pPr>
              <w:tabs>
                <w:tab w:val="clear" w:pos="567"/>
              </w:tabs>
              <w:spacing w:before="0" w:line="240" w:lineRule="auto"/>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 xml:space="preserve">COVID-19 in </w:t>
            </w:r>
            <w:r w:rsidR="00404A05">
              <w:rPr>
                <w:rFonts w:ascii="Open Sans Light" w:eastAsia="Times New Roman" w:hAnsi="Open Sans Light" w:cs="Open Sans Light"/>
                <w:color w:val="000000"/>
                <w:sz w:val="16"/>
                <w:szCs w:val="16"/>
                <w:lang w:eastAsia="en-AU"/>
              </w:rPr>
              <w:t>s</w:t>
            </w:r>
            <w:r w:rsidRPr="00737ECC">
              <w:rPr>
                <w:rFonts w:ascii="Open Sans Light" w:eastAsia="Times New Roman" w:hAnsi="Open Sans Light" w:cs="Open Sans Light"/>
                <w:color w:val="000000"/>
                <w:sz w:val="16"/>
                <w:szCs w:val="16"/>
                <w:lang w:eastAsia="en-AU"/>
              </w:rPr>
              <w:t>ervices to industry</w:t>
            </w:r>
          </w:p>
        </w:tc>
        <w:tc>
          <w:tcPr>
            <w:tcW w:w="700" w:type="dxa"/>
            <w:tcBorders>
              <w:top w:val="single" w:sz="4" w:space="0" w:color="ADD6EA"/>
              <w:left w:val="nil"/>
              <w:bottom w:val="nil"/>
              <w:right w:val="nil"/>
            </w:tcBorders>
            <w:shd w:val="clear" w:color="000000" w:fill="ADD6EA"/>
            <w:hideMark/>
          </w:tcPr>
          <w:p w14:paraId="44CCBBF2" w14:textId="77777777" w:rsidR="00237BC3" w:rsidRPr="00737ECC" w:rsidRDefault="00237BC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577</w:t>
            </w:r>
          </w:p>
        </w:tc>
        <w:tc>
          <w:tcPr>
            <w:tcW w:w="700" w:type="dxa"/>
            <w:tcBorders>
              <w:top w:val="single" w:sz="4" w:space="0" w:color="ADD6EA"/>
              <w:left w:val="nil"/>
              <w:bottom w:val="nil"/>
              <w:right w:val="nil"/>
            </w:tcBorders>
            <w:shd w:val="clear" w:color="000000" w:fill="ADD6EA"/>
            <w:hideMark/>
          </w:tcPr>
          <w:p w14:paraId="7D52FEE3" w14:textId="77777777" w:rsidR="00237BC3" w:rsidRPr="00737ECC" w:rsidRDefault="00237BC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80</w:t>
            </w:r>
          </w:p>
        </w:tc>
        <w:tc>
          <w:tcPr>
            <w:tcW w:w="4900" w:type="dxa"/>
            <w:tcBorders>
              <w:top w:val="single" w:sz="4" w:space="0" w:color="ADD6EA"/>
              <w:left w:val="nil"/>
              <w:bottom w:val="nil"/>
              <w:right w:val="nil"/>
            </w:tcBorders>
            <w:shd w:val="clear" w:color="000000" w:fill="FFFFFF"/>
            <w:hideMark/>
          </w:tcPr>
          <w:p w14:paraId="740951B5" w14:textId="77777777" w:rsidR="00237BC3" w:rsidRPr="00737ECC" w:rsidRDefault="00237BC3">
            <w:pPr>
              <w:tabs>
                <w:tab w:val="clear" w:pos="567"/>
              </w:tabs>
              <w:spacing w:before="0" w:line="240" w:lineRule="auto"/>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The Commission introduced an actual per capita assessment of COVID-19 business support expenses covered by the national partnership agreements. Victoria’s above-average COVID-19 business support expenses increased its assessed GST needs.  </w:t>
            </w:r>
          </w:p>
        </w:tc>
      </w:tr>
      <w:tr w:rsidR="00237BC3" w:rsidRPr="00737ECC" w14:paraId="1CE2EBBE" w14:textId="77777777">
        <w:trPr>
          <w:trHeight w:val="795"/>
        </w:trPr>
        <w:tc>
          <w:tcPr>
            <w:tcW w:w="2640" w:type="dxa"/>
            <w:tcBorders>
              <w:top w:val="single" w:sz="4" w:space="0" w:color="ADD6EA"/>
              <w:left w:val="nil"/>
              <w:bottom w:val="single" w:sz="4" w:space="0" w:color="ADD6EA"/>
              <w:right w:val="nil"/>
            </w:tcBorders>
            <w:shd w:val="clear" w:color="000000" w:fill="FFFFFF"/>
            <w:hideMark/>
          </w:tcPr>
          <w:p w14:paraId="57B32DCD" w14:textId="0238B25E" w:rsidR="00237BC3" w:rsidRPr="00737ECC" w:rsidRDefault="00237BC3">
            <w:pPr>
              <w:tabs>
                <w:tab w:val="clear" w:pos="567"/>
              </w:tabs>
              <w:spacing w:before="0" w:line="240" w:lineRule="auto"/>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 xml:space="preserve">COVID-19 in </w:t>
            </w:r>
            <w:r w:rsidR="00404A05">
              <w:rPr>
                <w:rFonts w:ascii="Open Sans Light" w:eastAsia="Times New Roman" w:hAnsi="Open Sans Light" w:cs="Open Sans Light"/>
                <w:color w:val="000000"/>
                <w:sz w:val="16"/>
                <w:szCs w:val="16"/>
                <w:lang w:eastAsia="en-AU"/>
              </w:rPr>
              <w:t>h</w:t>
            </w:r>
            <w:r w:rsidRPr="00737ECC">
              <w:rPr>
                <w:rFonts w:ascii="Open Sans Light" w:eastAsia="Times New Roman" w:hAnsi="Open Sans Light" w:cs="Open Sans Light"/>
                <w:color w:val="000000"/>
                <w:sz w:val="16"/>
                <w:szCs w:val="16"/>
                <w:lang w:eastAsia="en-AU"/>
              </w:rPr>
              <w:t>ealth</w:t>
            </w:r>
          </w:p>
        </w:tc>
        <w:tc>
          <w:tcPr>
            <w:tcW w:w="700" w:type="dxa"/>
            <w:tcBorders>
              <w:top w:val="single" w:sz="4" w:space="0" w:color="ADD6EA"/>
              <w:left w:val="nil"/>
              <w:bottom w:val="single" w:sz="4" w:space="0" w:color="ADD6EA"/>
              <w:right w:val="nil"/>
            </w:tcBorders>
            <w:shd w:val="clear" w:color="000000" w:fill="ADD6EA"/>
            <w:hideMark/>
          </w:tcPr>
          <w:p w14:paraId="0FF105C4" w14:textId="77777777" w:rsidR="00237BC3" w:rsidRPr="00737ECC" w:rsidRDefault="00237BC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293</w:t>
            </w:r>
          </w:p>
        </w:tc>
        <w:tc>
          <w:tcPr>
            <w:tcW w:w="700" w:type="dxa"/>
            <w:tcBorders>
              <w:top w:val="single" w:sz="4" w:space="0" w:color="ADD6EA"/>
              <w:left w:val="nil"/>
              <w:bottom w:val="single" w:sz="4" w:space="0" w:color="ADD6EA"/>
              <w:right w:val="nil"/>
            </w:tcBorders>
            <w:shd w:val="clear" w:color="000000" w:fill="ADD6EA"/>
            <w:hideMark/>
          </w:tcPr>
          <w:p w14:paraId="2C76E015" w14:textId="77777777" w:rsidR="00237BC3" w:rsidRPr="00737ECC" w:rsidRDefault="00237BC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41</w:t>
            </w:r>
          </w:p>
        </w:tc>
        <w:tc>
          <w:tcPr>
            <w:tcW w:w="4900" w:type="dxa"/>
            <w:tcBorders>
              <w:top w:val="single" w:sz="4" w:space="0" w:color="ADD6EA"/>
              <w:left w:val="nil"/>
              <w:bottom w:val="nil"/>
              <w:right w:val="nil"/>
            </w:tcBorders>
            <w:shd w:val="clear" w:color="000000" w:fill="FFFFFF"/>
            <w:hideMark/>
          </w:tcPr>
          <w:p w14:paraId="677F6217" w14:textId="77777777" w:rsidR="00237BC3" w:rsidRPr="00737ECC" w:rsidRDefault="00237BC3">
            <w:pPr>
              <w:tabs>
                <w:tab w:val="clear" w:pos="567"/>
              </w:tabs>
              <w:spacing w:before="0" w:line="240" w:lineRule="auto"/>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The Commission introduced an actual per capita assessment of COVID-19 health expenses covered by the national partnership agreement. Victoria’s above-average COVID-19 health expenses increased its assessed GST needs. </w:t>
            </w:r>
          </w:p>
        </w:tc>
      </w:tr>
      <w:tr w:rsidR="00237BC3" w:rsidRPr="00737ECC" w14:paraId="2196D00B" w14:textId="77777777">
        <w:trPr>
          <w:trHeight w:val="375"/>
        </w:trPr>
        <w:tc>
          <w:tcPr>
            <w:tcW w:w="8940" w:type="dxa"/>
            <w:gridSpan w:val="4"/>
            <w:tcBorders>
              <w:top w:val="single" w:sz="4" w:space="0" w:color="ADD6EA"/>
              <w:left w:val="nil"/>
              <w:bottom w:val="nil"/>
              <w:right w:val="nil"/>
            </w:tcBorders>
            <w:shd w:val="clear" w:color="000000" w:fill="006991"/>
            <w:vAlign w:val="center"/>
            <w:hideMark/>
          </w:tcPr>
          <w:p w14:paraId="487A9444" w14:textId="77777777" w:rsidR="00237BC3" w:rsidRPr="00737ECC" w:rsidRDefault="00237BC3">
            <w:pPr>
              <w:tabs>
                <w:tab w:val="clear" w:pos="567"/>
              </w:tabs>
              <w:spacing w:before="0" w:line="240" w:lineRule="auto"/>
              <w:rPr>
                <w:rFonts w:ascii="Open Sans Semibold" w:eastAsia="Times New Roman" w:hAnsi="Open Sans Semibold" w:cs="Open Sans Semibold"/>
                <w:color w:val="FFFFFF"/>
                <w:sz w:val="16"/>
                <w:szCs w:val="16"/>
                <w:lang w:eastAsia="en-AU"/>
              </w:rPr>
            </w:pPr>
            <w:r w:rsidRPr="00737ECC">
              <w:rPr>
                <w:rFonts w:ascii="Open Sans Semibold" w:eastAsia="Times New Roman" w:hAnsi="Open Sans Semibold" w:cs="Open Sans Semibold"/>
                <w:color w:val="FFFFFF"/>
                <w:sz w:val="16"/>
                <w:szCs w:val="16"/>
                <w:lang w:eastAsia="en-AU"/>
              </w:rPr>
              <w:t>Revisions</w:t>
            </w:r>
          </w:p>
        </w:tc>
      </w:tr>
      <w:tr w:rsidR="00237BC3" w:rsidRPr="00737ECC" w14:paraId="5CFDAE8F" w14:textId="77777777">
        <w:trPr>
          <w:trHeight w:val="255"/>
        </w:trPr>
        <w:tc>
          <w:tcPr>
            <w:tcW w:w="2640" w:type="dxa"/>
            <w:tcBorders>
              <w:top w:val="single" w:sz="4" w:space="0" w:color="ADD6EA"/>
              <w:left w:val="nil"/>
              <w:bottom w:val="nil"/>
              <w:right w:val="nil"/>
            </w:tcBorders>
            <w:shd w:val="clear" w:color="000000" w:fill="D6E7F0"/>
            <w:hideMark/>
          </w:tcPr>
          <w:p w14:paraId="31B7F995" w14:textId="77777777" w:rsidR="00237BC3" w:rsidRPr="00737ECC" w:rsidRDefault="00237BC3">
            <w:pPr>
              <w:tabs>
                <w:tab w:val="clear" w:pos="567"/>
              </w:tabs>
              <w:spacing w:before="0" w:line="240" w:lineRule="auto"/>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79EE9CD2" w14:textId="77777777" w:rsidR="00237BC3" w:rsidRPr="00737ECC" w:rsidRDefault="00237BC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5203205F" w14:textId="77777777" w:rsidR="00237BC3" w:rsidRPr="00737ECC" w:rsidRDefault="00237BC3">
            <w:pPr>
              <w:tabs>
                <w:tab w:val="clear" w:pos="567"/>
              </w:tabs>
              <w:spacing w:before="0" w:line="240" w:lineRule="auto"/>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Explanation</w:t>
            </w:r>
          </w:p>
        </w:tc>
      </w:tr>
      <w:tr w:rsidR="00237BC3" w:rsidRPr="00737ECC" w14:paraId="27C8B00F" w14:textId="77777777">
        <w:trPr>
          <w:trHeight w:val="255"/>
        </w:trPr>
        <w:tc>
          <w:tcPr>
            <w:tcW w:w="2640" w:type="dxa"/>
            <w:tcBorders>
              <w:top w:val="single" w:sz="4" w:space="0" w:color="ADD6EA"/>
              <w:left w:val="nil"/>
              <w:bottom w:val="nil"/>
              <w:right w:val="nil"/>
            </w:tcBorders>
            <w:shd w:val="clear" w:color="000000" w:fill="B6D5E4"/>
            <w:hideMark/>
          </w:tcPr>
          <w:p w14:paraId="0B1E79D2" w14:textId="77777777" w:rsidR="00237BC3" w:rsidRPr="00737ECC" w:rsidRDefault="00237BC3">
            <w:pPr>
              <w:tabs>
                <w:tab w:val="clear" w:pos="567"/>
              </w:tabs>
              <w:spacing w:before="0" w:line="240" w:lineRule="auto"/>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2B3426E9" w14:textId="77777777" w:rsidR="00237BC3" w:rsidRPr="00737ECC" w:rsidRDefault="00237BC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0AC58646" w14:textId="77777777" w:rsidR="00237BC3" w:rsidRPr="00737ECC" w:rsidRDefault="00237BC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56BCE5CC" w14:textId="77777777" w:rsidR="00237BC3" w:rsidRPr="00737ECC" w:rsidRDefault="00237BC3">
            <w:pPr>
              <w:tabs>
                <w:tab w:val="clear" w:pos="567"/>
              </w:tabs>
              <w:spacing w:before="0" w:line="240" w:lineRule="auto"/>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 </w:t>
            </w:r>
          </w:p>
        </w:tc>
      </w:tr>
      <w:tr w:rsidR="00237BC3" w:rsidRPr="00737ECC" w14:paraId="035E5B1E" w14:textId="77777777">
        <w:trPr>
          <w:trHeight w:val="388"/>
        </w:trPr>
        <w:tc>
          <w:tcPr>
            <w:tcW w:w="2640" w:type="dxa"/>
            <w:tcBorders>
              <w:top w:val="single" w:sz="4" w:space="0" w:color="ADD6EA"/>
              <w:left w:val="nil"/>
              <w:bottom w:val="single" w:sz="4" w:space="0" w:color="ADD6EA"/>
              <w:right w:val="nil"/>
            </w:tcBorders>
            <w:shd w:val="clear" w:color="000000" w:fill="FFFFFF"/>
            <w:hideMark/>
          </w:tcPr>
          <w:p w14:paraId="5916E6F8" w14:textId="77777777" w:rsidR="00237BC3" w:rsidRPr="00737ECC" w:rsidRDefault="00237BC3">
            <w:pPr>
              <w:tabs>
                <w:tab w:val="clear" w:pos="567"/>
              </w:tabs>
              <w:spacing w:before="0" w:line="240" w:lineRule="auto"/>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Natural disaster relief</w:t>
            </w:r>
          </w:p>
        </w:tc>
        <w:tc>
          <w:tcPr>
            <w:tcW w:w="700" w:type="dxa"/>
            <w:tcBorders>
              <w:top w:val="single" w:sz="4" w:space="0" w:color="ADD6EA"/>
              <w:left w:val="nil"/>
              <w:bottom w:val="single" w:sz="4" w:space="0" w:color="ADD6EA"/>
              <w:right w:val="nil"/>
            </w:tcBorders>
            <w:shd w:val="clear" w:color="000000" w:fill="EBBFA0"/>
            <w:hideMark/>
          </w:tcPr>
          <w:p w14:paraId="5EA7A8C9" w14:textId="77777777" w:rsidR="00237BC3" w:rsidRPr="00737ECC" w:rsidRDefault="00237BC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-292</w:t>
            </w:r>
          </w:p>
        </w:tc>
        <w:tc>
          <w:tcPr>
            <w:tcW w:w="700" w:type="dxa"/>
            <w:tcBorders>
              <w:top w:val="single" w:sz="4" w:space="0" w:color="ADD6EA"/>
              <w:left w:val="nil"/>
              <w:bottom w:val="single" w:sz="4" w:space="0" w:color="ADD6EA"/>
              <w:right w:val="nil"/>
            </w:tcBorders>
            <w:shd w:val="clear" w:color="000000" w:fill="EBBFA0"/>
            <w:hideMark/>
          </w:tcPr>
          <w:p w14:paraId="6103080D" w14:textId="77777777" w:rsidR="00237BC3" w:rsidRPr="00737ECC" w:rsidRDefault="00237BC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-41</w:t>
            </w:r>
          </w:p>
        </w:tc>
        <w:tc>
          <w:tcPr>
            <w:tcW w:w="4900" w:type="dxa"/>
            <w:tcBorders>
              <w:top w:val="single" w:sz="4" w:space="0" w:color="ADD6EA"/>
              <w:left w:val="nil"/>
              <w:bottom w:val="single" w:sz="4" w:space="0" w:color="ADD6EA"/>
              <w:right w:val="nil"/>
            </w:tcBorders>
            <w:shd w:val="clear" w:color="000000" w:fill="FFFFFF"/>
            <w:hideMark/>
          </w:tcPr>
          <w:p w14:paraId="4C58BD2E" w14:textId="77777777" w:rsidR="00237BC3" w:rsidRPr="00737ECC" w:rsidRDefault="00237BC3">
            <w:pPr>
              <w:tabs>
                <w:tab w:val="clear" w:pos="567"/>
              </w:tabs>
              <w:spacing w:before="0" w:line="240" w:lineRule="auto"/>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Upward revisions to natural disaster expenses in other states led to a reduction in Victoria’s assessed GST needs.</w:t>
            </w:r>
          </w:p>
        </w:tc>
      </w:tr>
      <w:tr w:rsidR="00237BC3" w:rsidRPr="00737ECC" w14:paraId="2EF149BB" w14:textId="77777777">
        <w:trPr>
          <w:trHeight w:val="375"/>
        </w:trPr>
        <w:tc>
          <w:tcPr>
            <w:tcW w:w="8940" w:type="dxa"/>
            <w:gridSpan w:val="4"/>
            <w:tcBorders>
              <w:top w:val="single" w:sz="4" w:space="0" w:color="ADD6EA"/>
              <w:left w:val="nil"/>
              <w:bottom w:val="nil"/>
              <w:right w:val="nil"/>
            </w:tcBorders>
            <w:shd w:val="clear" w:color="000000" w:fill="006991"/>
            <w:vAlign w:val="center"/>
            <w:hideMark/>
          </w:tcPr>
          <w:p w14:paraId="55DA335D" w14:textId="77777777" w:rsidR="00237BC3" w:rsidRPr="00737ECC" w:rsidRDefault="00237BC3">
            <w:pPr>
              <w:tabs>
                <w:tab w:val="clear" w:pos="567"/>
              </w:tabs>
              <w:spacing w:before="0" w:line="240" w:lineRule="auto"/>
              <w:rPr>
                <w:rFonts w:ascii="Open Sans Semibold" w:eastAsia="Times New Roman" w:hAnsi="Open Sans Semibold" w:cs="Open Sans Semibold"/>
                <w:color w:val="FFFFFF"/>
                <w:sz w:val="16"/>
                <w:szCs w:val="16"/>
                <w:lang w:eastAsia="en-AU"/>
              </w:rPr>
            </w:pPr>
            <w:r w:rsidRPr="00737ECC">
              <w:rPr>
                <w:rFonts w:ascii="Open Sans Semibold" w:eastAsia="Times New Roman" w:hAnsi="Open Sans Semibold" w:cs="Open Sans Semibold"/>
                <w:color w:val="FFFFFF"/>
                <w:sz w:val="16"/>
                <w:szCs w:val="16"/>
                <w:lang w:eastAsia="en-AU"/>
              </w:rPr>
              <w:t>Changes in circumstances (a)</w:t>
            </w:r>
          </w:p>
        </w:tc>
      </w:tr>
      <w:tr w:rsidR="00237BC3" w:rsidRPr="00737ECC" w14:paraId="0CFCFB53" w14:textId="77777777">
        <w:trPr>
          <w:trHeight w:val="255"/>
        </w:trPr>
        <w:tc>
          <w:tcPr>
            <w:tcW w:w="2640" w:type="dxa"/>
            <w:tcBorders>
              <w:top w:val="single" w:sz="4" w:space="0" w:color="ADD6EA"/>
              <w:left w:val="nil"/>
              <w:bottom w:val="nil"/>
              <w:right w:val="nil"/>
            </w:tcBorders>
            <w:shd w:val="clear" w:color="000000" w:fill="D6E7F0"/>
            <w:hideMark/>
          </w:tcPr>
          <w:p w14:paraId="79A667B1" w14:textId="77777777" w:rsidR="00237BC3" w:rsidRPr="00737ECC" w:rsidRDefault="00237BC3">
            <w:pPr>
              <w:tabs>
                <w:tab w:val="clear" w:pos="567"/>
              </w:tabs>
              <w:spacing w:before="0" w:line="240" w:lineRule="auto"/>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7FE4EC8E" w14:textId="77777777" w:rsidR="00237BC3" w:rsidRPr="00737ECC" w:rsidRDefault="00237BC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0C53FC26" w14:textId="77777777" w:rsidR="00237BC3" w:rsidRPr="00737ECC" w:rsidRDefault="00237BC3">
            <w:pPr>
              <w:tabs>
                <w:tab w:val="clear" w:pos="567"/>
              </w:tabs>
              <w:spacing w:before="0" w:line="240" w:lineRule="auto"/>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Explanation</w:t>
            </w:r>
          </w:p>
        </w:tc>
      </w:tr>
      <w:tr w:rsidR="00237BC3" w:rsidRPr="00737ECC" w14:paraId="5134F9DD" w14:textId="77777777">
        <w:trPr>
          <w:trHeight w:val="255"/>
        </w:trPr>
        <w:tc>
          <w:tcPr>
            <w:tcW w:w="2640" w:type="dxa"/>
            <w:tcBorders>
              <w:top w:val="single" w:sz="4" w:space="0" w:color="ADD6EA"/>
              <w:left w:val="nil"/>
              <w:bottom w:val="nil"/>
              <w:right w:val="nil"/>
            </w:tcBorders>
            <w:shd w:val="clear" w:color="000000" w:fill="B6D5E4"/>
            <w:hideMark/>
          </w:tcPr>
          <w:p w14:paraId="6042577F" w14:textId="77777777" w:rsidR="00237BC3" w:rsidRPr="00737ECC" w:rsidRDefault="00237BC3">
            <w:pPr>
              <w:tabs>
                <w:tab w:val="clear" w:pos="567"/>
              </w:tabs>
              <w:spacing w:before="0" w:line="240" w:lineRule="auto"/>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6C2393C0" w14:textId="77777777" w:rsidR="00237BC3" w:rsidRPr="00737ECC" w:rsidRDefault="00237BC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2BE82D2E" w14:textId="77777777" w:rsidR="00237BC3" w:rsidRPr="00737ECC" w:rsidRDefault="00237BC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0519FE14" w14:textId="77777777" w:rsidR="00237BC3" w:rsidRPr="00737ECC" w:rsidRDefault="00237BC3">
            <w:pPr>
              <w:tabs>
                <w:tab w:val="clear" w:pos="567"/>
              </w:tabs>
              <w:spacing w:before="0" w:line="240" w:lineRule="auto"/>
              <w:rPr>
                <w:rFonts w:ascii="Open Sans Semibold" w:eastAsia="Times New Roman" w:hAnsi="Open Sans Semibold" w:cs="Open Sans Semibold"/>
                <w:color w:val="000000"/>
                <w:sz w:val="16"/>
                <w:szCs w:val="16"/>
                <w:lang w:eastAsia="en-AU"/>
              </w:rPr>
            </w:pPr>
            <w:r w:rsidRPr="00737ECC">
              <w:rPr>
                <w:rFonts w:ascii="Open Sans Semibold" w:eastAsia="Times New Roman" w:hAnsi="Open Sans Semibold" w:cs="Open Sans Semibold"/>
                <w:color w:val="000000"/>
                <w:sz w:val="16"/>
                <w:szCs w:val="16"/>
                <w:lang w:eastAsia="en-AU"/>
              </w:rPr>
              <w:t> </w:t>
            </w:r>
          </w:p>
        </w:tc>
      </w:tr>
      <w:tr w:rsidR="00237BC3" w:rsidRPr="00737ECC" w14:paraId="7F369071" w14:textId="77777777">
        <w:trPr>
          <w:trHeight w:val="795"/>
        </w:trPr>
        <w:tc>
          <w:tcPr>
            <w:tcW w:w="2640" w:type="dxa"/>
            <w:tcBorders>
              <w:top w:val="single" w:sz="4" w:space="0" w:color="ADD6EA"/>
              <w:left w:val="nil"/>
              <w:bottom w:val="nil"/>
              <w:right w:val="nil"/>
            </w:tcBorders>
            <w:shd w:val="clear" w:color="000000" w:fill="FFFFFF"/>
            <w:hideMark/>
          </w:tcPr>
          <w:p w14:paraId="786280C1" w14:textId="77777777" w:rsidR="00237BC3" w:rsidRPr="00737ECC" w:rsidRDefault="00237BC3">
            <w:pPr>
              <w:tabs>
                <w:tab w:val="clear" w:pos="567"/>
              </w:tabs>
              <w:spacing w:before="0" w:line="240" w:lineRule="auto"/>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Mining production</w:t>
            </w:r>
          </w:p>
        </w:tc>
        <w:tc>
          <w:tcPr>
            <w:tcW w:w="700" w:type="dxa"/>
            <w:tcBorders>
              <w:top w:val="single" w:sz="4" w:space="0" w:color="ADD6EA"/>
              <w:left w:val="nil"/>
              <w:bottom w:val="nil"/>
              <w:right w:val="nil"/>
            </w:tcBorders>
            <w:shd w:val="clear" w:color="000000" w:fill="ADD6EA"/>
            <w:hideMark/>
          </w:tcPr>
          <w:p w14:paraId="75F25469" w14:textId="77777777" w:rsidR="00237BC3" w:rsidRPr="00737ECC" w:rsidRDefault="00237BC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831</w:t>
            </w:r>
          </w:p>
        </w:tc>
        <w:tc>
          <w:tcPr>
            <w:tcW w:w="700" w:type="dxa"/>
            <w:tcBorders>
              <w:top w:val="single" w:sz="4" w:space="0" w:color="ADD6EA"/>
              <w:left w:val="nil"/>
              <w:bottom w:val="nil"/>
              <w:right w:val="nil"/>
            </w:tcBorders>
            <w:shd w:val="clear" w:color="000000" w:fill="ADD6EA"/>
            <w:hideMark/>
          </w:tcPr>
          <w:p w14:paraId="6C9D3A5A" w14:textId="77777777" w:rsidR="00237BC3" w:rsidRPr="00737ECC" w:rsidRDefault="00237BC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116</w:t>
            </w:r>
          </w:p>
        </w:tc>
        <w:tc>
          <w:tcPr>
            <w:tcW w:w="4900" w:type="dxa"/>
            <w:tcBorders>
              <w:top w:val="single" w:sz="4" w:space="0" w:color="ADD6EA"/>
              <w:left w:val="nil"/>
              <w:bottom w:val="nil"/>
              <w:right w:val="nil"/>
            </w:tcBorders>
            <w:shd w:val="clear" w:color="000000" w:fill="FFFFFF"/>
            <w:hideMark/>
          </w:tcPr>
          <w:p w14:paraId="66D4726C" w14:textId="77777777" w:rsidR="00237BC3" w:rsidRPr="00737ECC" w:rsidRDefault="00237BC3">
            <w:pPr>
              <w:tabs>
                <w:tab w:val="clear" w:pos="567"/>
              </w:tabs>
              <w:spacing w:before="0" w:line="240" w:lineRule="auto"/>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A large increase in coal prices and average coal royalty rates in 2023–24 compared with 2020</w:t>
            </w:r>
            <w:r w:rsidRPr="00737ECC">
              <w:rPr>
                <w:rFonts w:ascii="Arial" w:eastAsia="Times New Roman" w:hAnsi="Arial" w:cs="Arial"/>
                <w:color w:val="000000"/>
                <w:sz w:val="16"/>
                <w:szCs w:val="16"/>
                <w:lang w:eastAsia="en-AU"/>
              </w:rPr>
              <w:t>‍</w:t>
            </w:r>
            <w:r w:rsidRPr="00737ECC">
              <w:rPr>
                <w:rFonts w:ascii="Open Sans Light" w:eastAsia="Times New Roman" w:hAnsi="Open Sans Light" w:cs="Open Sans Light"/>
                <w:color w:val="000000"/>
                <w:sz w:val="16"/>
                <w:szCs w:val="16"/>
                <w:lang w:eastAsia="en-AU"/>
              </w:rPr>
              <w:t>–</w:t>
            </w:r>
            <w:r w:rsidRPr="00737ECC">
              <w:rPr>
                <w:rFonts w:ascii="Arial" w:eastAsia="Times New Roman" w:hAnsi="Arial" w:cs="Arial"/>
                <w:color w:val="000000"/>
                <w:sz w:val="16"/>
                <w:szCs w:val="16"/>
                <w:lang w:eastAsia="en-AU"/>
              </w:rPr>
              <w:t>‍</w:t>
            </w:r>
            <w:r w:rsidRPr="00737ECC">
              <w:rPr>
                <w:rFonts w:ascii="Open Sans Light" w:eastAsia="Times New Roman" w:hAnsi="Open Sans Light" w:cs="Open Sans Light"/>
                <w:color w:val="000000"/>
                <w:sz w:val="16"/>
                <w:szCs w:val="16"/>
                <w:lang w:eastAsia="en-AU"/>
              </w:rPr>
              <w:t>21 increased coal royalties and the revenue raising capacities of New South Wales and Queensland. This reduced Victoria’s relative mining revenue raising capacity and increased its assessed GST needs.</w:t>
            </w:r>
          </w:p>
        </w:tc>
      </w:tr>
      <w:tr w:rsidR="00237BC3" w:rsidRPr="00737ECC" w14:paraId="7AA5FAB7" w14:textId="77777777">
        <w:trPr>
          <w:trHeight w:val="795"/>
        </w:trPr>
        <w:tc>
          <w:tcPr>
            <w:tcW w:w="2640" w:type="dxa"/>
            <w:tcBorders>
              <w:top w:val="single" w:sz="4" w:space="0" w:color="ADD6EA"/>
              <w:left w:val="nil"/>
              <w:bottom w:val="nil"/>
              <w:right w:val="nil"/>
            </w:tcBorders>
            <w:shd w:val="clear" w:color="000000" w:fill="FFFFFF"/>
            <w:hideMark/>
          </w:tcPr>
          <w:p w14:paraId="6B503EE0" w14:textId="3CE2D2F1" w:rsidR="00237BC3" w:rsidRPr="00737ECC" w:rsidRDefault="00237BC3">
            <w:pPr>
              <w:tabs>
                <w:tab w:val="clear" w:pos="567"/>
              </w:tabs>
              <w:spacing w:before="0" w:line="240" w:lineRule="auto"/>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 xml:space="preserve">Relative growth of investment needs for </w:t>
            </w:r>
            <w:r w:rsidR="0027583A">
              <w:rPr>
                <w:rFonts w:ascii="Open Sans Light" w:eastAsia="Times New Roman" w:hAnsi="Open Sans Light" w:cs="Open Sans Light"/>
                <w:color w:val="000000"/>
                <w:sz w:val="16"/>
                <w:szCs w:val="16"/>
                <w:lang w:eastAsia="en-AU"/>
              </w:rPr>
              <w:t>u</w:t>
            </w:r>
            <w:r w:rsidRPr="00737ECC">
              <w:rPr>
                <w:rFonts w:ascii="Open Sans Light" w:eastAsia="Times New Roman" w:hAnsi="Open Sans Light" w:cs="Open Sans Light"/>
                <w:color w:val="000000"/>
                <w:sz w:val="16"/>
                <w:szCs w:val="16"/>
                <w:lang w:eastAsia="en-AU"/>
              </w:rPr>
              <w:t>rban transport</w:t>
            </w:r>
          </w:p>
        </w:tc>
        <w:tc>
          <w:tcPr>
            <w:tcW w:w="700" w:type="dxa"/>
            <w:tcBorders>
              <w:top w:val="single" w:sz="4" w:space="0" w:color="ADD6EA"/>
              <w:left w:val="nil"/>
              <w:bottom w:val="nil"/>
              <w:right w:val="nil"/>
            </w:tcBorders>
            <w:shd w:val="clear" w:color="000000" w:fill="ADD6EA"/>
            <w:hideMark/>
          </w:tcPr>
          <w:p w14:paraId="00891316" w14:textId="77777777" w:rsidR="00237BC3" w:rsidRPr="00737ECC" w:rsidRDefault="00237BC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516</w:t>
            </w:r>
          </w:p>
        </w:tc>
        <w:tc>
          <w:tcPr>
            <w:tcW w:w="700" w:type="dxa"/>
            <w:tcBorders>
              <w:top w:val="single" w:sz="4" w:space="0" w:color="ADD6EA"/>
              <w:left w:val="nil"/>
              <w:bottom w:val="nil"/>
              <w:right w:val="nil"/>
            </w:tcBorders>
            <w:shd w:val="clear" w:color="000000" w:fill="ADD6EA"/>
            <w:hideMark/>
          </w:tcPr>
          <w:p w14:paraId="25ADE246" w14:textId="77777777" w:rsidR="00237BC3" w:rsidRPr="00737ECC" w:rsidRDefault="00237BC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72</w:t>
            </w:r>
          </w:p>
        </w:tc>
        <w:tc>
          <w:tcPr>
            <w:tcW w:w="4900" w:type="dxa"/>
            <w:tcBorders>
              <w:top w:val="single" w:sz="4" w:space="0" w:color="ADD6EA"/>
              <w:left w:val="nil"/>
              <w:bottom w:val="nil"/>
              <w:right w:val="nil"/>
            </w:tcBorders>
            <w:shd w:val="clear" w:color="000000" w:fill="FFFFFF"/>
            <w:hideMark/>
          </w:tcPr>
          <w:p w14:paraId="1ACE6283" w14:textId="158B0673" w:rsidR="00237BC3" w:rsidRPr="00737ECC" w:rsidRDefault="00237BC3">
            <w:pPr>
              <w:tabs>
                <w:tab w:val="clear" w:pos="567"/>
              </w:tabs>
              <w:spacing w:before="0" w:line="240" w:lineRule="auto"/>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There was above-average growth in population-weighted density in Melbourne in 2023–24 compared with 2020</w:t>
            </w:r>
            <w:r w:rsidR="008F3EC6">
              <w:rPr>
                <w:rFonts w:ascii="Open Sans Light" w:eastAsia="Times New Roman" w:hAnsi="Open Sans Light" w:cs="Open Sans Light"/>
                <w:color w:val="000000"/>
                <w:sz w:val="16"/>
                <w:szCs w:val="16"/>
                <w:lang w:eastAsia="en-AU"/>
              </w:rPr>
              <w:t>–</w:t>
            </w:r>
            <w:r w:rsidRPr="00737ECC">
              <w:rPr>
                <w:rFonts w:ascii="Open Sans Light" w:eastAsia="Times New Roman" w:hAnsi="Open Sans Light" w:cs="Open Sans Light"/>
                <w:color w:val="000000"/>
                <w:sz w:val="16"/>
                <w:szCs w:val="16"/>
                <w:lang w:eastAsia="en-AU"/>
              </w:rPr>
              <w:t>21 (reflecting the fall in Melbourne’s population-weighted density in 2020–21). This increased Victoria’s need for urban transport investment, increasing its assessed GST needs.</w:t>
            </w:r>
          </w:p>
        </w:tc>
      </w:tr>
      <w:tr w:rsidR="00237BC3" w:rsidRPr="00737ECC" w14:paraId="4EDC8FDF" w14:textId="77777777">
        <w:trPr>
          <w:trHeight w:val="572"/>
        </w:trPr>
        <w:tc>
          <w:tcPr>
            <w:tcW w:w="2640" w:type="dxa"/>
            <w:tcBorders>
              <w:top w:val="single" w:sz="4" w:space="0" w:color="ADD6EA"/>
              <w:left w:val="nil"/>
              <w:bottom w:val="nil"/>
              <w:right w:val="nil"/>
            </w:tcBorders>
            <w:shd w:val="clear" w:color="000000" w:fill="FFFFFF"/>
            <w:hideMark/>
          </w:tcPr>
          <w:p w14:paraId="4C902CBD" w14:textId="77777777" w:rsidR="00237BC3" w:rsidRPr="00737ECC" w:rsidRDefault="00237BC3">
            <w:pPr>
              <w:tabs>
                <w:tab w:val="clear" w:pos="567"/>
              </w:tabs>
              <w:spacing w:before="0" w:line="240" w:lineRule="auto"/>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Commonwealth payments</w:t>
            </w:r>
          </w:p>
        </w:tc>
        <w:tc>
          <w:tcPr>
            <w:tcW w:w="700" w:type="dxa"/>
            <w:tcBorders>
              <w:top w:val="single" w:sz="4" w:space="0" w:color="ADD6EA"/>
              <w:left w:val="nil"/>
              <w:bottom w:val="nil"/>
              <w:right w:val="nil"/>
            </w:tcBorders>
            <w:shd w:val="clear" w:color="000000" w:fill="ADD6EA"/>
            <w:hideMark/>
          </w:tcPr>
          <w:p w14:paraId="52112042" w14:textId="77777777" w:rsidR="00237BC3" w:rsidRPr="00737ECC" w:rsidRDefault="00237BC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309</w:t>
            </w:r>
          </w:p>
        </w:tc>
        <w:tc>
          <w:tcPr>
            <w:tcW w:w="700" w:type="dxa"/>
            <w:tcBorders>
              <w:top w:val="single" w:sz="4" w:space="0" w:color="ADD6EA"/>
              <w:left w:val="nil"/>
              <w:bottom w:val="nil"/>
              <w:right w:val="nil"/>
            </w:tcBorders>
            <w:shd w:val="clear" w:color="000000" w:fill="ADD6EA"/>
            <w:hideMark/>
          </w:tcPr>
          <w:p w14:paraId="760F5665" w14:textId="77777777" w:rsidR="00237BC3" w:rsidRPr="00737ECC" w:rsidRDefault="00237BC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43</w:t>
            </w:r>
          </w:p>
        </w:tc>
        <w:tc>
          <w:tcPr>
            <w:tcW w:w="4900" w:type="dxa"/>
            <w:tcBorders>
              <w:top w:val="single" w:sz="4" w:space="0" w:color="ADD6EA"/>
              <w:left w:val="nil"/>
              <w:bottom w:val="nil"/>
              <w:right w:val="nil"/>
            </w:tcBorders>
            <w:shd w:val="clear" w:color="000000" w:fill="FFFFFF"/>
            <w:hideMark/>
          </w:tcPr>
          <w:p w14:paraId="45725967" w14:textId="77777777" w:rsidR="00237BC3" w:rsidRPr="00737ECC" w:rsidRDefault="00237BC3">
            <w:pPr>
              <w:tabs>
                <w:tab w:val="clear" w:pos="567"/>
              </w:tabs>
              <w:spacing w:before="0" w:line="240" w:lineRule="auto"/>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Victoria received a smaller relative share of assessed Commonwealth payments in 2023–24 compared with 2020</w:t>
            </w:r>
            <w:r w:rsidRPr="00737ECC">
              <w:rPr>
                <w:rFonts w:ascii="Arial" w:eastAsia="Times New Roman" w:hAnsi="Arial" w:cs="Arial"/>
                <w:color w:val="000000"/>
                <w:sz w:val="16"/>
                <w:szCs w:val="16"/>
                <w:lang w:eastAsia="en-AU"/>
              </w:rPr>
              <w:t>‍</w:t>
            </w:r>
            <w:r w:rsidRPr="00737ECC">
              <w:rPr>
                <w:rFonts w:ascii="Open Sans Light" w:eastAsia="Times New Roman" w:hAnsi="Open Sans Light" w:cs="Open Sans Light"/>
                <w:color w:val="000000"/>
                <w:sz w:val="16"/>
                <w:szCs w:val="16"/>
                <w:lang w:eastAsia="en-AU"/>
              </w:rPr>
              <w:t>–</w:t>
            </w:r>
            <w:r w:rsidRPr="00737ECC">
              <w:rPr>
                <w:rFonts w:ascii="Arial" w:eastAsia="Times New Roman" w:hAnsi="Arial" w:cs="Arial"/>
                <w:color w:val="000000"/>
                <w:sz w:val="16"/>
                <w:szCs w:val="16"/>
                <w:lang w:eastAsia="en-AU"/>
              </w:rPr>
              <w:t>‍</w:t>
            </w:r>
            <w:r w:rsidRPr="00737ECC">
              <w:rPr>
                <w:rFonts w:ascii="Open Sans Light" w:eastAsia="Times New Roman" w:hAnsi="Open Sans Light" w:cs="Open Sans Light"/>
                <w:color w:val="000000"/>
                <w:sz w:val="16"/>
                <w:szCs w:val="16"/>
                <w:lang w:eastAsia="en-AU"/>
              </w:rPr>
              <w:t>21. This increased its assessed GST needs.</w:t>
            </w:r>
          </w:p>
        </w:tc>
      </w:tr>
      <w:tr w:rsidR="00237BC3" w:rsidRPr="00737ECC" w14:paraId="58432BF6" w14:textId="77777777">
        <w:trPr>
          <w:trHeight w:val="319"/>
        </w:trPr>
        <w:tc>
          <w:tcPr>
            <w:tcW w:w="2640" w:type="dxa"/>
            <w:tcBorders>
              <w:top w:val="single" w:sz="4" w:space="0" w:color="ADD6EA"/>
              <w:left w:val="nil"/>
              <w:bottom w:val="single" w:sz="4" w:space="0" w:color="ADD6EA"/>
              <w:right w:val="nil"/>
            </w:tcBorders>
            <w:shd w:val="clear" w:color="000000" w:fill="FFFFFF"/>
            <w:hideMark/>
          </w:tcPr>
          <w:p w14:paraId="7E88347A" w14:textId="77777777" w:rsidR="00237BC3" w:rsidRPr="00737ECC" w:rsidRDefault="00237BC3">
            <w:pPr>
              <w:tabs>
                <w:tab w:val="clear" w:pos="567"/>
              </w:tabs>
              <w:spacing w:before="0" w:line="240" w:lineRule="auto"/>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Net borrowing</w:t>
            </w:r>
          </w:p>
        </w:tc>
        <w:tc>
          <w:tcPr>
            <w:tcW w:w="700" w:type="dxa"/>
            <w:tcBorders>
              <w:top w:val="single" w:sz="4" w:space="0" w:color="ADD6EA"/>
              <w:left w:val="nil"/>
              <w:bottom w:val="single" w:sz="4" w:space="0" w:color="ADD6EA"/>
              <w:right w:val="nil"/>
            </w:tcBorders>
            <w:shd w:val="clear" w:color="000000" w:fill="EBBFA0"/>
            <w:hideMark/>
          </w:tcPr>
          <w:p w14:paraId="4A521DB0" w14:textId="77777777" w:rsidR="00237BC3" w:rsidRPr="00737ECC" w:rsidRDefault="00237BC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-244</w:t>
            </w:r>
          </w:p>
        </w:tc>
        <w:tc>
          <w:tcPr>
            <w:tcW w:w="700" w:type="dxa"/>
            <w:tcBorders>
              <w:top w:val="single" w:sz="4" w:space="0" w:color="ADD6EA"/>
              <w:left w:val="nil"/>
              <w:bottom w:val="single" w:sz="4" w:space="0" w:color="ADD6EA"/>
              <w:right w:val="nil"/>
            </w:tcBorders>
            <w:shd w:val="clear" w:color="000000" w:fill="EBBFA0"/>
            <w:hideMark/>
          </w:tcPr>
          <w:p w14:paraId="4B49BC08" w14:textId="77777777" w:rsidR="00237BC3" w:rsidRPr="00737ECC" w:rsidRDefault="00237BC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-34</w:t>
            </w:r>
          </w:p>
        </w:tc>
        <w:tc>
          <w:tcPr>
            <w:tcW w:w="4900" w:type="dxa"/>
            <w:tcBorders>
              <w:top w:val="single" w:sz="4" w:space="0" w:color="ADD6EA"/>
              <w:left w:val="nil"/>
              <w:bottom w:val="single" w:sz="4" w:space="0" w:color="ADD6EA"/>
              <w:right w:val="nil"/>
            </w:tcBorders>
            <w:shd w:val="clear" w:color="000000" w:fill="FFFFFF"/>
            <w:hideMark/>
          </w:tcPr>
          <w:p w14:paraId="66BF699A" w14:textId="6EC4DB34" w:rsidR="00237BC3" w:rsidRPr="00737ECC" w:rsidRDefault="00237BC3">
            <w:pPr>
              <w:tabs>
                <w:tab w:val="clear" w:pos="567"/>
              </w:tabs>
              <w:spacing w:before="0" w:line="240" w:lineRule="auto"/>
              <w:rPr>
                <w:rFonts w:ascii="Open Sans Light" w:eastAsia="Times New Roman" w:hAnsi="Open Sans Light" w:cs="Open Sans Light"/>
                <w:color w:val="000000"/>
                <w:sz w:val="16"/>
                <w:szCs w:val="16"/>
                <w:lang w:eastAsia="en-AU"/>
              </w:rPr>
            </w:pPr>
            <w:r w:rsidRPr="00737ECC">
              <w:rPr>
                <w:rFonts w:ascii="Open Sans Light" w:eastAsia="Times New Roman" w:hAnsi="Open Sans Light" w:cs="Open Sans Light"/>
                <w:color w:val="000000"/>
                <w:sz w:val="16"/>
                <w:szCs w:val="16"/>
                <w:lang w:eastAsia="en-AU"/>
              </w:rPr>
              <w:t>Victoria’s increasing share of population growth in 2023</w:t>
            </w:r>
            <w:r w:rsidRPr="00737ECC">
              <w:rPr>
                <w:rFonts w:ascii="Arial" w:eastAsia="Times New Roman" w:hAnsi="Arial" w:cs="Arial"/>
                <w:color w:val="000000"/>
                <w:sz w:val="16"/>
                <w:szCs w:val="16"/>
                <w:lang w:eastAsia="en-AU"/>
              </w:rPr>
              <w:t>‍</w:t>
            </w:r>
            <w:r w:rsidRPr="00737ECC">
              <w:rPr>
                <w:rFonts w:ascii="Open Sans Light" w:eastAsia="Times New Roman" w:hAnsi="Open Sans Light" w:cs="Open Sans Light"/>
                <w:color w:val="000000"/>
                <w:sz w:val="16"/>
                <w:szCs w:val="16"/>
                <w:lang w:eastAsia="en-AU"/>
              </w:rPr>
              <w:t>–</w:t>
            </w:r>
            <w:r w:rsidRPr="00737ECC">
              <w:rPr>
                <w:rFonts w:ascii="Arial" w:eastAsia="Times New Roman" w:hAnsi="Arial" w:cs="Arial"/>
                <w:color w:val="000000"/>
                <w:sz w:val="16"/>
                <w:szCs w:val="16"/>
                <w:lang w:eastAsia="en-AU"/>
              </w:rPr>
              <w:t>‍</w:t>
            </w:r>
            <w:r w:rsidRPr="00737ECC">
              <w:rPr>
                <w:rFonts w:ascii="Open Sans Light" w:eastAsia="Times New Roman" w:hAnsi="Open Sans Light" w:cs="Open Sans Light"/>
                <w:color w:val="000000"/>
                <w:sz w:val="16"/>
                <w:szCs w:val="16"/>
                <w:lang w:eastAsia="en-AU"/>
              </w:rPr>
              <w:t>24 compared with 2020–21 led to an increase in its ability to service its liabilities, reducing its assessed GST needs. While Victoria’s increasing share of population growth reduced its assessed GST</w:t>
            </w:r>
            <w:r w:rsidR="0038754D">
              <w:rPr>
                <w:rFonts w:ascii="Open Sans Light" w:eastAsia="Times New Roman" w:hAnsi="Open Sans Light" w:cs="Open Sans Light"/>
                <w:color w:val="000000"/>
                <w:sz w:val="16"/>
                <w:szCs w:val="16"/>
                <w:lang w:eastAsia="en-AU"/>
              </w:rPr>
              <w:t> </w:t>
            </w:r>
            <w:r w:rsidRPr="00737ECC">
              <w:rPr>
                <w:rFonts w:ascii="Open Sans Light" w:eastAsia="Times New Roman" w:hAnsi="Open Sans Light" w:cs="Open Sans Light"/>
                <w:color w:val="000000"/>
                <w:sz w:val="16"/>
                <w:szCs w:val="16"/>
                <w:lang w:eastAsia="en-AU"/>
              </w:rPr>
              <w:t>needs from the net borrowing assessment, it led to a larger increase in assessed GST needs through the various investment assessments, including urban transport.</w:t>
            </w:r>
          </w:p>
        </w:tc>
      </w:tr>
    </w:tbl>
    <w:p w14:paraId="23FA4F3D" w14:textId="431A02BB" w:rsidR="00237BC3" w:rsidRPr="00B63C72" w:rsidRDefault="00237BC3" w:rsidP="00FB2709">
      <w:pPr>
        <w:pStyle w:val="CGC2025TableNote"/>
        <w:numPr>
          <w:ilvl w:val="0"/>
          <w:numId w:val="20"/>
        </w:numPr>
      </w:pPr>
      <w:r w:rsidRPr="00B63C72">
        <w:t>Change of circumstances refers to the impact of replacing the 2020–21 assessment year data with the 2023–24 assessment year data in the calculation of relativities.</w:t>
      </w:r>
    </w:p>
    <w:p w14:paraId="2CA12F98" w14:textId="77777777" w:rsidR="00EF573E" w:rsidRDefault="00EF573E">
      <w:pPr>
        <w:tabs>
          <w:tab w:val="clear" w:pos="567"/>
        </w:tabs>
        <w:spacing w:before="0" w:after="200" w:line="276" w:lineRule="auto"/>
      </w:pPr>
      <w:r>
        <w:br w:type="page"/>
      </w:r>
    </w:p>
    <w:p w14:paraId="2269D6CB" w14:textId="77777777" w:rsidR="00575BE9" w:rsidRPr="00B63C72" w:rsidRDefault="00575BE9" w:rsidP="00575BE9">
      <w:pPr>
        <w:pStyle w:val="Heading2"/>
      </w:pPr>
      <w:r w:rsidRPr="00B63C72">
        <w:lastRenderedPageBreak/>
        <w:t>Queensland</w:t>
      </w:r>
    </w:p>
    <w:p w14:paraId="5161F978" w14:textId="4DA0E3BB" w:rsidR="00575BE9" w:rsidRPr="00B63C72" w:rsidRDefault="00575BE9" w:rsidP="00575BE9">
      <w:r w:rsidRPr="00B63C72">
        <w:t xml:space="preserve">In 2025–26, Queensland’s </w:t>
      </w:r>
      <w:r w:rsidRPr="00B63C72" w:rsidDel="00456B8E">
        <w:t>GST</w:t>
      </w:r>
      <w:r w:rsidR="00456B8E">
        <w:t> </w:t>
      </w:r>
      <w:r w:rsidRPr="00B63C72">
        <w:t xml:space="preserve">distribution is estimated to decrease by $1,189 million ($208 per capita). Queensland’s share of the </w:t>
      </w:r>
      <w:r w:rsidRPr="00B63C72" w:rsidDel="00456B8E">
        <w:t>GST</w:t>
      </w:r>
      <w:r w:rsidR="00456B8E">
        <w:t> </w:t>
      </w:r>
      <w:r w:rsidRPr="00B63C72">
        <w:t>pool is estimated to decrease from around 19.6% to 17.4%.</w:t>
      </w:r>
    </w:p>
    <w:p w14:paraId="36AC54A0" w14:textId="33F8C548" w:rsidR="00575BE9" w:rsidRPr="00B63C72" w:rsidRDefault="00575BE9" w:rsidP="00C45195">
      <w:pPr>
        <w:pStyle w:val="CGC2025Bullet1"/>
      </w:pPr>
      <w:r w:rsidRPr="00B63C72">
        <w:t xml:space="preserve">The main factors leading to the decrease in Queensland’s assessed </w:t>
      </w:r>
      <w:r w:rsidRPr="00B63C72" w:rsidDel="00456B8E">
        <w:t>GST</w:t>
      </w:r>
      <w:r w:rsidR="00456B8E">
        <w:t> </w:t>
      </w:r>
      <w:r w:rsidRPr="00B63C72">
        <w:t>needs are:</w:t>
      </w:r>
    </w:p>
    <w:p w14:paraId="0C374469" w14:textId="4D532871" w:rsidR="00575BE9" w:rsidRPr="00B63C72" w:rsidRDefault="00575BE9" w:rsidP="00C45195">
      <w:pPr>
        <w:pStyle w:val="CGC2025Bullet2"/>
      </w:pPr>
      <w:r w:rsidRPr="00B63C72">
        <w:t xml:space="preserve">an increase in its relative capacity to raise revenue from coal </w:t>
      </w:r>
      <w:r w:rsidRPr="00A62241">
        <w:t>royalties</w:t>
      </w:r>
      <w:r w:rsidR="00CE5996" w:rsidRPr="00A62241">
        <w:t>,</w:t>
      </w:r>
      <w:r w:rsidRPr="00A62241">
        <w:t xml:space="preserve"> </w:t>
      </w:r>
      <w:r w:rsidR="00CE5996" w:rsidRPr="00A62241">
        <w:t xml:space="preserve">because of </w:t>
      </w:r>
      <w:r w:rsidRPr="00A62241">
        <w:t>higher</w:t>
      </w:r>
      <w:r w:rsidRPr="00B63C72">
        <w:t xml:space="preserve"> coal prices and an increase in the national average coal royalty rate</w:t>
      </w:r>
    </w:p>
    <w:p w14:paraId="3F483228" w14:textId="77777777" w:rsidR="00575BE9" w:rsidRPr="00B63C72" w:rsidRDefault="00575BE9" w:rsidP="00C45195">
      <w:pPr>
        <w:pStyle w:val="CGC2025Bullet2"/>
      </w:pPr>
      <w:r w:rsidRPr="00B63C72">
        <w:t>the change in the assessment method of COVID-19 business support and health expenses and Queensland’s below-average expenses in these areas</w:t>
      </w:r>
    </w:p>
    <w:p w14:paraId="4FB90358" w14:textId="48032F92" w:rsidR="00575BE9" w:rsidRPr="002B3CF5" w:rsidRDefault="007A608A" w:rsidP="00C45195">
      <w:pPr>
        <w:pStyle w:val="CGC2025Bullet2"/>
      </w:pPr>
      <w:r w:rsidRPr="002B3CF5">
        <w:t>change</w:t>
      </w:r>
      <w:r w:rsidR="00EF6677" w:rsidRPr="002B3CF5">
        <w:t>s</w:t>
      </w:r>
      <w:r w:rsidRPr="002B3CF5">
        <w:t xml:space="preserve"> in the wage costs assessment method</w:t>
      </w:r>
      <w:r w:rsidR="00EF6677" w:rsidRPr="002B3CF5">
        <w:t>, which</w:t>
      </w:r>
      <w:r w:rsidRPr="002B3CF5">
        <w:t xml:space="preserve"> led to </w:t>
      </w:r>
      <w:r w:rsidR="00575BE9" w:rsidRPr="002B3CF5">
        <w:t>a decrease in estimated relative wage costs in Queensland</w:t>
      </w:r>
      <w:r w:rsidR="00FA6A77" w:rsidRPr="002B3CF5">
        <w:t>, compared with the previous method</w:t>
      </w:r>
    </w:p>
    <w:p w14:paraId="0BC03E0F" w14:textId="77777777" w:rsidR="00B86068" w:rsidRDefault="00AD2390" w:rsidP="00C45195">
      <w:pPr>
        <w:pStyle w:val="CGC2025Bullet2"/>
      </w:pPr>
      <w:r>
        <w:t>change</w:t>
      </w:r>
      <w:r w:rsidR="006F0AC8">
        <w:t>s</w:t>
      </w:r>
      <w:r>
        <w:t xml:space="preserve"> </w:t>
      </w:r>
      <w:r w:rsidR="006F0AC8">
        <w:t xml:space="preserve">to </w:t>
      </w:r>
      <w:r>
        <w:t>the recurrent urban transport method</w:t>
      </w:r>
      <w:r w:rsidR="00F43F43">
        <w:t xml:space="preserve">, which </w:t>
      </w:r>
      <w:r w:rsidR="00575BE9" w:rsidRPr="002B3CF5">
        <w:t>decrease</w:t>
      </w:r>
      <w:r w:rsidR="00F43F43">
        <w:t>d</w:t>
      </w:r>
      <w:r w:rsidR="00575BE9" w:rsidRPr="002B3CF5">
        <w:t xml:space="preserve"> the growth of urban transport passengers and the relative growth of population</w:t>
      </w:r>
      <w:r w:rsidR="00095610" w:rsidRPr="00851890">
        <w:rPr>
          <w:rFonts w:ascii="Times New Roman" w:hAnsi="Times New Roman" w:cs="Times New Roman"/>
        </w:rPr>
        <w:t>‍</w:t>
      </w:r>
      <w:r w:rsidR="00575BE9" w:rsidRPr="002B3CF5">
        <w:t>-</w:t>
      </w:r>
      <w:r w:rsidR="00095610" w:rsidRPr="00851890">
        <w:rPr>
          <w:rFonts w:ascii="Times New Roman" w:hAnsi="Times New Roman" w:cs="Times New Roman"/>
        </w:rPr>
        <w:t>‍</w:t>
      </w:r>
      <w:r w:rsidR="00575BE9" w:rsidRPr="002B3CF5">
        <w:t>weighted density of Brisbane</w:t>
      </w:r>
      <w:r w:rsidR="00E0664C" w:rsidRPr="002B3CF5">
        <w:t>,</w:t>
      </w:r>
      <w:r w:rsidR="00575BE9" w:rsidRPr="002B3CF5">
        <w:t xml:space="preserve"> leading to a fall in its assessed need for investment in urban transport</w:t>
      </w:r>
    </w:p>
    <w:p w14:paraId="07C22682" w14:textId="60572B2F" w:rsidR="00575BE9" w:rsidRPr="002B3CF5" w:rsidRDefault="007647C7" w:rsidP="007647C7">
      <w:pPr>
        <w:pStyle w:val="CGC2025Bullet2"/>
      </w:pPr>
      <w:r w:rsidRPr="007647C7">
        <w:t>below-average growth in population-weighted density in Brisbane in 2023</w:t>
      </w:r>
      <w:r w:rsidR="009D72F9" w:rsidRPr="00851890">
        <w:rPr>
          <w:rFonts w:ascii="Times New Roman" w:hAnsi="Times New Roman" w:cs="Times New Roman"/>
        </w:rPr>
        <w:t>‍</w:t>
      </w:r>
      <w:r w:rsidRPr="007647C7">
        <w:t>–</w:t>
      </w:r>
      <w:r w:rsidR="009D72F9" w:rsidRPr="00851890">
        <w:rPr>
          <w:rFonts w:ascii="Times New Roman" w:hAnsi="Times New Roman" w:cs="Times New Roman"/>
        </w:rPr>
        <w:t>‍</w:t>
      </w:r>
      <w:r w:rsidRPr="007647C7">
        <w:t xml:space="preserve">24, </w:t>
      </w:r>
      <w:r>
        <w:t xml:space="preserve">which </w:t>
      </w:r>
      <w:r w:rsidRPr="007647C7">
        <w:t>reduced Queensland's need for urban transport investment</w:t>
      </w:r>
      <w:r w:rsidR="00575BE9" w:rsidRPr="002B3CF5">
        <w:t>.</w:t>
      </w:r>
    </w:p>
    <w:p w14:paraId="3E4BED0B" w14:textId="77777777" w:rsidR="00575BE9" w:rsidRPr="00B63C72" w:rsidRDefault="00575BE9" w:rsidP="00C45195">
      <w:pPr>
        <w:pStyle w:val="CGC2025Bullet1"/>
      </w:pPr>
      <w:r w:rsidRPr="00B63C72">
        <w:t>The fall in Queensland’s assessed GST needs is partially offset by below</w:t>
      </w:r>
      <w:r w:rsidRPr="00B63C72">
        <w:rPr>
          <w:rFonts w:ascii="Times New Roman" w:hAnsi="Times New Roman" w:cs="Times New Roman"/>
        </w:rPr>
        <w:t>‍</w:t>
      </w:r>
      <w:r w:rsidRPr="00B63C72">
        <w:t>-</w:t>
      </w:r>
      <w:r w:rsidRPr="00B63C72">
        <w:rPr>
          <w:rFonts w:ascii="Times New Roman" w:hAnsi="Times New Roman" w:cs="Times New Roman"/>
        </w:rPr>
        <w:t>‍</w:t>
      </w:r>
      <w:r w:rsidRPr="00B63C72">
        <w:t>average growth in taxable land values, which reduced its relative capacity to raise land taxes.</w:t>
      </w:r>
    </w:p>
    <w:p w14:paraId="01D19218" w14:textId="09DC0FDA" w:rsidR="00575BE9" w:rsidRPr="00B63C72" w:rsidRDefault="00575BE9" w:rsidP="00C45195">
      <w:pPr>
        <w:pStyle w:val="CGC2025Bullet1"/>
      </w:pPr>
      <w:r w:rsidRPr="00B63C72">
        <w:t xml:space="preserve">The expected growth in the GST pool </w:t>
      </w:r>
      <w:r w:rsidR="007261D6">
        <w:t>partially offset the decrease in</w:t>
      </w:r>
      <w:r w:rsidRPr="00B63C72">
        <w:t xml:space="preserve"> Queensland’s GST distribution.</w:t>
      </w:r>
    </w:p>
    <w:p w14:paraId="5FDE670D" w14:textId="5E3ABA2B" w:rsidR="00575BE9" w:rsidRPr="00B63C72" w:rsidRDefault="00575BE9" w:rsidP="00C45195">
      <w:pPr>
        <w:pStyle w:val="CGC2025Bullet1"/>
      </w:pPr>
      <w:r w:rsidRPr="00B63C72">
        <w:t xml:space="preserve">The operation of </w:t>
      </w:r>
      <w:r w:rsidRPr="00B63C72" w:rsidDel="00796006">
        <w:t>blended</w:t>
      </w:r>
      <w:r w:rsidR="00796006">
        <w:t> </w:t>
      </w:r>
      <w:r w:rsidRPr="00B63C72">
        <w:t xml:space="preserve">relativities and the </w:t>
      </w:r>
      <w:r w:rsidRPr="00B63C72" w:rsidDel="00796006">
        <w:t>GST</w:t>
      </w:r>
      <w:r w:rsidR="00796006">
        <w:t> </w:t>
      </w:r>
      <w:r w:rsidRPr="00B63C72">
        <w:t>floor increased Queensland’s GST distribution by $1,</w:t>
      </w:r>
      <w:r w:rsidR="00C750DC" w:rsidRPr="00B63C72">
        <w:t>271</w:t>
      </w:r>
      <w:r w:rsidR="00C750DC">
        <w:t> </w:t>
      </w:r>
      <w:r w:rsidRPr="00B63C72">
        <w:t>million more than in 2024–25. In 2025–26, Queensland’s assessed relativity is below that of the standard state in all 3</w:t>
      </w:r>
      <w:r w:rsidR="00C04ECB">
        <w:t> </w:t>
      </w:r>
      <w:r w:rsidRPr="00B63C72">
        <w:t xml:space="preserve">assessment years. As a result, Queensland benefits from the </w:t>
      </w:r>
      <w:r w:rsidRPr="00B63C72" w:rsidDel="00796006">
        <w:t>2018</w:t>
      </w:r>
      <w:r w:rsidR="00796006">
        <w:t> </w:t>
      </w:r>
      <w:r w:rsidR="00796006" w:rsidRPr="00B63C72">
        <w:t>GST</w:t>
      </w:r>
      <w:r w:rsidR="00796006">
        <w:t> </w:t>
      </w:r>
      <w:r w:rsidRPr="00B63C72" w:rsidDel="00796006">
        <w:t>distribution</w:t>
      </w:r>
      <w:r w:rsidR="00796006">
        <w:t> </w:t>
      </w:r>
      <w:r w:rsidRPr="00B63C72">
        <w:t xml:space="preserve">legislation by having its relativity lifted to the standard state as a part of calculating its </w:t>
      </w:r>
      <w:r w:rsidRPr="00B63C72" w:rsidDel="00796006">
        <w:t>GST</w:t>
      </w:r>
      <w:r w:rsidR="00796006">
        <w:t> </w:t>
      </w:r>
      <w:r w:rsidRPr="00B63C72">
        <w:t xml:space="preserve">relativity. Consequently, the difference between what Queensland receives under the </w:t>
      </w:r>
      <w:r w:rsidRPr="00B63C72" w:rsidDel="00796006">
        <w:t>2018</w:t>
      </w:r>
      <w:r w:rsidR="00796006">
        <w:t> </w:t>
      </w:r>
      <w:r w:rsidRPr="00B63C72" w:rsidDel="00796006">
        <w:t>GST</w:t>
      </w:r>
      <w:r w:rsidR="00796006">
        <w:t> </w:t>
      </w:r>
      <w:r w:rsidRPr="00B63C72" w:rsidDel="00796006">
        <w:t>distribution</w:t>
      </w:r>
      <w:r w:rsidR="00796006">
        <w:t> </w:t>
      </w:r>
      <w:r w:rsidRPr="00B63C72">
        <w:t xml:space="preserve">legislation and what it would have received without the </w:t>
      </w:r>
      <w:r w:rsidRPr="00B63C72" w:rsidDel="00796006">
        <w:t>2018</w:t>
      </w:r>
      <w:r w:rsidR="00796006">
        <w:t> </w:t>
      </w:r>
      <w:r w:rsidRPr="00B63C72" w:rsidDel="00796006">
        <w:t>GST</w:t>
      </w:r>
      <w:r w:rsidR="00796006">
        <w:t> </w:t>
      </w:r>
      <w:r w:rsidRPr="00B63C72" w:rsidDel="00796006">
        <w:t>distribution</w:t>
      </w:r>
      <w:r w:rsidR="00796006">
        <w:t> </w:t>
      </w:r>
      <w:r w:rsidRPr="00B63C72">
        <w:t>legislation is smaller than in 2024–25.</w:t>
      </w:r>
      <w:r w:rsidRPr="001E0FFF">
        <w:rPr>
          <w:vertAlign w:val="superscript"/>
        </w:rPr>
        <w:footnoteReference w:id="8"/>
      </w:r>
    </w:p>
    <w:p w14:paraId="3E3A8414" w14:textId="77777777" w:rsidR="00387388" w:rsidRDefault="00387388" w:rsidP="00C45195">
      <w:pPr>
        <w:pStyle w:val="CGC2025Caption"/>
        <w:ind w:left="1440" w:hanging="1440"/>
      </w:pPr>
    </w:p>
    <w:p w14:paraId="545D42C4" w14:textId="77777777" w:rsidR="00387388" w:rsidRDefault="00387388" w:rsidP="00C45195">
      <w:pPr>
        <w:pStyle w:val="CGC2025Caption"/>
        <w:ind w:left="1440" w:hanging="1440"/>
      </w:pPr>
    </w:p>
    <w:p w14:paraId="13EA91DE" w14:textId="77777777" w:rsidR="00387388" w:rsidRDefault="00387388" w:rsidP="00C45195">
      <w:pPr>
        <w:pStyle w:val="CGC2025Caption"/>
        <w:ind w:left="1440" w:hanging="1440"/>
      </w:pPr>
    </w:p>
    <w:p w14:paraId="4ED5D6E3" w14:textId="77777777" w:rsidR="00387388" w:rsidRDefault="00387388" w:rsidP="00C45195">
      <w:pPr>
        <w:pStyle w:val="CGC2025Caption"/>
        <w:ind w:left="1440" w:hanging="1440"/>
      </w:pPr>
    </w:p>
    <w:p w14:paraId="621829ED" w14:textId="77777777" w:rsidR="00387388" w:rsidRDefault="00387388" w:rsidP="00C45195">
      <w:pPr>
        <w:pStyle w:val="CGC2025Caption"/>
        <w:ind w:left="1440" w:hanging="1440"/>
      </w:pPr>
    </w:p>
    <w:p w14:paraId="1BEA8192" w14:textId="77777777" w:rsidR="00387388" w:rsidRDefault="00387388" w:rsidP="00C45195">
      <w:pPr>
        <w:pStyle w:val="CGC2025Caption"/>
        <w:ind w:left="1440" w:hanging="1440"/>
      </w:pPr>
    </w:p>
    <w:p w14:paraId="722450BD" w14:textId="540D43AF" w:rsidR="00575BE9" w:rsidRPr="00B63C72" w:rsidRDefault="00575BE9" w:rsidP="00C45195">
      <w:pPr>
        <w:pStyle w:val="CGC2025Caption"/>
        <w:ind w:left="1440" w:hanging="1440"/>
      </w:pPr>
      <w:r w:rsidRPr="00B63C72">
        <w:lastRenderedPageBreak/>
        <w:t>Table 3-3</w:t>
      </w:r>
      <w:r w:rsidRPr="00B63C72">
        <w:tab/>
        <w:t>Change in estimated GST distribution from 2024–25 to 2025</w:t>
      </w:r>
      <w:r w:rsidR="00442B05" w:rsidRPr="00851890">
        <w:rPr>
          <w:rFonts w:ascii="Times New Roman" w:hAnsi="Times New Roman" w:cs="Times New Roman"/>
        </w:rPr>
        <w:t>‍</w:t>
      </w:r>
      <w:r w:rsidRPr="00B63C72">
        <w:t>–</w:t>
      </w:r>
      <w:r w:rsidR="00442B05" w:rsidRPr="00851890">
        <w:rPr>
          <w:rFonts w:ascii="Times New Roman" w:hAnsi="Times New Roman" w:cs="Times New Roman"/>
        </w:rPr>
        <w:t>‍</w:t>
      </w:r>
      <w:r w:rsidRPr="00B63C72">
        <w:t>26, Queensland (excludes no worse off payments)</w:t>
      </w:r>
    </w:p>
    <w:tbl>
      <w:tblPr>
        <w:tblW w:w="8940" w:type="dxa"/>
        <w:tblCellMar>
          <w:top w:w="15" w:type="dxa"/>
          <w:bottom w:w="15" w:type="dxa"/>
        </w:tblCellMar>
        <w:tblLook w:val="04A0" w:firstRow="1" w:lastRow="0" w:firstColumn="1" w:lastColumn="0" w:noHBand="0" w:noVBand="1"/>
      </w:tblPr>
      <w:tblGrid>
        <w:gridCol w:w="4060"/>
        <w:gridCol w:w="2440"/>
        <w:gridCol w:w="2440"/>
      </w:tblGrid>
      <w:tr w:rsidR="00CA5483" w:rsidRPr="009E523F" w14:paraId="10597667" w14:textId="77777777">
        <w:trPr>
          <w:trHeight w:val="300"/>
        </w:trPr>
        <w:tc>
          <w:tcPr>
            <w:tcW w:w="4060" w:type="dxa"/>
            <w:tcBorders>
              <w:top w:val="nil"/>
              <w:left w:val="nil"/>
              <w:bottom w:val="single" w:sz="4" w:space="0" w:color="ADD6EA"/>
              <w:right w:val="nil"/>
            </w:tcBorders>
            <w:shd w:val="clear" w:color="000000" w:fill="006991"/>
            <w:noWrap/>
            <w:vAlign w:val="center"/>
            <w:hideMark/>
          </w:tcPr>
          <w:p w14:paraId="3B025236" w14:textId="77777777" w:rsidR="00CA5483" w:rsidRPr="009E523F" w:rsidRDefault="00CA5483">
            <w:pPr>
              <w:tabs>
                <w:tab w:val="clear" w:pos="567"/>
              </w:tabs>
              <w:spacing w:before="0" w:line="240" w:lineRule="auto"/>
              <w:rPr>
                <w:rFonts w:ascii="Times New Roman" w:eastAsia="Times New Roman" w:hAnsi="Times New Roman" w:cs="Times New Roman"/>
                <w:sz w:val="24"/>
                <w:szCs w:val="24"/>
                <w:lang w:eastAsia="en-AU"/>
              </w:rPr>
            </w:pPr>
          </w:p>
        </w:tc>
        <w:tc>
          <w:tcPr>
            <w:tcW w:w="2440" w:type="dxa"/>
            <w:tcBorders>
              <w:top w:val="nil"/>
              <w:left w:val="nil"/>
              <w:bottom w:val="single" w:sz="4" w:space="0" w:color="ADD6EA"/>
              <w:right w:val="nil"/>
            </w:tcBorders>
            <w:shd w:val="clear" w:color="000000" w:fill="006991"/>
            <w:noWrap/>
            <w:vAlign w:val="center"/>
            <w:hideMark/>
          </w:tcPr>
          <w:p w14:paraId="6318A87F" w14:textId="77777777" w:rsidR="00CA5483" w:rsidRPr="009E523F" w:rsidRDefault="00CA5483">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E523F">
              <w:rPr>
                <w:rFonts w:ascii="Open Sans Semibold" w:eastAsia="Times New Roman" w:hAnsi="Open Sans Semibold" w:cs="Open Sans Semibold"/>
                <w:color w:val="FFFFFF"/>
                <w:sz w:val="16"/>
                <w:szCs w:val="16"/>
                <w:lang w:eastAsia="en-AU"/>
              </w:rPr>
              <w:t>$m</w:t>
            </w:r>
          </w:p>
        </w:tc>
        <w:tc>
          <w:tcPr>
            <w:tcW w:w="2440" w:type="dxa"/>
            <w:tcBorders>
              <w:top w:val="nil"/>
              <w:left w:val="nil"/>
              <w:bottom w:val="single" w:sz="4" w:space="0" w:color="ADD6EA"/>
              <w:right w:val="nil"/>
            </w:tcBorders>
            <w:shd w:val="clear" w:color="000000" w:fill="006991"/>
            <w:noWrap/>
            <w:vAlign w:val="center"/>
            <w:hideMark/>
          </w:tcPr>
          <w:p w14:paraId="440509E5" w14:textId="77777777" w:rsidR="00CA5483" w:rsidRPr="009E523F" w:rsidRDefault="00CA5483">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E523F">
              <w:rPr>
                <w:rFonts w:ascii="Open Sans Semibold" w:eastAsia="Times New Roman" w:hAnsi="Open Sans Semibold" w:cs="Open Sans Semibold"/>
                <w:color w:val="FFFFFF"/>
                <w:sz w:val="16"/>
                <w:szCs w:val="16"/>
                <w:lang w:eastAsia="en-AU"/>
              </w:rPr>
              <w:t>$pc</w:t>
            </w:r>
          </w:p>
        </w:tc>
      </w:tr>
      <w:tr w:rsidR="00CA5483" w:rsidRPr="009E523F" w14:paraId="6DD37F97" w14:textId="77777777">
        <w:trPr>
          <w:trHeight w:val="300"/>
        </w:trPr>
        <w:tc>
          <w:tcPr>
            <w:tcW w:w="4060" w:type="dxa"/>
            <w:tcBorders>
              <w:top w:val="single" w:sz="4" w:space="0" w:color="ADD6EA"/>
              <w:left w:val="nil"/>
              <w:bottom w:val="single" w:sz="4" w:space="0" w:color="ADD6EA"/>
              <w:right w:val="nil"/>
            </w:tcBorders>
            <w:noWrap/>
            <w:vAlign w:val="center"/>
            <w:hideMark/>
          </w:tcPr>
          <w:p w14:paraId="53200996" w14:textId="77777777" w:rsidR="00CA5483" w:rsidRPr="009E523F" w:rsidRDefault="00CA5483">
            <w:pPr>
              <w:tabs>
                <w:tab w:val="clear" w:pos="567"/>
              </w:tabs>
              <w:spacing w:before="0" w:line="240" w:lineRule="auto"/>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 xml:space="preserve">Change in </w:t>
            </w:r>
            <w:r w:rsidRPr="009E523F">
              <w:rPr>
                <w:rFonts w:ascii="Open Sans Light" w:eastAsia="Times New Roman" w:hAnsi="Open Sans Light" w:cs="Open Sans Light"/>
                <w:color w:val="000000"/>
                <w:sz w:val="16"/>
                <w:szCs w:val="16"/>
                <w:lang w:eastAsia="en-AU"/>
              </w:rPr>
              <w:t>population</w:t>
            </w:r>
          </w:p>
        </w:tc>
        <w:tc>
          <w:tcPr>
            <w:tcW w:w="2440" w:type="dxa"/>
            <w:tcBorders>
              <w:top w:val="single" w:sz="4" w:space="0" w:color="ADD6EA"/>
              <w:left w:val="nil"/>
              <w:bottom w:val="single" w:sz="4" w:space="0" w:color="ADD6EA"/>
              <w:right w:val="nil"/>
            </w:tcBorders>
            <w:noWrap/>
            <w:vAlign w:val="center"/>
            <w:hideMark/>
          </w:tcPr>
          <w:p w14:paraId="0F1C93DD" w14:textId="77777777" w:rsidR="00CA5483" w:rsidRPr="009E523F" w:rsidRDefault="00CA5483">
            <w:pPr>
              <w:tabs>
                <w:tab w:val="clear" w:pos="567"/>
              </w:tabs>
              <w:spacing w:before="0" w:line="240" w:lineRule="auto"/>
              <w:jc w:val="right"/>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43</w:t>
            </w:r>
          </w:p>
        </w:tc>
        <w:tc>
          <w:tcPr>
            <w:tcW w:w="2440" w:type="dxa"/>
            <w:tcBorders>
              <w:top w:val="single" w:sz="4" w:space="0" w:color="ADD6EA"/>
              <w:left w:val="nil"/>
              <w:bottom w:val="single" w:sz="4" w:space="0" w:color="ADD6EA"/>
              <w:right w:val="nil"/>
            </w:tcBorders>
            <w:noWrap/>
            <w:vAlign w:val="center"/>
            <w:hideMark/>
          </w:tcPr>
          <w:p w14:paraId="56614CFE" w14:textId="77777777" w:rsidR="00CA5483" w:rsidRPr="009E523F" w:rsidRDefault="00CA5483">
            <w:pPr>
              <w:tabs>
                <w:tab w:val="clear" w:pos="567"/>
              </w:tabs>
              <w:spacing w:before="0" w:line="240" w:lineRule="auto"/>
              <w:jc w:val="right"/>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7</w:t>
            </w:r>
          </w:p>
        </w:tc>
      </w:tr>
      <w:tr w:rsidR="00CA5483" w:rsidRPr="009E523F" w14:paraId="1CB7B02A" w14:textId="77777777">
        <w:trPr>
          <w:trHeight w:val="300"/>
        </w:trPr>
        <w:tc>
          <w:tcPr>
            <w:tcW w:w="4060" w:type="dxa"/>
            <w:tcBorders>
              <w:top w:val="single" w:sz="4" w:space="0" w:color="ADD6EA"/>
              <w:left w:val="nil"/>
              <w:bottom w:val="single" w:sz="4" w:space="0" w:color="ADD6EA"/>
              <w:right w:val="nil"/>
            </w:tcBorders>
            <w:noWrap/>
            <w:vAlign w:val="center"/>
            <w:hideMark/>
          </w:tcPr>
          <w:p w14:paraId="65D2C375" w14:textId="77777777" w:rsidR="00CA5483" w:rsidRPr="009E523F" w:rsidRDefault="00CA5483">
            <w:pPr>
              <w:tabs>
                <w:tab w:val="clear" w:pos="567"/>
              </w:tabs>
              <w:spacing w:before="0" w:line="240" w:lineRule="auto"/>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 xml:space="preserve">Growth in GST pool </w:t>
            </w:r>
          </w:p>
        </w:tc>
        <w:tc>
          <w:tcPr>
            <w:tcW w:w="2440" w:type="dxa"/>
            <w:tcBorders>
              <w:top w:val="single" w:sz="4" w:space="0" w:color="ADD6EA"/>
              <w:left w:val="nil"/>
              <w:bottom w:val="single" w:sz="4" w:space="0" w:color="ADD6EA"/>
              <w:right w:val="nil"/>
            </w:tcBorders>
            <w:noWrap/>
            <w:vAlign w:val="center"/>
            <w:hideMark/>
          </w:tcPr>
          <w:p w14:paraId="61A1463B" w14:textId="77777777" w:rsidR="00CA5483" w:rsidRPr="009E523F" w:rsidRDefault="00CA5483">
            <w:pPr>
              <w:tabs>
                <w:tab w:val="clear" w:pos="567"/>
              </w:tabs>
              <w:spacing w:before="0" w:line="240" w:lineRule="auto"/>
              <w:jc w:val="right"/>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887</w:t>
            </w:r>
          </w:p>
        </w:tc>
        <w:tc>
          <w:tcPr>
            <w:tcW w:w="2440" w:type="dxa"/>
            <w:tcBorders>
              <w:top w:val="single" w:sz="4" w:space="0" w:color="ADD6EA"/>
              <w:left w:val="nil"/>
              <w:bottom w:val="single" w:sz="4" w:space="0" w:color="ADD6EA"/>
              <w:right w:val="nil"/>
            </w:tcBorders>
            <w:noWrap/>
            <w:vAlign w:val="center"/>
            <w:hideMark/>
          </w:tcPr>
          <w:p w14:paraId="03102067" w14:textId="77777777" w:rsidR="00CA5483" w:rsidRPr="009E523F" w:rsidRDefault="00CA5483">
            <w:pPr>
              <w:tabs>
                <w:tab w:val="clear" w:pos="567"/>
              </w:tabs>
              <w:spacing w:before="0" w:line="240" w:lineRule="auto"/>
              <w:jc w:val="right"/>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155</w:t>
            </w:r>
          </w:p>
        </w:tc>
      </w:tr>
      <w:tr w:rsidR="00CA5483" w:rsidRPr="009E523F" w14:paraId="0E4338D8" w14:textId="77777777">
        <w:trPr>
          <w:trHeight w:val="300"/>
        </w:trPr>
        <w:tc>
          <w:tcPr>
            <w:tcW w:w="4060" w:type="dxa"/>
            <w:tcBorders>
              <w:top w:val="single" w:sz="4" w:space="0" w:color="ADD6EA"/>
              <w:left w:val="nil"/>
              <w:bottom w:val="single" w:sz="4" w:space="0" w:color="ADD6EA"/>
              <w:right w:val="nil"/>
            </w:tcBorders>
            <w:noWrap/>
            <w:vAlign w:val="center"/>
            <w:hideMark/>
          </w:tcPr>
          <w:p w14:paraId="4DEDFD32" w14:textId="77777777" w:rsidR="00CA5483" w:rsidRPr="009E523F" w:rsidRDefault="00CA5483">
            <w:pPr>
              <w:tabs>
                <w:tab w:val="clear" w:pos="567"/>
              </w:tabs>
              <w:spacing w:before="0" w:line="240" w:lineRule="auto"/>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Changes in assessed needs</w:t>
            </w:r>
          </w:p>
        </w:tc>
        <w:tc>
          <w:tcPr>
            <w:tcW w:w="2440" w:type="dxa"/>
            <w:tcBorders>
              <w:top w:val="single" w:sz="4" w:space="0" w:color="ADD6EA"/>
              <w:left w:val="nil"/>
              <w:bottom w:val="single" w:sz="4" w:space="0" w:color="ADD6EA"/>
              <w:right w:val="nil"/>
            </w:tcBorders>
            <w:noWrap/>
            <w:vAlign w:val="center"/>
            <w:hideMark/>
          </w:tcPr>
          <w:p w14:paraId="3E175203" w14:textId="77777777" w:rsidR="00CA5483" w:rsidRPr="009E523F" w:rsidRDefault="00CA5483">
            <w:pPr>
              <w:tabs>
                <w:tab w:val="clear" w:pos="567"/>
              </w:tabs>
              <w:spacing w:before="0" w:line="240" w:lineRule="auto"/>
              <w:rPr>
                <w:rFonts w:ascii="Open Sans Light" w:eastAsia="Times New Roman" w:hAnsi="Open Sans Light" w:cs="Open Sans Light"/>
                <w:sz w:val="16"/>
                <w:szCs w:val="16"/>
                <w:lang w:eastAsia="en-AU"/>
              </w:rPr>
            </w:pPr>
          </w:p>
        </w:tc>
        <w:tc>
          <w:tcPr>
            <w:tcW w:w="2440" w:type="dxa"/>
            <w:tcBorders>
              <w:top w:val="single" w:sz="4" w:space="0" w:color="ADD6EA"/>
              <w:left w:val="nil"/>
              <w:bottom w:val="single" w:sz="4" w:space="0" w:color="ADD6EA"/>
              <w:right w:val="nil"/>
            </w:tcBorders>
            <w:noWrap/>
            <w:vAlign w:val="center"/>
            <w:hideMark/>
          </w:tcPr>
          <w:p w14:paraId="1FB217AE" w14:textId="77777777" w:rsidR="00CA5483" w:rsidRPr="009E523F" w:rsidRDefault="00CA5483">
            <w:pPr>
              <w:tabs>
                <w:tab w:val="clear" w:pos="567"/>
              </w:tabs>
              <w:spacing w:before="0" w:line="240" w:lineRule="auto"/>
              <w:jc w:val="right"/>
              <w:rPr>
                <w:rFonts w:ascii="Times New Roman" w:eastAsia="Times New Roman" w:hAnsi="Times New Roman" w:cs="Times New Roman"/>
                <w:szCs w:val="20"/>
                <w:lang w:eastAsia="en-AU"/>
              </w:rPr>
            </w:pPr>
          </w:p>
        </w:tc>
      </w:tr>
      <w:tr w:rsidR="00CA5483" w:rsidRPr="009E523F" w14:paraId="55D49467" w14:textId="77777777">
        <w:trPr>
          <w:trHeight w:val="300"/>
        </w:trPr>
        <w:tc>
          <w:tcPr>
            <w:tcW w:w="4060" w:type="dxa"/>
            <w:tcBorders>
              <w:top w:val="single" w:sz="4" w:space="0" w:color="ADD6EA"/>
              <w:left w:val="nil"/>
              <w:bottom w:val="single" w:sz="4" w:space="0" w:color="ADD6EA"/>
              <w:right w:val="nil"/>
            </w:tcBorders>
            <w:noWrap/>
            <w:vAlign w:val="center"/>
            <w:hideMark/>
          </w:tcPr>
          <w:p w14:paraId="43E866A6" w14:textId="77777777" w:rsidR="00CA5483" w:rsidRPr="009E523F" w:rsidRDefault="00CA5483">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Method changes</w:t>
            </w:r>
          </w:p>
        </w:tc>
        <w:tc>
          <w:tcPr>
            <w:tcW w:w="2440" w:type="dxa"/>
            <w:tcBorders>
              <w:top w:val="single" w:sz="4" w:space="0" w:color="ADD6EA"/>
              <w:left w:val="nil"/>
              <w:bottom w:val="single" w:sz="4" w:space="0" w:color="ADD6EA"/>
              <w:right w:val="nil"/>
            </w:tcBorders>
            <w:noWrap/>
            <w:vAlign w:val="center"/>
            <w:hideMark/>
          </w:tcPr>
          <w:p w14:paraId="45B6C047" w14:textId="77777777" w:rsidR="00CA5483" w:rsidRPr="009E523F" w:rsidRDefault="00CA5483">
            <w:pPr>
              <w:tabs>
                <w:tab w:val="clear" w:pos="567"/>
              </w:tabs>
              <w:spacing w:before="0" w:line="240" w:lineRule="auto"/>
              <w:jc w:val="right"/>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-1,123</w:t>
            </w:r>
          </w:p>
        </w:tc>
        <w:tc>
          <w:tcPr>
            <w:tcW w:w="2440" w:type="dxa"/>
            <w:tcBorders>
              <w:top w:val="single" w:sz="4" w:space="0" w:color="ADD6EA"/>
              <w:left w:val="nil"/>
              <w:bottom w:val="single" w:sz="4" w:space="0" w:color="ADD6EA"/>
              <w:right w:val="nil"/>
            </w:tcBorders>
            <w:noWrap/>
            <w:vAlign w:val="center"/>
            <w:hideMark/>
          </w:tcPr>
          <w:p w14:paraId="0EFB32B2" w14:textId="77777777" w:rsidR="00CA5483" w:rsidRPr="009E523F" w:rsidRDefault="00CA5483">
            <w:pPr>
              <w:tabs>
                <w:tab w:val="clear" w:pos="567"/>
              </w:tabs>
              <w:spacing w:before="0" w:line="240" w:lineRule="auto"/>
              <w:jc w:val="right"/>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-196</w:t>
            </w:r>
          </w:p>
        </w:tc>
      </w:tr>
      <w:tr w:rsidR="00CA5483" w:rsidRPr="009E523F" w14:paraId="7900D3B6" w14:textId="77777777">
        <w:trPr>
          <w:trHeight w:val="300"/>
        </w:trPr>
        <w:tc>
          <w:tcPr>
            <w:tcW w:w="4060" w:type="dxa"/>
            <w:tcBorders>
              <w:top w:val="single" w:sz="4" w:space="0" w:color="ADD6EA"/>
              <w:left w:val="nil"/>
              <w:bottom w:val="single" w:sz="4" w:space="0" w:color="ADD6EA"/>
              <w:right w:val="nil"/>
            </w:tcBorders>
            <w:noWrap/>
            <w:vAlign w:val="center"/>
            <w:hideMark/>
          </w:tcPr>
          <w:p w14:paraId="574E2708" w14:textId="77777777" w:rsidR="00CA5483" w:rsidRPr="009E523F" w:rsidRDefault="00CA5483">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Data revisions</w:t>
            </w:r>
          </w:p>
        </w:tc>
        <w:tc>
          <w:tcPr>
            <w:tcW w:w="2440" w:type="dxa"/>
            <w:tcBorders>
              <w:top w:val="single" w:sz="4" w:space="0" w:color="ADD6EA"/>
              <w:left w:val="nil"/>
              <w:bottom w:val="single" w:sz="4" w:space="0" w:color="ADD6EA"/>
              <w:right w:val="nil"/>
            </w:tcBorders>
            <w:noWrap/>
            <w:vAlign w:val="center"/>
            <w:hideMark/>
          </w:tcPr>
          <w:p w14:paraId="6C3C4228" w14:textId="77777777" w:rsidR="00CA5483" w:rsidRPr="009E523F" w:rsidRDefault="00CA5483">
            <w:pPr>
              <w:tabs>
                <w:tab w:val="clear" w:pos="567"/>
              </w:tabs>
              <w:spacing w:before="0" w:line="240" w:lineRule="auto"/>
              <w:jc w:val="right"/>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-98</w:t>
            </w:r>
          </w:p>
        </w:tc>
        <w:tc>
          <w:tcPr>
            <w:tcW w:w="2440" w:type="dxa"/>
            <w:tcBorders>
              <w:top w:val="single" w:sz="4" w:space="0" w:color="ADD6EA"/>
              <w:left w:val="nil"/>
              <w:bottom w:val="single" w:sz="4" w:space="0" w:color="ADD6EA"/>
              <w:right w:val="nil"/>
            </w:tcBorders>
            <w:noWrap/>
            <w:vAlign w:val="center"/>
            <w:hideMark/>
          </w:tcPr>
          <w:p w14:paraId="5EC2FA15" w14:textId="77777777" w:rsidR="00CA5483" w:rsidRPr="009E523F" w:rsidRDefault="00CA5483">
            <w:pPr>
              <w:tabs>
                <w:tab w:val="clear" w:pos="567"/>
              </w:tabs>
              <w:spacing w:before="0" w:line="240" w:lineRule="auto"/>
              <w:jc w:val="right"/>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-17</w:t>
            </w:r>
          </w:p>
        </w:tc>
      </w:tr>
      <w:tr w:rsidR="00CA5483" w:rsidRPr="009E523F" w14:paraId="301FD6E3" w14:textId="77777777">
        <w:trPr>
          <w:trHeight w:val="300"/>
        </w:trPr>
        <w:tc>
          <w:tcPr>
            <w:tcW w:w="4060" w:type="dxa"/>
            <w:tcBorders>
              <w:top w:val="single" w:sz="4" w:space="0" w:color="ADD6EA"/>
              <w:left w:val="nil"/>
              <w:bottom w:val="single" w:sz="4" w:space="0" w:color="ADD6EA"/>
              <w:right w:val="nil"/>
            </w:tcBorders>
            <w:noWrap/>
            <w:vAlign w:val="center"/>
            <w:hideMark/>
          </w:tcPr>
          <w:p w14:paraId="2FC6F663" w14:textId="77777777" w:rsidR="00CA5483" w:rsidRPr="009E523F" w:rsidRDefault="00CA5483">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State circumstances</w:t>
            </w:r>
          </w:p>
        </w:tc>
        <w:tc>
          <w:tcPr>
            <w:tcW w:w="2440" w:type="dxa"/>
            <w:tcBorders>
              <w:top w:val="single" w:sz="4" w:space="0" w:color="ADD6EA"/>
              <w:left w:val="nil"/>
              <w:bottom w:val="single" w:sz="4" w:space="0" w:color="ADD6EA"/>
              <w:right w:val="nil"/>
            </w:tcBorders>
            <w:noWrap/>
            <w:vAlign w:val="center"/>
            <w:hideMark/>
          </w:tcPr>
          <w:p w14:paraId="7EE704CF" w14:textId="77777777" w:rsidR="00CA5483" w:rsidRPr="009E523F" w:rsidRDefault="00CA5483">
            <w:pPr>
              <w:tabs>
                <w:tab w:val="clear" w:pos="567"/>
              </w:tabs>
              <w:spacing w:before="0" w:line="240" w:lineRule="auto"/>
              <w:jc w:val="right"/>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-2,170</w:t>
            </w:r>
          </w:p>
        </w:tc>
        <w:tc>
          <w:tcPr>
            <w:tcW w:w="2440" w:type="dxa"/>
            <w:tcBorders>
              <w:top w:val="single" w:sz="4" w:space="0" w:color="ADD6EA"/>
              <w:left w:val="nil"/>
              <w:bottom w:val="single" w:sz="4" w:space="0" w:color="ADD6EA"/>
              <w:right w:val="nil"/>
            </w:tcBorders>
            <w:noWrap/>
            <w:vAlign w:val="center"/>
            <w:hideMark/>
          </w:tcPr>
          <w:p w14:paraId="7FB07906" w14:textId="77777777" w:rsidR="00CA5483" w:rsidRPr="009E523F" w:rsidRDefault="00CA5483">
            <w:pPr>
              <w:tabs>
                <w:tab w:val="clear" w:pos="567"/>
              </w:tabs>
              <w:spacing w:before="0" w:line="240" w:lineRule="auto"/>
              <w:jc w:val="right"/>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-379</w:t>
            </w:r>
          </w:p>
        </w:tc>
      </w:tr>
      <w:tr w:rsidR="00CA5483" w:rsidRPr="009E523F" w14:paraId="7E74ADC4" w14:textId="77777777">
        <w:trPr>
          <w:trHeight w:val="300"/>
        </w:trPr>
        <w:tc>
          <w:tcPr>
            <w:tcW w:w="4060" w:type="dxa"/>
            <w:tcBorders>
              <w:top w:val="single" w:sz="4" w:space="0" w:color="ADD6EA"/>
              <w:left w:val="nil"/>
              <w:bottom w:val="single" w:sz="4" w:space="0" w:color="ADD6EA"/>
              <w:right w:val="nil"/>
            </w:tcBorders>
            <w:noWrap/>
            <w:vAlign w:val="center"/>
            <w:hideMark/>
          </w:tcPr>
          <w:p w14:paraId="5083981B" w14:textId="77777777" w:rsidR="00CA5483" w:rsidRPr="009E523F" w:rsidRDefault="00CA5483">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Total</w:t>
            </w:r>
          </w:p>
        </w:tc>
        <w:tc>
          <w:tcPr>
            <w:tcW w:w="2440" w:type="dxa"/>
            <w:tcBorders>
              <w:top w:val="single" w:sz="4" w:space="0" w:color="ADD6EA"/>
              <w:left w:val="nil"/>
              <w:bottom w:val="single" w:sz="4" w:space="0" w:color="ADD6EA"/>
              <w:right w:val="nil"/>
            </w:tcBorders>
            <w:noWrap/>
            <w:vAlign w:val="center"/>
            <w:hideMark/>
          </w:tcPr>
          <w:p w14:paraId="636F3540" w14:textId="77777777" w:rsidR="00CA5483" w:rsidRPr="009E523F" w:rsidRDefault="00CA5483">
            <w:pPr>
              <w:tabs>
                <w:tab w:val="clear" w:pos="567"/>
              </w:tabs>
              <w:spacing w:before="0" w:line="240" w:lineRule="auto"/>
              <w:jc w:val="right"/>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-3,391</w:t>
            </w:r>
          </w:p>
        </w:tc>
        <w:tc>
          <w:tcPr>
            <w:tcW w:w="2440" w:type="dxa"/>
            <w:tcBorders>
              <w:top w:val="single" w:sz="4" w:space="0" w:color="ADD6EA"/>
              <w:left w:val="nil"/>
              <w:bottom w:val="single" w:sz="4" w:space="0" w:color="ADD6EA"/>
              <w:right w:val="nil"/>
            </w:tcBorders>
            <w:noWrap/>
            <w:vAlign w:val="center"/>
            <w:hideMark/>
          </w:tcPr>
          <w:p w14:paraId="3C5AB23D" w14:textId="77777777" w:rsidR="00CA5483" w:rsidRPr="009E523F" w:rsidRDefault="00CA5483">
            <w:pPr>
              <w:tabs>
                <w:tab w:val="clear" w:pos="567"/>
              </w:tabs>
              <w:spacing w:before="0" w:line="240" w:lineRule="auto"/>
              <w:jc w:val="right"/>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-592</w:t>
            </w:r>
          </w:p>
        </w:tc>
      </w:tr>
      <w:tr w:rsidR="00CA5483" w:rsidRPr="009E523F" w14:paraId="39D0A800" w14:textId="77777777">
        <w:trPr>
          <w:trHeight w:val="300"/>
        </w:trPr>
        <w:tc>
          <w:tcPr>
            <w:tcW w:w="4060" w:type="dxa"/>
            <w:tcBorders>
              <w:top w:val="single" w:sz="4" w:space="0" w:color="ADD6EA"/>
              <w:left w:val="nil"/>
              <w:bottom w:val="single" w:sz="4" w:space="0" w:color="ADD6EA"/>
              <w:right w:val="nil"/>
            </w:tcBorders>
            <w:noWrap/>
            <w:vAlign w:val="center"/>
            <w:hideMark/>
          </w:tcPr>
          <w:p w14:paraId="5D3B2FB6" w14:textId="46896417" w:rsidR="00CA5483" w:rsidRPr="009E523F" w:rsidRDefault="00CA5483">
            <w:pPr>
              <w:tabs>
                <w:tab w:val="clear" w:pos="567"/>
              </w:tabs>
              <w:spacing w:before="0" w:line="240" w:lineRule="auto"/>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Blended relativities and GST floor</w:t>
            </w:r>
          </w:p>
        </w:tc>
        <w:tc>
          <w:tcPr>
            <w:tcW w:w="2440" w:type="dxa"/>
            <w:tcBorders>
              <w:top w:val="single" w:sz="4" w:space="0" w:color="ADD6EA"/>
              <w:left w:val="nil"/>
              <w:bottom w:val="single" w:sz="4" w:space="0" w:color="ADD6EA"/>
              <w:right w:val="nil"/>
            </w:tcBorders>
            <w:noWrap/>
            <w:vAlign w:val="center"/>
            <w:hideMark/>
          </w:tcPr>
          <w:p w14:paraId="42A24E88" w14:textId="77777777" w:rsidR="00CA5483" w:rsidRPr="009E523F" w:rsidRDefault="00CA5483">
            <w:pPr>
              <w:tabs>
                <w:tab w:val="clear" w:pos="567"/>
              </w:tabs>
              <w:spacing w:before="0" w:line="240" w:lineRule="auto"/>
              <w:jc w:val="right"/>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1,271</w:t>
            </w:r>
          </w:p>
        </w:tc>
        <w:tc>
          <w:tcPr>
            <w:tcW w:w="2440" w:type="dxa"/>
            <w:tcBorders>
              <w:top w:val="single" w:sz="4" w:space="0" w:color="ADD6EA"/>
              <w:left w:val="nil"/>
              <w:bottom w:val="single" w:sz="4" w:space="0" w:color="ADD6EA"/>
              <w:right w:val="nil"/>
            </w:tcBorders>
            <w:noWrap/>
            <w:vAlign w:val="center"/>
            <w:hideMark/>
          </w:tcPr>
          <w:p w14:paraId="67AB8315" w14:textId="77777777" w:rsidR="00CA5483" w:rsidRPr="009E523F" w:rsidRDefault="00CA5483">
            <w:pPr>
              <w:tabs>
                <w:tab w:val="clear" w:pos="567"/>
              </w:tabs>
              <w:spacing w:before="0" w:line="240" w:lineRule="auto"/>
              <w:jc w:val="right"/>
              <w:rPr>
                <w:rFonts w:ascii="Open Sans Light" w:eastAsia="Times New Roman" w:hAnsi="Open Sans Light" w:cs="Open Sans Light"/>
                <w:sz w:val="16"/>
                <w:szCs w:val="16"/>
                <w:lang w:eastAsia="en-AU"/>
              </w:rPr>
            </w:pPr>
            <w:r w:rsidRPr="009E523F">
              <w:rPr>
                <w:rFonts w:ascii="Open Sans Light" w:eastAsia="Times New Roman" w:hAnsi="Open Sans Light" w:cs="Open Sans Light"/>
                <w:sz w:val="16"/>
                <w:szCs w:val="16"/>
                <w:lang w:eastAsia="en-AU"/>
              </w:rPr>
              <w:t>222</w:t>
            </w:r>
          </w:p>
        </w:tc>
      </w:tr>
      <w:tr w:rsidR="00CA5483" w:rsidRPr="009E523F" w14:paraId="1A2E4B04" w14:textId="77777777">
        <w:trPr>
          <w:trHeight w:val="300"/>
        </w:trPr>
        <w:tc>
          <w:tcPr>
            <w:tcW w:w="4060" w:type="dxa"/>
            <w:tcBorders>
              <w:top w:val="single" w:sz="4" w:space="0" w:color="ADD6EA"/>
              <w:left w:val="nil"/>
              <w:bottom w:val="single" w:sz="4" w:space="0" w:color="ADD6EA"/>
              <w:right w:val="nil"/>
            </w:tcBorders>
            <w:shd w:val="clear" w:color="000000" w:fill="D6E7F0"/>
            <w:noWrap/>
            <w:vAlign w:val="center"/>
            <w:hideMark/>
          </w:tcPr>
          <w:p w14:paraId="14C9ED02" w14:textId="77777777" w:rsidR="00CA5483" w:rsidRPr="009E523F" w:rsidRDefault="00CA5483">
            <w:pPr>
              <w:tabs>
                <w:tab w:val="clear" w:pos="567"/>
              </w:tabs>
              <w:spacing w:before="0" w:line="240" w:lineRule="auto"/>
              <w:rPr>
                <w:rFonts w:ascii="Open Sans Semibold" w:eastAsia="Times New Roman" w:hAnsi="Open Sans Semibold" w:cs="Open Sans Semibold"/>
                <w:color w:val="000000"/>
                <w:sz w:val="16"/>
                <w:szCs w:val="16"/>
                <w:lang w:eastAsia="en-AU"/>
              </w:rPr>
            </w:pPr>
            <w:r w:rsidRPr="009E523F">
              <w:rPr>
                <w:rFonts w:ascii="Open Sans Semibold" w:eastAsia="Times New Roman" w:hAnsi="Open Sans Semibold" w:cs="Open Sans Semibold"/>
                <w:color w:val="000000"/>
                <w:sz w:val="16"/>
                <w:szCs w:val="16"/>
                <w:lang w:eastAsia="en-AU"/>
              </w:rPr>
              <w:t>Total change</w:t>
            </w:r>
          </w:p>
        </w:tc>
        <w:tc>
          <w:tcPr>
            <w:tcW w:w="2440" w:type="dxa"/>
            <w:tcBorders>
              <w:top w:val="single" w:sz="4" w:space="0" w:color="ADD6EA"/>
              <w:left w:val="nil"/>
              <w:bottom w:val="single" w:sz="4" w:space="0" w:color="ADD6EA"/>
              <w:right w:val="nil"/>
            </w:tcBorders>
            <w:shd w:val="clear" w:color="000000" w:fill="D6E7F0"/>
            <w:noWrap/>
            <w:vAlign w:val="center"/>
            <w:hideMark/>
          </w:tcPr>
          <w:p w14:paraId="21961383" w14:textId="77777777" w:rsidR="00CA5483" w:rsidRPr="009E523F" w:rsidRDefault="00CA5483">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E523F">
              <w:rPr>
                <w:rFonts w:ascii="Open Sans Semibold" w:eastAsia="Times New Roman" w:hAnsi="Open Sans Semibold" w:cs="Open Sans Semibold"/>
                <w:color w:val="000000"/>
                <w:sz w:val="16"/>
                <w:szCs w:val="16"/>
                <w:lang w:eastAsia="en-AU"/>
              </w:rPr>
              <w:t>-1,189</w:t>
            </w:r>
          </w:p>
        </w:tc>
        <w:tc>
          <w:tcPr>
            <w:tcW w:w="2440" w:type="dxa"/>
            <w:tcBorders>
              <w:top w:val="single" w:sz="4" w:space="0" w:color="ADD6EA"/>
              <w:left w:val="nil"/>
              <w:bottom w:val="single" w:sz="4" w:space="0" w:color="ADD6EA"/>
              <w:right w:val="nil"/>
            </w:tcBorders>
            <w:shd w:val="clear" w:color="000000" w:fill="D6E7F0"/>
            <w:noWrap/>
            <w:vAlign w:val="center"/>
            <w:hideMark/>
          </w:tcPr>
          <w:p w14:paraId="15773B65" w14:textId="77777777" w:rsidR="00CA5483" w:rsidRPr="009E523F" w:rsidRDefault="00CA5483">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E523F">
              <w:rPr>
                <w:rFonts w:ascii="Open Sans Semibold" w:eastAsia="Times New Roman" w:hAnsi="Open Sans Semibold" w:cs="Open Sans Semibold"/>
                <w:color w:val="000000"/>
                <w:sz w:val="16"/>
                <w:szCs w:val="16"/>
                <w:lang w:eastAsia="en-AU"/>
              </w:rPr>
              <w:t>-208</w:t>
            </w:r>
          </w:p>
        </w:tc>
      </w:tr>
    </w:tbl>
    <w:p w14:paraId="5A9CB0FA" w14:textId="2B6B9C45" w:rsidR="001E0FFF" w:rsidRDefault="001E0FFF" w:rsidP="00FB2709">
      <w:pPr>
        <w:pStyle w:val="CGC2025TableNote"/>
      </w:pPr>
      <w:r>
        <w:t>Note: Table may not add due to rounding</w:t>
      </w:r>
      <w:r w:rsidR="000D6E30">
        <w:t>.</w:t>
      </w:r>
    </w:p>
    <w:p w14:paraId="25C2E8DB" w14:textId="537CC4F6" w:rsidR="007A6F69" w:rsidRPr="00B63C72" w:rsidRDefault="007A6F69" w:rsidP="007A6F69">
      <w:pPr>
        <w:pStyle w:val="CGC2025Caption"/>
      </w:pPr>
      <w:r w:rsidRPr="00B63C72">
        <w:t>Figure 3-3</w:t>
      </w:r>
      <w:r w:rsidRPr="00B63C72">
        <w:tab/>
        <w:t>Queensland: main changes in assessed GST needs, 2025</w:t>
      </w:r>
      <w:r w:rsidR="00442B05" w:rsidRPr="00851890">
        <w:rPr>
          <w:rFonts w:ascii="Times New Roman" w:hAnsi="Times New Roman" w:cs="Times New Roman"/>
        </w:rPr>
        <w:t>‍</w:t>
      </w:r>
      <w:r w:rsidRPr="00B63C72">
        <w:t>–</w:t>
      </w:r>
      <w:r w:rsidR="00442B05" w:rsidRPr="00851890">
        <w:rPr>
          <w:rFonts w:ascii="Times New Roman" w:hAnsi="Times New Roman" w:cs="Times New Roman"/>
        </w:rPr>
        <w:t>‍</w:t>
      </w:r>
      <w:r w:rsidRPr="00B63C72">
        <w:t>26 relativities</w:t>
      </w:r>
    </w:p>
    <w:tbl>
      <w:tblPr>
        <w:tblW w:w="8940" w:type="dxa"/>
        <w:tblLook w:val="04A0" w:firstRow="1" w:lastRow="0" w:firstColumn="1" w:lastColumn="0" w:noHBand="0" w:noVBand="1"/>
      </w:tblPr>
      <w:tblGrid>
        <w:gridCol w:w="2640"/>
        <w:gridCol w:w="700"/>
        <w:gridCol w:w="700"/>
        <w:gridCol w:w="4900"/>
      </w:tblGrid>
      <w:tr w:rsidR="007A6F69" w:rsidRPr="00323D6C" w14:paraId="63E712ED" w14:textId="77777777">
        <w:trPr>
          <w:trHeight w:val="375"/>
        </w:trPr>
        <w:tc>
          <w:tcPr>
            <w:tcW w:w="8940" w:type="dxa"/>
            <w:gridSpan w:val="4"/>
            <w:tcBorders>
              <w:top w:val="nil"/>
              <w:left w:val="nil"/>
              <w:bottom w:val="nil"/>
              <w:right w:val="nil"/>
            </w:tcBorders>
            <w:shd w:val="clear" w:color="000000" w:fill="006991"/>
            <w:vAlign w:val="center"/>
            <w:hideMark/>
          </w:tcPr>
          <w:p w14:paraId="416BE96F" w14:textId="77777777" w:rsidR="007A6F69" w:rsidRPr="00323D6C" w:rsidRDefault="007A6F69">
            <w:pPr>
              <w:tabs>
                <w:tab w:val="clear" w:pos="567"/>
              </w:tabs>
              <w:spacing w:before="0" w:line="240" w:lineRule="auto"/>
              <w:rPr>
                <w:rFonts w:ascii="Open Sans Semibold" w:eastAsia="Times New Roman" w:hAnsi="Open Sans Semibold" w:cs="Open Sans Semibold"/>
                <w:color w:val="FFFFFF"/>
                <w:sz w:val="16"/>
                <w:szCs w:val="16"/>
                <w:lang w:eastAsia="en-AU"/>
              </w:rPr>
            </w:pPr>
            <w:r w:rsidRPr="00323D6C">
              <w:rPr>
                <w:rFonts w:ascii="Open Sans Semibold" w:eastAsia="Times New Roman" w:hAnsi="Open Sans Semibold" w:cs="Open Sans Semibold"/>
                <w:color w:val="FFFFFF"/>
                <w:sz w:val="16"/>
                <w:szCs w:val="16"/>
                <w:lang w:eastAsia="en-AU"/>
              </w:rPr>
              <w:t>Method changes</w:t>
            </w:r>
          </w:p>
        </w:tc>
      </w:tr>
      <w:tr w:rsidR="007A6F69" w:rsidRPr="00323D6C" w14:paraId="6D3E6FE0" w14:textId="77777777">
        <w:trPr>
          <w:trHeight w:val="255"/>
        </w:trPr>
        <w:tc>
          <w:tcPr>
            <w:tcW w:w="2640" w:type="dxa"/>
            <w:tcBorders>
              <w:top w:val="single" w:sz="4" w:space="0" w:color="ADD6EA"/>
              <w:left w:val="nil"/>
              <w:bottom w:val="nil"/>
              <w:right w:val="nil"/>
            </w:tcBorders>
            <w:shd w:val="clear" w:color="000000" w:fill="D6E7F0"/>
            <w:hideMark/>
          </w:tcPr>
          <w:p w14:paraId="32CDF281" w14:textId="77777777" w:rsidR="007A6F69" w:rsidRPr="00323D6C" w:rsidRDefault="007A6F69">
            <w:pPr>
              <w:tabs>
                <w:tab w:val="clear" w:pos="567"/>
              </w:tabs>
              <w:spacing w:before="0" w:line="240" w:lineRule="auto"/>
              <w:rPr>
                <w:rFonts w:ascii="Open Sans Semibold" w:eastAsia="Times New Roman" w:hAnsi="Open Sans Semibold" w:cs="Open Sans Semibold"/>
                <w:color w:val="000000"/>
                <w:sz w:val="16"/>
                <w:szCs w:val="16"/>
                <w:lang w:eastAsia="en-AU"/>
              </w:rPr>
            </w:pPr>
            <w:r w:rsidRPr="00323D6C">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21DD01A0" w14:textId="77777777" w:rsidR="007A6F69" w:rsidRPr="00323D6C" w:rsidRDefault="007A6F69">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323D6C">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36942AE5" w14:textId="77777777" w:rsidR="007A6F69" w:rsidRPr="00323D6C" w:rsidRDefault="007A6F69">
            <w:pPr>
              <w:tabs>
                <w:tab w:val="clear" w:pos="567"/>
              </w:tabs>
              <w:spacing w:before="0" w:line="240" w:lineRule="auto"/>
              <w:rPr>
                <w:rFonts w:ascii="Open Sans Semibold" w:eastAsia="Times New Roman" w:hAnsi="Open Sans Semibold" w:cs="Open Sans Semibold"/>
                <w:color w:val="000000"/>
                <w:sz w:val="16"/>
                <w:szCs w:val="16"/>
                <w:lang w:eastAsia="en-AU"/>
              </w:rPr>
            </w:pPr>
            <w:r w:rsidRPr="00323D6C">
              <w:rPr>
                <w:rFonts w:ascii="Open Sans Semibold" w:eastAsia="Times New Roman" w:hAnsi="Open Sans Semibold" w:cs="Open Sans Semibold"/>
                <w:color w:val="000000"/>
                <w:sz w:val="16"/>
                <w:szCs w:val="16"/>
                <w:lang w:eastAsia="en-AU"/>
              </w:rPr>
              <w:t>Explanation</w:t>
            </w:r>
          </w:p>
        </w:tc>
      </w:tr>
      <w:tr w:rsidR="007A6F69" w:rsidRPr="00323D6C" w14:paraId="3AD6B3EE" w14:textId="77777777">
        <w:trPr>
          <w:trHeight w:val="255"/>
        </w:trPr>
        <w:tc>
          <w:tcPr>
            <w:tcW w:w="2640" w:type="dxa"/>
            <w:tcBorders>
              <w:top w:val="single" w:sz="4" w:space="0" w:color="ADD6EA"/>
              <w:left w:val="nil"/>
              <w:bottom w:val="nil"/>
              <w:right w:val="nil"/>
            </w:tcBorders>
            <w:shd w:val="clear" w:color="000000" w:fill="B6D5E4"/>
            <w:hideMark/>
          </w:tcPr>
          <w:p w14:paraId="0F56D8AB" w14:textId="77777777" w:rsidR="007A6F69" w:rsidRPr="00323D6C" w:rsidRDefault="007A6F69">
            <w:pPr>
              <w:tabs>
                <w:tab w:val="clear" w:pos="567"/>
              </w:tabs>
              <w:spacing w:before="0" w:line="240" w:lineRule="auto"/>
              <w:rPr>
                <w:rFonts w:ascii="Open Sans Semibold" w:eastAsia="Times New Roman" w:hAnsi="Open Sans Semibold" w:cs="Open Sans Semibold"/>
                <w:color w:val="000000"/>
                <w:sz w:val="16"/>
                <w:szCs w:val="16"/>
                <w:lang w:eastAsia="en-AU"/>
              </w:rPr>
            </w:pPr>
            <w:r w:rsidRPr="00323D6C">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11C2C801" w14:textId="77777777" w:rsidR="007A6F69" w:rsidRPr="00323D6C" w:rsidRDefault="007A6F69">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323D6C">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787F8475" w14:textId="77777777" w:rsidR="007A6F69" w:rsidRPr="00323D6C" w:rsidRDefault="007A6F69">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323D6C">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4F098240" w14:textId="77777777" w:rsidR="007A6F69" w:rsidRPr="00323D6C" w:rsidRDefault="007A6F69">
            <w:pPr>
              <w:tabs>
                <w:tab w:val="clear" w:pos="567"/>
              </w:tabs>
              <w:spacing w:before="0" w:line="240" w:lineRule="auto"/>
              <w:rPr>
                <w:rFonts w:ascii="Open Sans Semibold" w:eastAsia="Times New Roman" w:hAnsi="Open Sans Semibold" w:cs="Open Sans Semibold"/>
                <w:color w:val="000000"/>
                <w:sz w:val="16"/>
                <w:szCs w:val="16"/>
                <w:lang w:eastAsia="en-AU"/>
              </w:rPr>
            </w:pPr>
            <w:r w:rsidRPr="00323D6C">
              <w:rPr>
                <w:rFonts w:ascii="Open Sans Semibold" w:eastAsia="Times New Roman" w:hAnsi="Open Sans Semibold" w:cs="Open Sans Semibold"/>
                <w:color w:val="000000"/>
                <w:sz w:val="16"/>
                <w:szCs w:val="16"/>
                <w:lang w:eastAsia="en-AU"/>
              </w:rPr>
              <w:t> </w:t>
            </w:r>
          </w:p>
        </w:tc>
      </w:tr>
      <w:tr w:rsidR="007A6F69" w:rsidRPr="00323D6C" w14:paraId="7B87D3FF" w14:textId="77777777">
        <w:trPr>
          <w:trHeight w:val="795"/>
        </w:trPr>
        <w:tc>
          <w:tcPr>
            <w:tcW w:w="2640" w:type="dxa"/>
            <w:tcBorders>
              <w:top w:val="single" w:sz="4" w:space="0" w:color="ADD6EA"/>
              <w:left w:val="nil"/>
              <w:bottom w:val="nil"/>
              <w:right w:val="nil"/>
            </w:tcBorders>
            <w:shd w:val="clear" w:color="000000" w:fill="FFFFFF"/>
            <w:hideMark/>
          </w:tcPr>
          <w:p w14:paraId="59C193C4" w14:textId="6C4532BC" w:rsidR="007A6F69" w:rsidRPr="00323D6C" w:rsidRDefault="007A6F69">
            <w:pPr>
              <w:tabs>
                <w:tab w:val="clear" w:pos="567"/>
              </w:tabs>
              <w:spacing w:before="0" w:line="240" w:lineRule="auto"/>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 xml:space="preserve">COVID-19 in </w:t>
            </w:r>
            <w:r w:rsidR="007B6F49">
              <w:rPr>
                <w:rFonts w:ascii="Open Sans Light" w:eastAsia="Times New Roman" w:hAnsi="Open Sans Light" w:cs="Open Sans Light"/>
                <w:color w:val="000000"/>
                <w:sz w:val="16"/>
                <w:szCs w:val="16"/>
                <w:lang w:eastAsia="en-AU"/>
              </w:rPr>
              <w:t>s</w:t>
            </w:r>
            <w:r w:rsidRPr="00323D6C">
              <w:rPr>
                <w:rFonts w:ascii="Open Sans Light" w:eastAsia="Times New Roman" w:hAnsi="Open Sans Light" w:cs="Open Sans Light"/>
                <w:color w:val="000000"/>
                <w:sz w:val="16"/>
                <w:szCs w:val="16"/>
                <w:lang w:eastAsia="en-AU"/>
              </w:rPr>
              <w:t>ervices to industry</w:t>
            </w:r>
          </w:p>
        </w:tc>
        <w:tc>
          <w:tcPr>
            <w:tcW w:w="700" w:type="dxa"/>
            <w:tcBorders>
              <w:top w:val="single" w:sz="4" w:space="0" w:color="ADD6EA"/>
              <w:left w:val="nil"/>
              <w:bottom w:val="nil"/>
              <w:right w:val="nil"/>
            </w:tcBorders>
            <w:shd w:val="clear" w:color="000000" w:fill="EBBFA0"/>
            <w:hideMark/>
          </w:tcPr>
          <w:p w14:paraId="724EAC07" w14:textId="77777777" w:rsidR="007A6F69" w:rsidRPr="00323D6C" w:rsidRDefault="007A6F69">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-478</w:t>
            </w:r>
          </w:p>
        </w:tc>
        <w:tc>
          <w:tcPr>
            <w:tcW w:w="700" w:type="dxa"/>
            <w:tcBorders>
              <w:top w:val="single" w:sz="4" w:space="0" w:color="ADD6EA"/>
              <w:left w:val="nil"/>
              <w:bottom w:val="nil"/>
              <w:right w:val="nil"/>
            </w:tcBorders>
            <w:shd w:val="clear" w:color="000000" w:fill="EBBFA0"/>
            <w:hideMark/>
          </w:tcPr>
          <w:p w14:paraId="4F2A82FA" w14:textId="77777777" w:rsidR="007A6F69" w:rsidRPr="00323D6C" w:rsidRDefault="007A6F69">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-83</w:t>
            </w:r>
          </w:p>
        </w:tc>
        <w:tc>
          <w:tcPr>
            <w:tcW w:w="4900" w:type="dxa"/>
            <w:tcBorders>
              <w:top w:val="single" w:sz="4" w:space="0" w:color="ADD6EA"/>
              <w:left w:val="nil"/>
              <w:bottom w:val="nil"/>
              <w:right w:val="nil"/>
            </w:tcBorders>
            <w:shd w:val="clear" w:color="000000" w:fill="FFFFFF"/>
            <w:hideMark/>
          </w:tcPr>
          <w:p w14:paraId="2CEF832B" w14:textId="79317050" w:rsidR="007A6F69" w:rsidRPr="00323D6C" w:rsidRDefault="007A6F69">
            <w:pPr>
              <w:tabs>
                <w:tab w:val="clear" w:pos="567"/>
              </w:tabs>
              <w:spacing w:before="0" w:line="240" w:lineRule="auto"/>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The Commission introduced an actual per capita assessment of COVID-19 business support expenses covered by the national partnership agreements. Queensland's below-average COVID</w:t>
            </w:r>
            <w:r w:rsidR="001F23E2" w:rsidRPr="00323D6C">
              <w:rPr>
                <w:rFonts w:ascii="Arial" w:eastAsia="Times New Roman" w:hAnsi="Arial" w:cs="Arial"/>
                <w:color w:val="000000"/>
                <w:sz w:val="16"/>
                <w:szCs w:val="16"/>
                <w:lang w:eastAsia="en-AU"/>
              </w:rPr>
              <w:t>‍</w:t>
            </w:r>
            <w:r w:rsidRPr="00323D6C">
              <w:rPr>
                <w:rFonts w:ascii="Open Sans Light" w:eastAsia="Times New Roman" w:hAnsi="Open Sans Light" w:cs="Open Sans Light"/>
                <w:color w:val="000000"/>
                <w:sz w:val="16"/>
                <w:szCs w:val="16"/>
                <w:lang w:eastAsia="en-AU"/>
              </w:rPr>
              <w:t>-</w:t>
            </w:r>
            <w:r w:rsidRPr="00323D6C">
              <w:rPr>
                <w:rFonts w:ascii="Arial" w:eastAsia="Times New Roman" w:hAnsi="Arial" w:cs="Arial"/>
                <w:color w:val="000000"/>
                <w:sz w:val="16"/>
                <w:szCs w:val="16"/>
                <w:lang w:eastAsia="en-AU"/>
              </w:rPr>
              <w:t>‍</w:t>
            </w:r>
            <w:r w:rsidRPr="00323D6C">
              <w:rPr>
                <w:rFonts w:ascii="Open Sans Light" w:eastAsia="Times New Roman" w:hAnsi="Open Sans Light" w:cs="Open Sans Light"/>
                <w:color w:val="000000"/>
                <w:sz w:val="16"/>
                <w:szCs w:val="16"/>
                <w:lang w:eastAsia="en-AU"/>
              </w:rPr>
              <w:t>19 business support expenses reduced its assessed GST needs.</w:t>
            </w:r>
          </w:p>
        </w:tc>
      </w:tr>
      <w:tr w:rsidR="007A6F69" w:rsidRPr="00323D6C" w14:paraId="54DF2381" w14:textId="77777777">
        <w:trPr>
          <w:trHeight w:val="795"/>
        </w:trPr>
        <w:tc>
          <w:tcPr>
            <w:tcW w:w="2640" w:type="dxa"/>
            <w:tcBorders>
              <w:top w:val="single" w:sz="4" w:space="0" w:color="ADD6EA"/>
              <w:left w:val="nil"/>
              <w:bottom w:val="nil"/>
              <w:right w:val="nil"/>
            </w:tcBorders>
            <w:shd w:val="clear" w:color="000000" w:fill="FFFFFF"/>
            <w:hideMark/>
          </w:tcPr>
          <w:p w14:paraId="24DCD380" w14:textId="4BE17E5C" w:rsidR="007A6F69" w:rsidRPr="00323D6C" w:rsidRDefault="007A6F69">
            <w:pPr>
              <w:tabs>
                <w:tab w:val="clear" w:pos="567"/>
              </w:tabs>
              <w:spacing w:before="0" w:line="240" w:lineRule="auto"/>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 xml:space="preserve">COVID-19 in </w:t>
            </w:r>
            <w:r w:rsidR="000D72F7">
              <w:rPr>
                <w:rFonts w:ascii="Open Sans Light" w:eastAsia="Times New Roman" w:hAnsi="Open Sans Light" w:cs="Open Sans Light"/>
                <w:color w:val="000000"/>
                <w:sz w:val="16"/>
                <w:szCs w:val="16"/>
                <w:lang w:eastAsia="en-AU"/>
              </w:rPr>
              <w:t>h</w:t>
            </w:r>
            <w:r w:rsidRPr="00323D6C">
              <w:rPr>
                <w:rFonts w:ascii="Open Sans Light" w:eastAsia="Times New Roman" w:hAnsi="Open Sans Light" w:cs="Open Sans Light"/>
                <w:color w:val="000000"/>
                <w:sz w:val="16"/>
                <w:szCs w:val="16"/>
                <w:lang w:eastAsia="en-AU"/>
              </w:rPr>
              <w:t>ealth</w:t>
            </w:r>
          </w:p>
        </w:tc>
        <w:tc>
          <w:tcPr>
            <w:tcW w:w="700" w:type="dxa"/>
            <w:tcBorders>
              <w:top w:val="single" w:sz="4" w:space="0" w:color="ADD6EA"/>
              <w:left w:val="nil"/>
              <w:bottom w:val="nil"/>
              <w:right w:val="nil"/>
            </w:tcBorders>
            <w:shd w:val="clear" w:color="000000" w:fill="EBBFA0"/>
            <w:hideMark/>
          </w:tcPr>
          <w:p w14:paraId="46AAA4B3" w14:textId="77777777" w:rsidR="007A6F69" w:rsidRPr="00323D6C" w:rsidRDefault="007A6F69">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-324</w:t>
            </w:r>
          </w:p>
        </w:tc>
        <w:tc>
          <w:tcPr>
            <w:tcW w:w="700" w:type="dxa"/>
            <w:tcBorders>
              <w:top w:val="single" w:sz="4" w:space="0" w:color="ADD6EA"/>
              <w:left w:val="nil"/>
              <w:bottom w:val="nil"/>
              <w:right w:val="nil"/>
            </w:tcBorders>
            <w:shd w:val="clear" w:color="000000" w:fill="EBBFA0"/>
            <w:hideMark/>
          </w:tcPr>
          <w:p w14:paraId="1B7D40A5" w14:textId="77777777" w:rsidR="007A6F69" w:rsidRPr="00323D6C" w:rsidRDefault="007A6F69">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-57</w:t>
            </w:r>
          </w:p>
        </w:tc>
        <w:tc>
          <w:tcPr>
            <w:tcW w:w="4900" w:type="dxa"/>
            <w:tcBorders>
              <w:top w:val="single" w:sz="4" w:space="0" w:color="ADD6EA"/>
              <w:left w:val="nil"/>
              <w:bottom w:val="nil"/>
              <w:right w:val="nil"/>
            </w:tcBorders>
            <w:shd w:val="clear" w:color="000000" w:fill="FFFFFF"/>
            <w:hideMark/>
          </w:tcPr>
          <w:p w14:paraId="2F25B6B6" w14:textId="78573EA2" w:rsidR="007A6F69" w:rsidRPr="00323D6C" w:rsidRDefault="007A6F69">
            <w:pPr>
              <w:tabs>
                <w:tab w:val="clear" w:pos="567"/>
              </w:tabs>
              <w:spacing w:before="0" w:line="240" w:lineRule="auto"/>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The Commission introduced an actual per capita assessment of COVID</w:t>
            </w:r>
            <w:r w:rsidR="001F23E2" w:rsidRPr="00323D6C">
              <w:rPr>
                <w:rFonts w:ascii="Arial" w:eastAsia="Times New Roman" w:hAnsi="Arial" w:cs="Arial"/>
                <w:color w:val="000000"/>
                <w:sz w:val="16"/>
                <w:szCs w:val="16"/>
                <w:lang w:eastAsia="en-AU"/>
              </w:rPr>
              <w:t>‍</w:t>
            </w:r>
            <w:r w:rsidRPr="00323D6C">
              <w:rPr>
                <w:rFonts w:ascii="Open Sans Light" w:eastAsia="Times New Roman" w:hAnsi="Open Sans Light" w:cs="Open Sans Light"/>
                <w:color w:val="000000"/>
                <w:sz w:val="16"/>
                <w:szCs w:val="16"/>
                <w:lang w:eastAsia="en-AU"/>
              </w:rPr>
              <w:t>-</w:t>
            </w:r>
            <w:r w:rsidR="001F23E2" w:rsidRPr="00323D6C">
              <w:rPr>
                <w:rFonts w:ascii="Arial" w:eastAsia="Times New Roman" w:hAnsi="Arial" w:cs="Arial"/>
                <w:color w:val="000000"/>
                <w:sz w:val="16"/>
                <w:szCs w:val="16"/>
                <w:lang w:eastAsia="en-AU"/>
              </w:rPr>
              <w:t>‍</w:t>
            </w:r>
            <w:r w:rsidRPr="00323D6C">
              <w:rPr>
                <w:rFonts w:ascii="Open Sans Light" w:eastAsia="Times New Roman" w:hAnsi="Open Sans Light" w:cs="Open Sans Light"/>
                <w:color w:val="000000"/>
                <w:sz w:val="16"/>
                <w:szCs w:val="16"/>
                <w:lang w:eastAsia="en-AU"/>
              </w:rPr>
              <w:t>19 health expenses covered by the national partnership agreement. Queensland's below-average COVID</w:t>
            </w:r>
            <w:r w:rsidR="001F23E2" w:rsidRPr="00323D6C">
              <w:rPr>
                <w:rFonts w:ascii="Arial" w:eastAsia="Times New Roman" w:hAnsi="Arial" w:cs="Arial"/>
                <w:color w:val="000000"/>
                <w:sz w:val="16"/>
                <w:szCs w:val="16"/>
                <w:lang w:eastAsia="en-AU"/>
              </w:rPr>
              <w:t>‍</w:t>
            </w:r>
            <w:r w:rsidRPr="00323D6C">
              <w:rPr>
                <w:rFonts w:ascii="Open Sans Light" w:eastAsia="Times New Roman" w:hAnsi="Open Sans Light" w:cs="Open Sans Light"/>
                <w:color w:val="000000"/>
                <w:sz w:val="16"/>
                <w:szCs w:val="16"/>
                <w:lang w:eastAsia="en-AU"/>
              </w:rPr>
              <w:t>-</w:t>
            </w:r>
            <w:r w:rsidRPr="00323D6C">
              <w:rPr>
                <w:rFonts w:ascii="Arial" w:eastAsia="Times New Roman" w:hAnsi="Arial" w:cs="Arial"/>
                <w:color w:val="000000"/>
                <w:sz w:val="16"/>
                <w:szCs w:val="16"/>
                <w:lang w:eastAsia="en-AU"/>
              </w:rPr>
              <w:t>‍</w:t>
            </w:r>
            <w:r w:rsidRPr="00323D6C">
              <w:rPr>
                <w:rFonts w:ascii="Open Sans Light" w:eastAsia="Times New Roman" w:hAnsi="Open Sans Light" w:cs="Open Sans Light"/>
                <w:color w:val="000000"/>
                <w:sz w:val="16"/>
                <w:szCs w:val="16"/>
                <w:lang w:eastAsia="en-AU"/>
              </w:rPr>
              <w:t>19 health expenses reduced its assessed GST needs.</w:t>
            </w:r>
          </w:p>
        </w:tc>
      </w:tr>
      <w:tr w:rsidR="007A6F69" w:rsidRPr="00323D6C" w14:paraId="5E0BFAD9" w14:textId="77777777">
        <w:trPr>
          <w:trHeight w:val="558"/>
        </w:trPr>
        <w:tc>
          <w:tcPr>
            <w:tcW w:w="2640" w:type="dxa"/>
            <w:tcBorders>
              <w:top w:val="single" w:sz="4" w:space="0" w:color="ADD6EA"/>
              <w:left w:val="nil"/>
              <w:bottom w:val="nil"/>
              <w:right w:val="nil"/>
            </w:tcBorders>
            <w:shd w:val="clear" w:color="000000" w:fill="FFFFFF"/>
            <w:hideMark/>
          </w:tcPr>
          <w:p w14:paraId="0F61FF55" w14:textId="413DE4B2" w:rsidR="007A6F69" w:rsidRPr="00323D6C" w:rsidRDefault="007A6F69">
            <w:pPr>
              <w:tabs>
                <w:tab w:val="clear" w:pos="567"/>
              </w:tabs>
              <w:spacing w:before="0" w:line="240" w:lineRule="auto"/>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 xml:space="preserve">Changes to model in </w:t>
            </w:r>
            <w:r w:rsidR="001346CC">
              <w:rPr>
                <w:rFonts w:ascii="Open Sans Light" w:eastAsia="Times New Roman" w:hAnsi="Open Sans Light" w:cs="Open Sans Light"/>
                <w:color w:val="000000"/>
                <w:sz w:val="16"/>
                <w:szCs w:val="16"/>
                <w:lang w:eastAsia="en-AU"/>
              </w:rPr>
              <w:t>w</w:t>
            </w:r>
            <w:r w:rsidR="001346CC" w:rsidRPr="00323D6C">
              <w:rPr>
                <w:rFonts w:ascii="Open Sans Light" w:eastAsia="Times New Roman" w:hAnsi="Open Sans Light" w:cs="Open Sans Light"/>
                <w:color w:val="000000"/>
                <w:sz w:val="16"/>
                <w:szCs w:val="16"/>
                <w:lang w:eastAsia="en-AU"/>
              </w:rPr>
              <w:t xml:space="preserve">age </w:t>
            </w:r>
            <w:r w:rsidRPr="00323D6C">
              <w:rPr>
                <w:rFonts w:ascii="Open Sans Light" w:eastAsia="Times New Roman" w:hAnsi="Open Sans Light" w:cs="Open Sans Light"/>
                <w:color w:val="000000"/>
                <w:sz w:val="16"/>
                <w:szCs w:val="16"/>
                <w:lang w:eastAsia="en-AU"/>
              </w:rPr>
              <w:t>costs</w:t>
            </w:r>
          </w:p>
        </w:tc>
        <w:tc>
          <w:tcPr>
            <w:tcW w:w="700" w:type="dxa"/>
            <w:tcBorders>
              <w:top w:val="single" w:sz="4" w:space="0" w:color="ADD6EA"/>
              <w:left w:val="nil"/>
              <w:bottom w:val="nil"/>
              <w:right w:val="nil"/>
            </w:tcBorders>
            <w:shd w:val="clear" w:color="000000" w:fill="EBBFA0"/>
            <w:hideMark/>
          </w:tcPr>
          <w:p w14:paraId="3D8D0FD5" w14:textId="77777777" w:rsidR="007A6F69" w:rsidRPr="00323D6C" w:rsidRDefault="007A6F69">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-237</w:t>
            </w:r>
          </w:p>
        </w:tc>
        <w:tc>
          <w:tcPr>
            <w:tcW w:w="700" w:type="dxa"/>
            <w:tcBorders>
              <w:top w:val="single" w:sz="4" w:space="0" w:color="ADD6EA"/>
              <w:left w:val="nil"/>
              <w:bottom w:val="nil"/>
              <w:right w:val="nil"/>
            </w:tcBorders>
            <w:shd w:val="clear" w:color="000000" w:fill="EBBFA0"/>
            <w:hideMark/>
          </w:tcPr>
          <w:p w14:paraId="67A541CF" w14:textId="77777777" w:rsidR="007A6F69" w:rsidRPr="00323D6C" w:rsidRDefault="007A6F69">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-41</w:t>
            </w:r>
          </w:p>
        </w:tc>
        <w:tc>
          <w:tcPr>
            <w:tcW w:w="4900" w:type="dxa"/>
            <w:tcBorders>
              <w:top w:val="single" w:sz="4" w:space="0" w:color="ADD6EA"/>
              <w:left w:val="nil"/>
              <w:bottom w:val="nil"/>
              <w:right w:val="nil"/>
            </w:tcBorders>
            <w:shd w:val="clear" w:color="000000" w:fill="FFFFFF"/>
            <w:hideMark/>
          </w:tcPr>
          <w:p w14:paraId="49DA7D76" w14:textId="77777777" w:rsidR="007A6F69" w:rsidRPr="00323D6C" w:rsidRDefault="007A6F69">
            <w:pPr>
              <w:tabs>
                <w:tab w:val="clear" w:pos="567"/>
              </w:tabs>
              <w:spacing w:before="0" w:line="240" w:lineRule="auto"/>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Changes to the model used to estimate relative state wage costs produced lower estimates for wage costs in Queensland than the previous model, reducing Queensland's assessed GST needs.</w:t>
            </w:r>
          </w:p>
        </w:tc>
      </w:tr>
      <w:tr w:rsidR="007A6F69" w:rsidRPr="00323D6C" w14:paraId="72B347E5" w14:textId="77777777">
        <w:trPr>
          <w:trHeight w:val="795"/>
        </w:trPr>
        <w:tc>
          <w:tcPr>
            <w:tcW w:w="2640" w:type="dxa"/>
            <w:tcBorders>
              <w:top w:val="single" w:sz="4" w:space="0" w:color="ADD6EA"/>
              <w:left w:val="nil"/>
              <w:bottom w:val="single" w:sz="4" w:space="0" w:color="ADD6EA"/>
              <w:right w:val="nil"/>
            </w:tcBorders>
            <w:shd w:val="clear" w:color="000000" w:fill="FFFFFF"/>
            <w:hideMark/>
          </w:tcPr>
          <w:p w14:paraId="0CA32EA7" w14:textId="77777777" w:rsidR="007A6F69" w:rsidRPr="00323D6C" w:rsidRDefault="007A6F69">
            <w:pPr>
              <w:tabs>
                <w:tab w:val="clear" w:pos="567"/>
              </w:tabs>
              <w:spacing w:before="0" w:line="240" w:lineRule="auto"/>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Investment - Changes to urban transport assessment</w:t>
            </w:r>
          </w:p>
        </w:tc>
        <w:tc>
          <w:tcPr>
            <w:tcW w:w="700" w:type="dxa"/>
            <w:tcBorders>
              <w:top w:val="single" w:sz="4" w:space="0" w:color="ADD6EA"/>
              <w:left w:val="nil"/>
              <w:bottom w:val="single" w:sz="4" w:space="0" w:color="ADD6EA"/>
              <w:right w:val="nil"/>
            </w:tcBorders>
            <w:shd w:val="clear" w:color="000000" w:fill="EBBFA0"/>
            <w:hideMark/>
          </w:tcPr>
          <w:p w14:paraId="6B416BA5" w14:textId="77777777" w:rsidR="007A6F69" w:rsidRPr="00323D6C" w:rsidRDefault="007A6F69">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-193</w:t>
            </w:r>
          </w:p>
        </w:tc>
        <w:tc>
          <w:tcPr>
            <w:tcW w:w="700" w:type="dxa"/>
            <w:tcBorders>
              <w:top w:val="single" w:sz="4" w:space="0" w:color="ADD6EA"/>
              <w:left w:val="nil"/>
              <w:bottom w:val="single" w:sz="4" w:space="0" w:color="ADD6EA"/>
              <w:right w:val="nil"/>
            </w:tcBorders>
            <w:shd w:val="clear" w:color="000000" w:fill="EBBFA0"/>
            <w:hideMark/>
          </w:tcPr>
          <w:p w14:paraId="47CB94DF" w14:textId="77777777" w:rsidR="007A6F69" w:rsidRPr="00323D6C" w:rsidRDefault="007A6F69">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-34</w:t>
            </w:r>
          </w:p>
        </w:tc>
        <w:tc>
          <w:tcPr>
            <w:tcW w:w="4900" w:type="dxa"/>
            <w:tcBorders>
              <w:top w:val="single" w:sz="4" w:space="0" w:color="ADD6EA"/>
              <w:left w:val="nil"/>
              <w:bottom w:val="single" w:sz="4" w:space="0" w:color="ADD6EA"/>
              <w:right w:val="nil"/>
            </w:tcBorders>
            <w:shd w:val="clear" w:color="000000" w:fill="FFFFFF"/>
            <w:hideMark/>
          </w:tcPr>
          <w:p w14:paraId="681B19A2" w14:textId="70DACCCC" w:rsidR="007A6F69" w:rsidRPr="00323D6C" w:rsidRDefault="007A6F69">
            <w:pPr>
              <w:tabs>
                <w:tab w:val="clear" w:pos="567"/>
              </w:tabs>
              <w:spacing w:before="0" w:line="240" w:lineRule="auto"/>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To improve comparability and reduce volatility, the Commission amended</w:t>
            </w:r>
            <w:r w:rsidR="00FC2439">
              <w:rPr>
                <w:rFonts w:ascii="Open Sans Light" w:eastAsia="Times New Roman" w:hAnsi="Open Sans Light" w:cs="Open Sans Light"/>
                <w:color w:val="000000"/>
                <w:sz w:val="16"/>
                <w:szCs w:val="16"/>
                <w:lang w:eastAsia="en-AU"/>
              </w:rPr>
              <w:t xml:space="preserve"> the</w:t>
            </w:r>
            <w:r w:rsidRPr="00323D6C">
              <w:rPr>
                <w:rFonts w:ascii="Open Sans Light" w:eastAsia="Times New Roman" w:hAnsi="Open Sans Light" w:cs="Open Sans Light"/>
                <w:color w:val="000000"/>
                <w:sz w:val="16"/>
                <w:szCs w:val="16"/>
                <w:lang w:eastAsia="en-AU"/>
              </w:rPr>
              <w:t xml:space="preserve"> methods used to model passenger numbers (replacing a grouping cities approach with a regression of population size) and to calculate </w:t>
            </w:r>
            <w:r w:rsidR="002F017D" w:rsidRPr="00323D6C">
              <w:rPr>
                <w:rFonts w:ascii="Open Sans Light" w:eastAsia="Times New Roman" w:hAnsi="Open Sans Light" w:cs="Open Sans Light"/>
                <w:color w:val="000000"/>
                <w:sz w:val="16"/>
                <w:szCs w:val="16"/>
                <w:lang w:eastAsia="en-AU"/>
              </w:rPr>
              <w:t>population</w:t>
            </w:r>
            <w:r w:rsidR="000152A9" w:rsidRPr="00323D6C">
              <w:rPr>
                <w:rFonts w:ascii="Arial" w:eastAsia="Times New Roman" w:hAnsi="Arial" w:cs="Arial"/>
                <w:color w:val="000000"/>
                <w:sz w:val="16"/>
                <w:szCs w:val="16"/>
                <w:lang w:eastAsia="en-AU"/>
              </w:rPr>
              <w:t>‍</w:t>
            </w:r>
            <w:r w:rsidR="002F017D">
              <w:rPr>
                <w:rFonts w:ascii="Open Sans Light" w:eastAsia="Times New Roman" w:hAnsi="Open Sans Light" w:cs="Open Sans Light"/>
                <w:color w:val="000000"/>
                <w:sz w:val="16"/>
                <w:szCs w:val="16"/>
                <w:lang w:eastAsia="en-AU"/>
              </w:rPr>
              <w:t>-</w:t>
            </w:r>
            <w:r w:rsidR="000152A9" w:rsidRPr="00323D6C">
              <w:rPr>
                <w:rFonts w:ascii="Arial" w:eastAsia="Times New Roman" w:hAnsi="Arial" w:cs="Arial"/>
                <w:color w:val="000000"/>
                <w:sz w:val="16"/>
                <w:szCs w:val="16"/>
                <w:lang w:eastAsia="en-AU"/>
              </w:rPr>
              <w:t>‍</w:t>
            </w:r>
            <w:r w:rsidRPr="00323D6C">
              <w:rPr>
                <w:rFonts w:ascii="Open Sans Light" w:eastAsia="Times New Roman" w:hAnsi="Open Sans Light" w:cs="Open Sans Light"/>
                <w:color w:val="000000"/>
                <w:sz w:val="16"/>
                <w:szCs w:val="16"/>
                <w:lang w:eastAsia="en-AU"/>
              </w:rPr>
              <w:t>weighted density (using square kilometres rather than SA1s). Both these changes reduced the relative growth of these measures for Brisbane, reducing Queensland’s assessed GST needs for urban transport investment.</w:t>
            </w:r>
          </w:p>
        </w:tc>
      </w:tr>
      <w:tr w:rsidR="007A6F69" w:rsidRPr="00323D6C" w14:paraId="6412E55A" w14:textId="77777777">
        <w:trPr>
          <w:trHeight w:val="375"/>
        </w:trPr>
        <w:tc>
          <w:tcPr>
            <w:tcW w:w="8940" w:type="dxa"/>
            <w:gridSpan w:val="4"/>
            <w:tcBorders>
              <w:top w:val="single" w:sz="4" w:space="0" w:color="ADD6EA"/>
              <w:left w:val="nil"/>
              <w:bottom w:val="nil"/>
              <w:right w:val="nil"/>
            </w:tcBorders>
            <w:shd w:val="clear" w:color="000000" w:fill="006991"/>
            <w:vAlign w:val="center"/>
            <w:hideMark/>
          </w:tcPr>
          <w:p w14:paraId="62DA198B" w14:textId="77777777" w:rsidR="007A6F69" w:rsidRPr="00323D6C" w:rsidRDefault="007A6F69">
            <w:pPr>
              <w:tabs>
                <w:tab w:val="clear" w:pos="567"/>
              </w:tabs>
              <w:spacing w:before="0" w:line="240" w:lineRule="auto"/>
              <w:rPr>
                <w:rFonts w:ascii="Open Sans Semibold" w:eastAsia="Times New Roman" w:hAnsi="Open Sans Semibold" w:cs="Open Sans Semibold"/>
                <w:color w:val="FFFFFF"/>
                <w:sz w:val="16"/>
                <w:szCs w:val="16"/>
                <w:lang w:eastAsia="en-AU"/>
              </w:rPr>
            </w:pPr>
            <w:r w:rsidRPr="00323D6C">
              <w:rPr>
                <w:rFonts w:ascii="Open Sans Semibold" w:eastAsia="Times New Roman" w:hAnsi="Open Sans Semibold" w:cs="Open Sans Semibold"/>
                <w:color w:val="FFFFFF"/>
                <w:sz w:val="16"/>
                <w:szCs w:val="16"/>
                <w:lang w:eastAsia="en-AU"/>
              </w:rPr>
              <w:t>Changes in circumstances (a)</w:t>
            </w:r>
          </w:p>
        </w:tc>
      </w:tr>
      <w:tr w:rsidR="007A6F69" w:rsidRPr="00323D6C" w14:paraId="473B536F" w14:textId="77777777">
        <w:trPr>
          <w:trHeight w:val="255"/>
        </w:trPr>
        <w:tc>
          <w:tcPr>
            <w:tcW w:w="2640" w:type="dxa"/>
            <w:tcBorders>
              <w:top w:val="single" w:sz="4" w:space="0" w:color="ADD6EA"/>
              <w:left w:val="nil"/>
              <w:bottom w:val="nil"/>
              <w:right w:val="nil"/>
            </w:tcBorders>
            <w:shd w:val="clear" w:color="000000" w:fill="D6E7F0"/>
            <w:hideMark/>
          </w:tcPr>
          <w:p w14:paraId="43F59133" w14:textId="77777777" w:rsidR="007A6F69" w:rsidRPr="00323D6C" w:rsidRDefault="007A6F69">
            <w:pPr>
              <w:tabs>
                <w:tab w:val="clear" w:pos="567"/>
              </w:tabs>
              <w:spacing w:before="0" w:line="240" w:lineRule="auto"/>
              <w:rPr>
                <w:rFonts w:ascii="Open Sans Semibold" w:eastAsia="Times New Roman" w:hAnsi="Open Sans Semibold" w:cs="Open Sans Semibold"/>
                <w:color w:val="000000"/>
                <w:sz w:val="16"/>
                <w:szCs w:val="16"/>
                <w:lang w:eastAsia="en-AU"/>
              </w:rPr>
            </w:pPr>
            <w:r w:rsidRPr="00323D6C">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3ED033C2" w14:textId="77777777" w:rsidR="007A6F69" w:rsidRPr="00323D6C" w:rsidRDefault="007A6F69">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323D6C">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545E7856" w14:textId="77777777" w:rsidR="007A6F69" w:rsidRPr="00323D6C" w:rsidRDefault="007A6F69">
            <w:pPr>
              <w:tabs>
                <w:tab w:val="clear" w:pos="567"/>
              </w:tabs>
              <w:spacing w:before="0" w:line="240" w:lineRule="auto"/>
              <w:rPr>
                <w:rFonts w:ascii="Open Sans Semibold" w:eastAsia="Times New Roman" w:hAnsi="Open Sans Semibold" w:cs="Open Sans Semibold"/>
                <w:color w:val="000000"/>
                <w:sz w:val="16"/>
                <w:szCs w:val="16"/>
                <w:lang w:eastAsia="en-AU"/>
              </w:rPr>
            </w:pPr>
            <w:r w:rsidRPr="00323D6C">
              <w:rPr>
                <w:rFonts w:ascii="Open Sans Semibold" w:eastAsia="Times New Roman" w:hAnsi="Open Sans Semibold" w:cs="Open Sans Semibold"/>
                <w:color w:val="000000"/>
                <w:sz w:val="16"/>
                <w:szCs w:val="16"/>
                <w:lang w:eastAsia="en-AU"/>
              </w:rPr>
              <w:t>Explanation</w:t>
            </w:r>
          </w:p>
        </w:tc>
      </w:tr>
      <w:tr w:rsidR="007A6F69" w:rsidRPr="00323D6C" w14:paraId="5247253F" w14:textId="77777777">
        <w:trPr>
          <w:trHeight w:val="255"/>
        </w:trPr>
        <w:tc>
          <w:tcPr>
            <w:tcW w:w="2640" w:type="dxa"/>
            <w:tcBorders>
              <w:top w:val="single" w:sz="4" w:space="0" w:color="ADD6EA"/>
              <w:left w:val="nil"/>
              <w:bottom w:val="nil"/>
              <w:right w:val="nil"/>
            </w:tcBorders>
            <w:shd w:val="clear" w:color="000000" w:fill="B6D5E4"/>
            <w:hideMark/>
          </w:tcPr>
          <w:p w14:paraId="49FC9B25" w14:textId="77777777" w:rsidR="007A6F69" w:rsidRPr="00323D6C" w:rsidRDefault="007A6F69">
            <w:pPr>
              <w:tabs>
                <w:tab w:val="clear" w:pos="567"/>
              </w:tabs>
              <w:spacing w:before="0" w:line="240" w:lineRule="auto"/>
              <w:rPr>
                <w:rFonts w:ascii="Open Sans Semibold" w:eastAsia="Times New Roman" w:hAnsi="Open Sans Semibold" w:cs="Open Sans Semibold"/>
                <w:color w:val="000000"/>
                <w:sz w:val="16"/>
                <w:szCs w:val="16"/>
                <w:lang w:eastAsia="en-AU"/>
              </w:rPr>
            </w:pPr>
            <w:r w:rsidRPr="00323D6C">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7AD8C1C4" w14:textId="77777777" w:rsidR="007A6F69" w:rsidRPr="00323D6C" w:rsidRDefault="007A6F69">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323D6C">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688E688C" w14:textId="77777777" w:rsidR="007A6F69" w:rsidRPr="00323D6C" w:rsidRDefault="007A6F69">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323D6C">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3A4DB5E0" w14:textId="77777777" w:rsidR="007A6F69" w:rsidRPr="00323D6C" w:rsidRDefault="007A6F69">
            <w:pPr>
              <w:tabs>
                <w:tab w:val="clear" w:pos="567"/>
              </w:tabs>
              <w:spacing w:before="0" w:line="240" w:lineRule="auto"/>
              <w:rPr>
                <w:rFonts w:ascii="Open Sans Semibold" w:eastAsia="Times New Roman" w:hAnsi="Open Sans Semibold" w:cs="Open Sans Semibold"/>
                <w:color w:val="000000"/>
                <w:sz w:val="16"/>
                <w:szCs w:val="16"/>
                <w:lang w:eastAsia="en-AU"/>
              </w:rPr>
            </w:pPr>
            <w:r w:rsidRPr="00323D6C">
              <w:rPr>
                <w:rFonts w:ascii="Open Sans Semibold" w:eastAsia="Times New Roman" w:hAnsi="Open Sans Semibold" w:cs="Open Sans Semibold"/>
                <w:color w:val="000000"/>
                <w:sz w:val="16"/>
                <w:szCs w:val="16"/>
                <w:lang w:eastAsia="en-AU"/>
              </w:rPr>
              <w:t> </w:t>
            </w:r>
          </w:p>
        </w:tc>
      </w:tr>
      <w:tr w:rsidR="007A6F69" w:rsidRPr="00323D6C" w14:paraId="04F6D980" w14:textId="77777777">
        <w:trPr>
          <w:trHeight w:val="1062"/>
        </w:trPr>
        <w:tc>
          <w:tcPr>
            <w:tcW w:w="2640" w:type="dxa"/>
            <w:tcBorders>
              <w:top w:val="single" w:sz="4" w:space="0" w:color="ADD6EA"/>
              <w:left w:val="nil"/>
              <w:bottom w:val="nil"/>
              <w:right w:val="nil"/>
            </w:tcBorders>
            <w:shd w:val="clear" w:color="000000" w:fill="FFFFFF"/>
            <w:hideMark/>
          </w:tcPr>
          <w:p w14:paraId="0E6CB7AF" w14:textId="77777777" w:rsidR="007A6F69" w:rsidRPr="00323D6C" w:rsidRDefault="007A6F69">
            <w:pPr>
              <w:tabs>
                <w:tab w:val="clear" w:pos="567"/>
              </w:tabs>
              <w:spacing w:before="0" w:line="240" w:lineRule="auto"/>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Mining production</w:t>
            </w:r>
          </w:p>
        </w:tc>
        <w:tc>
          <w:tcPr>
            <w:tcW w:w="700" w:type="dxa"/>
            <w:tcBorders>
              <w:top w:val="single" w:sz="4" w:space="0" w:color="ADD6EA"/>
              <w:left w:val="nil"/>
              <w:bottom w:val="nil"/>
              <w:right w:val="nil"/>
            </w:tcBorders>
            <w:shd w:val="clear" w:color="000000" w:fill="EBBFA0"/>
            <w:hideMark/>
          </w:tcPr>
          <w:p w14:paraId="7BCF6739" w14:textId="77777777" w:rsidR="007A6F69" w:rsidRPr="00323D6C" w:rsidRDefault="007A6F69">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-2,283</w:t>
            </w:r>
          </w:p>
        </w:tc>
        <w:tc>
          <w:tcPr>
            <w:tcW w:w="700" w:type="dxa"/>
            <w:tcBorders>
              <w:top w:val="single" w:sz="4" w:space="0" w:color="ADD6EA"/>
              <w:left w:val="nil"/>
              <w:bottom w:val="nil"/>
              <w:right w:val="nil"/>
            </w:tcBorders>
            <w:shd w:val="clear" w:color="000000" w:fill="EBBFA0"/>
            <w:hideMark/>
          </w:tcPr>
          <w:p w14:paraId="5EB7EDD1" w14:textId="77777777" w:rsidR="007A6F69" w:rsidRPr="00323D6C" w:rsidRDefault="007A6F69">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-398</w:t>
            </w:r>
          </w:p>
        </w:tc>
        <w:tc>
          <w:tcPr>
            <w:tcW w:w="4900" w:type="dxa"/>
            <w:tcBorders>
              <w:top w:val="single" w:sz="4" w:space="0" w:color="ADD6EA"/>
              <w:left w:val="nil"/>
              <w:bottom w:val="nil"/>
              <w:right w:val="nil"/>
            </w:tcBorders>
            <w:shd w:val="clear" w:color="000000" w:fill="FFFFFF"/>
            <w:hideMark/>
          </w:tcPr>
          <w:p w14:paraId="512B4B5C" w14:textId="395B6F59" w:rsidR="007A6F69" w:rsidRPr="00323D6C" w:rsidRDefault="007A6F69">
            <w:pPr>
              <w:tabs>
                <w:tab w:val="clear" w:pos="567"/>
              </w:tabs>
              <w:spacing w:before="0" w:line="240" w:lineRule="auto"/>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Higher coal prices and average coal royalty rates in 2023</w:t>
            </w:r>
            <w:r w:rsidR="001F23E2" w:rsidRPr="00323D6C">
              <w:rPr>
                <w:rFonts w:ascii="Arial" w:eastAsia="Times New Roman" w:hAnsi="Arial" w:cs="Arial"/>
                <w:color w:val="000000"/>
                <w:sz w:val="16"/>
                <w:szCs w:val="16"/>
                <w:lang w:eastAsia="en-AU"/>
              </w:rPr>
              <w:t>‍</w:t>
            </w:r>
            <w:r w:rsidRPr="00323D6C">
              <w:rPr>
                <w:rFonts w:ascii="Open Sans Light" w:eastAsia="Times New Roman" w:hAnsi="Open Sans Light" w:cs="Open Sans Light"/>
                <w:color w:val="000000"/>
                <w:sz w:val="16"/>
                <w:szCs w:val="16"/>
                <w:lang w:eastAsia="en-AU"/>
              </w:rPr>
              <w:t>–</w:t>
            </w:r>
            <w:r w:rsidR="001F23E2" w:rsidRPr="00323D6C">
              <w:rPr>
                <w:rFonts w:ascii="Arial" w:eastAsia="Times New Roman" w:hAnsi="Arial" w:cs="Arial"/>
                <w:color w:val="000000"/>
                <w:sz w:val="16"/>
                <w:szCs w:val="16"/>
                <w:lang w:eastAsia="en-AU"/>
              </w:rPr>
              <w:t>‍</w:t>
            </w:r>
            <w:r w:rsidRPr="00323D6C">
              <w:rPr>
                <w:rFonts w:ascii="Open Sans Light" w:eastAsia="Times New Roman" w:hAnsi="Open Sans Light" w:cs="Open Sans Light"/>
                <w:color w:val="000000"/>
                <w:sz w:val="16"/>
                <w:szCs w:val="16"/>
                <w:lang w:eastAsia="en-AU"/>
              </w:rPr>
              <w:t>24 compared with 2020–21 combined with Queensland's above</w:t>
            </w:r>
            <w:r w:rsidR="0038754D">
              <w:rPr>
                <w:rFonts w:ascii="Open Sans Light" w:eastAsia="Times New Roman" w:hAnsi="Open Sans Light" w:cs="Open Sans Light"/>
                <w:color w:val="000000"/>
                <w:sz w:val="16"/>
                <w:szCs w:val="16"/>
                <w:lang w:eastAsia="en-AU"/>
              </w:rPr>
              <w:noBreakHyphen/>
            </w:r>
            <w:r w:rsidRPr="00323D6C">
              <w:rPr>
                <w:rFonts w:ascii="Open Sans Light" w:eastAsia="Times New Roman" w:hAnsi="Open Sans Light" w:cs="Open Sans Light"/>
                <w:color w:val="000000"/>
                <w:sz w:val="16"/>
                <w:szCs w:val="16"/>
                <w:lang w:eastAsia="en-AU"/>
              </w:rPr>
              <w:t xml:space="preserve">average share of coal </w:t>
            </w:r>
            <w:r w:rsidR="00C3562D" w:rsidRPr="00323D6C">
              <w:rPr>
                <w:rFonts w:ascii="Open Sans Light" w:eastAsia="Times New Roman" w:hAnsi="Open Sans Light" w:cs="Open Sans Light"/>
                <w:color w:val="000000"/>
                <w:sz w:val="16"/>
                <w:szCs w:val="16"/>
                <w:lang w:eastAsia="en-AU"/>
              </w:rPr>
              <w:t>production</w:t>
            </w:r>
            <w:r w:rsidR="00C3562D">
              <w:rPr>
                <w:rFonts w:ascii="Open Sans Light" w:eastAsia="Times New Roman" w:hAnsi="Open Sans Light" w:cs="Open Sans Light"/>
                <w:color w:val="000000"/>
                <w:sz w:val="16"/>
                <w:szCs w:val="16"/>
                <w:lang w:eastAsia="en-AU"/>
              </w:rPr>
              <w:t xml:space="preserve"> </w:t>
            </w:r>
            <w:r w:rsidRPr="00323D6C">
              <w:rPr>
                <w:rFonts w:ascii="Open Sans Light" w:eastAsia="Times New Roman" w:hAnsi="Open Sans Light" w:cs="Open Sans Light"/>
                <w:color w:val="000000"/>
                <w:sz w:val="16"/>
                <w:szCs w:val="16"/>
                <w:lang w:eastAsia="en-AU"/>
              </w:rPr>
              <w:t>significantly increased its relative capacity to raise revenue from coal royalties and reduced its assessed GST needs.</w:t>
            </w:r>
          </w:p>
        </w:tc>
      </w:tr>
      <w:tr w:rsidR="007A6F69" w:rsidRPr="00323D6C" w14:paraId="79E20D20" w14:textId="77777777">
        <w:trPr>
          <w:trHeight w:val="896"/>
        </w:trPr>
        <w:tc>
          <w:tcPr>
            <w:tcW w:w="2640" w:type="dxa"/>
            <w:tcBorders>
              <w:top w:val="single" w:sz="4" w:space="0" w:color="ADD6EA"/>
              <w:left w:val="nil"/>
              <w:bottom w:val="nil"/>
              <w:right w:val="nil"/>
            </w:tcBorders>
            <w:shd w:val="clear" w:color="000000" w:fill="FFFFFF"/>
            <w:hideMark/>
          </w:tcPr>
          <w:p w14:paraId="0D02A525" w14:textId="77777777" w:rsidR="007A6F69" w:rsidRPr="00323D6C" w:rsidRDefault="007A6F69">
            <w:pPr>
              <w:tabs>
                <w:tab w:val="clear" w:pos="567"/>
              </w:tabs>
              <w:spacing w:before="0" w:line="240" w:lineRule="auto"/>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Taxable land values</w:t>
            </w:r>
          </w:p>
        </w:tc>
        <w:tc>
          <w:tcPr>
            <w:tcW w:w="700" w:type="dxa"/>
            <w:tcBorders>
              <w:top w:val="single" w:sz="4" w:space="0" w:color="ADD6EA"/>
              <w:left w:val="nil"/>
              <w:bottom w:val="nil"/>
              <w:right w:val="nil"/>
            </w:tcBorders>
            <w:shd w:val="clear" w:color="000000" w:fill="ADD6EA"/>
            <w:hideMark/>
          </w:tcPr>
          <w:p w14:paraId="39864546" w14:textId="77777777" w:rsidR="007A6F69" w:rsidRPr="00323D6C" w:rsidRDefault="007A6F69">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208</w:t>
            </w:r>
          </w:p>
        </w:tc>
        <w:tc>
          <w:tcPr>
            <w:tcW w:w="700" w:type="dxa"/>
            <w:tcBorders>
              <w:top w:val="single" w:sz="4" w:space="0" w:color="ADD6EA"/>
              <w:left w:val="nil"/>
              <w:bottom w:val="nil"/>
              <w:right w:val="nil"/>
            </w:tcBorders>
            <w:shd w:val="clear" w:color="000000" w:fill="ADD6EA"/>
            <w:hideMark/>
          </w:tcPr>
          <w:p w14:paraId="6F1C572F" w14:textId="77777777" w:rsidR="007A6F69" w:rsidRPr="00323D6C" w:rsidRDefault="007A6F69">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36</w:t>
            </w:r>
          </w:p>
        </w:tc>
        <w:tc>
          <w:tcPr>
            <w:tcW w:w="4900" w:type="dxa"/>
            <w:tcBorders>
              <w:top w:val="single" w:sz="4" w:space="0" w:color="ADD6EA"/>
              <w:left w:val="nil"/>
              <w:bottom w:val="nil"/>
              <w:right w:val="nil"/>
            </w:tcBorders>
            <w:shd w:val="clear" w:color="000000" w:fill="FFFFFF"/>
            <w:hideMark/>
          </w:tcPr>
          <w:p w14:paraId="2D498E3A" w14:textId="5B183E6E" w:rsidR="007A6F69" w:rsidRPr="00323D6C" w:rsidRDefault="007A6F69">
            <w:pPr>
              <w:tabs>
                <w:tab w:val="clear" w:pos="567"/>
              </w:tabs>
              <w:spacing w:before="0" w:line="240" w:lineRule="auto"/>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Below-average growth in taxable land values in 2023</w:t>
            </w:r>
            <w:r w:rsidRPr="00323D6C">
              <w:rPr>
                <w:rFonts w:ascii="Arial" w:eastAsia="Times New Roman" w:hAnsi="Arial" w:cs="Arial"/>
                <w:color w:val="000000"/>
                <w:sz w:val="16"/>
                <w:szCs w:val="16"/>
                <w:lang w:eastAsia="en-AU"/>
              </w:rPr>
              <w:t>‍</w:t>
            </w:r>
            <w:r w:rsidRPr="00323D6C">
              <w:rPr>
                <w:rFonts w:ascii="Open Sans Light" w:eastAsia="Times New Roman" w:hAnsi="Open Sans Light" w:cs="Open Sans Light"/>
                <w:color w:val="000000"/>
                <w:sz w:val="16"/>
                <w:szCs w:val="16"/>
                <w:lang w:eastAsia="en-AU"/>
              </w:rPr>
              <w:t>–</w:t>
            </w:r>
            <w:r w:rsidRPr="00323D6C">
              <w:rPr>
                <w:rFonts w:ascii="Arial" w:eastAsia="Times New Roman" w:hAnsi="Arial" w:cs="Arial"/>
                <w:color w:val="000000"/>
                <w:sz w:val="16"/>
                <w:szCs w:val="16"/>
                <w:lang w:eastAsia="en-AU"/>
              </w:rPr>
              <w:t>‍</w:t>
            </w:r>
            <w:r w:rsidRPr="00323D6C">
              <w:rPr>
                <w:rFonts w:ascii="Open Sans Light" w:eastAsia="Times New Roman" w:hAnsi="Open Sans Light" w:cs="Open Sans Light"/>
                <w:color w:val="000000"/>
                <w:sz w:val="16"/>
                <w:szCs w:val="16"/>
                <w:lang w:eastAsia="en-AU"/>
              </w:rPr>
              <w:t xml:space="preserve">24 compared with 2020–21 reduced Queensland's relative revenue raising capacity from land taxes, increasing its assessed </w:t>
            </w:r>
            <w:r w:rsidRPr="00323D6C" w:rsidDel="00085D3B">
              <w:rPr>
                <w:rFonts w:ascii="Open Sans Light" w:eastAsia="Times New Roman" w:hAnsi="Open Sans Light" w:cs="Open Sans Light"/>
                <w:color w:val="000000"/>
                <w:sz w:val="16"/>
                <w:szCs w:val="16"/>
                <w:lang w:eastAsia="en-AU"/>
              </w:rPr>
              <w:t>GST</w:t>
            </w:r>
            <w:r w:rsidR="00085D3B">
              <w:rPr>
                <w:rFonts w:ascii="Open Sans Light" w:eastAsia="Times New Roman" w:hAnsi="Open Sans Light" w:cs="Open Sans Light"/>
                <w:color w:val="000000"/>
                <w:sz w:val="16"/>
                <w:szCs w:val="16"/>
                <w:lang w:eastAsia="en-AU"/>
              </w:rPr>
              <w:t> </w:t>
            </w:r>
            <w:r w:rsidRPr="00323D6C">
              <w:rPr>
                <w:rFonts w:ascii="Open Sans Light" w:eastAsia="Times New Roman" w:hAnsi="Open Sans Light" w:cs="Open Sans Light"/>
                <w:color w:val="000000"/>
                <w:sz w:val="16"/>
                <w:szCs w:val="16"/>
                <w:lang w:eastAsia="en-AU"/>
              </w:rPr>
              <w:t>needs</w:t>
            </w:r>
            <w:r>
              <w:rPr>
                <w:rFonts w:ascii="Open Sans Light" w:eastAsia="Times New Roman" w:hAnsi="Open Sans Light" w:cs="Open Sans Light"/>
                <w:color w:val="000000"/>
                <w:sz w:val="16"/>
                <w:szCs w:val="16"/>
                <w:lang w:eastAsia="en-AU"/>
              </w:rPr>
              <w:t>.</w:t>
            </w:r>
          </w:p>
        </w:tc>
      </w:tr>
      <w:tr w:rsidR="007A6F69" w:rsidRPr="00323D6C" w14:paraId="16A793B6" w14:textId="77777777">
        <w:trPr>
          <w:trHeight w:val="868"/>
        </w:trPr>
        <w:tc>
          <w:tcPr>
            <w:tcW w:w="2640" w:type="dxa"/>
            <w:tcBorders>
              <w:top w:val="single" w:sz="4" w:space="0" w:color="ADD6EA"/>
              <w:left w:val="nil"/>
              <w:bottom w:val="single" w:sz="4" w:space="0" w:color="ADD6EA"/>
              <w:right w:val="nil"/>
            </w:tcBorders>
            <w:shd w:val="clear" w:color="000000" w:fill="FFFFFF"/>
            <w:hideMark/>
          </w:tcPr>
          <w:p w14:paraId="701E7E75" w14:textId="1E46096C" w:rsidR="007A6F69" w:rsidRPr="00323D6C" w:rsidRDefault="007A6F69">
            <w:pPr>
              <w:tabs>
                <w:tab w:val="clear" w:pos="567"/>
              </w:tabs>
              <w:spacing w:before="0" w:line="240" w:lineRule="auto"/>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 xml:space="preserve">Relative growth of investment needs for </w:t>
            </w:r>
            <w:r w:rsidR="00B755D4">
              <w:rPr>
                <w:rFonts w:ascii="Open Sans Light" w:eastAsia="Times New Roman" w:hAnsi="Open Sans Light" w:cs="Open Sans Light"/>
                <w:color w:val="000000"/>
                <w:sz w:val="16"/>
                <w:szCs w:val="16"/>
                <w:lang w:eastAsia="en-AU"/>
              </w:rPr>
              <w:t>u</w:t>
            </w:r>
            <w:r w:rsidRPr="00323D6C">
              <w:rPr>
                <w:rFonts w:ascii="Open Sans Light" w:eastAsia="Times New Roman" w:hAnsi="Open Sans Light" w:cs="Open Sans Light"/>
                <w:color w:val="000000"/>
                <w:sz w:val="16"/>
                <w:szCs w:val="16"/>
                <w:lang w:eastAsia="en-AU"/>
              </w:rPr>
              <w:t>rban transport</w:t>
            </w:r>
          </w:p>
        </w:tc>
        <w:tc>
          <w:tcPr>
            <w:tcW w:w="700" w:type="dxa"/>
            <w:tcBorders>
              <w:top w:val="single" w:sz="4" w:space="0" w:color="ADD6EA"/>
              <w:left w:val="nil"/>
              <w:bottom w:val="single" w:sz="4" w:space="0" w:color="ADD6EA"/>
              <w:right w:val="nil"/>
            </w:tcBorders>
            <w:shd w:val="clear" w:color="000000" w:fill="EBBFA0"/>
            <w:hideMark/>
          </w:tcPr>
          <w:p w14:paraId="5CE635D4" w14:textId="77777777" w:rsidR="007A6F69" w:rsidRPr="00323D6C" w:rsidRDefault="007A6F69">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-185</w:t>
            </w:r>
          </w:p>
        </w:tc>
        <w:tc>
          <w:tcPr>
            <w:tcW w:w="700" w:type="dxa"/>
            <w:tcBorders>
              <w:top w:val="single" w:sz="4" w:space="0" w:color="ADD6EA"/>
              <w:left w:val="nil"/>
              <w:bottom w:val="single" w:sz="4" w:space="0" w:color="ADD6EA"/>
              <w:right w:val="nil"/>
            </w:tcBorders>
            <w:shd w:val="clear" w:color="000000" w:fill="EBBFA0"/>
            <w:hideMark/>
          </w:tcPr>
          <w:p w14:paraId="06ABF271" w14:textId="77777777" w:rsidR="007A6F69" w:rsidRPr="00323D6C" w:rsidRDefault="007A6F69">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-32</w:t>
            </w:r>
          </w:p>
        </w:tc>
        <w:tc>
          <w:tcPr>
            <w:tcW w:w="4900" w:type="dxa"/>
            <w:tcBorders>
              <w:top w:val="single" w:sz="4" w:space="0" w:color="ADD6EA"/>
              <w:left w:val="nil"/>
              <w:bottom w:val="single" w:sz="4" w:space="0" w:color="ADD6EA"/>
              <w:right w:val="nil"/>
            </w:tcBorders>
            <w:shd w:val="clear" w:color="000000" w:fill="FFFFFF"/>
            <w:hideMark/>
          </w:tcPr>
          <w:p w14:paraId="0D808629" w14:textId="77777777" w:rsidR="007A6F69" w:rsidRPr="00323D6C" w:rsidRDefault="007A6F69">
            <w:pPr>
              <w:tabs>
                <w:tab w:val="clear" w:pos="567"/>
              </w:tabs>
              <w:spacing w:before="0" w:line="240" w:lineRule="auto"/>
              <w:rPr>
                <w:rFonts w:ascii="Open Sans Light" w:eastAsia="Times New Roman" w:hAnsi="Open Sans Light" w:cs="Open Sans Light"/>
                <w:color w:val="000000"/>
                <w:sz w:val="16"/>
                <w:szCs w:val="16"/>
                <w:lang w:eastAsia="en-AU"/>
              </w:rPr>
            </w:pPr>
            <w:r w:rsidRPr="00323D6C">
              <w:rPr>
                <w:rFonts w:ascii="Open Sans Light" w:eastAsia="Times New Roman" w:hAnsi="Open Sans Light" w:cs="Open Sans Light"/>
                <w:color w:val="000000"/>
                <w:sz w:val="16"/>
                <w:szCs w:val="16"/>
                <w:lang w:eastAsia="en-AU"/>
              </w:rPr>
              <w:t>The below-average growth in population-weighted density in Brisbane in 2023–24 compared with 2020–21, reduced Queensland's need for urban transport investment, reducing its assessed GST needs.</w:t>
            </w:r>
          </w:p>
        </w:tc>
      </w:tr>
    </w:tbl>
    <w:p w14:paraId="35DA652A" w14:textId="1607A70F" w:rsidR="007A6F69" w:rsidRPr="00B63C72" w:rsidRDefault="007A6F69" w:rsidP="00FB2709">
      <w:pPr>
        <w:pStyle w:val="CGC2025TableNote"/>
        <w:numPr>
          <w:ilvl w:val="0"/>
          <w:numId w:val="21"/>
        </w:numPr>
      </w:pPr>
      <w:r w:rsidRPr="00B63C72">
        <w:t>Change of circumstances refers to the impact of replacing the 2020–21 assessment year data with the 2023–24 assessment year data in the calculation of relativities.</w:t>
      </w:r>
    </w:p>
    <w:p w14:paraId="20DCD902" w14:textId="77777777" w:rsidR="00F87702" w:rsidRDefault="00F87702">
      <w:pPr>
        <w:tabs>
          <w:tab w:val="clear" w:pos="567"/>
        </w:tabs>
        <w:spacing w:before="0" w:after="200" w:line="276" w:lineRule="auto"/>
      </w:pPr>
      <w:r>
        <w:br w:type="page"/>
      </w:r>
    </w:p>
    <w:p w14:paraId="1C3505DF" w14:textId="77777777" w:rsidR="00C76827" w:rsidRPr="00B63C72" w:rsidRDefault="00C76827" w:rsidP="00C76827">
      <w:pPr>
        <w:pStyle w:val="Heading2"/>
      </w:pPr>
      <w:r w:rsidRPr="00B63C72">
        <w:lastRenderedPageBreak/>
        <w:t>Western Australia</w:t>
      </w:r>
    </w:p>
    <w:p w14:paraId="392F0BA9" w14:textId="0257EA17" w:rsidR="00C76827" w:rsidRPr="00B63C72" w:rsidRDefault="00C76827" w:rsidP="00C76827">
      <w:r w:rsidRPr="00B63C72">
        <w:t xml:space="preserve">In 2025–26, </w:t>
      </w:r>
      <w:r w:rsidR="00B5696F" w:rsidRPr="00B63C72">
        <w:t>Western</w:t>
      </w:r>
      <w:r w:rsidR="00B5696F">
        <w:t> </w:t>
      </w:r>
      <w:r w:rsidRPr="00B63C72">
        <w:t xml:space="preserve">Australia’s GST distribution is estimated to increase by $395 million ($129 per capita). </w:t>
      </w:r>
      <w:r w:rsidR="00B5696F" w:rsidRPr="00B63C72">
        <w:t>Western</w:t>
      </w:r>
      <w:r w:rsidR="00B5696F">
        <w:t> </w:t>
      </w:r>
      <w:r w:rsidRPr="00B63C72">
        <w:t>Australia’s share of the GST pool is estimated to remain steady at around 8.2%.</w:t>
      </w:r>
    </w:p>
    <w:p w14:paraId="5CDF2F74" w14:textId="589549EF" w:rsidR="00C76827" w:rsidRPr="00B63C72" w:rsidRDefault="00B5696F" w:rsidP="005F2547">
      <w:pPr>
        <w:pStyle w:val="CGC2025Bullet1"/>
      </w:pPr>
      <w:r w:rsidRPr="00B63C72">
        <w:t>Western</w:t>
      </w:r>
      <w:r>
        <w:t> </w:t>
      </w:r>
      <w:r w:rsidR="00C76827" w:rsidRPr="00B63C72">
        <w:t xml:space="preserve">Australia’s GST relativity is set to the </w:t>
      </w:r>
      <w:r w:rsidR="00442B05" w:rsidRPr="00B63C72">
        <w:t>GST</w:t>
      </w:r>
      <w:r w:rsidR="00442B05">
        <w:t> </w:t>
      </w:r>
      <w:r w:rsidR="00C76827" w:rsidRPr="00B63C72" w:rsidDel="00456B8E">
        <w:t>relativity</w:t>
      </w:r>
      <w:r w:rsidR="00456B8E">
        <w:t> </w:t>
      </w:r>
      <w:r w:rsidR="00C76827" w:rsidRPr="00B63C72">
        <w:t xml:space="preserve">floor, which is 0.75. In 2025–26, </w:t>
      </w:r>
      <w:r w:rsidRPr="00B63C72">
        <w:t>Western</w:t>
      </w:r>
      <w:r>
        <w:t> </w:t>
      </w:r>
      <w:r w:rsidR="00C76827" w:rsidRPr="00B63C72">
        <w:t>Australia is estimated to receive $</w:t>
      </w:r>
      <w:r w:rsidRPr="00B63C72">
        <w:t>720</w:t>
      </w:r>
      <w:r>
        <w:t> </w:t>
      </w:r>
      <w:r w:rsidR="00C76827" w:rsidRPr="00B63C72">
        <w:t xml:space="preserve">million less from the operation of </w:t>
      </w:r>
      <w:r w:rsidR="00C76827" w:rsidRPr="00B63C72" w:rsidDel="00456B8E">
        <w:t>blended</w:t>
      </w:r>
      <w:r w:rsidR="00456B8E">
        <w:t> </w:t>
      </w:r>
      <w:r w:rsidR="00C76827" w:rsidRPr="00B63C72">
        <w:t xml:space="preserve">relativities and the </w:t>
      </w:r>
      <w:r w:rsidR="00C76827" w:rsidRPr="00B63C72" w:rsidDel="00456B8E">
        <w:t>GST</w:t>
      </w:r>
      <w:r w:rsidR="00456B8E">
        <w:t> </w:t>
      </w:r>
      <w:r w:rsidR="00C76827" w:rsidRPr="00B63C72">
        <w:t>floor compared with 2024</w:t>
      </w:r>
      <w:r w:rsidR="00C76827" w:rsidRPr="00B63C72">
        <w:rPr>
          <w:rFonts w:ascii="Times New Roman" w:hAnsi="Times New Roman" w:cs="Times New Roman"/>
        </w:rPr>
        <w:t>‍</w:t>
      </w:r>
      <w:r w:rsidR="00C76827" w:rsidRPr="00B63C72">
        <w:t>–</w:t>
      </w:r>
      <w:r w:rsidR="00C76827" w:rsidRPr="00B63C72">
        <w:rPr>
          <w:rFonts w:ascii="Times New Roman" w:hAnsi="Times New Roman" w:cs="Times New Roman"/>
        </w:rPr>
        <w:t>‍</w:t>
      </w:r>
      <w:r w:rsidR="00C76827" w:rsidRPr="00B63C72">
        <w:t xml:space="preserve">25, due to its higher assessed </w:t>
      </w:r>
      <w:r w:rsidR="00C76827" w:rsidRPr="00B63C72" w:rsidDel="00456B8E">
        <w:t>GST</w:t>
      </w:r>
      <w:r w:rsidR="00456B8E">
        <w:t> </w:t>
      </w:r>
      <w:r w:rsidR="00C76827" w:rsidRPr="00B63C72">
        <w:t>needs.</w:t>
      </w:r>
    </w:p>
    <w:p w14:paraId="792C65E8" w14:textId="6DD8B382" w:rsidR="00C76827" w:rsidRPr="00B63C72" w:rsidRDefault="00C76827" w:rsidP="005F2547">
      <w:pPr>
        <w:pStyle w:val="CGC2025Bullet1"/>
      </w:pPr>
      <w:r w:rsidRPr="00B63C72">
        <w:t xml:space="preserve">The main factors leading to the increase in </w:t>
      </w:r>
      <w:r w:rsidR="00B5696F" w:rsidRPr="00B63C72">
        <w:t>Western</w:t>
      </w:r>
      <w:r w:rsidR="00B5696F">
        <w:t> </w:t>
      </w:r>
      <w:r w:rsidRPr="00B63C72">
        <w:t xml:space="preserve">Australia’s assessed </w:t>
      </w:r>
      <w:r w:rsidRPr="00B63C72" w:rsidDel="00456B8E">
        <w:t>GST</w:t>
      </w:r>
      <w:r w:rsidR="00456B8E">
        <w:t> </w:t>
      </w:r>
      <w:r w:rsidRPr="00B63C72">
        <w:t>needs are:</w:t>
      </w:r>
    </w:p>
    <w:p w14:paraId="374E5D48" w14:textId="7A48A66E" w:rsidR="00C76827" w:rsidRPr="00B53F3F" w:rsidRDefault="00C76827" w:rsidP="005F2547">
      <w:pPr>
        <w:pStyle w:val="CGC2025Bullet2"/>
      </w:pPr>
      <w:r w:rsidRPr="00B63C72">
        <w:t xml:space="preserve">a decline in its relative capacity to raise mining </w:t>
      </w:r>
      <w:r w:rsidRPr="002B3CF5">
        <w:t>revenue</w:t>
      </w:r>
      <w:r w:rsidR="00505286" w:rsidRPr="00B53F3F">
        <w:t>,</w:t>
      </w:r>
      <w:r w:rsidR="00505286" w:rsidRPr="002B3CF5">
        <w:t xml:space="preserve"> </w:t>
      </w:r>
      <w:r w:rsidRPr="002B3CF5">
        <w:t>because</w:t>
      </w:r>
      <w:r w:rsidRPr="00B63C72">
        <w:t xml:space="preserve"> of lower </w:t>
      </w:r>
      <w:r w:rsidRPr="00B53F3F">
        <w:t>iron ore prices and an increase in the relative revenue raising capacity of the main coal producing states (</w:t>
      </w:r>
      <w:r w:rsidR="00B5696F" w:rsidRPr="00B53F3F">
        <w:t>New South </w:t>
      </w:r>
      <w:r w:rsidRPr="00B53F3F">
        <w:t>Wales and Queensland)</w:t>
      </w:r>
      <w:r w:rsidR="0096111A" w:rsidRPr="00B53F3F">
        <w:t xml:space="preserve"> </w:t>
      </w:r>
    </w:p>
    <w:p w14:paraId="545D717D" w14:textId="44135F40" w:rsidR="00C76827" w:rsidRPr="00B53F3F" w:rsidRDefault="00327B5D" w:rsidP="005F2547">
      <w:pPr>
        <w:pStyle w:val="CGC2025Bullet2"/>
      </w:pPr>
      <w:r w:rsidRPr="00B53F3F">
        <w:t xml:space="preserve">the change </w:t>
      </w:r>
      <w:r w:rsidR="00601E4C" w:rsidRPr="00B53F3F">
        <w:t xml:space="preserve">to the </w:t>
      </w:r>
      <w:r w:rsidR="00C03D96" w:rsidRPr="00B53F3F">
        <w:t>business regulation assessment method</w:t>
      </w:r>
      <w:r w:rsidR="00C03D96" w:rsidRPr="003A0AD4">
        <w:t xml:space="preserve">, </w:t>
      </w:r>
      <w:r w:rsidR="00EF4BC3" w:rsidRPr="003A0AD4">
        <w:t xml:space="preserve">which </w:t>
      </w:r>
      <w:r w:rsidR="00C03D96" w:rsidRPr="003A0AD4">
        <w:t>led to</w:t>
      </w:r>
      <w:r w:rsidR="00C03D96" w:rsidRPr="00B53F3F">
        <w:t xml:space="preserve"> </w:t>
      </w:r>
      <w:r w:rsidR="008F3D22" w:rsidRPr="00B53F3F">
        <w:t xml:space="preserve">an </w:t>
      </w:r>
      <w:r w:rsidR="00C76827" w:rsidRPr="00B53F3F">
        <w:t>increase in the assessed cost of mining regulation for mining states</w:t>
      </w:r>
    </w:p>
    <w:p w14:paraId="1FD7BC8D" w14:textId="0D974406" w:rsidR="00C76827" w:rsidRPr="00B53F3F" w:rsidRDefault="00402B8A" w:rsidP="005F2547">
      <w:pPr>
        <w:pStyle w:val="CGC2025Bullet2"/>
      </w:pPr>
      <w:r w:rsidRPr="003A0AD4">
        <w:t xml:space="preserve">the </w:t>
      </w:r>
      <w:r w:rsidR="00915B19" w:rsidRPr="003A0AD4">
        <w:t>change</w:t>
      </w:r>
      <w:r w:rsidR="008F37A3">
        <w:t>s</w:t>
      </w:r>
      <w:r w:rsidR="00915B19" w:rsidRPr="003A0AD4">
        <w:t xml:space="preserve"> </w:t>
      </w:r>
      <w:r w:rsidR="008F37A3">
        <w:t>to</w:t>
      </w:r>
      <w:r w:rsidR="00915B19" w:rsidRPr="003A0AD4">
        <w:t xml:space="preserve"> </w:t>
      </w:r>
      <w:r w:rsidR="007D7F3C" w:rsidRPr="003A0AD4">
        <w:t xml:space="preserve">the </w:t>
      </w:r>
      <w:r w:rsidR="003F5532" w:rsidRPr="003A0AD4">
        <w:t xml:space="preserve">transport </w:t>
      </w:r>
      <w:r w:rsidR="00915B19" w:rsidRPr="003A0AD4">
        <w:t>assessment method</w:t>
      </w:r>
      <w:r w:rsidR="003F5532" w:rsidRPr="003A0AD4">
        <w:t>, which</w:t>
      </w:r>
      <w:r w:rsidR="00915B19" w:rsidRPr="003A0AD4">
        <w:t xml:space="preserve"> led to </w:t>
      </w:r>
      <w:r w:rsidR="00C76827" w:rsidRPr="003A0AD4">
        <w:t xml:space="preserve">an increase in the growth rate </w:t>
      </w:r>
      <w:r w:rsidR="00A71FB1" w:rsidRPr="003A0AD4">
        <w:t>of</w:t>
      </w:r>
      <w:r w:rsidR="004F1D67" w:rsidRPr="003A0AD4">
        <w:t>,</w:t>
      </w:r>
      <w:r w:rsidR="00A71FB1" w:rsidRPr="003A0AD4">
        <w:t xml:space="preserve"> </w:t>
      </w:r>
      <w:r w:rsidR="00C76827" w:rsidRPr="003A0AD4">
        <w:t xml:space="preserve">and </w:t>
      </w:r>
      <w:r w:rsidR="0011485F" w:rsidRPr="003A0AD4">
        <w:t>a</w:t>
      </w:r>
      <w:r w:rsidR="00A71FB1" w:rsidRPr="003A0AD4">
        <w:t>n</w:t>
      </w:r>
      <w:r w:rsidR="0011485F" w:rsidRPr="003A0AD4">
        <w:t xml:space="preserve"> </w:t>
      </w:r>
      <w:r w:rsidRPr="003A0AD4">
        <w:t xml:space="preserve">increase </w:t>
      </w:r>
      <w:r w:rsidR="0011485F" w:rsidRPr="003A0AD4">
        <w:t>in</w:t>
      </w:r>
      <w:r w:rsidR="004F1D67" w:rsidRPr="003A0AD4">
        <w:t>,</w:t>
      </w:r>
      <w:r w:rsidR="0011485F" w:rsidRPr="003A0AD4">
        <w:t xml:space="preserve"> the</w:t>
      </w:r>
      <w:r w:rsidR="00A71FB1" w:rsidRPr="00B53F3F">
        <w:t xml:space="preserve"> </w:t>
      </w:r>
      <w:r w:rsidR="00C76827" w:rsidRPr="00B53F3F">
        <w:t xml:space="preserve">population-weighted density </w:t>
      </w:r>
      <w:r w:rsidR="00A71FB1" w:rsidRPr="00B53F3F">
        <w:t xml:space="preserve">of </w:t>
      </w:r>
      <w:r w:rsidR="00C76827" w:rsidRPr="00B53F3F">
        <w:t>Perth compared with other urban areas, leading to an increase in assessed needs for recurrent expenses and investment in urban transport</w:t>
      </w:r>
    </w:p>
    <w:p w14:paraId="32693588" w14:textId="33B2BB55" w:rsidR="00C76827" w:rsidRPr="00B63C72" w:rsidRDefault="00C76827" w:rsidP="005F2547">
      <w:pPr>
        <w:pStyle w:val="CGC2025Bullet2"/>
      </w:pPr>
      <w:r w:rsidRPr="00B53F3F">
        <w:t xml:space="preserve">below-average growth in the value of taxable land </w:t>
      </w:r>
      <w:r w:rsidRPr="003A0AD4">
        <w:t>values,</w:t>
      </w:r>
      <w:r w:rsidRPr="00B63C72">
        <w:t xml:space="preserve"> which reduced its relative capacity to raise land taxes.</w:t>
      </w:r>
    </w:p>
    <w:p w14:paraId="093760C0" w14:textId="46406307" w:rsidR="00C76827" w:rsidRPr="00B63C72" w:rsidRDefault="00C76827" w:rsidP="005F2547">
      <w:pPr>
        <w:pStyle w:val="CGC2025Bullet1"/>
      </w:pPr>
      <w:r w:rsidRPr="00B63C72">
        <w:t xml:space="preserve">The main factors partially offsetting </w:t>
      </w:r>
      <w:r w:rsidR="00B5696F" w:rsidRPr="00B63C72">
        <w:t>Western</w:t>
      </w:r>
      <w:r w:rsidR="00B5696F">
        <w:t> </w:t>
      </w:r>
      <w:r w:rsidRPr="00B63C72">
        <w:t xml:space="preserve">Australia’s increase in assessed </w:t>
      </w:r>
      <w:r w:rsidRPr="00B63C72" w:rsidDel="00456B8E">
        <w:t>GST</w:t>
      </w:r>
      <w:r w:rsidR="00456B8E">
        <w:t> </w:t>
      </w:r>
      <w:r w:rsidRPr="00B63C72">
        <w:t>needs are:</w:t>
      </w:r>
    </w:p>
    <w:p w14:paraId="2C875E06" w14:textId="46EE33F1" w:rsidR="00C76827" w:rsidRPr="00B63C72" w:rsidRDefault="00C76827" w:rsidP="005F2547">
      <w:pPr>
        <w:pStyle w:val="CGC2025Bullet2"/>
      </w:pPr>
      <w:r w:rsidRPr="00B63C72">
        <w:t xml:space="preserve">the change in the assessment method of COVID-19 business support and </w:t>
      </w:r>
      <w:r w:rsidR="00B5696F" w:rsidRPr="00B63C72">
        <w:t>Western</w:t>
      </w:r>
      <w:r w:rsidR="00B5696F">
        <w:t> </w:t>
      </w:r>
      <w:r w:rsidRPr="00B63C72">
        <w:t>Australia’s below-average COVID-19 business support expenses</w:t>
      </w:r>
    </w:p>
    <w:p w14:paraId="602ECF77" w14:textId="35695D1B" w:rsidR="00C76827" w:rsidRPr="00FC4A10" w:rsidRDefault="007A608A" w:rsidP="005F2547">
      <w:pPr>
        <w:pStyle w:val="CGC2025Bullet2"/>
      </w:pPr>
      <w:r w:rsidRPr="00FC4A10">
        <w:t>the</w:t>
      </w:r>
      <w:r w:rsidR="005A33AE" w:rsidRPr="00FC4A10">
        <w:t xml:space="preserve"> change</w:t>
      </w:r>
      <w:r w:rsidR="0034502D">
        <w:t>s</w:t>
      </w:r>
      <w:r w:rsidR="005A33AE" w:rsidRPr="00FC4A10">
        <w:t xml:space="preserve"> in </w:t>
      </w:r>
      <w:r w:rsidRPr="00FC4A10">
        <w:t xml:space="preserve">wage costs </w:t>
      </w:r>
      <w:r w:rsidR="005A33AE" w:rsidRPr="00FC4A10">
        <w:t xml:space="preserve">assessment method to </w:t>
      </w:r>
      <w:r w:rsidR="00C76827" w:rsidRPr="00FC4A10">
        <w:t xml:space="preserve">smooth the above-trend estimates of </w:t>
      </w:r>
      <w:r w:rsidR="00B5696F" w:rsidRPr="00FC4A10">
        <w:t>Western </w:t>
      </w:r>
      <w:r w:rsidR="00C76827" w:rsidRPr="00FC4A10">
        <w:t>Australia’s wage costs.</w:t>
      </w:r>
    </w:p>
    <w:p w14:paraId="7ED9E669" w14:textId="7BD68C56" w:rsidR="00C76827" w:rsidRPr="00B63C72" w:rsidRDefault="00C76827" w:rsidP="00C76827">
      <w:pPr>
        <w:pStyle w:val="CGC2025Caption"/>
        <w:ind w:left="1440" w:hanging="1440"/>
      </w:pPr>
      <w:r w:rsidRPr="00B63C72">
        <w:t>Table 3-4</w:t>
      </w:r>
      <w:r w:rsidRPr="00B63C72">
        <w:tab/>
        <w:t>Change in estimated GST distribution from 2024–25 to 2025</w:t>
      </w:r>
      <w:r w:rsidR="00442B05" w:rsidRPr="00851890">
        <w:rPr>
          <w:rFonts w:ascii="Times New Roman" w:hAnsi="Times New Roman" w:cs="Times New Roman"/>
        </w:rPr>
        <w:t>‍</w:t>
      </w:r>
      <w:r w:rsidRPr="00B63C72">
        <w:t>–</w:t>
      </w:r>
      <w:r w:rsidR="00442B05" w:rsidRPr="00851890">
        <w:rPr>
          <w:rFonts w:ascii="Times New Roman" w:hAnsi="Times New Roman" w:cs="Times New Roman"/>
        </w:rPr>
        <w:t>‍</w:t>
      </w:r>
      <w:r w:rsidRPr="00B63C72">
        <w:t>26, Western</w:t>
      </w:r>
      <w:r>
        <w:t> </w:t>
      </w:r>
      <w:r w:rsidRPr="00B63C72">
        <w:t>Australia (excludes no worse off payments)</w:t>
      </w:r>
    </w:p>
    <w:tbl>
      <w:tblPr>
        <w:tblW w:w="8940" w:type="dxa"/>
        <w:tblCellMar>
          <w:top w:w="15" w:type="dxa"/>
          <w:bottom w:w="15" w:type="dxa"/>
        </w:tblCellMar>
        <w:tblLook w:val="04A0" w:firstRow="1" w:lastRow="0" w:firstColumn="1" w:lastColumn="0" w:noHBand="0" w:noVBand="1"/>
      </w:tblPr>
      <w:tblGrid>
        <w:gridCol w:w="4060"/>
        <w:gridCol w:w="2440"/>
        <w:gridCol w:w="2440"/>
      </w:tblGrid>
      <w:tr w:rsidR="00FF3D48" w:rsidRPr="00670109" w14:paraId="6EAC8F8B" w14:textId="77777777">
        <w:trPr>
          <w:trHeight w:val="300"/>
        </w:trPr>
        <w:tc>
          <w:tcPr>
            <w:tcW w:w="4060" w:type="dxa"/>
            <w:tcBorders>
              <w:top w:val="nil"/>
              <w:left w:val="nil"/>
              <w:bottom w:val="single" w:sz="4" w:space="0" w:color="ADD6EA"/>
              <w:right w:val="nil"/>
            </w:tcBorders>
            <w:shd w:val="clear" w:color="000000" w:fill="006991"/>
            <w:noWrap/>
            <w:vAlign w:val="center"/>
            <w:hideMark/>
          </w:tcPr>
          <w:p w14:paraId="09CBE594" w14:textId="77777777" w:rsidR="00FF3D48" w:rsidRPr="00670109" w:rsidRDefault="00FF3D48">
            <w:pPr>
              <w:tabs>
                <w:tab w:val="clear" w:pos="567"/>
              </w:tabs>
              <w:spacing w:before="0" w:line="240" w:lineRule="auto"/>
              <w:rPr>
                <w:rFonts w:ascii="Times New Roman" w:eastAsia="Times New Roman" w:hAnsi="Times New Roman" w:cs="Times New Roman"/>
                <w:sz w:val="24"/>
                <w:szCs w:val="24"/>
                <w:lang w:eastAsia="en-AU"/>
              </w:rPr>
            </w:pPr>
          </w:p>
        </w:tc>
        <w:tc>
          <w:tcPr>
            <w:tcW w:w="2440" w:type="dxa"/>
            <w:tcBorders>
              <w:top w:val="nil"/>
              <w:left w:val="nil"/>
              <w:bottom w:val="single" w:sz="4" w:space="0" w:color="ADD6EA"/>
              <w:right w:val="nil"/>
            </w:tcBorders>
            <w:shd w:val="clear" w:color="000000" w:fill="006991"/>
            <w:noWrap/>
            <w:vAlign w:val="center"/>
            <w:hideMark/>
          </w:tcPr>
          <w:p w14:paraId="6E330A12" w14:textId="77777777" w:rsidR="00FF3D48" w:rsidRPr="00670109" w:rsidRDefault="00FF3D4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70109">
              <w:rPr>
                <w:rFonts w:ascii="Open Sans Semibold" w:eastAsia="Times New Roman" w:hAnsi="Open Sans Semibold" w:cs="Open Sans Semibold"/>
                <w:color w:val="FFFFFF"/>
                <w:sz w:val="16"/>
                <w:szCs w:val="16"/>
                <w:lang w:eastAsia="en-AU"/>
              </w:rPr>
              <w:t>$m</w:t>
            </w:r>
          </w:p>
        </w:tc>
        <w:tc>
          <w:tcPr>
            <w:tcW w:w="2440" w:type="dxa"/>
            <w:tcBorders>
              <w:top w:val="nil"/>
              <w:left w:val="nil"/>
              <w:bottom w:val="single" w:sz="4" w:space="0" w:color="ADD6EA"/>
              <w:right w:val="nil"/>
            </w:tcBorders>
            <w:shd w:val="clear" w:color="000000" w:fill="006991"/>
            <w:noWrap/>
            <w:vAlign w:val="center"/>
            <w:hideMark/>
          </w:tcPr>
          <w:p w14:paraId="3716544B" w14:textId="77777777" w:rsidR="00FF3D48" w:rsidRPr="00670109" w:rsidRDefault="00FF3D4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70109">
              <w:rPr>
                <w:rFonts w:ascii="Open Sans Semibold" w:eastAsia="Times New Roman" w:hAnsi="Open Sans Semibold" w:cs="Open Sans Semibold"/>
                <w:color w:val="FFFFFF"/>
                <w:sz w:val="16"/>
                <w:szCs w:val="16"/>
                <w:lang w:eastAsia="en-AU"/>
              </w:rPr>
              <w:t>$pc</w:t>
            </w:r>
          </w:p>
        </w:tc>
      </w:tr>
      <w:tr w:rsidR="00FF3D48" w:rsidRPr="00670109" w14:paraId="6EA616C7" w14:textId="77777777">
        <w:trPr>
          <w:trHeight w:val="300"/>
        </w:trPr>
        <w:tc>
          <w:tcPr>
            <w:tcW w:w="4060" w:type="dxa"/>
            <w:tcBorders>
              <w:top w:val="single" w:sz="4" w:space="0" w:color="ADD6EA"/>
              <w:left w:val="nil"/>
              <w:bottom w:val="single" w:sz="4" w:space="0" w:color="ADD6EA"/>
              <w:right w:val="nil"/>
            </w:tcBorders>
            <w:noWrap/>
            <w:vAlign w:val="center"/>
            <w:hideMark/>
          </w:tcPr>
          <w:p w14:paraId="6D0BC094" w14:textId="77777777" w:rsidR="00FF3D48" w:rsidRPr="00670109" w:rsidRDefault="00FF3D48">
            <w:pPr>
              <w:tabs>
                <w:tab w:val="clear" w:pos="567"/>
              </w:tabs>
              <w:spacing w:before="0" w:line="240" w:lineRule="auto"/>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 xml:space="preserve">Change in </w:t>
            </w:r>
            <w:r w:rsidRPr="00670109">
              <w:rPr>
                <w:rFonts w:ascii="Open Sans Light" w:eastAsia="Times New Roman" w:hAnsi="Open Sans Light" w:cs="Open Sans Light"/>
                <w:color w:val="000000"/>
                <w:sz w:val="16"/>
                <w:szCs w:val="16"/>
                <w:lang w:eastAsia="en-AU"/>
              </w:rPr>
              <w:t>population</w:t>
            </w:r>
          </w:p>
        </w:tc>
        <w:tc>
          <w:tcPr>
            <w:tcW w:w="2440" w:type="dxa"/>
            <w:tcBorders>
              <w:top w:val="single" w:sz="4" w:space="0" w:color="ADD6EA"/>
              <w:left w:val="nil"/>
              <w:bottom w:val="single" w:sz="4" w:space="0" w:color="ADD6EA"/>
              <w:right w:val="nil"/>
            </w:tcBorders>
            <w:noWrap/>
            <w:vAlign w:val="center"/>
            <w:hideMark/>
          </w:tcPr>
          <w:p w14:paraId="76E7DBFB" w14:textId="77777777" w:rsidR="00FF3D48" w:rsidRPr="00670109" w:rsidRDefault="00FF3D48">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36</w:t>
            </w:r>
          </w:p>
        </w:tc>
        <w:tc>
          <w:tcPr>
            <w:tcW w:w="2440" w:type="dxa"/>
            <w:tcBorders>
              <w:top w:val="single" w:sz="4" w:space="0" w:color="ADD6EA"/>
              <w:left w:val="nil"/>
              <w:bottom w:val="single" w:sz="4" w:space="0" w:color="ADD6EA"/>
              <w:right w:val="nil"/>
            </w:tcBorders>
            <w:noWrap/>
            <w:vAlign w:val="center"/>
            <w:hideMark/>
          </w:tcPr>
          <w:p w14:paraId="37EF33E1" w14:textId="77777777" w:rsidR="00FF3D48" w:rsidRPr="00670109" w:rsidRDefault="00FF3D48">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12</w:t>
            </w:r>
          </w:p>
        </w:tc>
      </w:tr>
      <w:tr w:rsidR="00FF3D48" w:rsidRPr="00670109" w14:paraId="43CD6E52" w14:textId="77777777">
        <w:trPr>
          <w:trHeight w:val="300"/>
        </w:trPr>
        <w:tc>
          <w:tcPr>
            <w:tcW w:w="4060" w:type="dxa"/>
            <w:tcBorders>
              <w:top w:val="single" w:sz="4" w:space="0" w:color="ADD6EA"/>
              <w:left w:val="nil"/>
              <w:bottom w:val="single" w:sz="4" w:space="0" w:color="ADD6EA"/>
              <w:right w:val="nil"/>
            </w:tcBorders>
            <w:noWrap/>
            <w:vAlign w:val="center"/>
            <w:hideMark/>
          </w:tcPr>
          <w:p w14:paraId="74C4BA8A" w14:textId="77777777" w:rsidR="00FF3D48" w:rsidRPr="00670109" w:rsidRDefault="00FF3D48">
            <w:pPr>
              <w:tabs>
                <w:tab w:val="clear" w:pos="567"/>
              </w:tabs>
              <w:spacing w:before="0" w:line="240" w:lineRule="auto"/>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 xml:space="preserve">Growth in GST pool </w:t>
            </w:r>
          </w:p>
        </w:tc>
        <w:tc>
          <w:tcPr>
            <w:tcW w:w="2440" w:type="dxa"/>
            <w:tcBorders>
              <w:top w:val="single" w:sz="4" w:space="0" w:color="ADD6EA"/>
              <w:left w:val="nil"/>
              <w:bottom w:val="single" w:sz="4" w:space="0" w:color="ADD6EA"/>
              <w:right w:val="nil"/>
            </w:tcBorders>
            <w:noWrap/>
            <w:vAlign w:val="center"/>
            <w:hideMark/>
          </w:tcPr>
          <w:p w14:paraId="3A352FDA" w14:textId="77777777" w:rsidR="00FF3D48" w:rsidRPr="00670109" w:rsidRDefault="00FF3D48">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372</w:t>
            </w:r>
          </w:p>
        </w:tc>
        <w:tc>
          <w:tcPr>
            <w:tcW w:w="2440" w:type="dxa"/>
            <w:tcBorders>
              <w:top w:val="single" w:sz="4" w:space="0" w:color="ADD6EA"/>
              <w:left w:val="nil"/>
              <w:bottom w:val="single" w:sz="4" w:space="0" w:color="ADD6EA"/>
              <w:right w:val="nil"/>
            </w:tcBorders>
            <w:noWrap/>
            <w:vAlign w:val="center"/>
            <w:hideMark/>
          </w:tcPr>
          <w:p w14:paraId="25799171" w14:textId="77777777" w:rsidR="00FF3D48" w:rsidRPr="00670109" w:rsidRDefault="00FF3D48">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122</w:t>
            </w:r>
          </w:p>
        </w:tc>
      </w:tr>
      <w:tr w:rsidR="00FF3D48" w:rsidRPr="00670109" w14:paraId="168B5193" w14:textId="77777777">
        <w:trPr>
          <w:trHeight w:val="300"/>
        </w:trPr>
        <w:tc>
          <w:tcPr>
            <w:tcW w:w="4060" w:type="dxa"/>
            <w:tcBorders>
              <w:top w:val="single" w:sz="4" w:space="0" w:color="ADD6EA"/>
              <w:left w:val="nil"/>
              <w:bottom w:val="single" w:sz="4" w:space="0" w:color="ADD6EA"/>
              <w:right w:val="nil"/>
            </w:tcBorders>
            <w:noWrap/>
            <w:vAlign w:val="center"/>
            <w:hideMark/>
          </w:tcPr>
          <w:p w14:paraId="3B0E2A90" w14:textId="77777777" w:rsidR="00FF3D48" w:rsidRPr="00670109" w:rsidRDefault="00FF3D48">
            <w:pPr>
              <w:tabs>
                <w:tab w:val="clear" w:pos="567"/>
              </w:tabs>
              <w:spacing w:before="0" w:line="240" w:lineRule="auto"/>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Changes in assessed needs</w:t>
            </w:r>
          </w:p>
        </w:tc>
        <w:tc>
          <w:tcPr>
            <w:tcW w:w="2440" w:type="dxa"/>
            <w:tcBorders>
              <w:top w:val="single" w:sz="4" w:space="0" w:color="ADD6EA"/>
              <w:left w:val="nil"/>
              <w:bottom w:val="single" w:sz="4" w:space="0" w:color="ADD6EA"/>
              <w:right w:val="nil"/>
            </w:tcBorders>
            <w:noWrap/>
            <w:vAlign w:val="center"/>
            <w:hideMark/>
          </w:tcPr>
          <w:p w14:paraId="2983A9EF" w14:textId="77777777" w:rsidR="00FF3D48" w:rsidRPr="00670109" w:rsidRDefault="00FF3D48">
            <w:pPr>
              <w:tabs>
                <w:tab w:val="clear" w:pos="567"/>
              </w:tabs>
              <w:spacing w:before="0" w:line="240" w:lineRule="auto"/>
              <w:rPr>
                <w:rFonts w:ascii="Open Sans Light" w:eastAsia="Times New Roman" w:hAnsi="Open Sans Light" w:cs="Open Sans Light"/>
                <w:sz w:val="16"/>
                <w:szCs w:val="16"/>
                <w:lang w:eastAsia="en-AU"/>
              </w:rPr>
            </w:pPr>
          </w:p>
        </w:tc>
        <w:tc>
          <w:tcPr>
            <w:tcW w:w="2440" w:type="dxa"/>
            <w:tcBorders>
              <w:top w:val="single" w:sz="4" w:space="0" w:color="ADD6EA"/>
              <w:left w:val="nil"/>
              <w:bottom w:val="single" w:sz="4" w:space="0" w:color="ADD6EA"/>
              <w:right w:val="nil"/>
            </w:tcBorders>
            <w:noWrap/>
            <w:vAlign w:val="center"/>
            <w:hideMark/>
          </w:tcPr>
          <w:p w14:paraId="3B1B0493" w14:textId="77777777" w:rsidR="00FF3D48" w:rsidRPr="00670109" w:rsidRDefault="00FF3D48">
            <w:pPr>
              <w:tabs>
                <w:tab w:val="clear" w:pos="567"/>
              </w:tabs>
              <w:spacing w:before="0" w:line="240" w:lineRule="auto"/>
              <w:jc w:val="right"/>
              <w:rPr>
                <w:rFonts w:ascii="Times New Roman" w:eastAsia="Times New Roman" w:hAnsi="Times New Roman" w:cs="Times New Roman"/>
                <w:szCs w:val="20"/>
                <w:lang w:eastAsia="en-AU"/>
              </w:rPr>
            </w:pPr>
          </w:p>
        </w:tc>
      </w:tr>
      <w:tr w:rsidR="00FF3D48" w:rsidRPr="00670109" w14:paraId="69579F3B" w14:textId="77777777">
        <w:trPr>
          <w:trHeight w:val="300"/>
        </w:trPr>
        <w:tc>
          <w:tcPr>
            <w:tcW w:w="4060" w:type="dxa"/>
            <w:tcBorders>
              <w:top w:val="single" w:sz="4" w:space="0" w:color="ADD6EA"/>
              <w:left w:val="nil"/>
              <w:bottom w:val="single" w:sz="4" w:space="0" w:color="ADD6EA"/>
              <w:right w:val="nil"/>
            </w:tcBorders>
            <w:noWrap/>
            <w:vAlign w:val="center"/>
            <w:hideMark/>
          </w:tcPr>
          <w:p w14:paraId="79C52387" w14:textId="77777777" w:rsidR="00FF3D48" w:rsidRPr="00670109" w:rsidRDefault="00FF3D48">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Method changes</w:t>
            </w:r>
          </w:p>
        </w:tc>
        <w:tc>
          <w:tcPr>
            <w:tcW w:w="2440" w:type="dxa"/>
            <w:tcBorders>
              <w:top w:val="single" w:sz="4" w:space="0" w:color="ADD6EA"/>
              <w:left w:val="nil"/>
              <w:bottom w:val="single" w:sz="4" w:space="0" w:color="ADD6EA"/>
              <w:right w:val="nil"/>
            </w:tcBorders>
            <w:noWrap/>
            <w:vAlign w:val="center"/>
            <w:hideMark/>
          </w:tcPr>
          <w:p w14:paraId="1AF0FBEA" w14:textId="77777777" w:rsidR="00FF3D48" w:rsidRPr="00670109" w:rsidRDefault="00FF3D48">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-328</w:t>
            </w:r>
          </w:p>
        </w:tc>
        <w:tc>
          <w:tcPr>
            <w:tcW w:w="2440" w:type="dxa"/>
            <w:tcBorders>
              <w:top w:val="single" w:sz="4" w:space="0" w:color="ADD6EA"/>
              <w:left w:val="nil"/>
              <w:bottom w:val="single" w:sz="4" w:space="0" w:color="ADD6EA"/>
              <w:right w:val="nil"/>
            </w:tcBorders>
            <w:noWrap/>
            <w:vAlign w:val="center"/>
            <w:hideMark/>
          </w:tcPr>
          <w:p w14:paraId="29FCFBE1" w14:textId="77777777" w:rsidR="00FF3D48" w:rsidRPr="00670109" w:rsidRDefault="00FF3D48">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-107</w:t>
            </w:r>
          </w:p>
        </w:tc>
      </w:tr>
      <w:tr w:rsidR="00FF3D48" w:rsidRPr="00670109" w14:paraId="265DB453" w14:textId="77777777">
        <w:trPr>
          <w:trHeight w:val="300"/>
        </w:trPr>
        <w:tc>
          <w:tcPr>
            <w:tcW w:w="4060" w:type="dxa"/>
            <w:tcBorders>
              <w:top w:val="single" w:sz="4" w:space="0" w:color="ADD6EA"/>
              <w:left w:val="nil"/>
              <w:bottom w:val="single" w:sz="4" w:space="0" w:color="ADD6EA"/>
              <w:right w:val="nil"/>
            </w:tcBorders>
            <w:noWrap/>
            <w:vAlign w:val="center"/>
            <w:hideMark/>
          </w:tcPr>
          <w:p w14:paraId="618498FC" w14:textId="77777777" w:rsidR="00FF3D48" w:rsidRPr="00670109" w:rsidRDefault="00FF3D48">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Data revisions</w:t>
            </w:r>
          </w:p>
        </w:tc>
        <w:tc>
          <w:tcPr>
            <w:tcW w:w="2440" w:type="dxa"/>
            <w:tcBorders>
              <w:top w:val="single" w:sz="4" w:space="0" w:color="ADD6EA"/>
              <w:left w:val="nil"/>
              <w:bottom w:val="single" w:sz="4" w:space="0" w:color="ADD6EA"/>
              <w:right w:val="nil"/>
            </w:tcBorders>
            <w:noWrap/>
            <w:vAlign w:val="center"/>
            <w:hideMark/>
          </w:tcPr>
          <w:p w14:paraId="36EDF3BC" w14:textId="77777777" w:rsidR="00FF3D48" w:rsidRPr="00670109" w:rsidRDefault="00FF3D48">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-81</w:t>
            </w:r>
          </w:p>
        </w:tc>
        <w:tc>
          <w:tcPr>
            <w:tcW w:w="2440" w:type="dxa"/>
            <w:tcBorders>
              <w:top w:val="single" w:sz="4" w:space="0" w:color="ADD6EA"/>
              <w:left w:val="nil"/>
              <w:bottom w:val="single" w:sz="4" w:space="0" w:color="ADD6EA"/>
              <w:right w:val="nil"/>
            </w:tcBorders>
            <w:noWrap/>
            <w:vAlign w:val="center"/>
            <w:hideMark/>
          </w:tcPr>
          <w:p w14:paraId="61AC3442" w14:textId="77777777" w:rsidR="00FF3D48" w:rsidRPr="00670109" w:rsidRDefault="00FF3D48">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-27</w:t>
            </w:r>
          </w:p>
        </w:tc>
      </w:tr>
      <w:tr w:rsidR="00FF3D48" w:rsidRPr="00670109" w14:paraId="3EB04D78" w14:textId="77777777">
        <w:trPr>
          <w:trHeight w:val="300"/>
        </w:trPr>
        <w:tc>
          <w:tcPr>
            <w:tcW w:w="4060" w:type="dxa"/>
            <w:tcBorders>
              <w:top w:val="single" w:sz="4" w:space="0" w:color="ADD6EA"/>
              <w:left w:val="nil"/>
              <w:bottom w:val="single" w:sz="4" w:space="0" w:color="ADD6EA"/>
              <w:right w:val="nil"/>
            </w:tcBorders>
            <w:noWrap/>
            <w:vAlign w:val="center"/>
            <w:hideMark/>
          </w:tcPr>
          <w:p w14:paraId="73DBA0A7" w14:textId="77777777" w:rsidR="00FF3D48" w:rsidRPr="00670109" w:rsidRDefault="00FF3D48">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State circumstances</w:t>
            </w:r>
          </w:p>
        </w:tc>
        <w:tc>
          <w:tcPr>
            <w:tcW w:w="2440" w:type="dxa"/>
            <w:tcBorders>
              <w:top w:val="single" w:sz="4" w:space="0" w:color="ADD6EA"/>
              <w:left w:val="nil"/>
              <w:bottom w:val="single" w:sz="4" w:space="0" w:color="ADD6EA"/>
              <w:right w:val="nil"/>
            </w:tcBorders>
            <w:noWrap/>
            <w:vAlign w:val="center"/>
            <w:hideMark/>
          </w:tcPr>
          <w:p w14:paraId="4BAF11F7" w14:textId="77777777" w:rsidR="00FF3D48" w:rsidRPr="00670109" w:rsidRDefault="00FF3D48">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1,116</w:t>
            </w:r>
          </w:p>
        </w:tc>
        <w:tc>
          <w:tcPr>
            <w:tcW w:w="2440" w:type="dxa"/>
            <w:tcBorders>
              <w:top w:val="single" w:sz="4" w:space="0" w:color="ADD6EA"/>
              <w:left w:val="nil"/>
              <w:bottom w:val="single" w:sz="4" w:space="0" w:color="ADD6EA"/>
              <w:right w:val="nil"/>
            </w:tcBorders>
            <w:noWrap/>
            <w:vAlign w:val="center"/>
            <w:hideMark/>
          </w:tcPr>
          <w:p w14:paraId="16510EC5" w14:textId="77777777" w:rsidR="00FF3D48" w:rsidRPr="00670109" w:rsidRDefault="00FF3D48">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365</w:t>
            </w:r>
          </w:p>
        </w:tc>
      </w:tr>
      <w:tr w:rsidR="00FF3D48" w:rsidRPr="00670109" w14:paraId="21C098EE" w14:textId="77777777">
        <w:trPr>
          <w:trHeight w:val="300"/>
        </w:trPr>
        <w:tc>
          <w:tcPr>
            <w:tcW w:w="4060" w:type="dxa"/>
            <w:tcBorders>
              <w:top w:val="single" w:sz="4" w:space="0" w:color="ADD6EA"/>
              <w:left w:val="nil"/>
              <w:bottom w:val="single" w:sz="4" w:space="0" w:color="ADD6EA"/>
              <w:right w:val="nil"/>
            </w:tcBorders>
            <w:noWrap/>
            <w:vAlign w:val="center"/>
            <w:hideMark/>
          </w:tcPr>
          <w:p w14:paraId="0C98CD63" w14:textId="77777777" w:rsidR="00FF3D48" w:rsidRPr="00670109" w:rsidRDefault="00FF3D48">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Total</w:t>
            </w:r>
          </w:p>
        </w:tc>
        <w:tc>
          <w:tcPr>
            <w:tcW w:w="2440" w:type="dxa"/>
            <w:tcBorders>
              <w:top w:val="single" w:sz="4" w:space="0" w:color="ADD6EA"/>
              <w:left w:val="nil"/>
              <w:bottom w:val="single" w:sz="4" w:space="0" w:color="ADD6EA"/>
              <w:right w:val="nil"/>
            </w:tcBorders>
            <w:noWrap/>
            <w:vAlign w:val="center"/>
            <w:hideMark/>
          </w:tcPr>
          <w:p w14:paraId="5D0C0BCE" w14:textId="77777777" w:rsidR="00FF3D48" w:rsidRPr="00670109" w:rsidRDefault="00FF3D48">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706</w:t>
            </w:r>
          </w:p>
        </w:tc>
        <w:tc>
          <w:tcPr>
            <w:tcW w:w="2440" w:type="dxa"/>
            <w:tcBorders>
              <w:top w:val="single" w:sz="4" w:space="0" w:color="ADD6EA"/>
              <w:left w:val="nil"/>
              <w:bottom w:val="single" w:sz="4" w:space="0" w:color="ADD6EA"/>
              <w:right w:val="nil"/>
            </w:tcBorders>
            <w:noWrap/>
            <w:vAlign w:val="center"/>
            <w:hideMark/>
          </w:tcPr>
          <w:p w14:paraId="322DCA8F" w14:textId="77777777" w:rsidR="00FF3D48" w:rsidRPr="00670109" w:rsidRDefault="00FF3D48">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231</w:t>
            </w:r>
          </w:p>
        </w:tc>
      </w:tr>
      <w:tr w:rsidR="00FF3D48" w:rsidRPr="00670109" w14:paraId="6DD1E896" w14:textId="77777777">
        <w:trPr>
          <w:trHeight w:val="300"/>
        </w:trPr>
        <w:tc>
          <w:tcPr>
            <w:tcW w:w="4060" w:type="dxa"/>
            <w:tcBorders>
              <w:top w:val="single" w:sz="4" w:space="0" w:color="ADD6EA"/>
              <w:left w:val="nil"/>
              <w:bottom w:val="single" w:sz="4" w:space="0" w:color="ADD6EA"/>
              <w:right w:val="nil"/>
            </w:tcBorders>
            <w:noWrap/>
            <w:vAlign w:val="center"/>
            <w:hideMark/>
          </w:tcPr>
          <w:p w14:paraId="74B7B926" w14:textId="4A6F0753" w:rsidR="00FF3D48" w:rsidRPr="00670109" w:rsidRDefault="00FF3D48">
            <w:pPr>
              <w:tabs>
                <w:tab w:val="clear" w:pos="567"/>
              </w:tabs>
              <w:spacing w:before="0" w:line="240" w:lineRule="auto"/>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Blended relativities and GST floor</w:t>
            </w:r>
          </w:p>
        </w:tc>
        <w:tc>
          <w:tcPr>
            <w:tcW w:w="2440" w:type="dxa"/>
            <w:tcBorders>
              <w:top w:val="single" w:sz="4" w:space="0" w:color="ADD6EA"/>
              <w:left w:val="nil"/>
              <w:bottom w:val="single" w:sz="4" w:space="0" w:color="ADD6EA"/>
              <w:right w:val="nil"/>
            </w:tcBorders>
            <w:noWrap/>
            <w:vAlign w:val="center"/>
            <w:hideMark/>
          </w:tcPr>
          <w:p w14:paraId="4746ED13" w14:textId="77777777" w:rsidR="00FF3D48" w:rsidRPr="00670109" w:rsidRDefault="00FF3D48">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-720</w:t>
            </w:r>
          </w:p>
        </w:tc>
        <w:tc>
          <w:tcPr>
            <w:tcW w:w="2440" w:type="dxa"/>
            <w:tcBorders>
              <w:top w:val="single" w:sz="4" w:space="0" w:color="ADD6EA"/>
              <w:left w:val="nil"/>
              <w:bottom w:val="single" w:sz="4" w:space="0" w:color="ADD6EA"/>
              <w:right w:val="nil"/>
            </w:tcBorders>
            <w:noWrap/>
            <w:vAlign w:val="center"/>
            <w:hideMark/>
          </w:tcPr>
          <w:p w14:paraId="0701DEED" w14:textId="77777777" w:rsidR="00FF3D48" w:rsidRPr="00670109" w:rsidRDefault="00FF3D48">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-236</w:t>
            </w:r>
          </w:p>
        </w:tc>
      </w:tr>
      <w:tr w:rsidR="00FF3D48" w:rsidRPr="00670109" w14:paraId="39526DD8" w14:textId="77777777">
        <w:trPr>
          <w:trHeight w:val="300"/>
        </w:trPr>
        <w:tc>
          <w:tcPr>
            <w:tcW w:w="4060" w:type="dxa"/>
            <w:tcBorders>
              <w:top w:val="single" w:sz="4" w:space="0" w:color="ADD6EA"/>
              <w:left w:val="nil"/>
              <w:bottom w:val="single" w:sz="4" w:space="0" w:color="ADD6EA"/>
              <w:right w:val="nil"/>
            </w:tcBorders>
            <w:shd w:val="clear" w:color="000000" w:fill="D6E7F0"/>
            <w:noWrap/>
            <w:vAlign w:val="center"/>
            <w:hideMark/>
          </w:tcPr>
          <w:p w14:paraId="28D4AF11" w14:textId="77777777" w:rsidR="00FF3D48" w:rsidRPr="00670109" w:rsidRDefault="00FF3D48">
            <w:pPr>
              <w:tabs>
                <w:tab w:val="clear" w:pos="567"/>
              </w:tabs>
              <w:spacing w:before="0" w:line="240" w:lineRule="auto"/>
              <w:rPr>
                <w:rFonts w:ascii="Open Sans Semibold" w:eastAsia="Times New Roman" w:hAnsi="Open Sans Semibold" w:cs="Open Sans Semibold"/>
                <w:color w:val="000000"/>
                <w:sz w:val="16"/>
                <w:szCs w:val="16"/>
                <w:lang w:eastAsia="en-AU"/>
              </w:rPr>
            </w:pPr>
            <w:r w:rsidRPr="00670109">
              <w:rPr>
                <w:rFonts w:ascii="Open Sans Semibold" w:eastAsia="Times New Roman" w:hAnsi="Open Sans Semibold" w:cs="Open Sans Semibold"/>
                <w:color w:val="000000"/>
                <w:sz w:val="16"/>
                <w:szCs w:val="16"/>
                <w:lang w:eastAsia="en-AU"/>
              </w:rPr>
              <w:t>Total change</w:t>
            </w:r>
          </w:p>
        </w:tc>
        <w:tc>
          <w:tcPr>
            <w:tcW w:w="2440" w:type="dxa"/>
            <w:tcBorders>
              <w:top w:val="single" w:sz="4" w:space="0" w:color="ADD6EA"/>
              <w:left w:val="nil"/>
              <w:bottom w:val="single" w:sz="4" w:space="0" w:color="ADD6EA"/>
              <w:right w:val="nil"/>
            </w:tcBorders>
            <w:shd w:val="clear" w:color="000000" w:fill="D6E7F0"/>
            <w:noWrap/>
            <w:vAlign w:val="center"/>
            <w:hideMark/>
          </w:tcPr>
          <w:p w14:paraId="024CDA4C" w14:textId="77777777" w:rsidR="00FF3D48" w:rsidRPr="00670109" w:rsidRDefault="00FF3D4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70109">
              <w:rPr>
                <w:rFonts w:ascii="Open Sans Semibold" w:eastAsia="Times New Roman" w:hAnsi="Open Sans Semibold" w:cs="Open Sans Semibold"/>
                <w:color w:val="000000"/>
                <w:sz w:val="16"/>
                <w:szCs w:val="16"/>
                <w:lang w:eastAsia="en-AU"/>
              </w:rPr>
              <w:t>395</w:t>
            </w:r>
          </w:p>
        </w:tc>
        <w:tc>
          <w:tcPr>
            <w:tcW w:w="2440" w:type="dxa"/>
            <w:tcBorders>
              <w:top w:val="single" w:sz="4" w:space="0" w:color="ADD6EA"/>
              <w:left w:val="nil"/>
              <w:bottom w:val="single" w:sz="4" w:space="0" w:color="ADD6EA"/>
              <w:right w:val="nil"/>
            </w:tcBorders>
            <w:shd w:val="clear" w:color="000000" w:fill="D6E7F0"/>
            <w:noWrap/>
            <w:vAlign w:val="center"/>
            <w:hideMark/>
          </w:tcPr>
          <w:p w14:paraId="595F5526" w14:textId="77777777" w:rsidR="00FF3D48" w:rsidRPr="00670109" w:rsidRDefault="00FF3D4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70109">
              <w:rPr>
                <w:rFonts w:ascii="Open Sans Semibold" w:eastAsia="Times New Roman" w:hAnsi="Open Sans Semibold" w:cs="Open Sans Semibold"/>
                <w:color w:val="000000"/>
                <w:sz w:val="16"/>
                <w:szCs w:val="16"/>
                <w:lang w:eastAsia="en-AU"/>
              </w:rPr>
              <w:t>129</w:t>
            </w:r>
          </w:p>
        </w:tc>
      </w:tr>
    </w:tbl>
    <w:p w14:paraId="66B6F041" w14:textId="2F50E121" w:rsidR="00436FB0" w:rsidRDefault="00C76827" w:rsidP="00C76827">
      <w:pPr>
        <w:pStyle w:val="CGC2025TableNote"/>
      </w:pPr>
      <w:r>
        <w:t>Note: Table may not add due to rounding</w:t>
      </w:r>
      <w:r w:rsidR="00342471">
        <w:t>.</w:t>
      </w:r>
    </w:p>
    <w:p w14:paraId="70343698" w14:textId="77777777" w:rsidR="00436FB0" w:rsidRDefault="00436FB0">
      <w:pPr>
        <w:tabs>
          <w:tab w:val="clear" w:pos="567"/>
        </w:tabs>
        <w:spacing w:before="0" w:after="200" w:line="276" w:lineRule="auto"/>
      </w:pPr>
      <w:r>
        <w:br w:type="page"/>
      </w:r>
    </w:p>
    <w:p w14:paraId="0A543F81" w14:textId="26C0B517" w:rsidR="00CB44BA" w:rsidRPr="00146FF7" w:rsidRDefault="00CB44BA" w:rsidP="00CB44BA">
      <w:pPr>
        <w:pStyle w:val="CGC2025Caption"/>
        <w:ind w:left="1440" w:hanging="1440"/>
      </w:pPr>
      <w:r w:rsidRPr="00146FF7">
        <w:lastRenderedPageBreak/>
        <w:t>Figure 3-4</w:t>
      </w:r>
      <w:r w:rsidRPr="00146FF7">
        <w:tab/>
        <w:t>Western Australia: main changes in assessed GST needs, 2025</w:t>
      </w:r>
      <w:r w:rsidR="00442B05" w:rsidRPr="00851890">
        <w:rPr>
          <w:rFonts w:ascii="Times New Roman" w:hAnsi="Times New Roman" w:cs="Times New Roman"/>
        </w:rPr>
        <w:t>‍</w:t>
      </w:r>
      <w:r w:rsidRPr="00146FF7">
        <w:t>–</w:t>
      </w:r>
      <w:r w:rsidR="00442B05" w:rsidRPr="00851890">
        <w:rPr>
          <w:rFonts w:ascii="Times New Roman" w:hAnsi="Times New Roman" w:cs="Times New Roman"/>
        </w:rPr>
        <w:t>‍</w:t>
      </w:r>
      <w:r w:rsidRPr="00146FF7">
        <w:t>26</w:t>
      </w:r>
      <w:r w:rsidR="00D60955">
        <w:t> </w:t>
      </w:r>
      <w:r w:rsidRPr="00146FF7">
        <w:t>relativities</w:t>
      </w:r>
    </w:p>
    <w:tbl>
      <w:tblPr>
        <w:tblW w:w="8940" w:type="dxa"/>
        <w:tblLook w:val="04A0" w:firstRow="1" w:lastRow="0" w:firstColumn="1" w:lastColumn="0" w:noHBand="0" w:noVBand="1"/>
      </w:tblPr>
      <w:tblGrid>
        <w:gridCol w:w="2640"/>
        <w:gridCol w:w="700"/>
        <w:gridCol w:w="700"/>
        <w:gridCol w:w="4900"/>
      </w:tblGrid>
      <w:tr w:rsidR="00CB44BA" w:rsidRPr="00FC4815" w14:paraId="0467935F" w14:textId="77777777">
        <w:trPr>
          <w:trHeight w:val="375"/>
        </w:trPr>
        <w:tc>
          <w:tcPr>
            <w:tcW w:w="8940" w:type="dxa"/>
            <w:gridSpan w:val="4"/>
            <w:tcBorders>
              <w:top w:val="nil"/>
              <w:left w:val="nil"/>
              <w:bottom w:val="nil"/>
              <w:right w:val="nil"/>
            </w:tcBorders>
            <w:shd w:val="clear" w:color="000000" w:fill="006991"/>
            <w:vAlign w:val="center"/>
            <w:hideMark/>
          </w:tcPr>
          <w:p w14:paraId="5D14DCCD" w14:textId="77777777" w:rsidR="00CB44BA" w:rsidRPr="00FC4815" w:rsidRDefault="00CB44BA">
            <w:pPr>
              <w:tabs>
                <w:tab w:val="clear" w:pos="567"/>
              </w:tabs>
              <w:spacing w:before="0" w:line="240" w:lineRule="auto"/>
              <w:rPr>
                <w:rFonts w:ascii="Open Sans Semibold" w:eastAsia="Times New Roman" w:hAnsi="Open Sans Semibold" w:cs="Open Sans Semibold"/>
                <w:color w:val="FFFFFF"/>
                <w:sz w:val="16"/>
                <w:szCs w:val="16"/>
                <w:lang w:eastAsia="en-AU"/>
              </w:rPr>
            </w:pPr>
            <w:r w:rsidRPr="00FC4815">
              <w:rPr>
                <w:rFonts w:ascii="Open Sans Semibold" w:eastAsia="Times New Roman" w:hAnsi="Open Sans Semibold" w:cs="Open Sans Semibold"/>
                <w:color w:val="FFFFFF"/>
                <w:sz w:val="16"/>
                <w:szCs w:val="16"/>
                <w:lang w:eastAsia="en-AU"/>
              </w:rPr>
              <w:t>Method changes</w:t>
            </w:r>
          </w:p>
        </w:tc>
      </w:tr>
      <w:tr w:rsidR="00CB44BA" w:rsidRPr="00FC4815" w14:paraId="153104B3" w14:textId="77777777">
        <w:trPr>
          <w:trHeight w:val="255"/>
        </w:trPr>
        <w:tc>
          <w:tcPr>
            <w:tcW w:w="2640" w:type="dxa"/>
            <w:tcBorders>
              <w:top w:val="single" w:sz="4" w:space="0" w:color="ADD6EA"/>
              <w:left w:val="nil"/>
              <w:bottom w:val="nil"/>
              <w:right w:val="nil"/>
            </w:tcBorders>
            <w:shd w:val="clear" w:color="000000" w:fill="D6E7F0"/>
            <w:hideMark/>
          </w:tcPr>
          <w:p w14:paraId="148D5066" w14:textId="77777777" w:rsidR="00CB44BA" w:rsidRPr="00FC4815" w:rsidRDefault="00CB44BA">
            <w:pPr>
              <w:tabs>
                <w:tab w:val="clear" w:pos="567"/>
              </w:tabs>
              <w:spacing w:before="0" w:line="240" w:lineRule="auto"/>
              <w:rPr>
                <w:rFonts w:ascii="Open Sans Semibold" w:eastAsia="Times New Roman" w:hAnsi="Open Sans Semibold" w:cs="Open Sans Semibold"/>
                <w:color w:val="000000"/>
                <w:sz w:val="16"/>
                <w:szCs w:val="16"/>
                <w:lang w:eastAsia="en-AU"/>
              </w:rPr>
            </w:pPr>
            <w:r w:rsidRPr="00FC4815">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0C5204F7" w14:textId="77777777" w:rsidR="00CB44BA" w:rsidRPr="00FC4815" w:rsidRDefault="00CB44BA">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FC4815">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41953C24" w14:textId="77777777" w:rsidR="00CB44BA" w:rsidRPr="00FC4815" w:rsidRDefault="00CB44BA">
            <w:pPr>
              <w:tabs>
                <w:tab w:val="clear" w:pos="567"/>
              </w:tabs>
              <w:spacing w:before="0" w:line="240" w:lineRule="auto"/>
              <w:rPr>
                <w:rFonts w:ascii="Open Sans Semibold" w:eastAsia="Times New Roman" w:hAnsi="Open Sans Semibold" w:cs="Open Sans Semibold"/>
                <w:color w:val="000000"/>
                <w:sz w:val="16"/>
                <w:szCs w:val="16"/>
                <w:lang w:eastAsia="en-AU"/>
              </w:rPr>
            </w:pPr>
            <w:r w:rsidRPr="00FC4815">
              <w:rPr>
                <w:rFonts w:ascii="Open Sans Semibold" w:eastAsia="Times New Roman" w:hAnsi="Open Sans Semibold" w:cs="Open Sans Semibold"/>
                <w:color w:val="000000"/>
                <w:sz w:val="16"/>
                <w:szCs w:val="16"/>
                <w:lang w:eastAsia="en-AU"/>
              </w:rPr>
              <w:t>Explanation</w:t>
            </w:r>
          </w:p>
        </w:tc>
      </w:tr>
      <w:tr w:rsidR="00CB44BA" w:rsidRPr="00FC4815" w14:paraId="1D59F355" w14:textId="77777777">
        <w:trPr>
          <w:trHeight w:val="255"/>
        </w:trPr>
        <w:tc>
          <w:tcPr>
            <w:tcW w:w="2640" w:type="dxa"/>
            <w:tcBorders>
              <w:top w:val="single" w:sz="4" w:space="0" w:color="ADD6EA"/>
              <w:left w:val="nil"/>
              <w:bottom w:val="nil"/>
              <w:right w:val="nil"/>
            </w:tcBorders>
            <w:shd w:val="clear" w:color="000000" w:fill="B6D5E4"/>
            <w:hideMark/>
          </w:tcPr>
          <w:p w14:paraId="148E15C8" w14:textId="77777777" w:rsidR="00CB44BA" w:rsidRPr="00FC4815" w:rsidRDefault="00CB44BA">
            <w:pPr>
              <w:tabs>
                <w:tab w:val="clear" w:pos="567"/>
              </w:tabs>
              <w:spacing w:before="0" w:line="240" w:lineRule="auto"/>
              <w:rPr>
                <w:rFonts w:ascii="Open Sans Semibold" w:eastAsia="Times New Roman" w:hAnsi="Open Sans Semibold" w:cs="Open Sans Semibold"/>
                <w:color w:val="000000"/>
                <w:sz w:val="16"/>
                <w:szCs w:val="16"/>
                <w:lang w:eastAsia="en-AU"/>
              </w:rPr>
            </w:pPr>
            <w:r w:rsidRPr="00FC4815">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29E64976" w14:textId="77777777" w:rsidR="00CB44BA" w:rsidRPr="00FC4815" w:rsidRDefault="00CB44BA">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FC4815">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029D095D" w14:textId="77777777" w:rsidR="00CB44BA" w:rsidRPr="00FC4815" w:rsidRDefault="00CB44BA">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FC4815">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5D7CF1ED" w14:textId="77777777" w:rsidR="00CB44BA" w:rsidRPr="00FC4815" w:rsidRDefault="00CB44BA">
            <w:pPr>
              <w:tabs>
                <w:tab w:val="clear" w:pos="567"/>
              </w:tabs>
              <w:spacing w:before="0" w:line="240" w:lineRule="auto"/>
              <w:rPr>
                <w:rFonts w:ascii="Open Sans Semibold" w:eastAsia="Times New Roman" w:hAnsi="Open Sans Semibold" w:cs="Open Sans Semibold"/>
                <w:color w:val="000000"/>
                <w:sz w:val="16"/>
                <w:szCs w:val="16"/>
                <w:lang w:eastAsia="en-AU"/>
              </w:rPr>
            </w:pPr>
            <w:r w:rsidRPr="00FC4815">
              <w:rPr>
                <w:rFonts w:ascii="Open Sans Semibold" w:eastAsia="Times New Roman" w:hAnsi="Open Sans Semibold" w:cs="Open Sans Semibold"/>
                <w:color w:val="000000"/>
                <w:sz w:val="16"/>
                <w:szCs w:val="16"/>
                <w:lang w:eastAsia="en-AU"/>
              </w:rPr>
              <w:t> </w:t>
            </w:r>
          </w:p>
        </w:tc>
      </w:tr>
      <w:tr w:rsidR="00CB44BA" w:rsidRPr="00FC4815" w14:paraId="50E520DD" w14:textId="77777777">
        <w:trPr>
          <w:trHeight w:val="795"/>
        </w:trPr>
        <w:tc>
          <w:tcPr>
            <w:tcW w:w="2640" w:type="dxa"/>
            <w:tcBorders>
              <w:top w:val="single" w:sz="4" w:space="0" w:color="ADD6EA"/>
              <w:left w:val="nil"/>
              <w:bottom w:val="nil"/>
              <w:right w:val="nil"/>
            </w:tcBorders>
            <w:shd w:val="clear" w:color="000000" w:fill="FFFFFF"/>
            <w:hideMark/>
          </w:tcPr>
          <w:p w14:paraId="1ED8D361" w14:textId="4EEA4889" w:rsidR="00CB44BA" w:rsidRPr="00FC4815" w:rsidRDefault="00CB44BA">
            <w:pPr>
              <w:tabs>
                <w:tab w:val="clear" w:pos="567"/>
              </w:tabs>
              <w:spacing w:before="0" w:line="240" w:lineRule="auto"/>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 xml:space="preserve">COVID-19 in </w:t>
            </w:r>
            <w:r w:rsidR="004559B2">
              <w:rPr>
                <w:rFonts w:ascii="Open Sans Light" w:eastAsia="Times New Roman" w:hAnsi="Open Sans Light" w:cs="Open Sans Light"/>
                <w:color w:val="000000"/>
                <w:sz w:val="16"/>
                <w:szCs w:val="16"/>
                <w:lang w:eastAsia="en-AU"/>
              </w:rPr>
              <w:t>s</w:t>
            </w:r>
            <w:r w:rsidRPr="00FC4815">
              <w:rPr>
                <w:rFonts w:ascii="Open Sans Light" w:eastAsia="Times New Roman" w:hAnsi="Open Sans Light" w:cs="Open Sans Light"/>
                <w:color w:val="000000"/>
                <w:sz w:val="16"/>
                <w:szCs w:val="16"/>
                <w:lang w:eastAsia="en-AU"/>
              </w:rPr>
              <w:t>ervices to industry</w:t>
            </w:r>
          </w:p>
        </w:tc>
        <w:tc>
          <w:tcPr>
            <w:tcW w:w="700" w:type="dxa"/>
            <w:tcBorders>
              <w:top w:val="single" w:sz="4" w:space="0" w:color="ADD6EA"/>
              <w:left w:val="nil"/>
              <w:bottom w:val="nil"/>
              <w:right w:val="nil"/>
            </w:tcBorders>
            <w:shd w:val="clear" w:color="000000" w:fill="EBBFA0"/>
            <w:hideMark/>
          </w:tcPr>
          <w:p w14:paraId="7F31FF5C" w14:textId="77777777" w:rsidR="00CB44BA" w:rsidRPr="00FC4815" w:rsidRDefault="00CB44BA">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-330</w:t>
            </w:r>
          </w:p>
        </w:tc>
        <w:tc>
          <w:tcPr>
            <w:tcW w:w="700" w:type="dxa"/>
            <w:tcBorders>
              <w:top w:val="single" w:sz="4" w:space="0" w:color="ADD6EA"/>
              <w:left w:val="nil"/>
              <w:bottom w:val="nil"/>
              <w:right w:val="nil"/>
            </w:tcBorders>
            <w:shd w:val="clear" w:color="000000" w:fill="EBBFA0"/>
            <w:hideMark/>
          </w:tcPr>
          <w:p w14:paraId="3C1E656E" w14:textId="77777777" w:rsidR="00CB44BA" w:rsidRPr="00FC4815" w:rsidRDefault="00CB44BA">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-108</w:t>
            </w:r>
          </w:p>
        </w:tc>
        <w:tc>
          <w:tcPr>
            <w:tcW w:w="4900" w:type="dxa"/>
            <w:tcBorders>
              <w:top w:val="single" w:sz="4" w:space="0" w:color="ADD6EA"/>
              <w:left w:val="nil"/>
              <w:bottom w:val="nil"/>
              <w:right w:val="nil"/>
            </w:tcBorders>
            <w:shd w:val="clear" w:color="000000" w:fill="FFFFFF"/>
            <w:hideMark/>
          </w:tcPr>
          <w:p w14:paraId="75261449" w14:textId="2D093585" w:rsidR="00CB44BA" w:rsidRPr="00FC4815" w:rsidRDefault="00CB44BA">
            <w:pPr>
              <w:tabs>
                <w:tab w:val="clear" w:pos="567"/>
              </w:tabs>
              <w:spacing w:before="0" w:line="240" w:lineRule="auto"/>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 xml:space="preserve">The Commission introduced an actual per capita assessment of COVID-19 business support expenses covered by the national partnership agreements. Western Australia's below-average COVID-19 business support expenses decreased its assessed </w:t>
            </w:r>
            <w:r w:rsidRPr="00FC4815" w:rsidDel="00232DF6">
              <w:rPr>
                <w:rFonts w:ascii="Open Sans Light" w:eastAsia="Times New Roman" w:hAnsi="Open Sans Light" w:cs="Open Sans Light"/>
                <w:color w:val="000000"/>
                <w:sz w:val="16"/>
                <w:szCs w:val="16"/>
                <w:lang w:eastAsia="en-AU"/>
              </w:rPr>
              <w:t>GST</w:t>
            </w:r>
            <w:r w:rsidR="00232DF6">
              <w:rPr>
                <w:rFonts w:ascii="Open Sans Light" w:eastAsia="Times New Roman" w:hAnsi="Open Sans Light" w:cs="Open Sans Light"/>
                <w:color w:val="000000"/>
                <w:sz w:val="16"/>
                <w:szCs w:val="16"/>
                <w:lang w:eastAsia="en-AU"/>
              </w:rPr>
              <w:t> </w:t>
            </w:r>
            <w:r w:rsidRPr="00FC4815">
              <w:rPr>
                <w:rFonts w:ascii="Open Sans Light" w:eastAsia="Times New Roman" w:hAnsi="Open Sans Light" w:cs="Open Sans Light"/>
                <w:color w:val="000000"/>
                <w:sz w:val="16"/>
                <w:szCs w:val="16"/>
                <w:lang w:eastAsia="en-AU"/>
              </w:rPr>
              <w:t>needs.</w:t>
            </w:r>
          </w:p>
        </w:tc>
      </w:tr>
      <w:tr w:rsidR="00CB44BA" w:rsidRPr="00FC4815" w14:paraId="0021D906" w14:textId="77777777">
        <w:trPr>
          <w:trHeight w:val="795"/>
        </w:trPr>
        <w:tc>
          <w:tcPr>
            <w:tcW w:w="2640" w:type="dxa"/>
            <w:tcBorders>
              <w:top w:val="single" w:sz="4" w:space="0" w:color="ADD6EA"/>
              <w:left w:val="nil"/>
              <w:bottom w:val="nil"/>
              <w:right w:val="nil"/>
            </w:tcBorders>
            <w:shd w:val="clear" w:color="000000" w:fill="FFFFFF"/>
            <w:hideMark/>
          </w:tcPr>
          <w:p w14:paraId="012AB14E" w14:textId="25B5D1F1" w:rsidR="00CB44BA" w:rsidRPr="00FC4815" w:rsidRDefault="00CB44BA">
            <w:pPr>
              <w:tabs>
                <w:tab w:val="clear" w:pos="567"/>
              </w:tabs>
              <w:spacing w:before="0" w:line="240" w:lineRule="auto"/>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 xml:space="preserve">Changed component weights in </w:t>
            </w:r>
            <w:r w:rsidR="00C14597">
              <w:rPr>
                <w:rFonts w:ascii="Open Sans Light" w:eastAsia="Times New Roman" w:hAnsi="Open Sans Light" w:cs="Open Sans Light"/>
                <w:color w:val="000000"/>
                <w:sz w:val="16"/>
                <w:szCs w:val="16"/>
                <w:lang w:eastAsia="en-AU"/>
              </w:rPr>
              <w:t>s</w:t>
            </w:r>
            <w:r w:rsidRPr="00FC4815">
              <w:rPr>
                <w:rFonts w:ascii="Open Sans Light" w:eastAsia="Times New Roman" w:hAnsi="Open Sans Light" w:cs="Open Sans Light"/>
                <w:color w:val="000000"/>
                <w:sz w:val="16"/>
                <w:szCs w:val="16"/>
                <w:lang w:eastAsia="en-AU"/>
              </w:rPr>
              <w:t>ervices</w:t>
            </w:r>
            <w:r w:rsidR="000D72F7" w:rsidRPr="00FC4815">
              <w:rPr>
                <w:rFonts w:ascii="Open Sans Light" w:eastAsia="Times New Roman" w:hAnsi="Open Sans Light" w:cs="Open Sans Light"/>
                <w:color w:val="000000"/>
                <w:sz w:val="16"/>
                <w:szCs w:val="16"/>
                <w:lang w:eastAsia="en-AU"/>
              </w:rPr>
              <w:t xml:space="preserve"> </w:t>
            </w:r>
            <w:r w:rsidRPr="00FC4815">
              <w:rPr>
                <w:rFonts w:ascii="Open Sans Light" w:eastAsia="Times New Roman" w:hAnsi="Open Sans Light" w:cs="Open Sans Light"/>
                <w:color w:val="000000"/>
                <w:sz w:val="16"/>
                <w:szCs w:val="16"/>
                <w:lang w:eastAsia="en-AU"/>
              </w:rPr>
              <w:t>to industry</w:t>
            </w:r>
          </w:p>
        </w:tc>
        <w:tc>
          <w:tcPr>
            <w:tcW w:w="700" w:type="dxa"/>
            <w:tcBorders>
              <w:top w:val="single" w:sz="4" w:space="0" w:color="ADD6EA"/>
              <w:left w:val="nil"/>
              <w:bottom w:val="nil"/>
              <w:right w:val="nil"/>
            </w:tcBorders>
            <w:shd w:val="clear" w:color="000000" w:fill="ADD6EA"/>
            <w:hideMark/>
          </w:tcPr>
          <w:p w14:paraId="5DE0A9D8" w14:textId="77777777" w:rsidR="00CB44BA" w:rsidRPr="00FC4815" w:rsidRDefault="00CB44BA">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251</w:t>
            </w:r>
          </w:p>
        </w:tc>
        <w:tc>
          <w:tcPr>
            <w:tcW w:w="700" w:type="dxa"/>
            <w:tcBorders>
              <w:top w:val="single" w:sz="4" w:space="0" w:color="ADD6EA"/>
              <w:left w:val="nil"/>
              <w:bottom w:val="nil"/>
              <w:right w:val="nil"/>
            </w:tcBorders>
            <w:shd w:val="clear" w:color="000000" w:fill="ADD6EA"/>
            <w:hideMark/>
          </w:tcPr>
          <w:p w14:paraId="0EE09944" w14:textId="77777777" w:rsidR="00CB44BA" w:rsidRPr="00FC4815" w:rsidRDefault="00CB44BA">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82</w:t>
            </w:r>
          </w:p>
        </w:tc>
        <w:tc>
          <w:tcPr>
            <w:tcW w:w="4900" w:type="dxa"/>
            <w:tcBorders>
              <w:top w:val="single" w:sz="4" w:space="0" w:color="ADD6EA"/>
              <w:left w:val="nil"/>
              <w:bottom w:val="nil"/>
              <w:right w:val="nil"/>
            </w:tcBorders>
            <w:shd w:val="clear" w:color="000000" w:fill="FFFFFF"/>
            <w:hideMark/>
          </w:tcPr>
          <w:p w14:paraId="596483D1" w14:textId="77777777" w:rsidR="00CB44BA" w:rsidRPr="00FC4815" w:rsidRDefault="00CB44BA">
            <w:pPr>
              <w:tabs>
                <w:tab w:val="clear" w:pos="567"/>
              </w:tabs>
              <w:spacing w:before="0" w:line="240" w:lineRule="auto"/>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Updated data from the states increased the share of mining expenses assessed as regulation instead of business development. The increase in assessed mining regulation expenses increased Western Australia’s assessed GST needs.</w:t>
            </w:r>
          </w:p>
        </w:tc>
      </w:tr>
      <w:tr w:rsidR="00CB44BA" w:rsidRPr="00FC4815" w14:paraId="20531E8D" w14:textId="77777777">
        <w:trPr>
          <w:trHeight w:val="795"/>
        </w:trPr>
        <w:tc>
          <w:tcPr>
            <w:tcW w:w="2640" w:type="dxa"/>
            <w:tcBorders>
              <w:top w:val="single" w:sz="4" w:space="0" w:color="ADD6EA"/>
              <w:left w:val="nil"/>
              <w:bottom w:val="nil"/>
              <w:right w:val="nil"/>
            </w:tcBorders>
            <w:shd w:val="clear" w:color="000000" w:fill="FFFFFF"/>
            <w:hideMark/>
          </w:tcPr>
          <w:p w14:paraId="2D8F6477" w14:textId="4CC234E6" w:rsidR="00CB44BA" w:rsidRPr="00FC4815" w:rsidRDefault="00CB44BA">
            <w:pPr>
              <w:tabs>
                <w:tab w:val="clear" w:pos="567"/>
              </w:tabs>
              <w:spacing w:before="0" w:line="240" w:lineRule="auto"/>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 xml:space="preserve">Smoothing in </w:t>
            </w:r>
            <w:r w:rsidR="00C14597">
              <w:rPr>
                <w:rFonts w:ascii="Open Sans Light" w:eastAsia="Times New Roman" w:hAnsi="Open Sans Light" w:cs="Open Sans Light"/>
                <w:color w:val="000000"/>
                <w:sz w:val="16"/>
                <w:szCs w:val="16"/>
                <w:lang w:eastAsia="en-AU"/>
              </w:rPr>
              <w:t>w</w:t>
            </w:r>
            <w:r w:rsidRPr="00FC4815">
              <w:rPr>
                <w:rFonts w:ascii="Open Sans Light" w:eastAsia="Times New Roman" w:hAnsi="Open Sans Light" w:cs="Open Sans Light"/>
                <w:color w:val="000000"/>
                <w:sz w:val="16"/>
                <w:szCs w:val="16"/>
                <w:lang w:eastAsia="en-AU"/>
              </w:rPr>
              <w:t>age costs</w:t>
            </w:r>
          </w:p>
        </w:tc>
        <w:tc>
          <w:tcPr>
            <w:tcW w:w="700" w:type="dxa"/>
            <w:tcBorders>
              <w:top w:val="single" w:sz="4" w:space="0" w:color="ADD6EA"/>
              <w:left w:val="nil"/>
              <w:bottom w:val="nil"/>
              <w:right w:val="nil"/>
            </w:tcBorders>
            <w:shd w:val="clear" w:color="000000" w:fill="EBBFA0"/>
            <w:hideMark/>
          </w:tcPr>
          <w:p w14:paraId="710E064A" w14:textId="77777777" w:rsidR="00CB44BA" w:rsidRPr="00FC4815" w:rsidRDefault="00CB44BA">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-243</w:t>
            </w:r>
          </w:p>
        </w:tc>
        <w:tc>
          <w:tcPr>
            <w:tcW w:w="700" w:type="dxa"/>
            <w:tcBorders>
              <w:top w:val="single" w:sz="4" w:space="0" w:color="ADD6EA"/>
              <w:left w:val="nil"/>
              <w:bottom w:val="nil"/>
              <w:right w:val="nil"/>
            </w:tcBorders>
            <w:shd w:val="clear" w:color="000000" w:fill="EBBFA0"/>
            <w:hideMark/>
          </w:tcPr>
          <w:p w14:paraId="42144409" w14:textId="77777777" w:rsidR="00CB44BA" w:rsidRPr="00FC4815" w:rsidRDefault="00CB44BA">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-79</w:t>
            </w:r>
          </w:p>
        </w:tc>
        <w:tc>
          <w:tcPr>
            <w:tcW w:w="4900" w:type="dxa"/>
            <w:tcBorders>
              <w:top w:val="single" w:sz="4" w:space="0" w:color="ADD6EA"/>
              <w:left w:val="nil"/>
              <w:bottom w:val="nil"/>
              <w:right w:val="nil"/>
            </w:tcBorders>
            <w:shd w:val="clear" w:color="000000" w:fill="FFFFFF"/>
            <w:hideMark/>
          </w:tcPr>
          <w:p w14:paraId="1E82F08D" w14:textId="1CBFB0DE" w:rsidR="00CB44BA" w:rsidRPr="00FC4815" w:rsidRDefault="00CB44BA">
            <w:pPr>
              <w:tabs>
                <w:tab w:val="clear" w:pos="567"/>
              </w:tabs>
              <w:spacing w:before="0" w:line="240" w:lineRule="auto"/>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Western Australia had above</w:t>
            </w:r>
            <w:r w:rsidR="004073E3">
              <w:rPr>
                <w:rFonts w:ascii="Open Sans Light" w:eastAsia="Times New Roman" w:hAnsi="Open Sans Light" w:cs="Open Sans Light"/>
                <w:color w:val="000000"/>
                <w:sz w:val="16"/>
                <w:szCs w:val="16"/>
                <w:lang w:eastAsia="en-AU"/>
              </w:rPr>
              <w:t>-</w:t>
            </w:r>
            <w:r w:rsidRPr="00FC4815">
              <w:rPr>
                <w:rFonts w:ascii="Open Sans Light" w:eastAsia="Times New Roman" w:hAnsi="Open Sans Light" w:cs="Open Sans Light"/>
                <w:color w:val="000000"/>
                <w:sz w:val="16"/>
                <w:szCs w:val="16"/>
                <w:lang w:eastAsia="en-AU"/>
              </w:rPr>
              <w:t>trend wage cost estimates in the assessment years. Smoothing wage cost estimates brought Western Australia’s wage cost estimate closer to its long-term average and reduced its assessed GST needs.</w:t>
            </w:r>
          </w:p>
        </w:tc>
      </w:tr>
      <w:tr w:rsidR="00CB44BA" w:rsidRPr="00FC4815" w14:paraId="7824ED70" w14:textId="77777777">
        <w:trPr>
          <w:trHeight w:val="1452"/>
        </w:trPr>
        <w:tc>
          <w:tcPr>
            <w:tcW w:w="2640" w:type="dxa"/>
            <w:tcBorders>
              <w:top w:val="single" w:sz="4" w:space="0" w:color="ADD6EA"/>
              <w:left w:val="nil"/>
              <w:bottom w:val="nil"/>
              <w:right w:val="nil"/>
            </w:tcBorders>
            <w:shd w:val="clear" w:color="000000" w:fill="FFFFFF"/>
            <w:hideMark/>
          </w:tcPr>
          <w:p w14:paraId="2FC7CC15" w14:textId="77777777" w:rsidR="00CB44BA" w:rsidRPr="00FC4815" w:rsidRDefault="00CB44BA">
            <w:pPr>
              <w:tabs>
                <w:tab w:val="clear" w:pos="567"/>
              </w:tabs>
              <w:spacing w:before="0" w:line="240" w:lineRule="auto"/>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Investment - Changes to urban transport assessment</w:t>
            </w:r>
          </w:p>
        </w:tc>
        <w:tc>
          <w:tcPr>
            <w:tcW w:w="700" w:type="dxa"/>
            <w:tcBorders>
              <w:top w:val="single" w:sz="4" w:space="0" w:color="ADD6EA"/>
              <w:left w:val="nil"/>
              <w:bottom w:val="single" w:sz="4" w:space="0" w:color="ADD6EA"/>
              <w:right w:val="nil"/>
            </w:tcBorders>
            <w:shd w:val="clear" w:color="000000" w:fill="ADD6EA"/>
            <w:hideMark/>
          </w:tcPr>
          <w:p w14:paraId="1EED18B3" w14:textId="77777777" w:rsidR="00CB44BA" w:rsidRPr="00FC4815" w:rsidRDefault="00CB44BA">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198</w:t>
            </w:r>
          </w:p>
        </w:tc>
        <w:tc>
          <w:tcPr>
            <w:tcW w:w="700" w:type="dxa"/>
            <w:tcBorders>
              <w:top w:val="single" w:sz="4" w:space="0" w:color="ADD6EA"/>
              <w:left w:val="nil"/>
              <w:bottom w:val="single" w:sz="4" w:space="0" w:color="ADD6EA"/>
              <w:right w:val="nil"/>
            </w:tcBorders>
            <w:shd w:val="clear" w:color="000000" w:fill="ADD6EA"/>
            <w:hideMark/>
          </w:tcPr>
          <w:p w14:paraId="08D9410E" w14:textId="77777777" w:rsidR="00CB44BA" w:rsidRPr="00FC4815" w:rsidRDefault="00CB44BA">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65</w:t>
            </w:r>
          </w:p>
        </w:tc>
        <w:tc>
          <w:tcPr>
            <w:tcW w:w="4900" w:type="dxa"/>
            <w:tcBorders>
              <w:top w:val="single" w:sz="4" w:space="0" w:color="ADD6EA"/>
              <w:left w:val="nil"/>
              <w:bottom w:val="nil"/>
              <w:right w:val="nil"/>
            </w:tcBorders>
            <w:shd w:val="clear" w:color="000000" w:fill="FFFFFF"/>
            <w:hideMark/>
          </w:tcPr>
          <w:p w14:paraId="11A16824" w14:textId="7BEB261D" w:rsidR="00CB44BA" w:rsidRPr="00FC4815" w:rsidRDefault="00CB44BA">
            <w:pPr>
              <w:tabs>
                <w:tab w:val="clear" w:pos="567"/>
              </w:tabs>
              <w:spacing w:before="0" w:line="240" w:lineRule="auto"/>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To improve comparability and reduce volatility, the Commission updated its measure of population-weighted density to a measure based on population per square km rather than population for each ABS SA1. This increased the population</w:t>
            </w:r>
            <w:r w:rsidR="002F017D" w:rsidRPr="007872D7">
              <w:rPr>
                <w:rFonts w:ascii="Arial" w:eastAsia="Times New Roman" w:hAnsi="Arial" w:cs="Arial"/>
                <w:color w:val="000000"/>
                <w:sz w:val="16"/>
                <w:szCs w:val="16"/>
                <w:lang w:eastAsia="en-AU"/>
              </w:rPr>
              <w:t>‍</w:t>
            </w:r>
            <w:r w:rsidRPr="00FC4815">
              <w:rPr>
                <w:rFonts w:ascii="Open Sans Light" w:eastAsia="Times New Roman" w:hAnsi="Open Sans Light" w:cs="Open Sans Light"/>
                <w:color w:val="000000"/>
                <w:sz w:val="16"/>
                <w:szCs w:val="16"/>
                <w:lang w:eastAsia="en-AU"/>
              </w:rPr>
              <w:t>-</w:t>
            </w:r>
            <w:r w:rsidR="002F017D" w:rsidRPr="007872D7">
              <w:rPr>
                <w:rFonts w:ascii="Arial" w:eastAsia="Times New Roman" w:hAnsi="Arial" w:cs="Arial"/>
                <w:color w:val="000000"/>
                <w:sz w:val="16"/>
                <w:szCs w:val="16"/>
                <w:lang w:eastAsia="en-AU"/>
              </w:rPr>
              <w:t>‍</w:t>
            </w:r>
            <w:r w:rsidRPr="00FC4815">
              <w:rPr>
                <w:rFonts w:ascii="Open Sans Light" w:eastAsia="Times New Roman" w:hAnsi="Open Sans Light" w:cs="Open Sans Light"/>
                <w:color w:val="000000"/>
                <w:sz w:val="16"/>
                <w:szCs w:val="16"/>
                <w:lang w:eastAsia="en-AU"/>
              </w:rPr>
              <w:t>weighted density of Perth relative to other urban areas, increasing its assessed GST needs for urban transport investment.</w:t>
            </w:r>
          </w:p>
        </w:tc>
      </w:tr>
      <w:tr w:rsidR="00CB44BA" w:rsidRPr="00FC4815" w14:paraId="0639B4DC" w14:textId="77777777">
        <w:trPr>
          <w:trHeight w:val="630"/>
        </w:trPr>
        <w:tc>
          <w:tcPr>
            <w:tcW w:w="2640" w:type="dxa"/>
            <w:tcBorders>
              <w:top w:val="single" w:sz="4" w:space="0" w:color="ADD6EA"/>
              <w:left w:val="nil"/>
              <w:bottom w:val="single" w:sz="4" w:space="0" w:color="ADD6EA"/>
              <w:right w:val="nil"/>
            </w:tcBorders>
            <w:shd w:val="clear" w:color="000000" w:fill="FFFFFF"/>
            <w:hideMark/>
          </w:tcPr>
          <w:p w14:paraId="3BB5E304" w14:textId="774FA6A9" w:rsidR="00CB44BA" w:rsidRPr="00FC4815" w:rsidRDefault="00CB44BA">
            <w:pPr>
              <w:tabs>
                <w:tab w:val="clear" w:pos="567"/>
              </w:tabs>
              <w:spacing w:before="0" w:line="240" w:lineRule="auto"/>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 xml:space="preserve">Change to square km density measure in </w:t>
            </w:r>
            <w:r w:rsidR="00C14597">
              <w:rPr>
                <w:rFonts w:ascii="Open Sans Light" w:eastAsia="Times New Roman" w:hAnsi="Open Sans Light" w:cs="Open Sans Light"/>
                <w:color w:val="000000"/>
                <w:sz w:val="16"/>
                <w:szCs w:val="16"/>
                <w:lang w:eastAsia="en-AU"/>
              </w:rPr>
              <w:t>t</w:t>
            </w:r>
            <w:r w:rsidRPr="00FC4815">
              <w:rPr>
                <w:rFonts w:ascii="Open Sans Light" w:eastAsia="Times New Roman" w:hAnsi="Open Sans Light" w:cs="Open Sans Light"/>
                <w:color w:val="000000"/>
                <w:sz w:val="16"/>
                <w:szCs w:val="16"/>
                <w:lang w:eastAsia="en-AU"/>
              </w:rPr>
              <w:t>ransport</w:t>
            </w:r>
          </w:p>
        </w:tc>
        <w:tc>
          <w:tcPr>
            <w:tcW w:w="700" w:type="dxa"/>
            <w:tcBorders>
              <w:top w:val="single" w:sz="4" w:space="0" w:color="ADD6EA"/>
              <w:left w:val="nil"/>
              <w:bottom w:val="single" w:sz="4" w:space="0" w:color="ADD6EA"/>
              <w:right w:val="nil"/>
            </w:tcBorders>
            <w:shd w:val="clear" w:color="000000" w:fill="ADD6EA"/>
            <w:hideMark/>
          </w:tcPr>
          <w:p w14:paraId="4BD2D7B6" w14:textId="77777777" w:rsidR="00CB44BA" w:rsidRPr="00FC4815" w:rsidRDefault="00CB44BA">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178</w:t>
            </w:r>
          </w:p>
        </w:tc>
        <w:tc>
          <w:tcPr>
            <w:tcW w:w="700" w:type="dxa"/>
            <w:tcBorders>
              <w:top w:val="single" w:sz="4" w:space="0" w:color="ADD6EA"/>
              <w:left w:val="nil"/>
              <w:bottom w:val="single" w:sz="4" w:space="0" w:color="ADD6EA"/>
              <w:right w:val="nil"/>
            </w:tcBorders>
            <w:shd w:val="clear" w:color="000000" w:fill="ADD6EA"/>
            <w:hideMark/>
          </w:tcPr>
          <w:p w14:paraId="72AA30FD" w14:textId="77777777" w:rsidR="00CB44BA" w:rsidRPr="00FC4815" w:rsidRDefault="00CB44BA">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58</w:t>
            </w:r>
          </w:p>
        </w:tc>
        <w:tc>
          <w:tcPr>
            <w:tcW w:w="4900" w:type="dxa"/>
            <w:tcBorders>
              <w:top w:val="single" w:sz="4" w:space="0" w:color="ADD6EA"/>
              <w:left w:val="nil"/>
              <w:bottom w:val="single" w:sz="4" w:space="0" w:color="ADD6EA"/>
              <w:right w:val="nil"/>
            </w:tcBorders>
            <w:shd w:val="clear" w:color="000000" w:fill="FFFFFF"/>
            <w:hideMark/>
          </w:tcPr>
          <w:p w14:paraId="06264BE1" w14:textId="327525C6" w:rsidR="00CB44BA" w:rsidRPr="00FC4815" w:rsidRDefault="00CB44BA">
            <w:pPr>
              <w:tabs>
                <w:tab w:val="clear" w:pos="567"/>
              </w:tabs>
              <w:spacing w:before="0" w:line="240" w:lineRule="auto"/>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The Commission updated its measure of population-weighted density to a measure based on population per square km rather than population for each ABS SA1. This increased the population</w:t>
            </w:r>
            <w:r w:rsidR="006A1471" w:rsidRPr="00851890">
              <w:rPr>
                <w:rFonts w:ascii="Times New Roman" w:hAnsi="Times New Roman" w:cs="Times New Roman"/>
              </w:rPr>
              <w:t>‍</w:t>
            </w:r>
            <w:r w:rsidRPr="00FC4815">
              <w:rPr>
                <w:rFonts w:ascii="Open Sans Light" w:eastAsia="Times New Roman" w:hAnsi="Open Sans Light" w:cs="Open Sans Light"/>
                <w:color w:val="000000"/>
                <w:sz w:val="16"/>
                <w:szCs w:val="16"/>
                <w:lang w:eastAsia="en-AU"/>
              </w:rPr>
              <w:t>-</w:t>
            </w:r>
            <w:r w:rsidR="006A1471" w:rsidRPr="00851890">
              <w:rPr>
                <w:rFonts w:ascii="Times New Roman" w:hAnsi="Times New Roman" w:cs="Times New Roman"/>
              </w:rPr>
              <w:t>‍</w:t>
            </w:r>
            <w:r w:rsidRPr="00FC4815">
              <w:rPr>
                <w:rFonts w:ascii="Open Sans Light" w:eastAsia="Times New Roman" w:hAnsi="Open Sans Light" w:cs="Open Sans Light"/>
                <w:color w:val="000000"/>
                <w:sz w:val="16"/>
                <w:szCs w:val="16"/>
                <w:lang w:eastAsia="en-AU"/>
              </w:rPr>
              <w:t>weighted density of Perth relative to other urban areas, increasing its assessed GST needs for recurrent urban transport.</w:t>
            </w:r>
          </w:p>
        </w:tc>
      </w:tr>
      <w:tr w:rsidR="00CB44BA" w:rsidRPr="00FC4815" w14:paraId="08DD8989" w14:textId="77777777">
        <w:trPr>
          <w:trHeight w:val="375"/>
        </w:trPr>
        <w:tc>
          <w:tcPr>
            <w:tcW w:w="8940" w:type="dxa"/>
            <w:gridSpan w:val="4"/>
            <w:tcBorders>
              <w:top w:val="single" w:sz="4" w:space="0" w:color="ADD6EA"/>
              <w:left w:val="nil"/>
              <w:bottom w:val="nil"/>
              <w:right w:val="nil"/>
            </w:tcBorders>
            <w:shd w:val="clear" w:color="000000" w:fill="006991"/>
            <w:vAlign w:val="center"/>
            <w:hideMark/>
          </w:tcPr>
          <w:p w14:paraId="6EDBFF49" w14:textId="77777777" w:rsidR="00CB44BA" w:rsidRPr="00FC4815" w:rsidRDefault="00CB44BA">
            <w:pPr>
              <w:tabs>
                <w:tab w:val="clear" w:pos="567"/>
              </w:tabs>
              <w:spacing w:before="0" w:line="240" w:lineRule="auto"/>
              <w:rPr>
                <w:rFonts w:ascii="Open Sans Semibold" w:eastAsia="Times New Roman" w:hAnsi="Open Sans Semibold" w:cs="Open Sans Semibold"/>
                <w:color w:val="FFFFFF"/>
                <w:sz w:val="16"/>
                <w:szCs w:val="16"/>
                <w:lang w:eastAsia="en-AU"/>
              </w:rPr>
            </w:pPr>
            <w:r w:rsidRPr="00FC4815">
              <w:rPr>
                <w:rFonts w:ascii="Open Sans Semibold" w:eastAsia="Times New Roman" w:hAnsi="Open Sans Semibold" w:cs="Open Sans Semibold"/>
                <w:color w:val="FFFFFF"/>
                <w:sz w:val="16"/>
                <w:szCs w:val="16"/>
                <w:lang w:eastAsia="en-AU"/>
              </w:rPr>
              <w:t>Changes in circumstances (a)</w:t>
            </w:r>
          </w:p>
        </w:tc>
      </w:tr>
      <w:tr w:rsidR="00CB44BA" w:rsidRPr="00FC4815" w14:paraId="2D233DC1" w14:textId="77777777">
        <w:trPr>
          <w:trHeight w:val="255"/>
        </w:trPr>
        <w:tc>
          <w:tcPr>
            <w:tcW w:w="2640" w:type="dxa"/>
            <w:tcBorders>
              <w:top w:val="single" w:sz="4" w:space="0" w:color="ADD6EA"/>
              <w:left w:val="nil"/>
              <w:bottom w:val="nil"/>
              <w:right w:val="nil"/>
            </w:tcBorders>
            <w:shd w:val="clear" w:color="000000" w:fill="D6E7F0"/>
            <w:hideMark/>
          </w:tcPr>
          <w:p w14:paraId="35F2038B" w14:textId="77777777" w:rsidR="00CB44BA" w:rsidRPr="00FC4815" w:rsidRDefault="00CB44BA">
            <w:pPr>
              <w:tabs>
                <w:tab w:val="clear" w:pos="567"/>
              </w:tabs>
              <w:spacing w:before="0" w:line="240" w:lineRule="auto"/>
              <w:rPr>
                <w:rFonts w:ascii="Open Sans Semibold" w:eastAsia="Times New Roman" w:hAnsi="Open Sans Semibold" w:cs="Open Sans Semibold"/>
                <w:color w:val="000000"/>
                <w:sz w:val="16"/>
                <w:szCs w:val="16"/>
                <w:lang w:eastAsia="en-AU"/>
              </w:rPr>
            </w:pPr>
            <w:r w:rsidRPr="00FC4815">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207EBCDF" w14:textId="77777777" w:rsidR="00CB44BA" w:rsidRPr="00FC4815" w:rsidRDefault="00CB44BA">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FC4815">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39207487" w14:textId="77777777" w:rsidR="00CB44BA" w:rsidRPr="00FC4815" w:rsidRDefault="00CB44BA">
            <w:pPr>
              <w:tabs>
                <w:tab w:val="clear" w:pos="567"/>
              </w:tabs>
              <w:spacing w:before="0" w:line="240" w:lineRule="auto"/>
              <w:rPr>
                <w:rFonts w:ascii="Open Sans Semibold" w:eastAsia="Times New Roman" w:hAnsi="Open Sans Semibold" w:cs="Open Sans Semibold"/>
                <w:color w:val="000000"/>
                <w:sz w:val="16"/>
                <w:szCs w:val="16"/>
                <w:lang w:eastAsia="en-AU"/>
              </w:rPr>
            </w:pPr>
            <w:r w:rsidRPr="00FC4815">
              <w:rPr>
                <w:rFonts w:ascii="Open Sans Semibold" w:eastAsia="Times New Roman" w:hAnsi="Open Sans Semibold" w:cs="Open Sans Semibold"/>
                <w:color w:val="000000"/>
                <w:sz w:val="16"/>
                <w:szCs w:val="16"/>
                <w:lang w:eastAsia="en-AU"/>
              </w:rPr>
              <w:t>Explanation</w:t>
            </w:r>
          </w:p>
        </w:tc>
      </w:tr>
      <w:tr w:rsidR="00CB44BA" w:rsidRPr="00FC4815" w14:paraId="72509326" w14:textId="77777777">
        <w:trPr>
          <w:trHeight w:val="255"/>
        </w:trPr>
        <w:tc>
          <w:tcPr>
            <w:tcW w:w="2640" w:type="dxa"/>
            <w:tcBorders>
              <w:top w:val="single" w:sz="4" w:space="0" w:color="ADD6EA"/>
              <w:left w:val="nil"/>
              <w:bottom w:val="nil"/>
              <w:right w:val="nil"/>
            </w:tcBorders>
            <w:shd w:val="clear" w:color="000000" w:fill="B6D5E4"/>
            <w:hideMark/>
          </w:tcPr>
          <w:p w14:paraId="3C04DF5E" w14:textId="77777777" w:rsidR="00CB44BA" w:rsidRPr="00FC4815" w:rsidRDefault="00CB44BA">
            <w:pPr>
              <w:tabs>
                <w:tab w:val="clear" w:pos="567"/>
              </w:tabs>
              <w:spacing w:before="0" w:line="240" w:lineRule="auto"/>
              <w:rPr>
                <w:rFonts w:ascii="Open Sans Semibold" w:eastAsia="Times New Roman" w:hAnsi="Open Sans Semibold" w:cs="Open Sans Semibold"/>
                <w:color w:val="000000"/>
                <w:sz w:val="16"/>
                <w:szCs w:val="16"/>
                <w:lang w:eastAsia="en-AU"/>
              </w:rPr>
            </w:pPr>
            <w:r w:rsidRPr="00FC4815">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21F9F337" w14:textId="77777777" w:rsidR="00CB44BA" w:rsidRPr="00FC4815" w:rsidRDefault="00CB44BA">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FC4815">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0CF44533" w14:textId="77777777" w:rsidR="00CB44BA" w:rsidRPr="00FC4815" w:rsidRDefault="00CB44BA">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FC4815">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120F5C32" w14:textId="77777777" w:rsidR="00CB44BA" w:rsidRPr="00FC4815" w:rsidRDefault="00CB44BA">
            <w:pPr>
              <w:tabs>
                <w:tab w:val="clear" w:pos="567"/>
              </w:tabs>
              <w:spacing w:before="0" w:line="240" w:lineRule="auto"/>
              <w:rPr>
                <w:rFonts w:ascii="Open Sans Semibold" w:eastAsia="Times New Roman" w:hAnsi="Open Sans Semibold" w:cs="Open Sans Semibold"/>
                <w:color w:val="000000"/>
                <w:sz w:val="16"/>
                <w:szCs w:val="16"/>
                <w:lang w:eastAsia="en-AU"/>
              </w:rPr>
            </w:pPr>
            <w:r w:rsidRPr="00FC4815">
              <w:rPr>
                <w:rFonts w:ascii="Open Sans Semibold" w:eastAsia="Times New Roman" w:hAnsi="Open Sans Semibold" w:cs="Open Sans Semibold"/>
                <w:color w:val="000000"/>
                <w:sz w:val="16"/>
                <w:szCs w:val="16"/>
                <w:lang w:eastAsia="en-AU"/>
              </w:rPr>
              <w:t> </w:t>
            </w:r>
          </w:p>
        </w:tc>
      </w:tr>
      <w:tr w:rsidR="00CB44BA" w:rsidRPr="00FC4815" w14:paraId="1DE65F57" w14:textId="77777777">
        <w:trPr>
          <w:trHeight w:val="1065"/>
        </w:trPr>
        <w:tc>
          <w:tcPr>
            <w:tcW w:w="2640" w:type="dxa"/>
            <w:tcBorders>
              <w:top w:val="single" w:sz="4" w:space="0" w:color="ADD6EA"/>
              <w:left w:val="nil"/>
              <w:bottom w:val="nil"/>
              <w:right w:val="nil"/>
            </w:tcBorders>
            <w:shd w:val="clear" w:color="000000" w:fill="FFFFFF"/>
            <w:hideMark/>
          </w:tcPr>
          <w:p w14:paraId="182A005C" w14:textId="77777777" w:rsidR="00CB44BA" w:rsidRPr="00FC4815" w:rsidRDefault="00CB44BA">
            <w:pPr>
              <w:tabs>
                <w:tab w:val="clear" w:pos="567"/>
              </w:tabs>
              <w:spacing w:before="0" w:line="240" w:lineRule="auto"/>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Mining production</w:t>
            </w:r>
          </w:p>
        </w:tc>
        <w:tc>
          <w:tcPr>
            <w:tcW w:w="700" w:type="dxa"/>
            <w:tcBorders>
              <w:top w:val="single" w:sz="4" w:space="0" w:color="ADD6EA"/>
              <w:left w:val="nil"/>
              <w:bottom w:val="nil"/>
              <w:right w:val="nil"/>
            </w:tcBorders>
            <w:shd w:val="clear" w:color="000000" w:fill="ADD6EA"/>
            <w:hideMark/>
          </w:tcPr>
          <w:p w14:paraId="1E5C7E19" w14:textId="77777777" w:rsidR="00CB44BA" w:rsidRPr="00FC4815" w:rsidRDefault="00CB44BA">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1,268</w:t>
            </w:r>
          </w:p>
        </w:tc>
        <w:tc>
          <w:tcPr>
            <w:tcW w:w="700" w:type="dxa"/>
            <w:tcBorders>
              <w:top w:val="single" w:sz="4" w:space="0" w:color="ADD6EA"/>
              <w:left w:val="nil"/>
              <w:bottom w:val="nil"/>
              <w:right w:val="nil"/>
            </w:tcBorders>
            <w:shd w:val="clear" w:color="000000" w:fill="ADD6EA"/>
            <w:hideMark/>
          </w:tcPr>
          <w:p w14:paraId="5D5E5328" w14:textId="77777777" w:rsidR="00CB44BA" w:rsidRPr="00FC4815" w:rsidRDefault="00CB44BA">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415</w:t>
            </w:r>
          </w:p>
        </w:tc>
        <w:tc>
          <w:tcPr>
            <w:tcW w:w="4900" w:type="dxa"/>
            <w:tcBorders>
              <w:top w:val="single" w:sz="4" w:space="0" w:color="ADD6EA"/>
              <w:left w:val="nil"/>
              <w:bottom w:val="nil"/>
              <w:right w:val="nil"/>
            </w:tcBorders>
            <w:shd w:val="clear" w:color="000000" w:fill="FFFFFF"/>
            <w:hideMark/>
          </w:tcPr>
          <w:p w14:paraId="06A909B7" w14:textId="77777777" w:rsidR="00CB44BA" w:rsidRPr="00FC4815" w:rsidRDefault="00CB44BA">
            <w:pPr>
              <w:tabs>
                <w:tab w:val="clear" w:pos="567"/>
              </w:tabs>
              <w:spacing w:before="0" w:line="240" w:lineRule="auto"/>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Lower iron ore prices in 2023–24 compared with 2020</w:t>
            </w:r>
            <w:r w:rsidRPr="00FC4815">
              <w:rPr>
                <w:rFonts w:ascii="Arial" w:eastAsia="Times New Roman" w:hAnsi="Arial" w:cs="Arial"/>
                <w:color w:val="000000"/>
                <w:sz w:val="16"/>
                <w:szCs w:val="16"/>
                <w:lang w:eastAsia="en-AU"/>
              </w:rPr>
              <w:t>‍</w:t>
            </w:r>
            <w:r w:rsidRPr="00FC4815">
              <w:rPr>
                <w:rFonts w:ascii="Open Sans Light" w:eastAsia="Times New Roman" w:hAnsi="Open Sans Light" w:cs="Open Sans Light"/>
                <w:color w:val="000000"/>
                <w:sz w:val="16"/>
                <w:szCs w:val="16"/>
                <w:lang w:eastAsia="en-AU"/>
              </w:rPr>
              <w:t>–</w:t>
            </w:r>
            <w:r w:rsidRPr="00FC4815">
              <w:rPr>
                <w:rFonts w:ascii="Arial" w:eastAsia="Times New Roman" w:hAnsi="Arial" w:cs="Arial"/>
                <w:color w:val="000000"/>
                <w:sz w:val="16"/>
                <w:szCs w:val="16"/>
                <w:lang w:eastAsia="en-AU"/>
              </w:rPr>
              <w:t>‍</w:t>
            </w:r>
            <w:r w:rsidRPr="00FC4815">
              <w:rPr>
                <w:rFonts w:ascii="Open Sans Light" w:eastAsia="Times New Roman" w:hAnsi="Open Sans Light" w:cs="Open Sans Light"/>
                <w:color w:val="000000"/>
                <w:sz w:val="16"/>
                <w:szCs w:val="16"/>
                <w:lang w:eastAsia="en-AU"/>
              </w:rPr>
              <w:t>21 reduced Western Australia’s relative mining revenue capacity. In addition, a large increase in coal prices and average coal royalty rates in 2023–24 compared with 2020</w:t>
            </w:r>
            <w:r w:rsidRPr="00FC4815">
              <w:rPr>
                <w:rFonts w:ascii="Arial" w:eastAsia="Times New Roman" w:hAnsi="Arial" w:cs="Arial"/>
                <w:color w:val="000000"/>
                <w:sz w:val="16"/>
                <w:szCs w:val="16"/>
                <w:lang w:eastAsia="en-AU"/>
              </w:rPr>
              <w:t>‍</w:t>
            </w:r>
            <w:r w:rsidRPr="00FC4815">
              <w:rPr>
                <w:rFonts w:ascii="Open Sans Light" w:eastAsia="Times New Roman" w:hAnsi="Open Sans Light" w:cs="Open Sans Light"/>
                <w:color w:val="000000"/>
                <w:sz w:val="16"/>
                <w:szCs w:val="16"/>
                <w:lang w:eastAsia="en-AU"/>
              </w:rPr>
              <w:t>–</w:t>
            </w:r>
            <w:r w:rsidRPr="00FC4815">
              <w:rPr>
                <w:rFonts w:ascii="Arial" w:eastAsia="Times New Roman" w:hAnsi="Arial" w:cs="Arial"/>
                <w:color w:val="000000"/>
                <w:sz w:val="16"/>
                <w:szCs w:val="16"/>
                <w:lang w:eastAsia="en-AU"/>
              </w:rPr>
              <w:t>‍</w:t>
            </w:r>
            <w:r w:rsidRPr="00FC4815">
              <w:rPr>
                <w:rFonts w:ascii="Open Sans Light" w:eastAsia="Times New Roman" w:hAnsi="Open Sans Light" w:cs="Open Sans Light"/>
                <w:color w:val="000000"/>
                <w:sz w:val="16"/>
                <w:szCs w:val="16"/>
                <w:lang w:eastAsia="en-AU"/>
              </w:rPr>
              <w:t>21 increased the revenue raising capacities of New South Wales and Queensland. The decrease in Western Australia's relative mining revenue capacity increased its assessed GST needs.</w:t>
            </w:r>
          </w:p>
        </w:tc>
      </w:tr>
      <w:tr w:rsidR="00CB44BA" w:rsidRPr="00FC4815" w14:paraId="5B5BBDD6" w14:textId="77777777">
        <w:trPr>
          <w:trHeight w:val="319"/>
        </w:trPr>
        <w:tc>
          <w:tcPr>
            <w:tcW w:w="2640" w:type="dxa"/>
            <w:tcBorders>
              <w:top w:val="single" w:sz="4" w:space="0" w:color="ADD6EA"/>
              <w:left w:val="nil"/>
              <w:bottom w:val="single" w:sz="4" w:space="0" w:color="ADD6EA"/>
              <w:right w:val="nil"/>
            </w:tcBorders>
            <w:shd w:val="clear" w:color="000000" w:fill="FFFFFF"/>
            <w:hideMark/>
          </w:tcPr>
          <w:p w14:paraId="29E44660" w14:textId="77777777" w:rsidR="00CB44BA" w:rsidRPr="00FC4815" w:rsidRDefault="00CB44BA">
            <w:pPr>
              <w:tabs>
                <w:tab w:val="clear" w:pos="567"/>
              </w:tabs>
              <w:spacing w:before="0" w:line="240" w:lineRule="auto"/>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Taxable land values</w:t>
            </w:r>
          </w:p>
        </w:tc>
        <w:tc>
          <w:tcPr>
            <w:tcW w:w="700" w:type="dxa"/>
            <w:tcBorders>
              <w:top w:val="single" w:sz="4" w:space="0" w:color="ADD6EA"/>
              <w:left w:val="nil"/>
              <w:bottom w:val="single" w:sz="4" w:space="0" w:color="ADD6EA"/>
              <w:right w:val="nil"/>
            </w:tcBorders>
            <w:shd w:val="clear" w:color="000000" w:fill="ADD6EA"/>
            <w:hideMark/>
          </w:tcPr>
          <w:p w14:paraId="356CAC70" w14:textId="77777777" w:rsidR="00CB44BA" w:rsidRPr="00FC4815" w:rsidRDefault="00CB44BA">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196</w:t>
            </w:r>
          </w:p>
        </w:tc>
        <w:tc>
          <w:tcPr>
            <w:tcW w:w="700" w:type="dxa"/>
            <w:tcBorders>
              <w:top w:val="single" w:sz="4" w:space="0" w:color="ADD6EA"/>
              <w:left w:val="nil"/>
              <w:bottom w:val="single" w:sz="4" w:space="0" w:color="ADD6EA"/>
              <w:right w:val="nil"/>
            </w:tcBorders>
            <w:shd w:val="clear" w:color="000000" w:fill="ADD6EA"/>
            <w:hideMark/>
          </w:tcPr>
          <w:p w14:paraId="25201D2E" w14:textId="77777777" w:rsidR="00CB44BA" w:rsidRPr="00FC4815" w:rsidRDefault="00CB44BA">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64</w:t>
            </w:r>
          </w:p>
        </w:tc>
        <w:tc>
          <w:tcPr>
            <w:tcW w:w="4900" w:type="dxa"/>
            <w:tcBorders>
              <w:top w:val="single" w:sz="4" w:space="0" w:color="ADD6EA"/>
              <w:left w:val="nil"/>
              <w:bottom w:val="single" w:sz="4" w:space="0" w:color="ADD6EA"/>
              <w:right w:val="nil"/>
            </w:tcBorders>
            <w:shd w:val="clear" w:color="000000" w:fill="FFFFFF"/>
            <w:hideMark/>
          </w:tcPr>
          <w:p w14:paraId="5C0C350B" w14:textId="77777777" w:rsidR="00CB44BA" w:rsidRPr="00FC4815" w:rsidRDefault="00CB44BA">
            <w:pPr>
              <w:tabs>
                <w:tab w:val="clear" w:pos="567"/>
              </w:tabs>
              <w:spacing w:before="0" w:line="240" w:lineRule="auto"/>
              <w:rPr>
                <w:rFonts w:ascii="Open Sans Light" w:eastAsia="Times New Roman" w:hAnsi="Open Sans Light" w:cs="Open Sans Light"/>
                <w:color w:val="000000"/>
                <w:sz w:val="16"/>
                <w:szCs w:val="16"/>
                <w:lang w:eastAsia="en-AU"/>
              </w:rPr>
            </w:pPr>
            <w:r w:rsidRPr="00FC4815">
              <w:rPr>
                <w:rFonts w:ascii="Open Sans Light" w:eastAsia="Times New Roman" w:hAnsi="Open Sans Light" w:cs="Open Sans Light"/>
                <w:color w:val="000000"/>
                <w:sz w:val="16"/>
                <w:szCs w:val="16"/>
                <w:lang w:eastAsia="en-AU"/>
              </w:rPr>
              <w:t>Below-average growth in taxable land values in 2023</w:t>
            </w:r>
            <w:r w:rsidRPr="00FC4815">
              <w:rPr>
                <w:rFonts w:ascii="Arial" w:eastAsia="Times New Roman" w:hAnsi="Arial" w:cs="Arial"/>
                <w:color w:val="000000"/>
                <w:sz w:val="16"/>
                <w:szCs w:val="16"/>
                <w:lang w:eastAsia="en-AU"/>
              </w:rPr>
              <w:t>‍</w:t>
            </w:r>
            <w:r w:rsidRPr="00FC4815">
              <w:rPr>
                <w:rFonts w:ascii="Open Sans Light" w:eastAsia="Times New Roman" w:hAnsi="Open Sans Light" w:cs="Open Sans Light"/>
                <w:color w:val="000000"/>
                <w:sz w:val="16"/>
                <w:szCs w:val="16"/>
                <w:lang w:eastAsia="en-AU"/>
              </w:rPr>
              <w:t>–</w:t>
            </w:r>
            <w:r w:rsidRPr="00FC4815">
              <w:rPr>
                <w:rFonts w:ascii="Arial" w:eastAsia="Times New Roman" w:hAnsi="Arial" w:cs="Arial"/>
                <w:color w:val="000000"/>
                <w:sz w:val="16"/>
                <w:szCs w:val="16"/>
                <w:lang w:eastAsia="en-AU"/>
              </w:rPr>
              <w:t>‍</w:t>
            </w:r>
            <w:r w:rsidRPr="00FC4815">
              <w:rPr>
                <w:rFonts w:ascii="Open Sans Light" w:eastAsia="Times New Roman" w:hAnsi="Open Sans Light" w:cs="Open Sans Light"/>
                <w:color w:val="000000"/>
                <w:sz w:val="16"/>
                <w:szCs w:val="16"/>
                <w:lang w:eastAsia="en-AU"/>
              </w:rPr>
              <w:t>24 compared with 2020–21 reduced Western Australia's relative revenue raising capacity, increasing its assessed GST needs.</w:t>
            </w:r>
          </w:p>
        </w:tc>
      </w:tr>
    </w:tbl>
    <w:p w14:paraId="698EA896" w14:textId="4A1F2FB8" w:rsidR="00CB44BA" w:rsidRPr="00146FF7" w:rsidRDefault="00CB44BA" w:rsidP="00FB2709">
      <w:pPr>
        <w:pStyle w:val="CGC2025TableNote"/>
        <w:numPr>
          <w:ilvl w:val="0"/>
          <w:numId w:val="22"/>
        </w:numPr>
      </w:pPr>
      <w:r w:rsidRPr="00146FF7">
        <w:t>Change of circumstances refers to the impact of replacing the 2020–21 assessment year data with the 2023–24 assessment year data in the calculation of relativities.</w:t>
      </w:r>
    </w:p>
    <w:p w14:paraId="0A8422DE" w14:textId="77777777" w:rsidR="00CB44BA" w:rsidRDefault="00CB44BA">
      <w:pPr>
        <w:tabs>
          <w:tab w:val="clear" w:pos="567"/>
        </w:tabs>
        <w:spacing w:before="0" w:after="200" w:line="276" w:lineRule="auto"/>
      </w:pPr>
      <w:r>
        <w:br w:type="page"/>
      </w:r>
    </w:p>
    <w:p w14:paraId="58FB87A0" w14:textId="77777777" w:rsidR="008F657A" w:rsidRPr="00146FF7" w:rsidRDefault="008F657A" w:rsidP="008F657A">
      <w:pPr>
        <w:pStyle w:val="Heading2"/>
      </w:pPr>
      <w:r w:rsidRPr="00146FF7">
        <w:lastRenderedPageBreak/>
        <w:t>South Australia</w:t>
      </w:r>
    </w:p>
    <w:p w14:paraId="448EF13F" w14:textId="17564E75" w:rsidR="008F657A" w:rsidRPr="00146FF7" w:rsidRDefault="008F657A" w:rsidP="008F657A">
      <w:r w:rsidRPr="00146FF7">
        <w:t xml:space="preserve">In 2025–26, </w:t>
      </w:r>
      <w:r w:rsidR="00AE72EC" w:rsidRPr="00146FF7">
        <w:t>South</w:t>
      </w:r>
      <w:r w:rsidR="00AE72EC">
        <w:t> </w:t>
      </w:r>
      <w:r w:rsidRPr="00146FF7">
        <w:t xml:space="preserve">Australia’s </w:t>
      </w:r>
      <w:r w:rsidR="00456B8E" w:rsidRPr="00146FF7">
        <w:t>GST</w:t>
      </w:r>
      <w:r w:rsidR="00456B8E">
        <w:t> </w:t>
      </w:r>
      <w:r w:rsidRPr="00146FF7">
        <w:t xml:space="preserve">distribution is estimated to increase by $279 million ($147 per capita). </w:t>
      </w:r>
      <w:r w:rsidR="00AE72EC" w:rsidRPr="00146FF7">
        <w:t>South</w:t>
      </w:r>
      <w:r w:rsidR="00AE72EC">
        <w:t> </w:t>
      </w:r>
      <w:r w:rsidRPr="00146FF7">
        <w:t xml:space="preserve">Australia’s share of the </w:t>
      </w:r>
      <w:r w:rsidR="00456B8E" w:rsidRPr="00146FF7">
        <w:t>GST</w:t>
      </w:r>
      <w:r w:rsidR="00456B8E">
        <w:t> </w:t>
      </w:r>
      <w:r w:rsidRPr="00146FF7">
        <w:t>pool is estimated to decrease from 9.7% to 9.5%.</w:t>
      </w:r>
    </w:p>
    <w:p w14:paraId="3AC9DBD9" w14:textId="650CA10A" w:rsidR="008F657A" w:rsidRPr="00146FF7" w:rsidRDefault="008F657A" w:rsidP="008F657A">
      <w:pPr>
        <w:pStyle w:val="CGC2025Bullet1"/>
      </w:pPr>
      <w:r w:rsidRPr="00146FF7">
        <w:t xml:space="preserve">The main factors leading to the decrease in </w:t>
      </w:r>
      <w:r w:rsidR="00796006" w:rsidRPr="00146FF7">
        <w:t>South</w:t>
      </w:r>
      <w:r w:rsidR="00796006">
        <w:t> </w:t>
      </w:r>
      <w:r w:rsidRPr="00146FF7">
        <w:t xml:space="preserve">Australia’s assessed </w:t>
      </w:r>
      <w:r w:rsidR="00456B8E" w:rsidRPr="00146FF7">
        <w:t>GST</w:t>
      </w:r>
      <w:r w:rsidR="00456B8E">
        <w:t> </w:t>
      </w:r>
      <w:r w:rsidRPr="00146FF7">
        <w:t>needs are:</w:t>
      </w:r>
    </w:p>
    <w:p w14:paraId="6D03E520" w14:textId="6FD78696" w:rsidR="008F657A" w:rsidRPr="00146FF7" w:rsidRDefault="008F657A" w:rsidP="008F657A">
      <w:pPr>
        <w:pStyle w:val="CGC2025Bullet2"/>
      </w:pPr>
      <w:r w:rsidRPr="00146FF7">
        <w:t xml:space="preserve">the change in the assessment method of COVID-19 business support and </w:t>
      </w:r>
      <w:r w:rsidR="00AE72EC" w:rsidRPr="00146FF7">
        <w:t>South</w:t>
      </w:r>
      <w:r w:rsidR="00AE72EC">
        <w:t> </w:t>
      </w:r>
      <w:r w:rsidRPr="00146FF7">
        <w:t>Australia’s below-average COVID-19 business support expenses</w:t>
      </w:r>
    </w:p>
    <w:p w14:paraId="4979FFE6" w14:textId="76308505" w:rsidR="008F657A" w:rsidRPr="00146FF7" w:rsidRDefault="008F657A" w:rsidP="008F657A">
      <w:pPr>
        <w:pStyle w:val="CGC2025Bullet2"/>
      </w:pPr>
      <w:r w:rsidRPr="00146FF7">
        <w:t xml:space="preserve">a decrease in natural disaster expenses relative to other states, which is largely driven by upward revisions to natural disaster expenses in </w:t>
      </w:r>
      <w:r w:rsidR="00B5696F" w:rsidRPr="00146FF7">
        <w:t>New</w:t>
      </w:r>
      <w:r w:rsidR="00B5696F">
        <w:t> </w:t>
      </w:r>
      <w:r w:rsidR="00B5696F" w:rsidRPr="00146FF7">
        <w:t>South</w:t>
      </w:r>
      <w:r w:rsidR="00B5696F">
        <w:t> </w:t>
      </w:r>
      <w:r w:rsidRPr="00146FF7">
        <w:t>Wales</w:t>
      </w:r>
    </w:p>
    <w:p w14:paraId="685AFD62" w14:textId="0FF8134D" w:rsidR="008F657A" w:rsidRPr="00146FF7" w:rsidRDefault="008F657A" w:rsidP="008F657A">
      <w:pPr>
        <w:pStyle w:val="CGC2025Bullet2"/>
      </w:pPr>
      <w:r w:rsidRPr="00146FF7">
        <w:t>above-average growth in the value of property transfers, which increased its relative capacity to raise stamp duty.</w:t>
      </w:r>
    </w:p>
    <w:p w14:paraId="05B788D9" w14:textId="308AE1DD" w:rsidR="008F657A" w:rsidRPr="00146FF7" w:rsidRDefault="008F657A" w:rsidP="008F657A">
      <w:pPr>
        <w:pStyle w:val="CGC2025Bullet1"/>
      </w:pPr>
      <w:r w:rsidRPr="00146FF7">
        <w:t xml:space="preserve">The main factors partially offsetting the decrease in </w:t>
      </w:r>
      <w:r w:rsidR="00796006" w:rsidRPr="00146FF7">
        <w:t>South</w:t>
      </w:r>
      <w:r w:rsidR="00796006">
        <w:t> </w:t>
      </w:r>
      <w:r w:rsidRPr="00146FF7">
        <w:t xml:space="preserve">Australia’s assessed </w:t>
      </w:r>
      <w:r w:rsidR="00456B8E" w:rsidRPr="00146FF7">
        <w:t>GST</w:t>
      </w:r>
      <w:r w:rsidR="00456B8E">
        <w:t> </w:t>
      </w:r>
      <w:r w:rsidRPr="00146FF7">
        <w:t>needs are:</w:t>
      </w:r>
    </w:p>
    <w:p w14:paraId="6D09A40D" w14:textId="488308CA" w:rsidR="008F657A" w:rsidRPr="00146FF7" w:rsidRDefault="008F657A" w:rsidP="003354DA">
      <w:pPr>
        <w:pStyle w:val="CGC2025Bullet2"/>
      </w:pPr>
      <w:r w:rsidRPr="00146FF7">
        <w:t>a reduced relative capacity to raise mining revenue</w:t>
      </w:r>
      <w:r w:rsidR="005A33AE" w:rsidRPr="005A33AE">
        <w:t xml:space="preserve"> </w:t>
      </w:r>
      <w:r w:rsidRPr="00146FF7">
        <w:t>because of the increase in the revenue raising capacity of the main coal producing states (</w:t>
      </w:r>
      <w:r w:rsidR="00B5696F" w:rsidRPr="00146FF7">
        <w:t>New</w:t>
      </w:r>
      <w:r w:rsidR="00B5696F">
        <w:t> </w:t>
      </w:r>
      <w:r w:rsidR="00B5696F" w:rsidRPr="00146FF7">
        <w:t>South</w:t>
      </w:r>
      <w:r w:rsidR="00B5696F">
        <w:t> </w:t>
      </w:r>
      <w:r w:rsidRPr="00146FF7">
        <w:t>Wales and Queensland)</w:t>
      </w:r>
    </w:p>
    <w:p w14:paraId="25E781E8" w14:textId="3F0E0A19" w:rsidR="008F657A" w:rsidRPr="00146FF7" w:rsidRDefault="008F657A" w:rsidP="003354DA">
      <w:pPr>
        <w:pStyle w:val="CGC2025Bullet2"/>
      </w:pPr>
      <w:r w:rsidRPr="00146FF7">
        <w:t>below-average growth in taxable payrolls, which reduced its relative capacity to raise payroll taxes</w:t>
      </w:r>
    </w:p>
    <w:p w14:paraId="3D6F6C6F" w14:textId="30E380A8" w:rsidR="008F657A" w:rsidRPr="00204EEA" w:rsidRDefault="007A608A" w:rsidP="003354DA">
      <w:pPr>
        <w:pStyle w:val="CGC2025Bullet2"/>
      </w:pPr>
      <w:r w:rsidRPr="00204EEA">
        <w:t>the</w:t>
      </w:r>
      <w:r w:rsidR="00B52193" w:rsidRPr="00204EEA">
        <w:t xml:space="preserve"> change </w:t>
      </w:r>
      <w:r w:rsidR="00281821">
        <w:t>to</w:t>
      </w:r>
      <w:r w:rsidR="00281821" w:rsidRPr="00204EEA">
        <w:t xml:space="preserve"> </w:t>
      </w:r>
      <w:r w:rsidR="00B52193" w:rsidRPr="00204EEA">
        <w:t xml:space="preserve">the </w:t>
      </w:r>
      <w:r w:rsidR="00E76BAD" w:rsidRPr="00204EEA">
        <w:t xml:space="preserve">recurrent urban transport </w:t>
      </w:r>
      <w:r w:rsidR="00B52193" w:rsidRPr="00204EEA">
        <w:t>assessment method</w:t>
      </w:r>
      <w:r w:rsidR="00AD00B6" w:rsidRPr="00204EEA">
        <w:t>, which</w:t>
      </w:r>
      <w:r w:rsidR="00B52193" w:rsidRPr="00204EEA">
        <w:t xml:space="preserve"> led to </w:t>
      </w:r>
      <w:r w:rsidR="008F657A" w:rsidRPr="00204EEA">
        <w:t>an increase in the population-weighted density of Adelaide relative to other urban areas, increas</w:t>
      </w:r>
      <w:r w:rsidR="0034502D" w:rsidRPr="00204EEA">
        <w:t>ing</w:t>
      </w:r>
      <w:r w:rsidR="008F657A" w:rsidRPr="00204EEA">
        <w:t xml:space="preserve"> the assessed need for recurrent </w:t>
      </w:r>
      <w:r w:rsidR="00B5696F" w:rsidRPr="00204EEA">
        <w:t>urban </w:t>
      </w:r>
      <w:r w:rsidR="008F657A" w:rsidRPr="00204EEA">
        <w:t>transport expenses</w:t>
      </w:r>
    </w:p>
    <w:p w14:paraId="769FBF47" w14:textId="2AF757E4" w:rsidR="008F657A" w:rsidRPr="00146FF7" w:rsidRDefault="007A608A" w:rsidP="003354DA">
      <w:pPr>
        <w:pStyle w:val="CGC2025Bullet2"/>
      </w:pPr>
      <w:r w:rsidRPr="00204EEA">
        <w:t>the change</w:t>
      </w:r>
      <w:r w:rsidR="0034502D" w:rsidRPr="00204EEA">
        <w:t>s</w:t>
      </w:r>
      <w:r w:rsidRPr="00204EEA">
        <w:t xml:space="preserve"> in the wage costs assessment method</w:t>
      </w:r>
      <w:r w:rsidR="00763758" w:rsidRPr="00204EEA">
        <w:t>, which</w:t>
      </w:r>
      <w:r w:rsidRPr="00204EEA">
        <w:t xml:space="preserve"> led to </w:t>
      </w:r>
      <w:r w:rsidR="008F657A" w:rsidRPr="00204EEA">
        <w:t xml:space="preserve">an increase in the modelled wage costs of workers in </w:t>
      </w:r>
      <w:r w:rsidR="00B5696F" w:rsidRPr="00204EEA">
        <w:t>South </w:t>
      </w:r>
      <w:r w:rsidR="008F657A" w:rsidRPr="00204EEA">
        <w:t>Australia relative</w:t>
      </w:r>
      <w:r w:rsidR="008F657A" w:rsidRPr="00146FF7">
        <w:t xml:space="preserve"> to other states.</w:t>
      </w:r>
    </w:p>
    <w:p w14:paraId="697A08A4" w14:textId="4E442642" w:rsidR="008F657A" w:rsidRPr="00146FF7" w:rsidRDefault="008F657A" w:rsidP="003354DA">
      <w:pPr>
        <w:pStyle w:val="CGC2025Bullet1"/>
      </w:pPr>
      <w:r w:rsidRPr="00146FF7">
        <w:t xml:space="preserve">The expected growth in the </w:t>
      </w:r>
      <w:r w:rsidR="00456B8E" w:rsidRPr="00146FF7">
        <w:t>GST</w:t>
      </w:r>
      <w:r w:rsidR="00456B8E">
        <w:t> </w:t>
      </w:r>
      <w:r w:rsidRPr="00146FF7">
        <w:t xml:space="preserve">pool contributed to the increase in </w:t>
      </w:r>
      <w:r w:rsidR="00B5696F" w:rsidRPr="00146FF7">
        <w:t>South</w:t>
      </w:r>
      <w:r w:rsidR="00B5696F">
        <w:t> </w:t>
      </w:r>
      <w:r w:rsidRPr="00146FF7">
        <w:t xml:space="preserve">Australia’s </w:t>
      </w:r>
      <w:r w:rsidR="00456B8E" w:rsidRPr="00146FF7">
        <w:t>GST</w:t>
      </w:r>
      <w:r w:rsidR="00456B8E">
        <w:t> </w:t>
      </w:r>
      <w:r w:rsidRPr="00146FF7">
        <w:t>distribution.</w:t>
      </w:r>
    </w:p>
    <w:p w14:paraId="09AA738B" w14:textId="3CC14384" w:rsidR="008F657A" w:rsidRPr="00146FF7" w:rsidRDefault="008F657A" w:rsidP="003354DA">
      <w:pPr>
        <w:pStyle w:val="CGC2025Bullet1"/>
      </w:pPr>
      <w:r w:rsidRPr="00146FF7">
        <w:t xml:space="preserve">The operation of blended relativities and the </w:t>
      </w:r>
      <w:r w:rsidR="00456B8E" w:rsidRPr="00146FF7">
        <w:t>GST</w:t>
      </w:r>
      <w:r w:rsidR="00456B8E">
        <w:t> </w:t>
      </w:r>
      <w:r w:rsidRPr="00146FF7">
        <w:t xml:space="preserve">floor reduced </w:t>
      </w:r>
      <w:r w:rsidR="00B5696F" w:rsidRPr="00146FF7">
        <w:t>South</w:t>
      </w:r>
      <w:r w:rsidR="00B5696F">
        <w:t> </w:t>
      </w:r>
      <w:r w:rsidRPr="00146FF7">
        <w:t xml:space="preserve">Australia’s </w:t>
      </w:r>
      <w:r w:rsidR="00456B8E" w:rsidRPr="00146FF7">
        <w:t>GST</w:t>
      </w:r>
      <w:r w:rsidR="00456B8E">
        <w:t> </w:t>
      </w:r>
      <w:r w:rsidRPr="00146FF7">
        <w:t>distribution by $</w:t>
      </w:r>
      <w:r w:rsidR="00C750DC" w:rsidRPr="00146FF7">
        <w:t>54</w:t>
      </w:r>
      <w:r w:rsidR="00C750DC">
        <w:t> </w:t>
      </w:r>
      <w:r w:rsidRPr="00146FF7">
        <w:t>million more than in 2024–25.</w:t>
      </w:r>
    </w:p>
    <w:p w14:paraId="6B1F478D" w14:textId="46E1D2AA" w:rsidR="008F657A" w:rsidRPr="00146FF7" w:rsidRDefault="008F657A" w:rsidP="008F657A">
      <w:pPr>
        <w:pStyle w:val="CGC2025Caption"/>
        <w:ind w:left="1440" w:hanging="1440"/>
      </w:pPr>
      <w:r w:rsidRPr="00146FF7">
        <w:t>Table 3-5</w:t>
      </w:r>
      <w:r w:rsidRPr="00146FF7">
        <w:tab/>
        <w:t>Change in estimated GST distribution from 2024–25 to 2025–26, South</w:t>
      </w:r>
      <w:r>
        <w:t> </w:t>
      </w:r>
      <w:r w:rsidRPr="00146FF7">
        <w:t>Australia (excludes no worse off payments)</w:t>
      </w:r>
    </w:p>
    <w:tbl>
      <w:tblPr>
        <w:tblW w:w="8940" w:type="dxa"/>
        <w:tblCellMar>
          <w:top w:w="15" w:type="dxa"/>
          <w:bottom w:w="15" w:type="dxa"/>
        </w:tblCellMar>
        <w:tblLook w:val="04A0" w:firstRow="1" w:lastRow="0" w:firstColumn="1" w:lastColumn="0" w:noHBand="0" w:noVBand="1"/>
      </w:tblPr>
      <w:tblGrid>
        <w:gridCol w:w="4060"/>
        <w:gridCol w:w="2440"/>
        <w:gridCol w:w="2440"/>
      </w:tblGrid>
      <w:tr w:rsidR="009B01BB" w:rsidRPr="00670109" w14:paraId="6ED2702E" w14:textId="77777777">
        <w:trPr>
          <w:trHeight w:val="300"/>
        </w:trPr>
        <w:tc>
          <w:tcPr>
            <w:tcW w:w="4060" w:type="dxa"/>
            <w:tcBorders>
              <w:top w:val="nil"/>
              <w:left w:val="nil"/>
              <w:bottom w:val="single" w:sz="4" w:space="0" w:color="ADD6EA"/>
              <w:right w:val="nil"/>
            </w:tcBorders>
            <w:shd w:val="clear" w:color="000000" w:fill="006991"/>
            <w:noWrap/>
            <w:vAlign w:val="center"/>
            <w:hideMark/>
          </w:tcPr>
          <w:p w14:paraId="6BB92908" w14:textId="77777777" w:rsidR="009B01BB" w:rsidRPr="00670109" w:rsidRDefault="009B01BB">
            <w:pPr>
              <w:tabs>
                <w:tab w:val="clear" w:pos="567"/>
              </w:tabs>
              <w:spacing w:before="0" w:line="240" w:lineRule="auto"/>
              <w:rPr>
                <w:rFonts w:ascii="Times New Roman" w:eastAsia="Times New Roman" w:hAnsi="Times New Roman" w:cs="Times New Roman"/>
                <w:sz w:val="24"/>
                <w:szCs w:val="24"/>
                <w:lang w:eastAsia="en-AU"/>
              </w:rPr>
            </w:pPr>
          </w:p>
        </w:tc>
        <w:tc>
          <w:tcPr>
            <w:tcW w:w="2440" w:type="dxa"/>
            <w:tcBorders>
              <w:top w:val="nil"/>
              <w:left w:val="nil"/>
              <w:bottom w:val="single" w:sz="4" w:space="0" w:color="ADD6EA"/>
              <w:right w:val="nil"/>
            </w:tcBorders>
            <w:shd w:val="clear" w:color="000000" w:fill="006991"/>
            <w:noWrap/>
            <w:vAlign w:val="center"/>
            <w:hideMark/>
          </w:tcPr>
          <w:p w14:paraId="39681317" w14:textId="77777777" w:rsidR="009B01BB" w:rsidRPr="00670109" w:rsidRDefault="009B01B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70109">
              <w:rPr>
                <w:rFonts w:ascii="Open Sans Semibold" w:eastAsia="Times New Roman" w:hAnsi="Open Sans Semibold" w:cs="Open Sans Semibold"/>
                <w:color w:val="FFFFFF"/>
                <w:sz w:val="16"/>
                <w:szCs w:val="16"/>
                <w:lang w:eastAsia="en-AU"/>
              </w:rPr>
              <w:t>$m</w:t>
            </w:r>
          </w:p>
        </w:tc>
        <w:tc>
          <w:tcPr>
            <w:tcW w:w="2440" w:type="dxa"/>
            <w:tcBorders>
              <w:top w:val="nil"/>
              <w:left w:val="nil"/>
              <w:bottom w:val="single" w:sz="4" w:space="0" w:color="ADD6EA"/>
              <w:right w:val="nil"/>
            </w:tcBorders>
            <w:shd w:val="clear" w:color="000000" w:fill="006991"/>
            <w:noWrap/>
            <w:vAlign w:val="center"/>
            <w:hideMark/>
          </w:tcPr>
          <w:p w14:paraId="68B12482" w14:textId="77777777" w:rsidR="009B01BB" w:rsidRPr="00670109" w:rsidRDefault="009B01BB">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70109">
              <w:rPr>
                <w:rFonts w:ascii="Open Sans Semibold" w:eastAsia="Times New Roman" w:hAnsi="Open Sans Semibold" w:cs="Open Sans Semibold"/>
                <w:color w:val="FFFFFF"/>
                <w:sz w:val="16"/>
                <w:szCs w:val="16"/>
                <w:lang w:eastAsia="en-AU"/>
              </w:rPr>
              <w:t>$pc</w:t>
            </w:r>
          </w:p>
        </w:tc>
      </w:tr>
      <w:tr w:rsidR="009B01BB" w:rsidRPr="00670109" w14:paraId="68F84285" w14:textId="77777777">
        <w:trPr>
          <w:trHeight w:val="300"/>
        </w:trPr>
        <w:tc>
          <w:tcPr>
            <w:tcW w:w="4060" w:type="dxa"/>
            <w:tcBorders>
              <w:top w:val="single" w:sz="4" w:space="0" w:color="ADD6EA"/>
              <w:left w:val="nil"/>
              <w:bottom w:val="single" w:sz="4" w:space="0" w:color="ADD6EA"/>
              <w:right w:val="nil"/>
            </w:tcBorders>
            <w:noWrap/>
            <w:vAlign w:val="center"/>
            <w:hideMark/>
          </w:tcPr>
          <w:p w14:paraId="1A269690" w14:textId="77777777" w:rsidR="009B01BB" w:rsidRPr="00670109" w:rsidRDefault="009B01BB">
            <w:pPr>
              <w:tabs>
                <w:tab w:val="clear" w:pos="567"/>
              </w:tabs>
              <w:spacing w:before="0" w:line="240" w:lineRule="auto"/>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 xml:space="preserve">Change in </w:t>
            </w:r>
            <w:r w:rsidRPr="00670109">
              <w:rPr>
                <w:rFonts w:ascii="Open Sans Light" w:eastAsia="Times New Roman" w:hAnsi="Open Sans Light" w:cs="Open Sans Light"/>
                <w:color w:val="000000"/>
                <w:sz w:val="16"/>
                <w:szCs w:val="16"/>
                <w:lang w:eastAsia="en-AU"/>
              </w:rPr>
              <w:t>population</w:t>
            </w:r>
          </w:p>
        </w:tc>
        <w:tc>
          <w:tcPr>
            <w:tcW w:w="2440" w:type="dxa"/>
            <w:tcBorders>
              <w:top w:val="single" w:sz="4" w:space="0" w:color="ADD6EA"/>
              <w:left w:val="nil"/>
              <w:bottom w:val="single" w:sz="4" w:space="0" w:color="ADD6EA"/>
              <w:right w:val="nil"/>
            </w:tcBorders>
            <w:noWrap/>
            <w:vAlign w:val="center"/>
            <w:hideMark/>
          </w:tcPr>
          <w:p w14:paraId="556AE3E9" w14:textId="77777777" w:rsidR="009B01BB" w:rsidRPr="00670109" w:rsidRDefault="009B01BB">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-46</w:t>
            </w:r>
          </w:p>
        </w:tc>
        <w:tc>
          <w:tcPr>
            <w:tcW w:w="2440" w:type="dxa"/>
            <w:tcBorders>
              <w:top w:val="single" w:sz="4" w:space="0" w:color="ADD6EA"/>
              <w:left w:val="nil"/>
              <w:bottom w:val="single" w:sz="4" w:space="0" w:color="ADD6EA"/>
              <w:right w:val="nil"/>
            </w:tcBorders>
            <w:noWrap/>
            <w:vAlign w:val="center"/>
            <w:hideMark/>
          </w:tcPr>
          <w:p w14:paraId="00B63412" w14:textId="77777777" w:rsidR="009B01BB" w:rsidRPr="00670109" w:rsidRDefault="009B01BB">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-24</w:t>
            </w:r>
          </w:p>
        </w:tc>
      </w:tr>
      <w:tr w:rsidR="009B01BB" w:rsidRPr="00670109" w14:paraId="2C918056" w14:textId="77777777">
        <w:trPr>
          <w:trHeight w:val="300"/>
        </w:trPr>
        <w:tc>
          <w:tcPr>
            <w:tcW w:w="4060" w:type="dxa"/>
            <w:tcBorders>
              <w:top w:val="single" w:sz="4" w:space="0" w:color="ADD6EA"/>
              <w:left w:val="nil"/>
              <w:bottom w:val="single" w:sz="4" w:space="0" w:color="ADD6EA"/>
              <w:right w:val="nil"/>
            </w:tcBorders>
            <w:noWrap/>
            <w:vAlign w:val="center"/>
            <w:hideMark/>
          </w:tcPr>
          <w:p w14:paraId="171CDA10" w14:textId="77777777" w:rsidR="009B01BB" w:rsidRPr="00670109" w:rsidRDefault="009B01BB">
            <w:pPr>
              <w:tabs>
                <w:tab w:val="clear" w:pos="567"/>
              </w:tabs>
              <w:spacing w:before="0" w:line="240" w:lineRule="auto"/>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 xml:space="preserve">Growth in GST pool </w:t>
            </w:r>
          </w:p>
        </w:tc>
        <w:tc>
          <w:tcPr>
            <w:tcW w:w="2440" w:type="dxa"/>
            <w:tcBorders>
              <w:top w:val="single" w:sz="4" w:space="0" w:color="ADD6EA"/>
              <w:left w:val="nil"/>
              <w:bottom w:val="single" w:sz="4" w:space="0" w:color="ADD6EA"/>
              <w:right w:val="nil"/>
            </w:tcBorders>
            <w:noWrap/>
            <w:vAlign w:val="center"/>
            <w:hideMark/>
          </w:tcPr>
          <w:p w14:paraId="48E64C69" w14:textId="77777777" w:rsidR="009B01BB" w:rsidRPr="00670109" w:rsidRDefault="009B01BB">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434</w:t>
            </w:r>
          </w:p>
        </w:tc>
        <w:tc>
          <w:tcPr>
            <w:tcW w:w="2440" w:type="dxa"/>
            <w:tcBorders>
              <w:top w:val="single" w:sz="4" w:space="0" w:color="ADD6EA"/>
              <w:left w:val="nil"/>
              <w:bottom w:val="single" w:sz="4" w:space="0" w:color="ADD6EA"/>
              <w:right w:val="nil"/>
            </w:tcBorders>
            <w:noWrap/>
            <w:vAlign w:val="center"/>
            <w:hideMark/>
          </w:tcPr>
          <w:p w14:paraId="460E459D" w14:textId="77777777" w:rsidR="009B01BB" w:rsidRPr="00670109" w:rsidRDefault="009B01BB">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228</w:t>
            </w:r>
          </w:p>
        </w:tc>
      </w:tr>
      <w:tr w:rsidR="009B01BB" w:rsidRPr="00670109" w14:paraId="3325C4CA" w14:textId="77777777">
        <w:trPr>
          <w:trHeight w:val="300"/>
        </w:trPr>
        <w:tc>
          <w:tcPr>
            <w:tcW w:w="4060" w:type="dxa"/>
            <w:tcBorders>
              <w:top w:val="single" w:sz="4" w:space="0" w:color="ADD6EA"/>
              <w:left w:val="nil"/>
              <w:bottom w:val="single" w:sz="4" w:space="0" w:color="ADD6EA"/>
              <w:right w:val="nil"/>
            </w:tcBorders>
            <w:noWrap/>
            <w:vAlign w:val="center"/>
            <w:hideMark/>
          </w:tcPr>
          <w:p w14:paraId="64F53716" w14:textId="77777777" w:rsidR="009B01BB" w:rsidRPr="00670109" w:rsidRDefault="009B01BB">
            <w:pPr>
              <w:tabs>
                <w:tab w:val="clear" w:pos="567"/>
              </w:tabs>
              <w:spacing w:before="0" w:line="240" w:lineRule="auto"/>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Changes in assessed needs</w:t>
            </w:r>
          </w:p>
        </w:tc>
        <w:tc>
          <w:tcPr>
            <w:tcW w:w="2440" w:type="dxa"/>
            <w:tcBorders>
              <w:top w:val="single" w:sz="4" w:space="0" w:color="ADD6EA"/>
              <w:left w:val="nil"/>
              <w:bottom w:val="single" w:sz="4" w:space="0" w:color="ADD6EA"/>
              <w:right w:val="nil"/>
            </w:tcBorders>
            <w:noWrap/>
            <w:vAlign w:val="center"/>
            <w:hideMark/>
          </w:tcPr>
          <w:p w14:paraId="2E4F2AA6" w14:textId="77777777" w:rsidR="009B01BB" w:rsidRPr="00670109" w:rsidRDefault="009B01BB">
            <w:pPr>
              <w:tabs>
                <w:tab w:val="clear" w:pos="567"/>
              </w:tabs>
              <w:spacing w:before="0" w:line="240" w:lineRule="auto"/>
              <w:rPr>
                <w:rFonts w:ascii="Open Sans Light" w:eastAsia="Times New Roman" w:hAnsi="Open Sans Light" w:cs="Open Sans Light"/>
                <w:sz w:val="16"/>
                <w:szCs w:val="16"/>
                <w:lang w:eastAsia="en-AU"/>
              </w:rPr>
            </w:pPr>
          </w:p>
        </w:tc>
        <w:tc>
          <w:tcPr>
            <w:tcW w:w="2440" w:type="dxa"/>
            <w:tcBorders>
              <w:top w:val="single" w:sz="4" w:space="0" w:color="ADD6EA"/>
              <w:left w:val="nil"/>
              <w:bottom w:val="single" w:sz="4" w:space="0" w:color="ADD6EA"/>
              <w:right w:val="nil"/>
            </w:tcBorders>
            <w:noWrap/>
            <w:vAlign w:val="center"/>
            <w:hideMark/>
          </w:tcPr>
          <w:p w14:paraId="2E23EC1C" w14:textId="77777777" w:rsidR="009B01BB" w:rsidRPr="00670109" w:rsidRDefault="009B01BB">
            <w:pPr>
              <w:tabs>
                <w:tab w:val="clear" w:pos="567"/>
              </w:tabs>
              <w:spacing w:before="0" w:line="240" w:lineRule="auto"/>
              <w:jc w:val="right"/>
              <w:rPr>
                <w:rFonts w:ascii="Times New Roman" w:eastAsia="Times New Roman" w:hAnsi="Times New Roman" w:cs="Times New Roman"/>
                <w:szCs w:val="20"/>
                <w:lang w:eastAsia="en-AU"/>
              </w:rPr>
            </w:pPr>
          </w:p>
        </w:tc>
      </w:tr>
      <w:tr w:rsidR="009B01BB" w:rsidRPr="00670109" w14:paraId="4281A148" w14:textId="77777777">
        <w:trPr>
          <w:trHeight w:val="300"/>
        </w:trPr>
        <w:tc>
          <w:tcPr>
            <w:tcW w:w="4060" w:type="dxa"/>
            <w:tcBorders>
              <w:top w:val="single" w:sz="4" w:space="0" w:color="ADD6EA"/>
              <w:left w:val="nil"/>
              <w:bottom w:val="single" w:sz="4" w:space="0" w:color="ADD6EA"/>
              <w:right w:val="nil"/>
            </w:tcBorders>
            <w:noWrap/>
            <w:vAlign w:val="center"/>
            <w:hideMark/>
          </w:tcPr>
          <w:p w14:paraId="4AFB5253" w14:textId="77777777" w:rsidR="009B01BB" w:rsidRPr="00670109" w:rsidRDefault="009B01BB">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Method changes</w:t>
            </w:r>
          </w:p>
        </w:tc>
        <w:tc>
          <w:tcPr>
            <w:tcW w:w="2440" w:type="dxa"/>
            <w:tcBorders>
              <w:top w:val="single" w:sz="4" w:space="0" w:color="ADD6EA"/>
              <w:left w:val="nil"/>
              <w:bottom w:val="single" w:sz="4" w:space="0" w:color="ADD6EA"/>
              <w:right w:val="nil"/>
            </w:tcBorders>
            <w:noWrap/>
            <w:vAlign w:val="center"/>
            <w:hideMark/>
          </w:tcPr>
          <w:p w14:paraId="269204EF" w14:textId="77777777" w:rsidR="009B01BB" w:rsidRPr="00670109" w:rsidRDefault="009B01BB">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-2</w:t>
            </w:r>
          </w:p>
        </w:tc>
        <w:tc>
          <w:tcPr>
            <w:tcW w:w="2440" w:type="dxa"/>
            <w:tcBorders>
              <w:top w:val="single" w:sz="4" w:space="0" w:color="ADD6EA"/>
              <w:left w:val="nil"/>
              <w:bottom w:val="single" w:sz="4" w:space="0" w:color="ADD6EA"/>
              <w:right w:val="nil"/>
            </w:tcBorders>
            <w:noWrap/>
            <w:vAlign w:val="center"/>
            <w:hideMark/>
          </w:tcPr>
          <w:p w14:paraId="4AD402F0" w14:textId="77777777" w:rsidR="009B01BB" w:rsidRPr="00670109" w:rsidRDefault="009B01BB">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-1</w:t>
            </w:r>
          </w:p>
        </w:tc>
      </w:tr>
      <w:tr w:rsidR="009B01BB" w:rsidRPr="00670109" w14:paraId="48009402" w14:textId="77777777">
        <w:trPr>
          <w:trHeight w:val="300"/>
        </w:trPr>
        <w:tc>
          <w:tcPr>
            <w:tcW w:w="4060" w:type="dxa"/>
            <w:tcBorders>
              <w:top w:val="single" w:sz="4" w:space="0" w:color="ADD6EA"/>
              <w:left w:val="nil"/>
              <w:bottom w:val="single" w:sz="4" w:space="0" w:color="ADD6EA"/>
              <w:right w:val="nil"/>
            </w:tcBorders>
            <w:noWrap/>
            <w:vAlign w:val="center"/>
            <w:hideMark/>
          </w:tcPr>
          <w:p w14:paraId="021516CF" w14:textId="77777777" w:rsidR="009B01BB" w:rsidRPr="00670109" w:rsidRDefault="009B01BB">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Data revisions</w:t>
            </w:r>
          </w:p>
        </w:tc>
        <w:tc>
          <w:tcPr>
            <w:tcW w:w="2440" w:type="dxa"/>
            <w:tcBorders>
              <w:top w:val="single" w:sz="4" w:space="0" w:color="ADD6EA"/>
              <w:left w:val="nil"/>
              <w:bottom w:val="single" w:sz="4" w:space="0" w:color="ADD6EA"/>
              <w:right w:val="nil"/>
            </w:tcBorders>
            <w:noWrap/>
            <w:vAlign w:val="center"/>
            <w:hideMark/>
          </w:tcPr>
          <w:p w14:paraId="7E18B9E5" w14:textId="77777777" w:rsidR="009B01BB" w:rsidRPr="00670109" w:rsidRDefault="009B01BB">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-116</w:t>
            </w:r>
          </w:p>
        </w:tc>
        <w:tc>
          <w:tcPr>
            <w:tcW w:w="2440" w:type="dxa"/>
            <w:tcBorders>
              <w:top w:val="single" w:sz="4" w:space="0" w:color="ADD6EA"/>
              <w:left w:val="nil"/>
              <w:bottom w:val="single" w:sz="4" w:space="0" w:color="ADD6EA"/>
              <w:right w:val="nil"/>
            </w:tcBorders>
            <w:noWrap/>
            <w:vAlign w:val="center"/>
            <w:hideMark/>
          </w:tcPr>
          <w:p w14:paraId="15A076F7" w14:textId="77777777" w:rsidR="009B01BB" w:rsidRPr="00670109" w:rsidRDefault="009B01BB">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-61</w:t>
            </w:r>
          </w:p>
        </w:tc>
      </w:tr>
      <w:tr w:rsidR="009B01BB" w:rsidRPr="00670109" w14:paraId="73E8FC10" w14:textId="77777777">
        <w:trPr>
          <w:trHeight w:val="300"/>
        </w:trPr>
        <w:tc>
          <w:tcPr>
            <w:tcW w:w="4060" w:type="dxa"/>
            <w:tcBorders>
              <w:top w:val="single" w:sz="4" w:space="0" w:color="ADD6EA"/>
              <w:left w:val="nil"/>
              <w:bottom w:val="single" w:sz="4" w:space="0" w:color="ADD6EA"/>
              <w:right w:val="nil"/>
            </w:tcBorders>
            <w:noWrap/>
            <w:vAlign w:val="center"/>
            <w:hideMark/>
          </w:tcPr>
          <w:p w14:paraId="593AE5FE" w14:textId="77777777" w:rsidR="009B01BB" w:rsidRPr="00670109" w:rsidRDefault="009B01BB">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State circumstances</w:t>
            </w:r>
          </w:p>
        </w:tc>
        <w:tc>
          <w:tcPr>
            <w:tcW w:w="2440" w:type="dxa"/>
            <w:tcBorders>
              <w:top w:val="single" w:sz="4" w:space="0" w:color="ADD6EA"/>
              <w:left w:val="nil"/>
              <w:bottom w:val="single" w:sz="4" w:space="0" w:color="ADD6EA"/>
              <w:right w:val="nil"/>
            </w:tcBorders>
            <w:noWrap/>
            <w:vAlign w:val="center"/>
            <w:hideMark/>
          </w:tcPr>
          <w:p w14:paraId="4396363D" w14:textId="77777777" w:rsidR="009B01BB" w:rsidRPr="00670109" w:rsidRDefault="009B01BB">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64</w:t>
            </w:r>
          </w:p>
        </w:tc>
        <w:tc>
          <w:tcPr>
            <w:tcW w:w="2440" w:type="dxa"/>
            <w:tcBorders>
              <w:top w:val="single" w:sz="4" w:space="0" w:color="ADD6EA"/>
              <w:left w:val="nil"/>
              <w:bottom w:val="single" w:sz="4" w:space="0" w:color="ADD6EA"/>
              <w:right w:val="nil"/>
            </w:tcBorders>
            <w:noWrap/>
            <w:vAlign w:val="center"/>
            <w:hideMark/>
          </w:tcPr>
          <w:p w14:paraId="74AB8A63" w14:textId="77777777" w:rsidR="009B01BB" w:rsidRPr="00670109" w:rsidRDefault="009B01BB">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33</w:t>
            </w:r>
          </w:p>
        </w:tc>
      </w:tr>
      <w:tr w:rsidR="009B01BB" w:rsidRPr="00670109" w14:paraId="6A7EB015" w14:textId="77777777">
        <w:trPr>
          <w:trHeight w:val="300"/>
        </w:trPr>
        <w:tc>
          <w:tcPr>
            <w:tcW w:w="4060" w:type="dxa"/>
            <w:tcBorders>
              <w:top w:val="single" w:sz="4" w:space="0" w:color="ADD6EA"/>
              <w:left w:val="nil"/>
              <w:bottom w:val="single" w:sz="4" w:space="0" w:color="ADD6EA"/>
              <w:right w:val="nil"/>
            </w:tcBorders>
            <w:noWrap/>
            <w:vAlign w:val="center"/>
            <w:hideMark/>
          </w:tcPr>
          <w:p w14:paraId="4C1AD4A4" w14:textId="77777777" w:rsidR="009B01BB" w:rsidRPr="00670109" w:rsidRDefault="009B01BB">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Total</w:t>
            </w:r>
          </w:p>
        </w:tc>
        <w:tc>
          <w:tcPr>
            <w:tcW w:w="2440" w:type="dxa"/>
            <w:tcBorders>
              <w:top w:val="single" w:sz="4" w:space="0" w:color="ADD6EA"/>
              <w:left w:val="nil"/>
              <w:bottom w:val="single" w:sz="4" w:space="0" w:color="ADD6EA"/>
              <w:right w:val="nil"/>
            </w:tcBorders>
            <w:noWrap/>
            <w:vAlign w:val="center"/>
            <w:hideMark/>
          </w:tcPr>
          <w:p w14:paraId="3C5C87E5" w14:textId="77777777" w:rsidR="009B01BB" w:rsidRPr="00670109" w:rsidRDefault="009B01BB">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-55</w:t>
            </w:r>
          </w:p>
        </w:tc>
        <w:tc>
          <w:tcPr>
            <w:tcW w:w="2440" w:type="dxa"/>
            <w:tcBorders>
              <w:top w:val="single" w:sz="4" w:space="0" w:color="ADD6EA"/>
              <w:left w:val="nil"/>
              <w:bottom w:val="single" w:sz="4" w:space="0" w:color="ADD6EA"/>
              <w:right w:val="nil"/>
            </w:tcBorders>
            <w:noWrap/>
            <w:vAlign w:val="center"/>
            <w:hideMark/>
          </w:tcPr>
          <w:p w14:paraId="44D640BF" w14:textId="77777777" w:rsidR="009B01BB" w:rsidRPr="00670109" w:rsidRDefault="009B01BB">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-29</w:t>
            </w:r>
          </w:p>
        </w:tc>
      </w:tr>
      <w:tr w:rsidR="009B01BB" w:rsidRPr="00670109" w14:paraId="19E93A09" w14:textId="77777777">
        <w:trPr>
          <w:trHeight w:val="300"/>
        </w:trPr>
        <w:tc>
          <w:tcPr>
            <w:tcW w:w="4060" w:type="dxa"/>
            <w:tcBorders>
              <w:top w:val="single" w:sz="4" w:space="0" w:color="ADD6EA"/>
              <w:left w:val="nil"/>
              <w:bottom w:val="single" w:sz="4" w:space="0" w:color="ADD6EA"/>
              <w:right w:val="nil"/>
            </w:tcBorders>
            <w:noWrap/>
            <w:vAlign w:val="center"/>
            <w:hideMark/>
          </w:tcPr>
          <w:p w14:paraId="19360786" w14:textId="5AB05344" w:rsidR="009B01BB" w:rsidRPr="00670109" w:rsidRDefault="009B01BB">
            <w:pPr>
              <w:tabs>
                <w:tab w:val="clear" w:pos="567"/>
              </w:tabs>
              <w:spacing w:before="0" w:line="240" w:lineRule="auto"/>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Blended relativities and GST floor</w:t>
            </w:r>
          </w:p>
        </w:tc>
        <w:tc>
          <w:tcPr>
            <w:tcW w:w="2440" w:type="dxa"/>
            <w:tcBorders>
              <w:top w:val="single" w:sz="4" w:space="0" w:color="ADD6EA"/>
              <w:left w:val="nil"/>
              <w:bottom w:val="single" w:sz="4" w:space="0" w:color="ADD6EA"/>
              <w:right w:val="nil"/>
            </w:tcBorders>
            <w:noWrap/>
            <w:vAlign w:val="center"/>
            <w:hideMark/>
          </w:tcPr>
          <w:p w14:paraId="48CB56C0" w14:textId="77777777" w:rsidR="009B01BB" w:rsidRPr="00670109" w:rsidRDefault="009B01BB">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-54</w:t>
            </w:r>
          </w:p>
        </w:tc>
        <w:tc>
          <w:tcPr>
            <w:tcW w:w="2440" w:type="dxa"/>
            <w:tcBorders>
              <w:top w:val="single" w:sz="4" w:space="0" w:color="ADD6EA"/>
              <w:left w:val="nil"/>
              <w:bottom w:val="single" w:sz="4" w:space="0" w:color="ADD6EA"/>
              <w:right w:val="nil"/>
            </w:tcBorders>
            <w:noWrap/>
            <w:vAlign w:val="center"/>
            <w:hideMark/>
          </w:tcPr>
          <w:p w14:paraId="3BCBF0FF" w14:textId="77777777" w:rsidR="009B01BB" w:rsidRPr="00670109" w:rsidRDefault="009B01BB">
            <w:pPr>
              <w:tabs>
                <w:tab w:val="clear" w:pos="567"/>
              </w:tabs>
              <w:spacing w:before="0" w:line="240" w:lineRule="auto"/>
              <w:jc w:val="right"/>
              <w:rPr>
                <w:rFonts w:ascii="Open Sans Light" w:eastAsia="Times New Roman" w:hAnsi="Open Sans Light" w:cs="Open Sans Light"/>
                <w:sz w:val="16"/>
                <w:szCs w:val="16"/>
                <w:lang w:eastAsia="en-AU"/>
              </w:rPr>
            </w:pPr>
            <w:r w:rsidRPr="00670109">
              <w:rPr>
                <w:rFonts w:ascii="Open Sans Light" w:eastAsia="Times New Roman" w:hAnsi="Open Sans Light" w:cs="Open Sans Light"/>
                <w:sz w:val="16"/>
                <w:szCs w:val="16"/>
                <w:lang w:eastAsia="en-AU"/>
              </w:rPr>
              <w:t>-28</w:t>
            </w:r>
          </w:p>
        </w:tc>
      </w:tr>
      <w:tr w:rsidR="009B01BB" w:rsidRPr="00670109" w14:paraId="22EAAE91" w14:textId="77777777">
        <w:trPr>
          <w:trHeight w:val="300"/>
        </w:trPr>
        <w:tc>
          <w:tcPr>
            <w:tcW w:w="4060" w:type="dxa"/>
            <w:tcBorders>
              <w:top w:val="single" w:sz="4" w:space="0" w:color="ADD6EA"/>
              <w:left w:val="nil"/>
              <w:bottom w:val="single" w:sz="4" w:space="0" w:color="ADD6EA"/>
              <w:right w:val="nil"/>
            </w:tcBorders>
            <w:shd w:val="clear" w:color="000000" w:fill="D6E7F0"/>
            <w:noWrap/>
            <w:vAlign w:val="center"/>
            <w:hideMark/>
          </w:tcPr>
          <w:p w14:paraId="2364251E" w14:textId="77777777" w:rsidR="009B01BB" w:rsidRPr="00670109" w:rsidRDefault="009B01BB">
            <w:pPr>
              <w:tabs>
                <w:tab w:val="clear" w:pos="567"/>
              </w:tabs>
              <w:spacing w:before="0" w:line="240" w:lineRule="auto"/>
              <w:rPr>
                <w:rFonts w:ascii="Open Sans Semibold" w:eastAsia="Times New Roman" w:hAnsi="Open Sans Semibold" w:cs="Open Sans Semibold"/>
                <w:color w:val="000000"/>
                <w:sz w:val="16"/>
                <w:szCs w:val="16"/>
                <w:lang w:eastAsia="en-AU"/>
              </w:rPr>
            </w:pPr>
            <w:r w:rsidRPr="00670109">
              <w:rPr>
                <w:rFonts w:ascii="Open Sans Semibold" w:eastAsia="Times New Roman" w:hAnsi="Open Sans Semibold" w:cs="Open Sans Semibold"/>
                <w:color w:val="000000"/>
                <w:sz w:val="16"/>
                <w:szCs w:val="16"/>
                <w:lang w:eastAsia="en-AU"/>
              </w:rPr>
              <w:t>Total change</w:t>
            </w:r>
          </w:p>
        </w:tc>
        <w:tc>
          <w:tcPr>
            <w:tcW w:w="2440" w:type="dxa"/>
            <w:tcBorders>
              <w:top w:val="single" w:sz="4" w:space="0" w:color="ADD6EA"/>
              <w:left w:val="nil"/>
              <w:bottom w:val="single" w:sz="4" w:space="0" w:color="ADD6EA"/>
              <w:right w:val="nil"/>
            </w:tcBorders>
            <w:shd w:val="clear" w:color="000000" w:fill="D6E7F0"/>
            <w:noWrap/>
            <w:vAlign w:val="center"/>
            <w:hideMark/>
          </w:tcPr>
          <w:p w14:paraId="53F0AC11" w14:textId="77777777" w:rsidR="009B01BB" w:rsidRPr="00670109" w:rsidRDefault="009B01B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70109">
              <w:rPr>
                <w:rFonts w:ascii="Open Sans Semibold" w:eastAsia="Times New Roman" w:hAnsi="Open Sans Semibold" w:cs="Open Sans Semibold"/>
                <w:color w:val="000000"/>
                <w:sz w:val="16"/>
                <w:szCs w:val="16"/>
                <w:lang w:eastAsia="en-AU"/>
              </w:rPr>
              <w:t>279</w:t>
            </w:r>
          </w:p>
        </w:tc>
        <w:tc>
          <w:tcPr>
            <w:tcW w:w="2440" w:type="dxa"/>
            <w:tcBorders>
              <w:top w:val="single" w:sz="4" w:space="0" w:color="ADD6EA"/>
              <w:left w:val="nil"/>
              <w:bottom w:val="single" w:sz="4" w:space="0" w:color="ADD6EA"/>
              <w:right w:val="nil"/>
            </w:tcBorders>
            <w:shd w:val="clear" w:color="000000" w:fill="D6E7F0"/>
            <w:noWrap/>
            <w:vAlign w:val="center"/>
            <w:hideMark/>
          </w:tcPr>
          <w:p w14:paraId="5305DC8B" w14:textId="77777777" w:rsidR="009B01BB" w:rsidRPr="00670109" w:rsidRDefault="009B01B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70109">
              <w:rPr>
                <w:rFonts w:ascii="Open Sans Semibold" w:eastAsia="Times New Roman" w:hAnsi="Open Sans Semibold" w:cs="Open Sans Semibold"/>
                <w:color w:val="000000"/>
                <w:sz w:val="16"/>
                <w:szCs w:val="16"/>
                <w:lang w:eastAsia="en-AU"/>
              </w:rPr>
              <w:t>147</w:t>
            </w:r>
          </w:p>
        </w:tc>
      </w:tr>
    </w:tbl>
    <w:p w14:paraId="33A67C57" w14:textId="77777777" w:rsidR="008F657A" w:rsidRDefault="008F657A" w:rsidP="008F657A">
      <w:pPr>
        <w:pStyle w:val="CGC2025TableNote"/>
      </w:pPr>
      <w:r>
        <w:t>Note: Table may not add due to rounding.</w:t>
      </w:r>
    </w:p>
    <w:p w14:paraId="0FC963AE" w14:textId="77777777" w:rsidR="00596AAD" w:rsidRDefault="00596AAD">
      <w:pPr>
        <w:tabs>
          <w:tab w:val="clear" w:pos="567"/>
        </w:tabs>
        <w:spacing w:before="0" w:after="200" w:line="276" w:lineRule="auto"/>
      </w:pPr>
      <w:r>
        <w:br w:type="page"/>
      </w:r>
    </w:p>
    <w:p w14:paraId="582F8CC6" w14:textId="77777777" w:rsidR="002C5A93" w:rsidRPr="00146FF7" w:rsidRDefault="002C5A93" w:rsidP="004F07D8">
      <w:pPr>
        <w:pStyle w:val="CGC2025Caption"/>
      </w:pPr>
      <w:r w:rsidRPr="00146FF7">
        <w:lastRenderedPageBreak/>
        <w:t>Figure 3-5</w:t>
      </w:r>
      <w:r w:rsidRPr="00146FF7">
        <w:tab/>
        <w:t>South Australia: main changes in assessed GST needs, 2025–26 relativities</w:t>
      </w:r>
    </w:p>
    <w:tbl>
      <w:tblPr>
        <w:tblW w:w="8940" w:type="dxa"/>
        <w:tblLook w:val="04A0" w:firstRow="1" w:lastRow="0" w:firstColumn="1" w:lastColumn="0" w:noHBand="0" w:noVBand="1"/>
      </w:tblPr>
      <w:tblGrid>
        <w:gridCol w:w="2640"/>
        <w:gridCol w:w="700"/>
        <w:gridCol w:w="700"/>
        <w:gridCol w:w="4900"/>
      </w:tblGrid>
      <w:tr w:rsidR="002C5A93" w:rsidRPr="007872D7" w14:paraId="17057D7B" w14:textId="77777777">
        <w:trPr>
          <w:trHeight w:val="375"/>
        </w:trPr>
        <w:tc>
          <w:tcPr>
            <w:tcW w:w="8940" w:type="dxa"/>
            <w:gridSpan w:val="4"/>
            <w:tcBorders>
              <w:top w:val="nil"/>
              <w:left w:val="nil"/>
              <w:bottom w:val="nil"/>
              <w:right w:val="nil"/>
            </w:tcBorders>
            <w:shd w:val="clear" w:color="000000" w:fill="006991"/>
            <w:vAlign w:val="center"/>
            <w:hideMark/>
          </w:tcPr>
          <w:p w14:paraId="33386EF5" w14:textId="77777777" w:rsidR="002C5A93" w:rsidRPr="007872D7" w:rsidRDefault="002C5A93">
            <w:pPr>
              <w:tabs>
                <w:tab w:val="clear" w:pos="567"/>
              </w:tabs>
              <w:spacing w:before="0" w:line="240" w:lineRule="auto"/>
              <w:rPr>
                <w:rFonts w:ascii="Open Sans Semibold" w:eastAsia="Times New Roman" w:hAnsi="Open Sans Semibold" w:cs="Open Sans Semibold"/>
                <w:color w:val="FFFFFF"/>
                <w:sz w:val="16"/>
                <w:szCs w:val="16"/>
                <w:lang w:eastAsia="en-AU"/>
              </w:rPr>
            </w:pPr>
            <w:r w:rsidRPr="007872D7">
              <w:rPr>
                <w:rFonts w:ascii="Open Sans Semibold" w:eastAsia="Times New Roman" w:hAnsi="Open Sans Semibold" w:cs="Open Sans Semibold"/>
                <w:color w:val="FFFFFF"/>
                <w:sz w:val="16"/>
                <w:szCs w:val="16"/>
                <w:lang w:eastAsia="en-AU"/>
              </w:rPr>
              <w:t>Method changes</w:t>
            </w:r>
          </w:p>
        </w:tc>
      </w:tr>
      <w:tr w:rsidR="002C5A93" w:rsidRPr="007872D7" w14:paraId="6F8F23FD" w14:textId="77777777">
        <w:trPr>
          <w:trHeight w:val="255"/>
        </w:trPr>
        <w:tc>
          <w:tcPr>
            <w:tcW w:w="2640" w:type="dxa"/>
            <w:tcBorders>
              <w:top w:val="single" w:sz="4" w:space="0" w:color="ADD6EA"/>
              <w:left w:val="nil"/>
              <w:bottom w:val="nil"/>
              <w:right w:val="nil"/>
            </w:tcBorders>
            <w:shd w:val="clear" w:color="000000" w:fill="D6E7F0"/>
            <w:hideMark/>
          </w:tcPr>
          <w:p w14:paraId="48AB8E4E" w14:textId="77777777" w:rsidR="002C5A93" w:rsidRPr="007872D7" w:rsidRDefault="002C5A93">
            <w:pPr>
              <w:tabs>
                <w:tab w:val="clear" w:pos="567"/>
              </w:tabs>
              <w:spacing w:before="0" w:line="240" w:lineRule="auto"/>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787F3022" w14:textId="77777777" w:rsidR="002C5A93" w:rsidRPr="007872D7" w:rsidRDefault="002C5A9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42667479" w14:textId="77777777" w:rsidR="002C5A93" w:rsidRPr="007872D7" w:rsidRDefault="002C5A93">
            <w:pPr>
              <w:tabs>
                <w:tab w:val="clear" w:pos="567"/>
              </w:tabs>
              <w:spacing w:before="0" w:line="240" w:lineRule="auto"/>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Explanation</w:t>
            </w:r>
          </w:p>
        </w:tc>
      </w:tr>
      <w:tr w:rsidR="002C5A93" w:rsidRPr="007872D7" w14:paraId="05DB37C7" w14:textId="77777777">
        <w:trPr>
          <w:trHeight w:val="255"/>
        </w:trPr>
        <w:tc>
          <w:tcPr>
            <w:tcW w:w="2640" w:type="dxa"/>
            <w:tcBorders>
              <w:top w:val="single" w:sz="4" w:space="0" w:color="ADD6EA"/>
              <w:left w:val="nil"/>
              <w:bottom w:val="nil"/>
              <w:right w:val="nil"/>
            </w:tcBorders>
            <w:shd w:val="clear" w:color="000000" w:fill="B6D5E4"/>
            <w:hideMark/>
          </w:tcPr>
          <w:p w14:paraId="61649F8A" w14:textId="77777777" w:rsidR="002C5A93" w:rsidRPr="007872D7" w:rsidRDefault="002C5A93">
            <w:pPr>
              <w:tabs>
                <w:tab w:val="clear" w:pos="567"/>
              </w:tabs>
              <w:spacing w:before="0" w:line="240" w:lineRule="auto"/>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6C494A12" w14:textId="77777777" w:rsidR="002C5A93" w:rsidRPr="007872D7" w:rsidRDefault="002C5A9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52AB85AE" w14:textId="77777777" w:rsidR="002C5A93" w:rsidRPr="007872D7" w:rsidRDefault="002C5A9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193448D8" w14:textId="77777777" w:rsidR="002C5A93" w:rsidRPr="007872D7" w:rsidRDefault="002C5A93">
            <w:pPr>
              <w:tabs>
                <w:tab w:val="clear" w:pos="567"/>
              </w:tabs>
              <w:spacing w:before="0" w:line="240" w:lineRule="auto"/>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 </w:t>
            </w:r>
          </w:p>
        </w:tc>
      </w:tr>
      <w:tr w:rsidR="002C5A93" w:rsidRPr="007872D7" w14:paraId="68C4BDE8" w14:textId="77777777">
        <w:trPr>
          <w:trHeight w:val="795"/>
        </w:trPr>
        <w:tc>
          <w:tcPr>
            <w:tcW w:w="2640" w:type="dxa"/>
            <w:tcBorders>
              <w:top w:val="single" w:sz="4" w:space="0" w:color="ADD6EA"/>
              <w:left w:val="nil"/>
              <w:bottom w:val="nil"/>
              <w:right w:val="nil"/>
            </w:tcBorders>
            <w:shd w:val="clear" w:color="000000" w:fill="FFFFFF"/>
            <w:hideMark/>
          </w:tcPr>
          <w:p w14:paraId="45F76E56" w14:textId="6BCE0847" w:rsidR="002C5A93" w:rsidRPr="007872D7" w:rsidRDefault="002C5A93">
            <w:pPr>
              <w:tabs>
                <w:tab w:val="clear" w:pos="567"/>
              </w:tabs>
              <w:spacing w:before="0" w:line="240" w:lineRule="auto"/>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 xml:space="preserve">COVID-19 in </w:t>
            </w:r>
            <w:r w:rsidR="000D72F7">
              <w:rPr>
                <w:rFonts w:ascii="Open Sans Light" w:eastAsia="Times New Roman" w:hAnsi="Open Sans Light" w:cs="Open Sans Light"/>
                <w:color w:val="000000"/>
                <w:sz w:val="16"/>
                <w:szCs w:val="16"/>
                <w:lang w:eastAsia="en-AU"/>
              </w:rPr>
              <w:t>s</w:t>
            </w:r>
            <w:r w:rsidR="000D72F7" w:rsidRPr="007872D7">
              <w:rPr>
                <w:rFonts w:ascii="Open Sans Light" w:eastAsia="Times New Roman" w:hAnsi="Open Sans Light" w:cs="Open Sans Light"/>
                <w:color w:val="000000"/>
                <w:sz w:val="16"/>
                <w:szCs w:val="16"/>
                <w:lang w:eastAsia="en-AU"/>
              </w:rPr>
              <w:t xml:space="preserve">ervices </w:t>
            </w:r>
            <w:r w:rsidRPr="007872D7">
              <w:rPr>
                <w:rFonts w:ascii="Open Sans Light" w:eastAsia="Times New Roman" w:hAnsi="Open Sans Light" w:cs="Open Sans Light"/>
                <w:color w:val="000000"/>
                <w:sz w:val="16"/>
                <w:szCs w:val="16"/>
                <w:lang w:eastAsia="en-AU"/>
              </w:rPr>
              <w:t>to industry</w:t>
            </w:r>
          </w:p>
        </w:tc>
        <w:tc>
          <w:tcPr>
            <w:tcW w:w="700" w:type="dxa"/>
            <w:tcBorders>
              <w:top w:val="single" w:sz="4" w:space="0" w:color="ADD6EA"/>
              <w:left w:val="nil"/>
              <w:bottom w:val="nil"/>
              <w:right w:val="nil"/>
            </w:tcBorders>
            <w:shd w:val="clear" w:color="000000" w:fill="EBBFA0"/>
            <w:hideMark/>
          </w:tcPr>
          <w:p w14:paraId="4050B70D" w14:textId="77777777" w:rsidR="002C5A93" w:rsidRPr="007872D7" w:rsidRDefault="002C5A9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-176</w:t>
            </w:r>
          </w:p>
        </w:tc>
        <w:tc>
          <w:tcPr>
            <w:tcW w:w="700" w:type="dxa"/>
            <w:tcBorders>
              <w:top w:val="single" w:sz="4" w:space="0" w:color="ADD6EA"/>
              <w:left w:val="nil"/>
              <w:bottom w:val="nil"/>
              <w:right w:val="nil"/>
            </w:tcBorders>
            <w:shd w:val="clear" w:color="000000" w:fill="EBBFA0"/>
            <w:hideMark/>
          </w:tcPr>
          <w:p w14:paraId="738B5772" w14:textId="77777777" w:rsidR="002C5A93" w:rsidRPr="007872D7" w:rsidRDefault="002C5A9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-93</w:t>
            </w:r>
          </w:p>
        </w:tc>
        <w:tc>
          <w:tcPr>
            <w:tcW w:w="4900" w:type="dxa"/>
            <w:tcBorders>
              <w:top w:val="single" w:sz="4" w:space="0" w:color="ADD6EA"/>
              <w:left w:val="nil"/>
              <w:bottom w:val="nil"/>
              <w:right w:val="nil"/>
            </w:tcBorders>
            <w:shd w:val="clear" w:color="000000" w:fill="FFFFFF"/>
            <w:hideMark/>
          </w:tcPr>
          <w:p w14:paraId="43A69591" w14:textId="7E02C926" w:rsidR="002C5A93" w:rsidRPr="007872D7" w:rsidRDefault="002C5A93">
            <w:pPr>
              <w:tabs>
                <w:tab w:val="clear" w:pos="567"/>
              </w:tabs>
              <w:spacing w:before="0" w:line="240" w:lineRule="auto"/>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The Commission introduced an actual per capita assessment of COVID-19 business support expenses covered by the national partnership agreements. South Australia's below-average COVID</w:t>
            </w:r>
            <w:r w:rsidR="00CB0255" w:rsidRPr="007872D7">
              <w:rPr>
                <w:rFonts w:ascii="Arial" w:eastAsia="Times New Roman" w:hAnsi="Arial" w:cs="Arial"/>
                <w:color w:val="000000"/>
                <w:sz w:val="16"/>
                <w:szCs w:val="16"/>
                <w:lang w:eastAsia="en-AU"/>
              </w:rPr>
              <w:t>‍</w:t>
            </w:r>
            <w:r w:rsidRPr="007872D7">
              <w:rPr>
                <w:rFonts w:ascii="Open Sans Light" w:eastAsia="Times New Roman" w:hAnsi="Open Sans Light" w:cs="Open Sans Light"/>
                <w:color w:val="000000"/>
                <w:sz w:val="16"/>
                <w:szCs w:val="16"/>
                <w:lang w:eastAsia="en-AU"/>
              </w:rPr>
              <w:t>-</w:t>
            </w:r>
            <w:r w:rsidR="00CB0255" w:rsidRPr="007872D7">
              <w:rPr>
                <w:rFonts w:ascii="Arial" w:eastAsia="Times New Roman" w:hAnsi="Arial" w:cs="Arial"/>
                <w:color w:val="000000"/>
                <w:sz w:val="16"/>
                <w:szCs w:val="16"/>
                <w:lang w:eastAsia="en-AU"/>
              </w:rPr>
              <w:t>‍</w:t>
            </w:r>
            <w:r w:rsidRPr="007872D7">
              <w:rPr>
                <w:rFonts w:ascii="Open Sans Light" w:eastAsia="Times New Roman" w:hAnsi="Open Sans Light" w:cs="Open Sans Light"/>
                <w:color w:val="000000"/>
                <w:sz w:val="16"/>
                <w:szCs w:val="16"/>
                <w:lang w:eastAsia="en-AU"/>
              </w:rPr>
              <w:t>19 business support expenses reduced its assessed GST</w:t>
            </w:r>
            <w:r w:rsidR="00AB40AB">
              <w:rPr>
                <w:rFonts w:ascii="Open Sans Light" w:eastAsia="Times New Roman" w:hAnsi="Open Sans Light" w:cs="Open Sans Light"/>
                <w:color w:val="000000"/>
                <w:sz w:val="16"/>
                <w:szCs w:val="16"/>
                <w:lang w:eastAsia="en-AU"/>
              </w:rPr>
              <w:t> </w:t>
            </w:r>
            <w:r w:rsidRPr="007872D7">
              <w:rPr>
                <w:rFonts w:ascii="Open Sans Light" w:eastAsia="Times New Roman" w:hAnsi="Open Sans Light" w:cs="Open Sans Light"/>
                <w:color w:val="000000"/>
                <w:sz w:val="16"/>
                <w:szCs w:val="16"/>
                <w:lang w:eastAsia="en-AU"/>
              </w:rPr>
              <w:t>needs.</w:t>
            </w:r>
          </w:p>
        </w:tc>
      </w:tr>
      <w:tr w:rsidR="002C5A93" w:rsidRPr="007872D7" w14:paraId="613A35BA" w14:textId="77777777">
        <w:trPr>
          <w:trHeight w:val="795"/>
        </w:trPr>
        <w:tc>
          <w:tcPr>
            <w:tcW w:w="2640" w:type="dxa"/>
            <w:tcBorders>
              <w:top w:val="single" w:sz="4" w:space="0" w:color="ADD6EA"/>
              <w:left w:val="nil"/>
              <w:bottom w:val="nil"/>
              <w:right w:val="nil"/>
            </w:tcBorders>
            <w:shd w:val="clear" w:color="000000" w:fill="FFFFFF"/>
            <w:hideMark/>
          </w:tcPr>
          <w:p w14:paraId="5EB64C24" w14:textId="5CCC0513" w:rsidR="002C5A93" w:rsidRPr="007872D7" w:rsidRDefault="002C5A93">
            <w:pPr>
              <w:tabs>
                <w:tab w:val="clear" w:pos="567"/>
              </w:tabs>
              <w:spacing w:before="0" w:line="240" w:lineRule="auto"/>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 xml:space="preserve">Change to square km density measure in </w:t>
            </w:r>
            <w:r w:rsidR="000D72F7">
              <w:rPr>
                <w:rFonts w:ascii="Open Sans Light" w:eastAsia="Times New Roman" w:hAnsi="Open Sans Light" w:cs="Open Sans Light"/>
                <w:color w:val="000000"/>
                <w:sz w:val="16"/>
                <w:szCs w:val="16"/>
                <w:lang w:eastAsia="en-AU"/>
              </w:rPr>
              <w:t>t</w:t>
            </w:r>
            <w:r w:rsidR="000D72F7" w:rsidRPr="007872D7">
              <w:rPr>
                <w:rFonts w:ascii="Open Sans Light" w:eastAsia="Times New Roman" w:hAnsi="Open Sans Light" w:cs="Open Sans Light"/>
                <w:color w:val="000000"/>
                <w:sz w:val="16"/>
                <w:szCs w:val="16"/>
                <w:lang w:eastAsia="en-AU"/>
              </w:rPr>
              <w:t>ransport</w:t>
            </w:r>
          </w:p>
        </w:tc>
        <w:tc>
          <w:tcPr>
            <w:tcW w:w="700" w:type="dxa"/>
            <w:tcBorders>
              <w:top w:val="single" w:sz="4" w:space="0" w:color="ADD6EA"/>
              <w:left w:val="nil"/>
              <w:bottom w:val="nil"/>
              <w:right w:val="nil"/>
            </w:tcBorders>
            <w:shd w:val="clear" w:color="000000" w:fill="ADD6EA"/>
            <w:hideMark/>
          </w:tcPr>
          <w:p w14:paraId="1293D946" w14:textId="77777777" w:rsidR="002C5A93" w:rsidRPr="007872D7" w:rsidRDefault="002C5A9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126</w:t>
            </w:r>
          </w:p>
        </w:tc>
        <w:tc>
          <w:tcPr>
            <w:tcW w:w="700" w:type="dxa"/>
            <w:tcBorders>
              <w:top w:val="single" w:sz="4" w:space="0" w:color="ADD6EA"/>
              <w:left w:val="nil"/>
              <w:bottom w:val="nil"/>
              <w:right w:val="nil"/>
            </w:tcBorders>
            <w:shd w:val="clear" w:color="000000" w:fill="ADD6EA"/>
            <w:hideMark/>
          </w:tcPr>
          <w:p w14:paraId="4D02FDE3" w14:textId="77777777" w:rsidR="002C5A93" w:rsidRPr="007872D7" w:rsidRDefault="002C5A9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66</w:t>
            </w:r>
          </w:p>
        </w:tc>
        <w:tc>
          <w:tcPr>
            <w:tcW w:w="4900" w:type="dxa"/>
            <w:tcBorders>
              <w:top w:val="single" w:sz="4" w:space="0" w:color="ADD6EA"/>
              <w:left w:val="nil"/>
              <w:bottom w:val="nil"/>
              <w:right w:val="nil"/>
            </w:tcBorders>
            <w:shd w:val="clear" w:color="000000" w:fill="FFFFFF"/>
            <w:hideMark/>
          </w:tcPr>
          <w:p w14:paraId="06D2D4CB" w14:textId="38B5ABD9" w:rsidR="002C5A93" w:rsidRPr="007872D7" w:rsidRDefault="002C5A93">
            <w:pPr>
              <w:tabs>
                <w:tab w:val="clear" w:pos="567"/>
              </w:tabs>
              <w:spacing w:before="0" w:line="240" w:lineRule="auto"/>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To improve comparability and reduce volatility, the Commission updated its measure of population-weighted density to a measure based on population per square km rather than population for each ABS SA1. This increased the population</w:t>
            </w:r>
            <w:r w:rsidR="004A4964" w:rsidRPr="007872D7">
              <w:rPr>
                <w:rFonts w:ascii="Arial" w:eastAsia="Times New Roman" w:hAnsi="Arial" w:cs="Arial"/>
                <w:color w:val="000000"/>
                <w:sz w:val="16"/>
                <w:szCs w:val="16"/>
                <w:lang w:eastAsia="en-AU"/>
              </w:rPr>
              <w:t>‍</w:t>
            </w:r>
            <w:r w:rsidRPr="007872D7">
              <w:rPr>
                <w:rFonts w:ascii="Open Sans Light" w:eastAsia="Times New Roman" w:hAnsi="Open Sans Light" w:cs="Open Sans Light"/>
                <w:color w:val="000000"/>
                <w:sz w:val="16"/>
                <w:szCs w:val="16"/>
                <w:lang w:eastAsia="en-AU"/>
              </w:rPr>
              <w:t>-</w:t>
            </w:r>
            <w:r w:rsidR="004A4964" w:rsidRPr="007872D7">
              <w:rPr>
                <w:rFonts w:ascii="Arial" w:eastAsia="Times New Roman" w:hAnsi="Arial" w:cs="Arial"/>
                <w:color w:val="000000"/>
                <w:sz w:val="16"/>
                <w:szCs w:val="16"/>
                <w:lang w:eastAsia="en-AU"/>
              </w:rPr>
              <w:t>‍</w:t>
            </w:r>
            <w:r w:rsidRPr="007872D7">
              <w:rPr>
                <w:rFonts w:ascii="Open Sans Light" w:eastAsia="Times New Roman" w:hAnsi="Open Sans Light" w:cs="Open Sans Light"/>
                <w:color w:val="000000"/>
                <w:sz w:val="16"/>
                <w:szCs w:val="16"/>
                <w:lang w:eastAsia="en-AU"/>
              </w:rPr>
              <w:t>weighted density of Adelaide relative to other urban areas, increasing its assessed GST needs.</w:t>
            </w:r>
          </w:p>
        </w:tc>
      </w:tr>
      <w:tr w:rsidR="002C5A93" w:rsidRPr="007872D7" w14:paraId="5674FAAA" w14:textId="77777777">
        <w:trPr>
          <w:trHeight w:val="319"/>
        </w:trPr>
        <w:tc>
          <w:tcPr>
            <w:tcW w:w="2640" w:type="dxa"/>
            <w:tcBorders>
              <w:top w:val="single" w:sz="4" w:space="0" w:color="ADD6EA"/>
              <w:left w:val="nil"/>
              <w:bottom w:val="single" w:sz="4" w:space="0" w:color="ADD6EA"/>
              <w:right w:val="nil"/>
            </w:tcBorders>
            <w:shd w:val="clear" w:color="000000" w:fill="FFFFFF"/>
            <w:hideMark/>
          </w:tcPr>
          <w:p w14:paraId="112C1370" w14:textId="092C0D0C" w:rsidR="002C5A93" w:rsidRPr="007872D7" w:rsidRDefault="002C5A93">
            <w:pPr>
              <w:tabs>
                <w:tab w:val="clear" w:pos="567"/>
              </w:tabs>
              <w:spacing w:before="0" w:line="240" w:lineRule="auto"/>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 xml:space="preserve">Changes to model in </w:t>
            </w:r>
            <w:r w:rsidR="000D72F7">
              <w:rPr>
                <w:rFonts w:ascii="Open Sans Light" w:eastAsia="Times New Roman" w:hAnsi="Open Sans Light" w:cs="Open Sans Light"/>
                <w:color w:val="000000"/>
                <w:sz w:val="16"/>
                <w:szCs w:val="16"/>
                <w:lang w:eastAsia="en-AU"/>
              </w:rPr>
              <w:t>w</w:t>
            </w:r>
            <w:r w:rsidR="000D72F7" w:rsidRPr="007872D7">
              <w:rPr>
                <w:rFonts w:ascii="Open Sans Light" w:eastAsia="Times New Roman" w:hAnsi="Open Sans Light" w:cs="Open Sans Light"/>
                <w:color w:val="000000"/>
                <w:sz w:val="16"/>
                <w:szCs w:val="16"/>
                <w:lang w:eastAsia="en-AU"/>
              </w:rPr>
              <w:t xml:space="preserve">age </w:t>
            </w:r>
            <w:r w:rsidRPr="007872D7">
              <w:rPr>
                <w:rFonts w:ascii="Open Sans Light" w:eastAsia="Times New Roman" w:hAnsi="Open Sans Light" w:cs="Open Sans Light"/>
                <w:color w:val="000000"/>
                <w:sz w:val="16"/>
                <w:szCs w:val="16"/>
                <w:lang w:eastAsia="en-AU"/>
              </w:rPr>
              <w:t>costs</w:t>
            </w:r>
          </w:p>
        </w:tc>
        <w:tc>
          <w:tcPr>
            <w:tcW w:w="700" w:type="dxa"/>
            <w:tcBorders>
              <w:top w:val="single" w:sz="4" w:space="0" w:color="ADD6EA"/>
              <w:left w:val="nil"/>
              <w:bottom w:val="single" w:sz="4" w:space="0" w:color="ADD6EA"/>
              <w:right w:val="nil"/>
            </w:tcBorders>
            <w:shd w:val="clear" w:color="000000" w:fill="ADD6EA"/>
            <w:hideMark/>
          </w:tcPr>
          <w:p w14:paraId="62F2749F" w14:textId="77777777" w:rsidR="002C5A93" w:rsidRPr="007872D7" w:rsidRDefault="002C5A9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118</w:t>
            </w:r>
          </w:p>
        </w:tc>
        <w:tc>
          <w:tcPr>
            <w:tcW w:w="700" w:type="dxa"/>
            <w:tcBorders>
              <w:top w:val="single" w:sz="4" w:space="0" w:color="ADD6EA"/>
              <w:left w:val="nil"/>
              <w:bottom w:val="single" w:sz="4" w:space="0" w:color="ADD6EA"/>
              <w:right w:val="nil"/>
            </w:tcBorders>
            <w:shd w:val="clear" w:color="000000" w:fill="ADD6EA"/>
            <w:hideMark/>
          </w:tcPr>
          <w:p w14:paraId="0A70D5CD" w14:textId="77777777" w:rsidR="002C5A93" w:rsidRPr="007872D7" w:rsidRDefault="002C5A9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62</w:t>
            </w:r>
          </w:p>
        </w:tc>
        <w:tc>
          <w:tcPr>
            <w:tcW w:w="4900" w:type="dxa"/>
            <w:tcBorders>
              <w:top w:val="single" w:sz="4" w:space="0" w:color="ADD6EA"/>
              <w:left w:val="nil"/>
              <w:bottom w:val="nil"/>
              <w:right w:val="nil"/>
            </w:tcBorders>
            <w:shd w:val="clear" w:color="000000" w:fill="FFFFFF"/>
            <w:hideMark/>
          </w:tcPr>
          <w:p w14:paraId="25C6CB60" w14:textId="74F00779" w:rsidR="002C5A93" w:rsidRPr="007872D7" w:rsidRDefault="005E09E3">
            <w:pPr>
              <w:tabs>
                <w:tab w:val="clear" w:pos="567"/>
              </w:tabs>
              <w:spacing w:before="0" w:line="240" w:lineRule="auto"/>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Changes</w:t>
            </w:r>
            <w:r>
              <w:rPr>
                <w:rFonts w:ascii="Open Sans Light" w:eastAsia="Times New Roman" w:hAnsi="Open Sans Light" w:cs="Open Sans Light"/>
                <w:color w:val="000000"/>
                <w:sz w:val="16"/>
                <w:szCs w:val="16"/>
                <w:lang w:eastAsia="en-AU"/>
              </w:rPr>
              <w:t xml:space="preserve"> </w:t>
            </w:r>
            <w:r w:rsidR="002C5A93" w:rsidRPr="007872D7">
              <w:rPr>
                <w:rFonts w:ascii="Open Sans Light" w:eastAsia="Times New Roman" w:hAnsi="Open Sans Light" w:cs="Open Sans Light"/>
                <w:color w:val="000000"/>
                <w:sz w:val="16"/>
                <w:szCs w:val="16"/>
                <w:lang w:eastAsia="en-AU"/>
              </w:rPr>
              <w:t>to the model used to estimate relative state wage costs produced higher estimates for wage costs in South Australia than the previous model, increasing its assessed GST needs.</w:t>
            </w:r>
          </w:p>
        </w:tc>
      </w:tr>
      <w:tr w:rsidR="002C5A93" w:rsidRPr="007872D7" w14:paraId="6E338016" w14:textId="77777777">
        <w:trPr>
          <w:trHeight w:val="375"/>
        </w:trPr>
        <w:tc>
          <w:tcPr>
            <w:tcW w:w="8940" w:type="dxa"/>
            <w:gridSpan w:val="4"/>
            <w:tcBorders>
              <w:top w:val="single" w:sz="4" w:space="0" w:color="ADD6EA"/>
              <w:left w:val="nil"/>
              <w:bottom w:val="nil"/>
              <w:right w:val="nil"/>
            </w:tcBorders>
            <w:shd w:val="clear" w:color="000000" w:fill="006991"/>
            <w:vAlign w:val="center"/>
            <w:hideMark/>
          </w:tcPr>
          <w:p w14:paraId="60C12EF6" w14:textId="77777777" w:rsidR="002C5A93" w:rsidRPr="007872D7" w:rsidRDefault="002C5A93">
            <w:pPr>
              <w:tabs>
                <w:tab w:val="clear" w:pos="567"/>
              </w:tabs>
              <w:spacing w:before="0" w:line="240" w:lineRule="auto"/>
              <w:rPr>
                <w:rFonts w:ascii="Open Sans Semibold" w:eastAsia="Times New Roman" w:hAnsi="Open Sans Semibold" w:cs="Open Sans Semibold"/>
                <w:color w:val="FFFFFF"/>
                <w:sz w:val="16"/>
                <w:szCs w:val="16"/>
                <w:lang w:eastAsia="en-AU"/>
              </w:rPr>
            </w:pPr>
            <w:r w:rsidRPr="007872D7">
              <w:rPr>
                <w:rFonts w:ascii="Open Sans Semibold" w:eastAsia="Times New Roman" w:hAnsi="Open Sans Semibold" w:cs="Open Sans Semibold"/>
                <w:color w:val="FFFFFF"/>
                <w:sz w:val="16"/>
                <w:szCs w:val="16"/>
                <w:lang w:eastAsia="en-AU"/>
              </w:rPr>
              <w:t>Revisions</w:t>
            </w:r>
          </w:p>
        </w:tc>
      </w:tr>
      <w:tr w:rsidR="002C5A93" w:rsidRPr="007872D7" w14:paraId="65419EBC" w14:textId="77777777">
        <w:trPr>
          <w:trHeight w:val="255"/>
        </w:trPr>
        <w:tc>
          <w:tcPr>
            <w:tcW w:w="2640" w:type="dxa"/>
            <w:tcBorders>
              <w:top w:val="single" w:sz="4" w:space="0" w:color="ADD6EA"/>
              <w:left w:val="nil"/>
              <w:bottom w:val="nil"/>
              <w:right w:val="nil"/>
            </w:tcBorders>
            <w:shd w:val="clear" w:color="000000" w:fill="D6E7F0"/>
            <w:hideMark/>
          </w:tcPr>
          <w:p w14:paraId="48C5BB56" w14:textId="77777777" w:rsidR="002C5A93" w:rsidRPr="007872D7" w:rsidRDefault="002C5A93">
            <w:pPr>
              <w:tabs>
                <w:tab w:val="clear" w:pos="567"/>
              </w:tabs>
              <w:spacing w:before="0" w:line="240" w:lineRule="auto"/>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64B0A915" w14:textId="77777777" w:rsidR="002C5A93" w:rsidRPr="007872D7" w:rsidRDefault="002C5A9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68537879" w14:textId="77777777" w:rsidR="002C5A93" w:rsidRPr="007872D7" w:rsidRDefault="002C5A93">
            <w:pPr>
              <w:tabs>
                <w:tab w:val="clear" w:pos="567"/>
              </w:tabs>
              <w:spacing w:before="0" w:line="240" w:lineRule="auto"/>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Explanation</w:t>
            </w:r>
          </w:p>
        </w:tc>
      </w:tr>
      <w:tr w:rsidR="002C5A93" w:rsidRPr="007872D7" w14:paraId="4E95C134" w14:textId="77777777">
        <w:trPr>
          <w:trHeight w:val="255"/>
        </w:trPr>
        <w:tc>
          <w:tcPr>
            <w:tcW w:w="2640" w:type="dxa"/>
            <w:tcBorders>
              <w:top w:val="single" w:sz="4" w:space="0" w:color="ADD6EA"/>
              <w:left w:val="nil"/>
              <w:bottom w:val="nil"/>
              <w:right w:val="nil"/>
            </w:tcBorders>
            <w:shd w:val="clear" w:color="000000" w:fill="B6D5E4"/>
            <w:hideMark/>
          </w:tcPr>
          <w:p w14:paraId="217377E7" w14:textId="77777777" w:rsidR="002C5A93" w:rsidRPr="007872D7" w:rsidRDefault="002C5A93">
            <w:pPr>
              <w:tabs>
                <w:tab w:val="clear" w:pos="567"/>
              </w:tabs>
              <w:spacing w:before="0" w:line="240" w:lineRule="auto"/>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65CB9815" w14:textId="77777777" w:rsidR="002C5A93" w:rsidRPr="007872D7" w:rsidRDefault="002C5A9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4E963C30" w14:textId="77777777" w:rsidR="002C5A93" w:rsidRPr="007872D7" w:rsidRDefault="002C5A9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748FE01D" w14:textId="77777777" w:rsidR="002C5A93" w:rsidRPr="007872D7" w:rsidRDefault="002C5A93">
            <w:pPr>
              <w:tabs>
                <w:tab w:val="clear" w:pos="567"/>
              </w:tabs>
              <w:spacing w:before="0" w:line="240" w:lineRule="auto"/>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 </w:t>
            </w:r>
          </w:p>
        </w:tc>
      </w:tr>
      <w:tr w:rsidR="002C5A93" w:rsidRPr="007872D7" w14:paraId="143C5068" w14:textId="77777777">
        <w:trPr>
          <w:trHeight w:val="389"/>
        </w:trPr>
        <w:tc>
          <w:tcPr>
            <w:tcW w:w="2640" w:type="dxa"/>
            <w:tcBorders>
              <w:top w:val="single" w:sz="4" w:space="0" w:color="ADD6EA"/>
              <w:left w:val="nil"/>
              <w:bottom w:val="single" w:sz="4" w:space="0" w:color="ADD6EA"/>
              <w:right w:val="nil"/>
            </w:tcBorders>
            <w:shd w:val="clear" w:color="000000" w:fill="FFFFFF"/>
            <w:hideMark/>
          </w:tcPr>
          <w:p w14:paraId="6221CDB7" w14:textId="77777777" w:rsidR="002C5A93" w:rsidRPr="007872D7" w:rsidRDefault="002C5A93">
            <w:pPr>
              <w:tabs>
                <w:tab w:val="clear" w:pos="567"/>
              </w:tabs>
              <w:spacing w:before="0" w:line="240" w:lineRule="auto"/>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Natural disaster relief</w:t>
            </w:r>
          </w:p>
        </w:tc>
        <w:tc>
          <w:tcPr>
            <w:tcW w:w="700" w:type="dxa"/>
            <w:tcBorders>
              <w:top w:val="single" w:sz="4" w:space="0" w:color="ADD6EA"/>
              <w:left w:val="nil"/>
              <w:bottom w:val="single" w:sz="4" w:space="0" w:color="ADD6EA"/>
              <w:right w:val="nil"/>
            </w:tcBorders>
            <w:shd w:val="clear" w:color="000000" w:fill="EBBFA0"/>
            <w:hideMark/>
          </w:tcPr>
          <w:p w14:paraId="45DDDFEA" w14:textId="77777777" w:rsidR="002C5A93" w:rsidRPr="007872D7" w:rsidRDefault="002C5A9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-114</w:t>
            </w:r>
          </w:p>
        </w:tc>
        <w:tc>
          <w:tcPr>
            <w:tcW w:w="700" w:type="dxa"/>
            <w:tcBorders>
              <w:top w:val="single" w:sz="4" w:space="0" w:color="ADD6EA"/>
              <w:left w:val="nil"/>
              <w:bottom w:val="single" w:sz="4" w:space="0" w:color="ADD6EA"/>
              <w:right w:val="nil"/>
            </w:tcBorders>
            <w:shd w:val="clear" w:color="000000" w:fill="EBBFA0"/>
            <w:hideMark/>
          </w:tcPr>
          <w:p w14:paraId="6BE3E634" w14:textId="77777777" w:rsidR="002C5A93" w:rsidRPr="007872D7" w:rsidRDefault="002C5A9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-60</w:t>
            </w:r>
          </w:p>
        </w:tc>
        <w:tc>
          <w:tcPr>
            <w:tcW w:w="4900" w:type="dxa"/>
            <w:tcBorders>
              <w:top w:val="single" w:sz="4" w:space="0" w:color="ADD6EA"/>
              <w:left w:val="nil"/>
              <w:bottom w:val="single" w:sz="4" w:space="0" w:color="ADD6EA"/>
              <w:right w:val="nil"/>
            </w:tcBorders>
            <w:shd w:val="clear" w:color="000000" w:fill="FFFFFF"/>
            <w:hideMark/>
          </w:tcPr>
          <w:p w14:paraId="21033CB3" w14:textId="77777777" w:rsidR="002C5A93" w:rsidRPr="007872D7" w:rsidRDefault="002C5A93">
            <w:pPr>
              <w:tabs>
                <w:tab w:val="clear" w:pos="567"/>
              </w:tabs>
              <w:spacing w:before="0" w:line="240" w:lineRule="auto"/>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Upward revisions to natural disaster expenses in other states led to a reduction in South Australia’s assessed GST needs.</w:t>
            </w:r>
          </w:p>
        </w:tc>
      </w:tr>
      <w:tr w:rsidR="002C5A93" w:rsidRPr="007872D7" w14:paraId="45A5FC38" w14:textId="77777777">
        <w:trPr>
          <w:trHeight w:val="375"/>
        </w:trPr>
        <w:tc>
          <w:tcPr>
            <w:tcW w:w="8940" w:type="dxa"/>
            <w:gridSpan w:val="4"/>
            <w:tcBorders>
              <w:top w:val="single" w:sz="4" w:space="0" w:color="ADD6EA"/>
              <w:left w:val="nil"/>
              <w:bottom w:val="nil"/>
              <w:right w:val="nil"/>
            </w:tcBorders>
            <w:shd w:val="clear" w:color="000000" w:fill="006991"/>
            <w:vAlign w:val="center"/>
            <w:hideMark/>
          </w:tcPr>
          <w:p w14:paraId="68E57427" w14:textId="77777777" w:rsidR="002C5A93" w:rsidRPr="007872D7" w:rsidRDefault="002C5A93">
            <w:pPr>
              <w:tabs>
                <w:tab w:val="clear" w:pos="567"/>
              </w:tabs>
              <w:spacing w:before="0" w:line="240" w:lineRule="auto"/>
              <w:rPr>
                <w:rFonts w:ascii="Open Sans Semibold" w:eastAsia="Times New Roman" w:hAnsi="Open Sans Semibold" w:cs="Open Sans Semibold"/>
                <w:color w:val="FFFFFF"/>
                <w:sz w:val="16"/>
                <w:szCs w:val="16"/>
                <w:lang w:eastAsia="en-AU"/>
              </w:rPr>
            </w:pPr>
            <w:r w:rsidRPr="007872D7">
              <w:rPr>
                <w:rFonts w:ascii="Open Sans Semibold" w:eastAsia="Times New Roman" w:hAnsi="Open Sans Semibold" w:cs="Open Sans Semibold"/>
                <w:color w:val="FFFFFF"/>
                <w:sz w:val="16"/>
                <w:szCs w:val="16"/>
                <w:lang w:eastAsia="en-AU"/>
              </w:rPr>
              <w:t>Changes in circumstances (a)</w:t>
            </w:r>
          </w:p>
        </w:tc>
      </w:tr>
      <w:tr w:rsidR="002C5A93" w:rsidRPr="007872D7" w14:paraId="5B7FE284" w14:textId="77777777">
        <w:trPr>
          <w:trHeight w:val="255"/>
        </w:trPr>
        <w:tc>
          <w:tcPr>
            <w:tcW w:w="2640" w:type="dxa"/>
            <w:tcBorders>
              <w:top w:val="single" w:sz="4" w:space="0" w:color="ADD6EA"/>
              <w:left w:val="nil"/>
              <w:bottom w:val="nil"/>
              <w:right w:val="nil"/>
            </w:tcBorders>
            <w:shd w:val="clear" w:color="000000" w:fill="D6E7F0"/>
            <w:hideMark/>
          </w:tcPr>
          <w:p w14:paraId="0BC9DA72" w14:textId="77777777" w:rsidR="002C5A93" w:rsidRPr="007872D7" w:rsidRDefault="002C5A93">
            <w:pPr>
              <w:tabs>
                <w:tab w:val="clear" w:pos="567"/>
              </w:tabs>
              <w:spacing w:before="0" w:line="240" w:lineRule="auto"/>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59CE02AE" w14:textId="77777777" w:rsidR="002C5A93" w:rsidRPr="007872D7" w:rsidRDefault="002C5A9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4F49C10D" w14:textId="77777777" w:rsidR="002C5A93" w:rsidRPr="007872D7" w:rsidRDefault="002C5A93">
            <w:pPr>
              <w:tabs>
                <w:tab w:val="clear" w:pos="567"/>
              </w:tabs>
              <w:spacing w:before="0" w:line="240" w:lineRule="auto"/>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Explanation</w:t>
            </w:r>
          </w:p>
        </w:tc>
      </w:tr>
      <w:tr w:rsidR="002C5A93" w:rsidRPr="007872D7" w14:paraId="3CA05E1D" w14:textId="77777777">
        <w:trPr>
          <w:trHeight w:val="255"/>
        </w:trPr>
        <w:tc>
          <w:tcPr>
            <w:tcW w:w="2640" w:type="dxa"/>
            <w:tcBorders>
              <w:top w:val="single" w:sz="4" w:space="0" w:color="ADD6EA"/>
              <w:left w:val="nil"/>
              <w:bottom w:val="nil"/>
              <w:right w:val="nil"/>
            </w:tcBorders>
            <w:shd w:val="clear" w:color="000000" w:fill="B6D5E4"/>
            <w:hideMark/>
          </w:tcPr>
          <w:p w14:paraId="5421D724" w14:textId="77777777" w:rsidR="002C5A93" w:rsidRPr="007872D7" w:rsidRDefault="002C5A93">
            <w:pPr>
              <w:tabs>
                <w:tab w:val="clear" w:pos="567"/>
              </w:tabs>
              <w:spacing w:before="0" w:line="240" w:lineRule="auto"/>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31475D37" w14:textId="77777777" w:rsidR="002C5A93" w:rsidRPr="007872D7" w:rsidRDefault="002C5A9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19CFD85B" w14:textId="77777777" w:rsidR="002C5A93" w:rsidRPr="007872D7" w:rsidRDefault="002C5A93">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55ABD893" w14:textId="77777777" w:rsidR="002C5A93" w:rsidRPr="007872D7" w:rsidRDefault="002C5A93">
            <w:pPr>
              <w:tabs>
                <w:tab w:val="clear" w:pos="567"/>
              </w:tabs>
              <w:spacing w:before="0" w:line="240" w:lineRule="auto"/>
              <w:rPr>
                <w:rFonts w:ascii="Open Sans Semibold" w:eastAsia="Times New Roman" w:hAnsi="Open Sans Semibold" w:cs="Open Sans Semibold"/>
                <w:color w:val="000000"/>
                <w:sz w:val="16"/>
                <w:szCs w:val="16"/>
                <w:lang w:eastAsia="en-AU"/>
              </w:rPr>
            </w:pPr>
            <w:r w:rsidRPr="007872D7">
              <w:rPr>
                <w:rFonts w:ascii="Open Sans Semibold" w:eastAsia="Times New Roman" w:hAnsi="Open Sans Semibold" w:cs="Open Sans Semibold"/>
                <w:color w:val="000000"/>
                <w:sz w:val="16"/>
                <w:szCs w:val="16"/>
                <w:lang w:eastAsia="en-AU"/>
              </w:rPr>
              <w:t> </w:t>
            </w:r>
          </w:p>
        </w:tc>
      </w:tr>
      <w:tr w:rsidR="002C5A93" w:rsidRPr="007872D7" w14:paraId="63FFEC1A" w14:textId="77777777">
        <w:trPr>
          <w:trHeight w:val="795"/>
        </w:trPr>
        <w:tc>
          <w:tcPr>
            <w:tcW w:w="2640" w:type="dxa"/>
            <w:tcBorders>
              <w:top w:val="single" w:sz="4" w:space="0" w:color="ADD6EA"/>
              <w:left w:val="nil"/>
              <w:bottom w:val="nil"/>
              <w:right w:val="nil"/>
            </w:tcBorders>
            <w:shd w:val="clear" w:color="000000" w:fill="FFFFFF"/>
            <w:hideMark/>
          </w:tcPr>
          <w:p w14:paraId="6F4748C9" w14:textId="77777777" w:rsidR="002C5A93" w:rsidRPr="007872D7" w:rsidRDefault="002C5A93">
            <w:pPr>
              <w:tabs>
                <w:tab w:val="clear" w:pos="567"/>
              </w:tabs>
              <w:spacing w:before="0" w:line="240" w:lineRule="auto"/>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Mining production</w:t>
            </w:r>
          </w:p>
        </w:tc>
        <w:tc>
          <w:tcPr>
            <w:tcW w:w="700" w:type="dxa"/>
            <w:tcBorders>
              <w:top w:val="single" w:sz="4" w:space="0" w:color="ADD6EA"/>
              <w:left w:val="nil"/>
              <w:bottom w:val="nil"/>
              <w:right w:val="nil"/>
            </w:tcBorders>
            <w:shd w:val="clear" w:color="000000" w:fill="ADD6EA"/>
            <w:hideMark/>
          </w:tcPr>
          <w:p w14:paraId="1CC04773" w14:textId="77777777" w:rsidR="002C5A93" w:rsidRPr="007872D7" w:rsidRDefault="002C5A9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197</w:t>
            </w:r>
          </w:p>
        </w:tc>
        <w:tc>
          <w:tcPr>
            <w:tcW w:w="700" w:type="dxa"/>
            <w:tcBorders>
              <w:top w:val="single" w:sz="4" w:space="0" w:color="ADD6EA"/>
              <w:left w:val="nil"/>
              <w:bottom w:val="nil"/>
              <w:right w:val="nil"/>
            </w:tcBorders>
            <w:shd w:val="clear" w:color="000000" w:fill="ADD6EA"/>
            <w:hideMark/>
          </w:tcPr>
          <w:p w14:paraId="1781C725" w14:textId="77777777" w:rsidR="002C5A93" w:rsidRPr="007872D7" w:rsidRDefault="002C5A9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103</w:t>
            </w:r>
          </w:p>
        </w:tc>
        <w:tc>
          <w:tcPr>
            <w:tcW w:w="4900" w:type="dxa"/>
            <w:tcBorders>
              <w:top w:val="single" w:sz="4" w:space="0" w:color="ADD6EA"/>
              <w:left w:val="nil"/>
              <w:bottom w:val="nil"/>
              <w:right w:val="nil"/>
            </w:tcBorders>
            <w:shd w:val="clear" w:color="000000" w:fill="FFFFFF"/>
            <w:hideMark/>
          </w:tcPr>
          <w:p w14:paraId="68C18B0A" w14:textId="77777777" w:rsidR="002C5A93" w:rsidRPr="007872D7" w:rsidRDefault="002C5A93">
            <w:pPr>
              <w:tabs>
                <w:tab w:val="clear" w:pos="567"/>
              </w:tabs>
              <w:spacing w:before="0" w:line="240" w:lineRule="auto"/>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 xml:space="preserve">A large increase in coal prices and average royalty rates in </w:t>
            </w:r>
            <w:r w:rsidRPr="007872D7">
              <w:rPr>
                <w:rFonts w:ascii="Open Sans Light" w:eastAsia="Aptos" w:hAnsi="Open Sans Light" w:cs="Open Sans Light"/>
                <w:color w:val="000000"/>
                <w:kern w:val="2"/>
                <w:sz w:val="16"/>
                <w:szCs w:val="16"/>
                <w14:ligatures w14:val="standardContextual"/>
              </w:rPr>
              <w:t>2023</w:t>
            </w:r>
            <w:r w:rsidRPr="007872D7">
              <w:rPr>
                <w:rFonts w:ascii="Arial" w:eastAsia="Times New Roman" w:hAnsi="Arial" w:cs="Arial"/>
                <w:color w:val="000000"/>
                <w:sz w:val="16"/>
                <w:szCs w:val="16"/>
                <w:lang w:eastAsia="en-AU"/>
              </w:rPr>
              <w:t>‍</w:t>
            </w:r>
            <w:r w:rsidRPr="007872D7">
              <w:rPr>
                <w:rFonts w:ascii="Open Sans Light" w:eastAsia="Times New Roman" w:hAnsi="Open Sans Light" w:cs="Open Sans Light"/>
                <w:color w:val="000000"/>
                <w:sz w:val="16"/>
                <w:szCs w:val="16"/>
                <w:lang w:eastAsia="en-AU"/>
              </w:rPr>
              <w:t>–</w:t>
            </w:r>
            <w:r w:rsidRPr="007872D7">
              <w:rPr>
                <w:rFonts w:ascii="Arial" w:eastAsia="Times New Roman" w:hAnsi="Arial" w:cs="Arial"/>
                <w:color w:val="000000"/>
                <w:sz w:val="16"/>
                <w:szCs w:val="16"/>
                <w:lang w:eastAsia="en-AU"/>
              </w:rPr>
              <w:t>‍</w:t>
            </w:r>
            <w:r w:rsidRPr="007872D7">
              <w:rPr>
                <w:rFonts w:ascii="Open Sans Light" w:eastAsia="Aptos" w:hAnsi="Open Sans Light" w:cs="Open Sans Light"/>
                <w:color w:val="000000"/>
                <w:kern w:val="2"/>
                <w:sz w:val="16"/>
                <w:szCs w:val="16"/>
                <w14:ligatures w14:val="standardContextual"/>
              </w:rPr>
              <w:t>24</w:t>
            </w:r>
            <w:r w:rsidRPr="007872D7">
              <w:rPr>
                <w:rFonts w:ascii="Open Sans Light" w:eastAsia="Times New Roman" w:hAnsi="Open Sans Light" w:cs="Open Sans Light"/>
                <w:color w:val="000000"/>
                <w:sz w:val="16"/>
                <w:szCs w:val="16"/>
                <w:lang w:eastAsia="en-AU"/>
              </w:rPr>
              <w:t xml:space="preserve"> compared with 2020</w:t>
            </w:r>
            <w:r w:rsidRPr="007872D7">
              <w:rPr>
                <w:rFonts w:ascii="Arial" w:eastAsia="Times New Roman" w:hAnsi="Arial" w:cs="Arial"/>
                <w:color w:val="000000"/>
                <w:sz w:val="16"/>
                <w:szCs w:val="16"/>
                <w:lang w:eastAsia="en-AU"/>
              </w:rPr>
              <w:t>‍</w:t>
            </w:r>
            <w:r w:rsidRPr="007872D7">
              <w:rPr>
                <w:rFonts w:ascii="Open Sans Light" w:eastAsia="Times New Roman" w:hAnsi="Open Sans Light" w:cs="Open Sans Light"/>
                <w:color w:val="000000"/>
                <w:sz w:val="16"/>
                <w:szCs w:val="16"/>
                <w:lang w:eastAsia="en-AU"/>
              </w:rPr>
              <w:t>–</w:t>
            </w:r>
            <w:r w:rsidRPr="007872D7">
              <w:rPr>
                <w:rFonts w:ascii="Arial" w:eastAsia="Times New Roman" w:hAnsi="Arial" w:cs="Arial"/>
                <w:color w:val="000000"/>
                <w:sz w:val="16"/>
                <w:szCs w:val="16"/>
                <w:lang w:eastAsia="en-AU"/>
              </w:rPr>
              <w:t>‍</w:t>
            </w:r>
            <w:r w:rsidRPr="007872D7">
              <w:rPr>
                <w:rFonts w:ascii="Open Sans Light" w:eastAsia="Times New Roman" w:hAnsi="Open Sans Light" w:cs="Open Sans Light"/>
                <w:color w:val="000000"/>
                <w:sz w:val="16"/>
                <w:szCs w:val="16"/>
                <w:lang w:eastAsia="en-AU"/>
              </w:rPr>
              <w:t>21 increased coal royalties and the revenue raising capacities of New South Wales and Queensland. This reduced South Australia’s relative mining revenue raising capacity, increasing its assessed GST needs.</w:t>
            </w:r>
          </w:p>
        </w:tc>
      </w:tr>
      <w:tr w:rsidR="002C5A93" w:rsidRPr="007872D7" w14:paraId="365FFC46" w14:textId="77777777">
        <w:trPr>
          <w:trHeight w:val="795"/>
        </w:trPr>
        <w:tc>
          <w:tcPr>
            <w:tcW w:w="2640" w:type="dxa"/>
            <w:tcBorders>
              <w:top w:val="single" w:sz="4" w:space="0" w:color="ADD6EA"/>
              <w:left w:val="nil"/>
              <w:bottom w:val="nil"/>
              <w:right w:val="nil"/>
            </w:tcBorders>
            <w:shd w:val="clear" w:color="000000" w:fill="FFFFFF"/>
            <w:hideMark/>
          </w:tcPr>
          <w:p w14:paraId="6C1189BE" w14:textId="77777777" w:rsidR="002C5A93" w:rsidRPr="007872D7" w:rsidRDefault="002C5A93">
            <w:pPr>
              <w:tabs>
                <w:tab w:val="clear" w:pos="567"/>
              </w:tabs>
              <w:spacing w:before="0" w:line="240" w:lineRule="auto"/>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Taxable payrolls</w:t>
            </w:r>
          </w:p>
        </w:tc>
        <w:tc>
          <w:tcPr>
            <w:tcW w:w="700" w:type="dxa"/>
            <w:tcBorders>
              <w:top w:val="single" w:sz="4" w:space="0" w:color="ADD6EA"/>
              <w:left w:val="nil"/>
              <w:bottom w:val="nil"/>
              <w:right w:val="nil"/>
            </w:tcBorders>
            <w:shd w:val="clear" w:color="000000" w:fill="ADD6EA"/>
            <w:hideMark/>
          </w:tcPr>
          <w:p w14:paraId="77DE383A" w14:textId="77777777" w:rsidR="002C5A93" w:rsidRPr="007872D7" w:rsidRDefault="002C5A9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129</w:t>
            </w:r>
          </w:p>
        </w:tc>
        <w:tc>
          <w:tcPr>
            <w:tcW w:w="700" w:type="dxa"/>
            <w:tcBorders>
              <w:top w:val="single" w:sz="4" w:space="0" w:color="ADD6EA"/>
              <w:left w:val="nil"/>
              <w:bottom w:val="nil"/>
              <w:right w:val="nil"/>
            </w:tcBorders>
            <w:shd w:val="clear" w:color="000000" w:fill="ADD6EA"/>
            <w:hideMark/>
          </w:tcPr>
          <w:p w14:paraId="2320132A" w14:textId="77777777" w:rsidR="002C5A93" w:rsidRPr="007872D7" w:rsidRDefault="002C5A9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68</w:t>
            </w:r>
          </w:p>
        </w:tc>
        <w:tc>
          <w:tcPr>
            <w:tcW w:w="4900" w:type="dxa"/>
            <w:tcBorders>
              <w:top w:val="single" w:sz="4" w:space="0" w:color="ADD6EA"/>
              <w:left w:val="nil"/>
              <w:bottom w:val="nil"/>
              <w:right w:val="nil"/>
            </w:tcBorders>
            <w:shd w:val="clear" w:color="000000" w:fill="FFFFFF"/>
            <w:hideMark/>
          </w:tcPr>
          <w:p w14:paraId="208C031C" w14:textId="77777777" w:rsidR="002C5A93" w:rsidRPr="007872D7" w:rsidRDefault="002C5A93">
            <w:pPr>
              <w:tabs>
                <w:tab w:val="clear" w:pos="567"/>
              </w:tabs>
              <w:spacing w:before="0" w:line="240" w:lineRule="auto"/>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Below-average growth in South Australia’s taxable wages and salaries per capita in 2023–24 compared with 2020</w:t>
            </w:r>
            <w:r w:rsidRPr="007872D7">
              <w:rPr>
                <w:rFonts w:ascii="Arial" w:eastAsia="Times New Roman" w:hAnsi="Arial" w:cs="Arial"/>
                <w:color w:val="000000"/>
                <w:sz w:val="16"/>
                <w:szCs w:val="16"/>
                <w:lang w:eastAsia="en-AU"/>
              </w:rPr>
              <w:t>‍</w:t>
            </w:r>
            <w:r w:rsidRPr="007872D7">
              <w:rPr>
                <w:rFonts w:ascii="Open Sans Light" w:eastAsia="Times New Roman" w:hAnsi="Open Sans Light" w:cs="Open Sans Light"/>
                <w:color w:val="000000"/>
                <w:sz w:val="16"/>
                <w:szCs w:val="16"/>
                <w:lang w:eastAsia="en-AU"/>
              </w:rPr>
              <w:t>–</w:t>
            </w:r>
            <w:r w:rsidRPr="007872D7">
              <w:rPr>
                <w:rFonts w:ascii="Arial" w:eastAsia="Times New Roman" w:hAnsi="Arial" w:cs="Arial"/>
                <w:color w:val="000000"/>
                <w:sz w:val="16"/>
                <w:szCs w:val="16"/>
                <w:lang w:eastAsia="en-AU"/>
              </w:rPr>
              <w:t>‍</w:t>
            </w:r>
            <w:r w:rsidRPr="007872D7">
              <w:rPr>
                <w:rFonts w:ascii="Open Sans Light" w:eastAsia="Times New Roman" w:hAnsi="Open Sans Light" w:cs="Open Sans Light"/>
                <w:color w:val="000000"/>
                <w:sz w:val="16"/>
                <w:szCs w:val="16"/>
                <w:lang w:eastAsia="en-AU"/>
              </w:rPr>
              <w:t>21 decreased South Australia’s relative revenue raising capacity from payroll taxes, increasing its assessed GST needs.</w:t>
            </w:r>
          </w:p>
        </w:tc>
      </w:tr>
      <w:tr w:rsidR="002C5A93" w:rsidRPr="007872D7" w14:paraId="269A5406" w14:textId="77777777">
        <w:trPr>
          <w:trHeight w:val="319"/>
        </w:trPr>
        <w:tc>
          <w:tcPr>
            <w:tcW w:w="2640" w:type="dxa"/>
            <w:tcBorders>
              <w:top w:val="single" w:sz="4" w:space="0" w:color="ADD6EA"/>
              <w:left w:val="nil"/>
              <w:bottom w:val="single" w:sz="4" w:space="0" w:color="ADD6EA"/>
              <w:right w:val="nil"/>
            </w:tcBorders>
            <w:shd w:val="clear" w:color="000000" w:fill="FFFFFF"/>
            <w:hideMark/>
          </w:tcPr>
          <w:p w14:paraId="1B5DDEA0" w14:textId="77777777" w:rsidR="002C5A93" w:rsidRPr="007872D7" w:rsidRDefault="002C5A93">
            <w:pPr>
              <w:tabs>
                <w:tab w:val="clear" w:pos="567"/>
              </w:tabs>
              <w:spacing w:before="0" w:line="240" w:lineRule="auto"/>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Property sales</w:t>
            </w:r>
          </w:p>
        </w:tc>
        <w:tc>
          <w:tcPr>
            <w:tcW w:w="700" w:type="dxa"/>
            <w:tcBorders>
              <w:top w:val="single" w:sz="4" w:space="0" w:color="ADD6EA"/>
              <w:left w:val="nil"/>
              <w:bottom w:val="single" w:sz="4" w:space="0" w:color="ADD6EA"/>
              <w:right w:val="nil"/>
            </w:tcBorders>
            <w:shd w:val="clear" w:color="000000" w:fill="EBBFA0"/>
            <w:hideMark/>
          </w:tcPr>
          <w:p w14:paraId="7B3267C1" w14:textId="77777777" w:rsidR="002C5A93" w:rsidRPr="007872D7" w:rsidRDefault="002C5A9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-98</w:t>
            </w:r>
          </w:p>
        </w:tc>
        <w:tc>
          <w:tcPr>
            <w:tcW w:w="700" w:type="dxa"/>
            <w:tcBorders>
              <w:top w:val="single" w:sz="4" w:space="0" w:color="ADD6EA"/>
              <w:left w:val="nil"/>
              <w:bottom w:val="single" w:sz="4" w:space="0" w:color="ADD6EA"/>
              <w:right w:val="nil"/>
            </w:tcBorders>
            <w:shd w:val="clear" w:color="000000" w:fill="EBBFA0"/>
            <w:hideMark/>
          </w:tcPr>
          <w:p w14:paraId="57C349D4" w14:textId="77777777" w:rsidR="002C5A93" w:rsidRPr="007872D7" w:rsidRDefault="002C5A93">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-51</w:t>
            </w:r>
          </w:p>
        </w:tc>
        <w:tc>
          <w:tcPr>
            <w:tcW w:w="4900" w:type="dxa"/>
            <w:tcBorders>
              <w:top w:val="single" w:sz="4" w:space="0" w:color="ADD6EA"/>
              <w:left w:val="nil"/>
              <w:bottom w:val="single" w:sz="4" w:space="0" w:color="ADD6EA"/>
              <w:right w:val="nil"/>
            </w:tcBorders>
            <w:shd w:val="clear" w:color="000000" w:fill="FFFFFF"/>
            <w:hideMark/>
          </w:tcPr>
          <w:p w14:paraId="79F42773" w14:textId="238D0CD9" w:rsidR="002C5A93" w:rsidRPr="007872D7" w:rsidRDefault="002C5A93">
            <w:pPr>
              <w:tabs>
                <w:tab w:val="clear" w:pos="567"/>
              </w:tabs>
              <w:spacing w:before="0" w:line="240" w:lineRule="auto"/>
              <w:rPr>
                <w:rFonts w:ascii="Open Sans Light" w:eastAsia="Times New Roman" w:hAnsi="Open Sans Light" w:cs="Open Sans Light"/>
                <w:color w:val="000000"/>
                <w:sz w:val="16"/>
                <w:szCs w:val="16"/>
                <w:lang w:eastAsia="en-AU"/>
              </w:rPr>
            </w:pPr>
            <w:r w:rsidRPr="007872D7">
              <w:rPr>
                <w:rFonts w:ascii="Open Sans Light" w:eastAsia="Times New Roman" w:hAnsi="Open Sans Light" w:cs="Open Sans Light"/>
                <w:color w:val="000000"/>
                <w:sz w:val="16"/>
                <w:szCs w:val="16"/>
                <w:lang w:eastAsia="en-AU"/>
              </w:rPr>
              <w:t>Above-average growth in the value of property transfers in 2023</w:t>
            </w:r>
            <w:r w:rsidRPr="007872D7">
              <w:rPr>
                <w:rFonts w:ascii="Arial" w:eastAsia="Times New Roman" w:hAnsi="Arial" w:cs="Arial"/>
                <w:color w:val="000000"/>
                <w:sz w:val="16"/>
                <w:szCs w:val="16"/>
                <w:lang w:eastAsia="en-AU"/>
              </w:rPr>
              <w:t>‍</w:t>
            </w:r>
            <w:r w:rsidRPr="007872D7">
              <w:rPr>
                <w:rFonts w:ascii="Open Sans Light" w:eastAsia="Times New Roman" w:hAnsi="Open Sans Light" w:cs="Open Sans Light"/>
                <w:color w:val="000000"/>
                <w:sz w:val="16"/>
                <w:szCs w:val="16"/>
                <w:lang w:eastAsia="en-AU"/>
              </w:rPr>
              <w:t>–</w:t>
            </w:r>
            <w:r w:rsidRPr="007872D7">
              <w:rPr>
                <w:rFonts w:ascii="Arial" w:eastAsia="Times New Roman" w:hAnsi="Arial" w:cs="Arial"/>
                <w:color w:val="000000"/>
                <w:sz w:val="16"/>
                <w:szCs w:val="16"/>
                <w:lang w:eastAsia="en-AU"/>
              </w:rPr>
              <w:t>‍</w:t>
            </w:r>
            <w:r w:rsidRPr="007872D7">
              <w:rPr>
                <w:rFonts w:ascii="Open Sans Light" w:eastAsia="Times New Roman" w:hAnsi="Open Sans Light" w:cs="Open Sans Light"/>
                <w:color w:val="000000"/>
                <w:sz w:val="16"/>
                <w:szCs w:val="16"/>
                <w:lang w:eastAsia="en-AU"/>
              </w:rPr>
              <w:t>24 compared with 2020–21 increased South Australia’s relative revenue raising capacity, reducing its assessed GST</w:t>
            </w:r>
            <w:r w:rsidR="00C23BA2">
              <w:rPr>
                <w:rFonts w:ascii="Open Sans Light" w:eastAsia="Times New Roman" w:hAnsi="Open Sans Light" w:cs="Open Sans Light"/>
                <w:color w:val="000000"/>
                <w:sz w:val="16"/>
                <w:szCs w:val="16"/>
                <w:lang w:eastAsia="en-AU"/>
              </w:rPr>
              <w:t> </w:t>
            </w:r>
            <w:r w:rsidRPr="007872D7">
              <w:rPr>
                <w:rFonts w:ascii="Open Sans Light" w:eastAsia="Times New Roman" w:hAnsi="Open Sans Light" w:cs="Open Sans Light"/>
                <w:color w:val="000000"/>
                <w:sz w:val="16"/>
                <w:szCs w:val="16"/>
                <w:lang w:eastAsia="en-AU"/>
              </w:rPr>
              <w:t>needs.</w:t>
            </w:r>
          </w:p>
        </w:tc>
      </w:tr>
    </w:tbl>
    <w:p w14:paraId="09963DBA" w14:textId="2B7F670F" w:rsidR="002C5A93" w:rsidRPr="00146FF7" w:rsidRDefault="002C5A93" w:rsidP="00FB2709">
      <w:pPr>
        <w:pStyle w:val="CGC2025TableNote"/>
        <w:numPr>
          <w:ilvl w:val="0"/>
          <w:numId w:val="23"/>
        </w:numPr>
      </w:pPr>
      <w:r w:rsidRPr="00146FF7">
        <w:t>Change of circumstances refers to the impact of replacing the 2020–21 assessment year data with the 2023 24 assessment year data in the calculation of relativities.</w:t>
      </w:r>
    </w:p>
    <w:p w14:paraId="7F674EC4" w14:textId="77777777" w:rsidR="004F07D8" w:rsidRDefault="004F07D8">
      <w:pPr>
        <w:tabs>
          <w:tab w:val="clear" w:pos="567"/>
        </w:tabs>
        <w:spacing w:before="0" w:after="200" w:line="276" w:lineRule="auto"/>
      </w:pPr>
      <w:r>
        <w:br w:type="page"/>
      </w:r>
    </w:p>
    <w:p w14:paraId="1D43F3E9" w14:textId="77777777" w:rsidR="00B90754" w:rsidRPr="00885A41" w:rsidRDefault="00B90754" w:rsidP="00855A05">
      <w:pPr>
        <w:pStyle w:val="Heading2"/>
      </w:pPr>
      <w:r w:rsidRPr="00885A41">
        <w:lastRenderedPageBreak/>
        <w:t>Tasmania</w:t>
      </w:r>
    </w:p>
    <w:p w14:paraId="52F0F767" w14:textId="6F1D1A3D" w:rsidR="00B90754" w:rsidRPr="00885A41" w:rsidRDefault="00B90754" w:rsidP="00B90754">
      <w:r w:rsidRPr="00885A41">
        <w:t xml:space="preserve">In 2025–26, Tasmania’s </w:t>
      </w:r>
      <w:r w:rsidRPr="00885A41" w:rsidDel="00456B8E">
        <w:t>GST</w:t>
      </w:r>
      <w:r w:rsidR="00456B8E">
        <w:t> </w:t>
      </w:r>
      <w:r w:rsidRPr="00885A41">
        <w:t xml:space="preserve">distribution is estimated to increase by $151 million ($261 per capita). Tasmania’s share of the </w:t>
      </w:r>
      <w:r w:rsidRPr="00885A41" w:rsidDel="00456B8E">
        <w:t>GST</w:t>
      </w:r>
      <w:r w:rsidR="00456B8E">
        <w:t> </w:t>
      </w:r>
      <w:r w:rsidRPr="00885A41">
        <w:t>pool is estimated to remain steady at around 3.8%.</w:t>
      </w:r>
    </w:p>
    <w:p w14:paraId="01500862" w14:textId="610CD75D" w:rsidR="00B90754" w:rsidRPr="009D7B96" w:rsidRDefault="00B90754" w:rsidP="00855A05">
      <w:pPr>
        <w:pStyle w:val="CGC2025Bullet1"/>
      </w:pPr>
      <w:r w:rsidRPr="009D7B96">
        <w:t xml:space="preserve">The main factors leading to the increase in Tasmania’s assessed </w:t>
      </w:r>
      <w:r w:rsidRPr="009D7B96" w:rsidDel="00456B8E">
        <w:t>GST</w:t>
      </w:r>
      <w:r w:rsidR="00456B8E" w:rsidRPr="009D7B96">
        <w:t> </w:t>
      </w:r>
      <w:r w:rsidRPr="009D7B96">
        <w:t>needs are:</w:t>
      </w:r>
    </w:p>
    <w:p w14:paraId="765E4288" w14:textId="0D88295E" w:rsidR="00B90754" w:rsidRPr="009D7B96" w:rsidRDefault="00233194" w:rsidP="00855A05">
      <w:pPr>
        <w:pStyle w:val="CGC2025Bullet2"/>
      </w:pPr>
      <w:r w:rsidRPr="009D7B96">
        <w:t>c</w:t>
      </w:r>
      <w:r w:rsidR="00C838B6" w:rsidRPr="009D7B96">
        <w:t>hange</w:t>
      </w:r>
      <w:r w:rsidR="00B772BB" w:rsidRPr="009D7B96">
        <w:t>s to the wage costs</w:t>
      </w:r>
      <w:r w:rsidR="00C838B6" w:rsidRPr="009D7B96">
        <w:t xml:space="preserve"> assessment method</w:t>
      </w:r>
      <w:r w:rsidR="00401C84" w:rsidRPr="009D7B96">
        <w:t xml:space="preserve">, </w:t>
      </w:r>
      <w:r w:rsidR="00F25A0B" w:rsidRPr="009D7B96">
        <w:t>which led</w:t>
      </w:r>
      <w:r w:rsidR="00C838B6" w:rsidRPr="009D7B96">
        <w:t xml:space="preserve"> to </w:t>
      </w:r>
      <w:r w:rsidR="00B90754" w:rsidRPr="009D7B96">
        <w:t>an increase in the modelled wage costs of workers in Tasmania, and</w:t>
      </w:r>
      <w:r w:rsidR="007001A6" w:rsidRPr="009D7B96">
        <w:t xml:space="preserve"> </w:t>
      </w:r>
      <w:r w:rsidR="00B90754" w:rsidRPr="009D7B96">
        <w:t>smooth</w:t>
      </w:r>
      <w:r w:rsidR="00B772BB" w:rsidRPr="009D7B96">
        <w:t>ed</w:t>
      </w:r>
      <w:r w:rsidR="00B90754" w:rsidRPr="009D7B96">
        <w:t xml:space="preserve"> the below</w:t>
      </w:r>
      <w:r w:rsidR="003313BC">
        <w:noBreakHyphen/>
      </w:r>
      <w:r w:rsidR="00B90754" w:rsidRPr="009D7B96">
        <w:t>trend estimates of Tasmania’s wage cost</w:t>
      </w:r>
      <w:r w:rsidR="00801E7E" w:rsidRPr="009D7B96">
        <w:t>s</w:t>
      </w:r>
    </w:p>
    <w:p w14:paraId="192B5EAF" w14:textId="2C11A71C" w:rsidR="00B90754" w:rsidRPr="009D7B96" w:rsidRDefault="00B90754" w:rsidP="00855A05">
      <w:pPr>
        <w:pStyle w:val="CGC2025Bullet2"/>
      </w:pPr>
      <w:r w:rsidRPr="009D7B96">
        <w:t>a reduced relative capacity to raise mining revenue, because of the increase in the revenue raising capacity of the main coal producing states (</w:t>
      </w:r>
      <w:r w:rsidR="004D6692" w:rsidRPr="009D7B96">
        <w:t>New South </w:t>
      </w:r>
      <w:r w:rsidRPr="009D7B96">
        <w:t>Wales and Queensland)</w:t>
      </w:r>
    </w:p>
    <w:p w14:paraId="2FDC2795" w14:textId="13A90DB2" w:rsidR="00B90754" w:rsidRPr="009D7B96" w:rsidRDefault="00B90754" w:rsidP="00855A05">
      <w:pPr>
        <w:pStyle w:val="CGC2025Bullet2"/>
      </w:pPr>
      <w:r w:rsidRPr="009D7B96">
        <w:t xml:space="preserve">the increased influence of population dispersion on the </w:t>
      </w:r>
      <w:r w:rsidRPr="009D7B96" w:rsidDel="00456B8E">
        <w:t>GST</w:t>
      </w:r>
      <w:r w:rsidR="00456B8E" w:rsidRPr="009D7B96">
        <w:t> </w:t>
      </w:r>
      <w:r w:rsidRPr="009D7B96">
        <w:t>distribution from increases in assessed state expenses in regional and remote areas</w:t>
      </w:r>
    </w:p>
    <w:p w14:paraId="2BE747F6" w14:textId="4A30AB40" w:rsidR="00B90754" w:rsidRPr="009D7B96" w:rsidRDefault="00B90754" w:rsidP="00855A05">
      <w:pPr>
        <w:pStyle w:val="CGC2025Bullet2"/>
      </w:pPr>
      <w:r w:rsidRPr="009D7B96">
        <w:t>the decrease in Tasmania’s share of national population growth</w:t>
      </w:r>
      <w:r w:rsidR="00702109" w:rsidRPr="009D7B96">
        <w:t>, which</w:t>
      </w:r>
      <w:r w:rsidRPr="009D7B96">
        <w:t xml:space="preserve"> decreased its capacity to maintain its per capita share of total net financial liabilities.</w:t>
      </w:r>
    </w:p>
    <w:p w14:paraId="62C0711F" w14:textId="2149156D" w:rsidR="00B90754" w:rsidRPr="009D7B96" w:rsidRDefault="00B90754" w:rsidP="00855A05">
      <w:pPr>
        <w:pStyle w:val="CGC2025Bullet1"/>
      </w:pPr>
      <w:r w:rsidRPr="009D7B96">
        <w:t xml:space="preserve">Tasmania’s increase in assessed </w:t>
      </w:r>
      <w:r w:rsidRPr="009D7B96" w:rsidDel="00456B8E">
        <w:t>GST</w:t>
      </w:r>
      <w:r w:rsidR="00456B8E" w:rsidRPr="009D7B96">
        <w:t> </w:t>
      </w:r>
      <w:r w:rsidRPr="009D7B96">
        <w:t>needs is partially offset by receiving a larger share of assessed Commonwealth payments in 2023</w:t>
      </w:r>
      <w:r w:rsidR="00A308DE" w:rsidRPr="009D7B96">
        <w:rPr>
          <w:rFonts w:ascii="Times New Roman" w:hAnsi="Times New Roman" w:cs="Times New Roman"/>
        </w:rPr>
        <w:t>‍</w:t>
      </w:r>
      <w:r w:rsidRPr="009D7B96">
        <w:t>–</w:t>
      </w:r>
      <w:r w:rsidR="00A308DE" w:rsidRPr="009D7B96">
        <w:rPr>
          <w:rFonts w:ascii="Times New Roman" w:hAnsi="Times New Roman" w:cs="Times New Roman"/>
        </w:rPr>
        <w:t>‍</w:t>
      </w:r>
      <w:r w:rsidRPr="009D7B96">
        <w:t xml:space="preserve">24 </w:t>
      </w:r>
      <w:r w:rsidR="00BB4664" w:rsidRPr="009D7B96">
        <w:t>compared to</w:t>
      </w:r>
      <w:r w:rsidRPr="009D7B96">
        <w:t xml:space="preserve"> 2020</w:t>
      </w:r>
      <w:r w:rsidR="00A308DE" w:rsidRPr="009D7B96">
        <w:rPr>
          <w:rFonts w:ascii="Times New Roman" w:hAnsi="Times New Roman" w:cs="Times New Roman"/>
        </w:rPr>
        <w:t>‍</w:t>
      </w:r>
      <w:r w:rsidRPr="009D7B96">
        <w:t>–</w:t>
      </w:r>
      <w:r w:rsidR="00A308DE" w:rsidRPr="009D7B96">
        <w:rPr>
          <w:rFonts w:ascii="Times New Roman" w:hAnsi="Times New Roman" w:cs="Times New Roman"/>
        </w:rPr>
        <w:t>‍</w:t>
      </w:r>
      <w:r w:rsidRPr="009D7B96">
        <w:t xml:space="preserve">21 and </w:t>
      </w:r>
      <w:r w:rsidR="00140C6C" w:rsidRPr="009D7B96">
        <w:t xml:space="preserve">the change in the assessment of COVID-19 business support </w:t>
      </w:r>
      <w:r w:rsidR="00A36533" w:rsidRPr="009D7B96">
        <w:t xml:space="preserve">and </w:t>
      </w:r>
      <w:r w:rsidRPr="009D7B96" w:rsidDel="00E251F5">
        <w:t>Tasmania’s below-average COVID-19 business support expenses</w:t>
      </w:r>
      <w:r w:rsidRPr="009D7B96">
        <w:t>.</w:t>
      </w:r>
    </w:p>
    <w:p w14:paraId="0BC09A6A" w14:textId="7666D895" w:rsidR="00B90754" w:rsidRPr="00885A41" w:rsidRDefault="00B90754" w:rsidP="00855A05">
      <w:pPr>
        <w:pStyle w:val="CGC2025Bullet1"/>
      </w:pPr>
      <w:r w:rsidRPr="00885A41">
        <w:t xml:space="preserve">The expected growth in the </w:t>
      </w:r>
      <w:r w:rsidRPr="00885A41" w:rsidDel="00456B8E">
        <w:t>GST</w:t>
      </w:r>
      <w:r w:rsidR="00456B8E">
        <w:t> </w:t>
      </w:r>
      <w:r w:rsidRPr="00885A41">
        <w:t>pool contributed to the increase in Tasmania’s GST distribution.</w:t>
      </w:r>
    </w:p>
    <w:p w14:paraId="76F09A6A" w14:textId="18614E3D" w:rsidR="00B90754" w:rsidRPr="00885A41" w:rsidRDefault="00B90754" w:rsidP="00855A05">
      <w:pPr>
        <w:pStyle w:val="CGC2025Bullet1"/>
      </w:pPr>
      <w:r w:rsidRPr="00885A41">
        <w:t xml:space="preserve">The operation of blended relativities and the </w:t>
      </w:r>
      <w:r w:rsidRPr="00885A41" w:rsidDel="00456B8E">
        <w:t>GST</w:t>
      </w:r>
      <w:r w:rsidR="00456B8E">
        <w:t> </w:t>
      </w:r>
      <w:r w:rsidRPr="00885A41">
        <w:t xml:space="preserve">floor reduced Tasmania’s </w:t>
      </w:r>
      <w:r w:rsidRPr="00885A41" w:rsidDel="00456B8E">
        <w:t>GST</w:t>
      </w:r>
      <w:r w:rsidR="00456B8E">
        <w:t> </w:t>
      </w:r>
      <w:r w:rsidRPr="00885A41">
        <w:t>distribution by $</w:t>
      </w:r>
      <w:r w:rsidR="00C750DC" w:rsidRPr="00885A41">
        <w:t>16</w:t>
      </w:r>
      <w:r w:rsidR="00C750DC">
        <w:t> </w:t>
      </w:r>
      <w:r w:rsidRPr="00885A41">
        <w:t>million more than in 2024–25.</w:t>
      </w:r>
    </w:p>
    <w:p w14:paraId="0760C069" w14:textId="77777777" w:rsidR="00B90754" w:rsidRPr="00885A41" w:rsidRDefault="00B90754" w:rsidP="00B90754">
      <w:pPr>
        <w:pStyle w:val="CGC2025Caption"/>
        <w:ind w:left="1440" w:hanging="1440"/>
      </w:pPr>
      <w:r w:rsidRPr="00885A41">
        <w:t>Table 3-6</w:t>
      </w:r>
      <w:r w:rsidRPr="00885A41">
        <w:tab/>
        <w:t>Change in estimated GST distribution from 2024–25 to 2025–26, Tasmania (excludes no worse off payments)</w:t>
      </w:r>
    </w:p>
    <w:tbl>
      <w:tblPr>
        <w:tblW w:w="8940" w:type="dxa"/>
        <w:tblCellMar>
          <w:top w:w="15" w:type="dxa"/>
          <w:bottom w:w="15" w:type="dxa"/>
        </w:tblCellMar>
        <w:tblLook w:val="04A0" w:firstRow="1" w:lastRow="0" w:firstColumn="1" w:lastColumn="0" w:noHBand="0" w:noVBand="1"/>
      </w:tblPr>
      <w:tblGrid>
        <w:gridCol w:w="4060"/>
        <w:gridCol w:w="2440"/>
        <w:gridCol w:w="2440"/>
      </w:tblGrid>
      <w:tr w:rsidR="0054494D" w:rsidRPr="00C77790" w14:paraId="6AC0128D" w14:textId="77777777">
        <w:trPr>
          <w:trHeight w:val="300"/>
        </w:trPr>
        <w:tc>
          <w:tcPr>
            <w:tcW w:w="4060" w:type="dxa"/>
            <w:tcBorders>
              <w:top w:val="nil"/>
              <w:left w:val="nil"/>
              <w:bottom w:val="single" w:sz="4" w:space="0" w:color="ADD6EA"/>
              <w:right w:val="nil"/>
            </w:tcBorders>
            <w:shd w:val="clear" w:color="000000" w:fill="006991"/>
            <w:noWrap/>
            <w:vAlign w:val="center"/>
            <w:hideMark/>
          </w:tcPr>
          <w:p w14:paraId="7FA79F7F" w14:textId="77777777" w:rsidR="0054494D" w:rsidRPr="00C77790" w:rsidRDefault="0054494D">
            <w:pPr>
              <w:tabs>
                <w:tab w:val="clear" w:pos="567"/>
              </w:tabs>
              <w:spacing w:before="0" w:line="240" w:lineRule="auto"/>
              <w:rPr>
                <w:rFonts w:ascii="Times New Roman" w:eastAsia="Times New Roman" w:hAnsi="Times New Roman" w:cs="Times New Roman"/>
                <w:sz w:val="24"/>
                <w:szCs w:val="24"/>
                <w:lang w:eastAsia="en-AU"/>
              </w:rPr>
            </w:pPr>
          </w:p>
        </w:tc>
        <w:tc>
          <w:tcPr>
            <w:tcW w:w="2440" w:type="dxa"/>
            <w:tcBorders>
              <w:top w:val="nil"/>
              <w:left w:val="nil"/>
              <w:bottom w:val="single" w:sz="4" w:space="0" w:color="ADD6EA"/>
              <w:right w:val="nil"/>
            </w:tcBorders>
            <w:shd w:val="clear" w:color="000000" w:fill="006991"/>
            <w:noWrap/>
            <w:vAlign w:val="center"/>
            <w:hideMark/>
          </w:tcPr>
          <w:p w14:paraId="5C9EC8F1" w14:textId="77777777" w:rsidR="0054494D" w:rsidRPr="00C77790" w:rsidRDefault="0054494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7790">
              <w:rPr>
                <w:rFonts w:ascii="Open Sans Semibold" w:eastAsia="Times New Roman" w:hAnsi="Open Sans Semibold" w:cs="Open Sans Semibold"/>
                <w:color w:val="FFFFFF"/>
                <w:sz w:val="16"/>
                <w:szCs w:val="16"/>
                <w:lang w:eastAsia="en-AU"/>
              </w:rPr>
              <w:t>$m</w:t>
            </w:r>
          </w:p>
        </w:tc>
        <w:tc>
          <w:tcPr>
            <w:tcW w:w="2440" w:type="dxa"/>
            <w:tcBorders>
              <w:top w:val="nil"/>
              <w:left w:val="nil"/>
              <w:bottom w:val="single" w:sz="4" w:space="0" w:color="ADD6EA"/>
              <w:right w:val="nil"/>
            </w:tcBorders>
            <w:shd w:val="clear" w:color="000000" w:fill="006991"/>
            <w:noWrap/>
            <w:vAlign w:val="center"/>
            <w:hideMark/>
          </w:tcPr>
          <w:p w14:paraId="528F9E7D" w14:textId="77777777" w:rsidR="0054494D" w:rsidRPr="00C77790" w:rsidRDefault="0054494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7790">
              <w:rPr>
                <w:rFonts w:ascii="Open Sans Semibold" w:eastAsia="Times New Roman" w:hAnsi="Open Sans Semibold" w:cs="Open Sans Semibold"/>
                <w:color w:val="FFFFFF"/>
                <w:sz w:val="16"/>
                <w:szCs w:val="16"/>
                <w:lang w:eastAsia="en-AU"/>
              </w:rPr>
              <w:t>$pc</w:t>
            </w:r>
          </w:p>
        </w:tc>
      </w:tr>
      <w:tr w:rsidR="0054494D" w:rsidRPr="00C77790" w14:paraId="1A8CD1B5" w14:textId="77777777">
        <w:trPr>
          <w:trHeight w:val="300"/>
        </w:trPr>
        <w:tc>
          <w:tcPr>
            <w:tcW w:w="4060" w:type="dxa"/>
            <w:tcBorders>
              <w:top w:val="single" w:sz="4" w:space="0" w:color="ADD6EA"/>
              <w:left w:val="nil"/>
              <w:bottom w:val="single" w:sz="4" w:space="0" w:color="ADD6EA"/>
              <w:right w:val="nil"/>
            </w:tcBorders>
            <w:noWrap/>
            <w:vAlign w:val="center"/>
            <w:hideMark/>
          </w:tcPr>
          <w:p w14:paraId="65948FB3" w14:textId="77777777" w:rsidR="0054494D" w:rsidRPr="00C77790" w:rsidRDefault="0054494D">
            <w:pPr>
              <w:tabs>
                <w:tab w:val="clear" w:pos="567"/>
              </w:tabs>
              <w:spacing w:before="0" w:line="240" w:lineRule="auto"/>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 xml:space="preserve">Change in </w:t>
            </w:r>
            <w:r w:rsidRPr="00C77790">
              <w:rPr>
                <w:rFonts w:ascii="Open Sans Light" w:eastAsia="Times New Roman" w:hAnsi="Open Sans Light" w:cs="Open Sans Light"/>
                <w:color w:val="000000"/>
                <w:sz w:val="16"/>
                <w:szCs w:val="16"/>
                <w:lang w:eastAsia="en-AU"/>
              </w:rPr>
              <w:t>population</w:t>
            </w:r>
          </w:p>
        </w:tc>
        <w:tc>
          <w:tcPr>
            <w:tcW w:w="2440" w:type="dxa"/>
            <w:tcBorders>
              <w:top w:val="single" w:sz="4" w:space="0" w:color="ADD6EA"/>
              <w:left w:val="nil"/>
              <w:bottom w:val="single" w:sz="4" w:space="0" w:color="ADD6EA"/>
              <w:right w:val="nil"/>
            </w:tcBorders>
            <w:noWrap/>
            <w:vAlign w:val="center"/>
            <w:hideMark/>
          </w:tcPr>
          <w:p w14:paraId="0F59B620" w14:textId="77777777" w:rsidR="0054494D" w:rsidRPr="00C77790" w:rsidRDefault="0054494D">
            <w:pPr>
              <w:tabs>
                <w:tab w:val="clear" w:pos="567"/>
              </w:tabs>
              <w:spacing w:before="0" w:line="240" w:lineRule="auto"/>
              <w:jc w:val="right"/>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-39</w:t>
            </w:r>
          </w:p>
        </w:tc>
        <w:tc>
          <w:tcPr>
            <w:tcW w:w="2440" w:type="dxa"/>
            <w:tcBorders>
              <w:top w:val="single" w:sz="4" w:space="0" w:color="ADD6EA"/>
              <w:left w:val="nil"/>
              <w:bottom w:val="single" w:sz="4" w:space="0" w:color="ADD6EA"/>
              <w:right w:val="nil"/>
            </w:tcBorders>
            <w:noWrap/>
            <w:vAlign w:val="center"/>
            <w:hideMark/>
          </w:tcPr>
          <w:p w14:paraId="7FAC92E8" w14:textId="77777777" w:rsidR="0054494D" w:rsidRPr="00C77790" w:rsidRDefault="0054494D">
            <w:pPr>
              <w:tabs>
                <w:tab w:val="clear" w:pos="567"/>
              </w:tabs>
              <w:spacing w:before="0" w:line="240" w:lineRule="auto"/>
              <w:jc w:val="right"/>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-68</w:t>
            </w:r>
          </w:p>
        </w:tc>
      </w:tr>
      <w:tr w:rsidR="0054494D" w:rsidRPr="00C77790" w14:paraId="45799334" w14:textId="77777777">
        <w:trPr>
          <w:trHeight w:val="300"/>
        </w:trPr>
        <w:tc>
          <w:tcPr>
            <w:tcW w:w="4060" w:type="dxa"/>
            <w:tcBorders>
              <w:top w:val="single" w:sz="4" w:space="0" w:color="ADD6EA"/>
              <w:left w:val="nil"/>
              <w:bottom w:val="single" w:sz="4" w:space="0" w:color="ADD6EA"/>
              <w:right w:val="nil"/>
            </w:tcBorders>
            <w:noWrap/>
            <w:vAlign w:val="center"/>
            <w:hideMark/>
          </w:tcPr>
          <w:p w14:paraId="2755D74F" w14:textId="77777777" w:rsidR="0054494D" w:rsidRPr="00C77790" w:rsidRDefault="0054494D">
            <w:pPr>
              <w:tabs>
                <w:tab w:val="clear" w:pos="567"/>
              </w:tabs>
              <w:spacing w:before="0" w:line="240" w:lineRule="auto"/>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 xml:space="preserve">Growth in GST pool </w:t>
            </w:r>
          </w:p>
        </w:tc>
        <w:tc>
          <w:tcPr>
            <w:tcW w:w="2440" w:type="dxa"/>
            <w:tcBorders>
              <w:top w:val="single" w:sz="4" w:space="0" w:color="ADD6EA"/>
              <w:left w:val="nil"/>
              <w:bottom w:val="single" w:sz="4" w:space="0" w:color="ADD6EA"/>
              <w:right w:val="nil"/>
            </w:tcBorders>
            <w:noWrap/>
            <w:vAlign w:val="center"/>
            <w:hideMark/>
          </w:tcPr>
          <w:p w14:paraId="2331C146" w14:textId="77777777" w:rsidR="0054494D" w:rsidRPr="00C77790" w:rsidRDefault="0054494D">
            <w:pPr>
              <w:tabs>
                <w:tab w:val="clear" w:pos="567"/>
              </w:tabs>
              <w:spacing w:before="0" w:line="240" w:lineRule="auto"/>
              <w:jc w:val="right"/>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172</w:t>
            </w:r>
          </w:p>
        </w:tc>
        <w:tc>
          <w:tcPr>
            <w:tcW w:w="2440" w:type="dxa"/>
            <w:tcBorders>
              <w:top w:val="single" w:sz="4" w:space="0" w:color="ADD6EA"/>
              <w:left w:val="nil"/>
              <w:bottom w:val="single" w:sz="4" w:space="0" w:color="ADD6EA"/>
              <w:right w:val="nil"/>
            </w:tcBorders>
            <w:noWrap/>
            <w:vAlign w:val="center"/>
            <w:hideMark/>
          </w:tcPr>
          <w:p w14:paraId="46D07086" w14:textId="77777777" w:rsidR="0054494D" w:rsidRPr="00C77790" w:rsidRDefault="0054494D">
            <w:pPr>
              <w:tabs>
                <w:tab w:val="clear" w:pos="567"/>
              </w:tabs>
              <w:spacing w:before="0" w:line="240" w:lineRule="auto"/>
              <w:jc w:val="right"/>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297</w:t>
            </w:r>
          </w:p>
        </w:tc>
      </w:tr>
      <w:tr w:rsidR="0054494D" w:rsidRPr="00C77790" w14:paraId="69A733A2" w14:textId="77777777">
        <w:trPr>
          <w:trHeight w:val="300"/>
        </w:trPr>
        <w:tc>
          <w:tcPr>
            <w:tcW w:w="4060" w:type="dxa"/>
            <w:tcBorders>
              <w:top w:val="single" w:sz="4" w:space="0" w:color="ADD6EA"/>
              <w:left w:val="nil"/>
              <w:bottom w:val="single" w:sz="4" w:space="0" w:color="ADD6EA"/>
              <w:right w:val="nil"/>
            </w:tcBorders>
            <w:noWrap/>
            <w:vAlign w:val="center"/>
            <w:hideMark/>
          </w:tcPr>
          <w:p w14:paraId="64111984" w14:textId="77777777" w:rsidR="0054494D" w:rsidRPr="00C77790" w:rsidRDefault="0054494D">
            <w:pPr>
              <w:tabs>
                <w:tab w:val="clear" w:pos="567"/>
              </w:tabs>
              <w:spacing w:before="0" w:line="240" w:lineRule="auto"/>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Changes in assessed needs</w:t>
            </w:r>
          </w:p>
        </w:tc>
        <w:tc>
          <w:tcPr>
            <w:tcW w:w="2440" w:type="dxa"/>
            <w:tcBorders>
              <w:top w:val="single" w:sz="4" w:space="0" w:color="ADD6EA"/>
              <w:left w:val="nil"/>
              <w:bottom w:val="single" w:sz="4" w:space="0" w:color="ADD6EA"/>
              <w:right w:val="nil"/>
            </w:tcBorders>
            <w:noWrap/>
            <w:vAlign w:val="center"/>
            <w:hideMark/>
          </w:tcPr>
          <w:p w14:paraId="7F0CBECE" w14:textId="77777777" w:rsidR="0054494D" w:rsidRPr="00C77790" w:rsidRDefault="0054494D">
            <w:pPr>
              <w:tabs>
                <w:tab w:val="clear" w:pos="567"/>
              </w:tabs>
              <w:spacing w:before="0" w:line="240" w:lineRule="auto"/>
              <w:rPr>
                <w:rFonts w:ascii="Open Sans Light" w:eastAsia="Times New Roman" w:hAnsi="Open Sans Light" w:cs="Open Sans Light"/>
                <w:sz w:val="16"/>
                <w:szCs w:val="16"/>
                <w:lang w:eastAsia="en-AU"/>
              </w:rPr>
            </w:pPr>
          </w:p>
        </w:tc>
        <w:tc>
          <w:tcPr>
            <w:tcW w:w="2440" w:type="dxa"/>
            <w:tcBorders>
              <w:top w:val="single" w:sz="4" w:space="0" w:color="ADD6EA"/>
              <w:left w:val="nil"/>
              <w:bottom w:val="single" w:sz="4" w:space="0" w:color="ADD6EA"/>
              <w:right w:val="nil"/>
            </w:tcBorders>
            <w:noWrap/>
            <w:vAlign w:val="center"/>
            <w:hideMark/>
          </w:tcPr>
          <w:p w14:paraId="2700ED95" w14:textId="77777777" w:rsidR="0054494D" w:rsidRPr="00C77790" w:rsidRDefault="0054494D">
            <w:pPr>
              <w:tabs>
                <w:tab w:val="clear" w:pos="567"/>
              </w:tabs>
              <w:spacing w:before="0" w:line="240" w:lineRule="auto"/>
              <w:jc w:val="right"/>
              <w:rPr>
                <w:rFonts w:ascii="Times New Roman" w:eastAsia="Times New Roman" w:hAnsi="Times New Roman" w:cs="Times New Roman"/>
                <w:szCs w:val="20"/>
                <w:lang w:eastAsia="en-AU"/>
              </w:rPr>
            </w:pPr>
          </w:p>
        </w:tc>
      </w:tr>
      <w:tr w:rsidR="0054494D" w:rsidRPr="00C77790" w14:paraId="1C59FA1E" w14:textId="77777777">
        <w:trPr>
          <w:trHeight w:val="300"/>
        </w:trPr>
        <w:tc>
          <w:tcPr>
            <w:tcW w:w="4060" w:type="dxa"/>
            <w:tcBorders>
              <w:top w:val="single" w:sz="4" w:space="0" w:color="ADD6EA"/>
              <w:left w:val="nil"/>
              <w:bottom w:val="single" w:sz="4" w:space="0" w:color="ADD6EA"/>
              <w:right w:val="nil"/>
            </w:tcBorders>
            <w:noWrap/>
            <w:vAlign w:val="center"/>
            <w:hideMark/>
          </w:tcPr>
          <w:p w14:paraId="4E74CB22" w14:textId="77777777" w:rsidR="0054494D" w:rsidRPr="00C77790" w:rsidRDefault="0054494D">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Method changes</w:t>
            </w:r>
          </w:p>
        </w:tc>
        <w:tc>
          <w:tcPr>
            <w:tcW w:w="2440" w:type="dxa"/>
            <w:tcBorders>
              <w:top w:val="single" w:sz="4" w:space="0" w:color="ADD6EA"/>
              <w:left w:val="nil"/>
              <w:bottom w:val="single" w:sz="4" w:space="0" w:color="ADD6EA"/>
              <w:right w:val="nil"/>
            </w:tcBorders>
            <w:noWrap/>
            <w:vAlign w:val="center"/>
            <w:hideMark/>
          </w:tcPr>
          <w:p w14:paraId="71A1A5CC" w14:textId="77777777" w:rsidR="0054494D" w:rsidRPr="00C77790" w:rsidRDefault="0054494D">
            <w:pPr>
              <w:tabs>
                <w:tab w:val="clear" w:pos="567"/>
              </w:tabs>
              <w:spacing w:before="0" w:line="240" w:lineRule="auto"/>
              <w:jc w:val="right"/>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70</w:t>
            </w:r>
          </w:p>
        </w:tc>
        <w:tc>
          <w:tcPr>
            <w:tcW w:w="2440" w:type="dxa"/>
            <w:tcBorders>
              <w:top w:val="single" w:sz="4" w:space="0" w:color="ADD6EA"/>
              <w:left w:val="nil"/>
              <w:bottom w:val="single" w:sz="4" w:space="0" w:color="ADD6EA"/>
              <w:right w:val="nil"/>
            </w:tcBorders>
            <w:noWrap/>
            <w:vAlign w:val="center"/>
            <w:hideMark/>
          </w:tcPr>
          <w:p w14:paraId="61628A21" w14:textId="77777777" w:rsidR="0054494D" w:rsidRPr="00C77790" w:rsidRDefault="0054494D">
            <w:pPr>
              <w:tabs>
                <w:tab w:val="clear" w:pos="567"/>
              </w:tabs>
              <w:spacing w:before="0" w:line="240" w:lineRule="auto"/>
              <w:jc w:val="right"/>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122</w:t>
            </w:r>
          </w:p>
        </w:tc>
      </w:tr>
      <w:tr w:rsidR="0054494D" w:rsidRPr="00C77790" w14:paraId="37F9BD4B" w14:textId="77777777">
        <w:trPr>
          <w:trHeight w:val="300"/>
        </w:trPr>
        <w:tc>
          <w:tcPr>
            <w:tcW w:w="4060" w:type="dxa"/>
            <w:tcBorders>
              <w:top w:val="single" w:sz="4" w:space="0" w:color="ADD6EA"/>
              <w:left w:val="nil"/>
              <w:bottom w:val="single" w:sz="4" w:space="0" w:color="ADD6EA"/>
              <w:right w:val="nil"/>
            </w:tcBorders>
            <w:noWrap/>
            <w:vAlign w:val="center"/>
            <w:hideMark/>
          </w:tcPr>
          <w:p w14:paraId="42DD1A7A" w14:textId="77777777" w:rsidR="0054494D" w:rsidRPr="00C77790" w:rsidRDefault="0054494D">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Data revisions</w:t>
            </w:r>
          </w:p>
        </w:tc>
        <w:tc>
          <w:tcPr>
            <w:tcW w:w="2440" w:type="dxa"/>
            <w:tcBorders>
              <w:top w:val="single" w:sz="4" w:space="0" w:color="ADD6EA"/>
              <w:left w:val="nil"/>
              <w:bottom w:val="single" w:sz="4" w:space="0" w:color="ADD6EA"/>
              <w:right w:val="nil"/>
            </w:tcBorders>
            <w:noWrap/>
            <w:vAlign w:val="center"/>
            <w:hideMark/>
          </w:tcPr>
          <w:p w14:paraId="374DA266" w14:textId="77777777" w:rsidR="0054494D" w:rsidRPr="00C77790" w:rsidRDefault="0054494D">
            <w:pPr>
              <w:tabs>
                <w:tab w:val="clear" w:pos="567"/>
              </w:tabs>
              <w:spacing w:before="0" w:line="240" w:lineRule="auto"/>
              <w:jc w:val="right"/>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-35</w:t>
            </w:r>
          </w:p>
        </w:tc>
        <w:tc>
          <w:tcPr>
            <w:tcW w:w="2440" w:type="dxa"/>
            <w:tcBorders>
              <w:top w:val="single" w:sz="4" w:space="0" w:color="ADD6EA"/>
              <w:left w:val="nil"/>
              <w:bottom w:val="single" w:sz="4" w:space="0" w:color="ADD6EA"/>
              <w:right w:val="nil"/>
            </w:tcBorders>
            <w:noWrap/>
            <w:vAlign w:val="center"/>
            <w:hideMark/>
          </w:tcPr>
          <w:p w14:paraId="385BE1FF" w14:textId="77777777" w:rsidR="0054494D" w:rsidRPr="00C77790" w:rsidRDefault="0054494D">
            <w:pPr>
              <w:tabs>
                <w:tab w:val="clear" w:pos="567"/>
              </w:tabs>
              <w:spacing w:before="0" w:line="240" w:lineRule="auto"/>
              <w:jc w:val="right"/>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-61</w:t>
            </w:r>
          </w:p>
        </w:tc>
      </w:tr>
      <w:tr w:rsidR="0054494D" w:rsidRPr="00C77790" w14:paraId="197B849A" w14:textId="77777777">
        <w:trPr>
          <w:trHeight w:val="300"/>
        </w:trPr>
        <w:tc>
          <w:tcPr>
            <w:tcW w:w="4060" w:type="dxa"/>
            <w:tcBorders>
              <w:top w:val="single" w:sz="4" w:space="0" w:color="ADD6EA"/>
              <w:left w:val="nil"/>
              <w:bottom w:val="single" w:sz="4" w:space="0" w:color="ADD6EA"/>
              <w:right w:val="nil"/>
            </w:tcBorders>
            <w:noWrap/>
            <w:vAlign w:val="center"/>
            <w:hideMark/>
          </w:tcPr>
          <w:p w14:paraId="02DFAEEE" w14:textId="77777777" w:rsidR="0054494D" w:rsidRPr="00C77790" w:rsidRDefault="0054494D">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State circumstances</w:t>
            </w:r>
          </w:p>
        </w:tc>
        <w:tc>
          <w:tcPr>
            <w:tcW w:w="2440" w:type="dxa"/>
            <w:tcBorders>
              <w:top w:val="single" w:sz="4" w:space="0" w:color="ADD6EA"/>
              <w:left w:val="nil"/>
              <w:bottom w:val="single" w:sz="4" w:space="0" w:color="ADD6EA"/>
              <w:right w:val="nil"/>
            </w:tcBorders>
            <w:noWrap/>
            <w:vAlign w:val="center"/>
            <w:hideMark/>
          </w:tcPr>
          <w:p w14:paraId="5A469B47" w14:textId="77777777" w:rsidR="0054494D" w:rsidRPr="00C77790" w:rsidRDefault="0054494D">
            <w:pPr>
              <w:tabs>
                <w:tab w:val="clear" w:pos="567"/>
              </w:tabs>
              <w:spacing w:before="0" w:line="240" w:lineRule="auto"/>
              <w:jc w:val="right"/>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-1</w:t>
            </w:r>
          </w:p>
        </w:tc>
        <w:tc>
          <w:tcPr>
            <w:tcW w:w="2440" w:type="dxa"/>
            <w:tcBorders>
              <w:top w:val="single" w:sz="4" w:space="0" w:color="ADD6EA"/>
              <w:left w:val="nil"/>
              <w:bottom w:val="single" w:sz="4" w:space="0" w:color="ADD6EA"/>
              <w:right w:val="nil"/>
            </w:tcBorders>
            <w:noWrap/>
            <w:vAlign w:val="center"/>
            <w:hideMark/>
          </w:tcPr>
          <w:p w14:paraId="61BFE330" w14:textId="77777777" w:rsidR="0054494D" w:rsidRPr="00C77790" w:rsidRDefault="0054494D">
            <w:pPr>
              <w:tabs>
                <w:tab w:val="clear" w:pos="567"/>
              </w:tabs>
              <w:spacing w:before="0" w:line="240" w:lineRule="auto"/>
              <w:jc w:val="right"/>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-2</w:t>
            </w:r>
          </w:p>
        </w:tc>
      </w:tr>
      <w:tr w:rsidR="0054494D" w:rsidRPr="00C77790" w14:paraId="016E502E" w14:textId="77777777">
        <w:trPr>
          <w:trHeight w:val="300"/>
        </w:trPr>
        <w:tc>
          <w:tcPr>
            <w:tcW w:w="4060" w:type="dxa"/>
            <w:tcBorders>
              <w:top w:val="single" w:sz="4" w:space="0" w:color="ADD6EA"/>
              <w:left w:val="nil"/>
              <w:bottom w:val="single" w:sz="4" w:space="0" w:color="ADD6EA"/>
              <w:right w:val="nil"/>
            </w:tcBorders>
            <w:noWrap/>
            <w:vAlign w:val="center"/>
            <w:hideMark/>
          </w:tcPr>
          <w:p w14:paraId="329ACB75" w14:textId="77777777" w:rsidR="0054494D" w:rsidRPr="00C77790" w:rsidRDefault="0054494D">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Total</w:t>
            </w:r>
          </w:p>
        </w:tc>
        <w:tc>
          <w:tcPr>
            <w:tcW w:w="2440" w:type="dxa"/>
            <w:tcBorders>
              <w:top w:val="single" w:sz="4" w:space="0" w:color="ADD6EA"/>
              <w:left w:val="nil"/>
              <w:bottom w:val="single" w:sz="4" w:space="0" w:color="ADD6EA"/>
              <w:right w:val="nil"/>
            </w:tcBorders>
            <w:noWrap/>
            <w:vAlign w:val="center"/>
            <w:hideMark/>
          </w:tcPr>
          <w:p w14:paraId="777C143A" w14:textId="77777777" w:rsidR="0054494D" w:rsidRPr="00C77790" w:rsidRDefault="0054494D">
            <w:pPr>
              <w:tabs>
                <w:tab w:val="clear" w:pos="567"/>
              </w:tabs>
              <w:spacing w:before="0" w:line="240" w:lineRule="auto"/>
              <w:jc w:val="right"/>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34</w:t>
            </w:r>
          </w:p>
        </w:tc>
        <w:tc>
          <w:tcPr>
            <w:tcW w:w="2440" w:type="dxa"/>
            <w:tcBorders>
              <w:top w:val="single" w:sz="4" w:space="0" w:color="ADD6EA"/>
              <w:left w:val="nil"/>
              <w:bottom w:val="single" w:sz="4" w:space="0" w:color="ADD6EA"/>
              <w:right w:val="nil"/>
            </w:tcBorders>
            <w:noWrap/>
            <w:vAlign w:val="center"/>
            <w:hideMark/>
          </w:tcPr>
          <w:p w14:paraId="6E20F545" w14:textId="77777777" w:rsidR="0054494D" w:rsidRPr="00C77790" w:rsidRDefault="0054494D">
            <w:pPr>
              <w:tabs>
                <w:tab w:val="clear" w:pos="567"/>
              </w:tabs>
              <w:spacing w:before="0" w:line="240" w:lineRule="auto"/>
              <w:jc w:val="right"/>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59</w:t>
            </w:r>
          </w:p>
        </w:tc>
      </w:tr>
      <w:tr w:rsidR="0054494D" w:rsidRPr="00C77790" w14:paraId="0D38BDB4" w14:textId="77777777">
        <w:trPr>
          <w:trHeight w:val="300"/>
        </w:trPr>
        <w:tc>
          <w:tcPr>
            <w:tcW w:w="4060" w:type="dxa"/>
            <w:tcBorders>
              <w:top w:val="single" w:sz="4" w:space="0" w:color="ADD6EA"/>
              <w:left w:val="nil"/>
              <w:bottom w:val="single" w:sz="4" w:space="0" w:color="ADD6EA"/>
              <w:right w:val="nil"/>
            </w:tcBorders>
            <w:noWrap/>
            <w:vAlign w:val="center"/>
            <w:hideMark/>
          </w:tcPr>
          <w:p w14:paraId="0006AEC9" w14:textId="23030066" w:rsidR="0054494D" w:rsidRPr="00C77790" w:rsidRDefault="0054494D">
            <w:pPr>
              <w:tabs>
                <w:tab w:val="clear" w:pos="567"/>
              </w:tabs>
              <w:spacing w:before="0" w:line="240" w:lineRule="auto"/>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Blended relativities and GST floor</w:t>
            </w:r>
          </w:p>
        </w:tc>
        <w:tc>
          <w:tcPr>
            <w:tcW w:w="2440" w:type="dxa"/>
            <w:tcBorders>
              <w:top w:val="single" w:sz="4" w:space="0" w:color="ADD6EA"/>
              <w:left w:val="nil"/>
              <w:bottom w:val="single" w:sz="4" w:space="0" w:color="ADD6EA"/>
              <w:right w:val="nil"/>
            </w:tcBorders>
            <w:noWrap/>
            <w:vAlign w:val="center"/>
            <w:hideMark/>
          </w:tcPr>
          <w:p w14:paraId="1B6BFFBB" w14:textId="77777777" w:rsidR="0054494D" w:rsidRPr="00C77790" w:rsidRDefault="0054494D">
            <w:pPr>
              <w:tabs>
                <w:tab w:val="clear" w:pos="567"/>
              </w:tabs>
              <w:spacing w:before="0" w:line="240" w:lineRule="auto"/>
              <w:jc w:val="right"/>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-16</w:t>
            </w:r>
          </w:p>
        </w:tc>
        <w:tc>
          <w:tcPr>
            <w:tcW w:w="2440" w:type="dxa"/>
            <w:tcBorders>
              <w:top w:val="single" w:sz="4" w:space="0" w:color="ADD6EA"/>
              <w:left w:val="nil"/>
              <w:bottom w:val="single" w:sz="4" w:space="0" w:color="ADD6EA"/>
              <w:right w:val="nil"/>
            </w:tcBorders>
            <w:noWrap/>
            <w:vAlign w:val="center"/>
            <w:hideMark/>
          </w:tcPr>
          <w:p w14:paraId="193E7C71" w14:textId="77777777" w:rsidR="0054494D" w:rsidRPr="00C77790" w:rsidRDefault="0054494D">
            <w:pPr>
              <w:tabs>
                <w:tab w:val="clear" w:pos="567"/>
              </w:tabs>
              <w:spacing w:before="0" w:line="240" w:lineRule="auto"/>
              <w:jc w:val="right"/>
              <w:rPr>
                <w:rFonts w:ascii="Open Sans Light" w:eastAsia="Times New Roman" w:hAnsi="Open Sans Light" w:cs="Open Sans Light"/>
                <w:sz w:val="16"/>
                <w:szCs w:val="16"/>
                <w:lang w:eastAsia="en-AU"/>
              </w:rPr>
            </w:pPr>
            <w:r w:rsidRPr="00C77790">
              <w:rPr>
                <w:rFonts w:ascii="Open Sans Light" w:eastAsia="Times New Roman" w:hAnsi="Open Sans Light" w:cs="Open Sans Light"/>
                <w:sz w:val="16"/>
                <w:szCs w:val="16"/>
                <w:lang w:eastAsia="en-AU"/>
              </w:rPr>
              <w:t>-28</w:t>
            </w:r>
          </w:p>
        </w:tc>
      </w:tr>
      <w:tr w:rsidR="0054494D" w:rsidRPr="00C77790" w14:paraId="346C0833" w14:textId="77777777">
        <w:trPr>
          <w:trHeight w:val="300"/>
        </w:trPr>
        <w:tc>
          <w:tcPr>
            <w:tcW w:w="4060" w:type="dxa"/>
            <w:tcBorders>
              <w:top w:val="single" w:sz="4" w:space="0" w:color="ADD6EA"/>
              <w:left w:val="nil"/>
              <w:bottom w:val="single" w:sz="4" w:space="0" w:color="ADD6EA"/>
              <w:right w:val="nil"/>
            </w:tcBorders>
            <w:shd w:val="clear" w:color="000000" w:fill="D6E7F0"/>
            <w:noWrap/>
            <w:vAlign w:val="center"/>
            <w:hideMark/>
          </w:tcPr>
          <w:p w14:paraId="54D25886" w14:textId="77777777" w:rsidR="0054494D" w:rsidRPr="00C77790" w:rsidRDefault="0054494D">
            <w:pPr>
              <w:tabs>
                <w:tab w:val="clear" w:pos="567"/>
              </w:tabs>
              <w:spacing w:before="0" w:line="240" w:lineRule="auto"/>
              <w:rPr>
                <w:rFonts w:ascii="Open Sans Semibold" w:eastAsia="Times New Roman" w:hAnsi="Open Sans Semibold" w:cs="Open Sans Semibold"/>
                <w:color w:val="000000"/>
                <w:sz w:val="16"/>
                <w:szCs w:val="16"/>
                <w:lang w:eastAsia="en-AU"/>
              </w:rPr>
            </w:pPr>
            <w:r w:rsidRPr="00C77790">
              <w:rPr>
                <w:rFonts w:ascii="Open Sans Semibold" w:eastAsia="Times New Roman" w:hAnsi="Open Sans Semibold" w:cs="Open Sans Semibold"/>
                <w:color w:val="000000"/>
                <w:sz w:val="16"/>
                <w:szCs w:val="16"/>
                <w:lang w:eastAsia="en-AU"/>
              </w:rPr>
              <w:t>Total change</w:t>
            </w:r>
          </w:p>
        </w:tc>
        <w:tc>
          <w:tcPr>
            <w:tcW w:w="2440" w:type="dxa"/>
            <w:tcBorders>
              <w:top w:val="single" w:sz="4" w:space="0" w:color="ADD6EA"/>
              <w:left w:val="nil"/>
              <w:bottom w:val="single" w:sz="4" w:space="0" w:color="ADD6EA"/>
              <w:right w:val="nil"/>
            </w:tcBorders>
            <w:shd w:val="clear" w:color="000000" w:fill="D6E7F0"/>
            <w:noWrap/>
            <w:vAlign w:val="center"/>
            <w:hideMark/>
          </w:tcPr>
          <w:p w14:paraId="249B02BB" w14:textId="77777777" w:rsidR="0054494D" w:rsidRPr="00C77790" w:rsidRDefault="0054494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7790">
              <w:rPr>
                <w:rFonts w:ascii="Open Sans Semibold" w:eastAsia="Times New Roman" w:hAnsi="Open Sans Semibold" w:cs="Open Sans Semibold"/>
                <w:color w:val="000000"/>
                <w:sz w:val="16"/>
                <w:szCs w:val="16"/>
                <w:lang w:eastAsia="en-AU"/>
              </w:rPr>
              <w:t>151</w:t>
            </w:r>
          </w:p>
        </w:tc>
        <w:tc>
          <w:tcPr>
            <w:tcW w:w="2440" w:type="dxa"/>
            <w:tcBorders>
              <w:top w:val="single" w:sz="4" w:space="0" w:color="ADD6EA"/>
              <w:left w:val="nil"/>
              <w:bottom w:val="single" w:sz="4" w:space="0" w:color="ADD6EA"/>
              <w:right w:val="nil"/>
            </w:tcBorders>
            <w:shd w:val="clear" w:color="000000" w:fill="D6E7F0"/>
            <w:noWrap/>
            <w:vAlign w:val="center"/>
            <w:hideMark/>
          </w:tcPr>
          <w:p w14:paraId="69C48D42" w14:textId="77777777" w:rsidR="0054494D" w:rsidRPr="00C77790" w:rsidRDefault="0054494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7790">
              <w:rPr>
                <w:rFonts w:ascii="Open Sans Semibold" w:eastAsia="Times New Roman" w:hAnsi="Open Sans Semibold" w:cs="Open Sans Semibold"/>
                <w:color w:val="000000"/>
                <w:sz w:val="16"/>
                <w:szCs w:val="16"/>
                <w:lang w:eastAsia="en-AU"/>
              </w:rPr>
              <w:t>261</w:t>
            </w:r>
          </w:p>
        </w:tc>
      </w:tr>
    </w:tbl>
    <w:p w14:paraId="18583938" w14:textId="77777777" w:rsidR="00B90754" w:rsidRDefault="00B90754" w:rsidP="00B90754">
      <w:pPr>
        <w:pStyle w:val="CGC2025TableNote"/>
      </w:pPr>
      <w:r>
        <w:t>Note: Table may not add due to rounding.</w:t>
      </w:r>
    </w:p>
    <w:p w14:paraId="62DD4C7B" w14:textId="77777777" w:rsidR="00855A05" w:rsidRDefault="00855A05">
      <w:pPr>
        <w:tabs>
          <w:tab w:val="clear" w:pos="567"/>
        </w:tabs>
        <w:spacing w:before="0" w:after="200" w:line="276" w:lineRule="auto"/>
      </w:pPr>
      <w:r>
        <w:br w:type="page"/>
      </w:r>
    </w:p>
    <w:p w14:paraId="42FA386A" w14:textId="77777777" w:rsidR="00B3210C" w:rsidRPr="00885A41" w:rsidRDefault="00B3210C" w:rsidP="00B3210C">
      <w:pPr>
        <w:pStyle w:val="CGC2025Caption"/>
      </w:pPr>
      <w:r w:rsidRPr="00885A41">
        <w:lastRenderedPageBreak/>
        <w:t>Figure 3-6</w:t>
      </w:r>
      <w:r w:rsidRPr="00885A41">
        <w:tab/>
        <w:t>Tasmania: main changes in assessed GST needs, 2025–26 relativities</w:t>
      </w:r>
    </w:p>
    <w:tbl>
      <w:tblPr>
        <w:tblW w:w="8940" w:type="dxa"/>
        <w:tblLook w:val="04A0" w:firstRow="1" w:lastRow="0" w:firstColumn="1" w:lastColumn="0" w:noHBand="0" w:noVBand="1"/>
      </w:tblPr>
      <w:tblGrid>
        <w:gridCol w:w="2640"/>
        <w:gridCol w:w="700"/>
        <w:gridCol w:w="700"/>
        <w:gridCol w:w="4900"/>
      </w:tblGrid>
      <w:tr w:rsidR="00B3210C" w:rsidRPr="00D71A53" w14:paraId="50776091" w14:textId="77777777">
        <w:trPr>
          <w:trHeight w:val="375"/>
        </w:trPr>
        <w:tc>
          <w:tcPr>
            <w:tcW w:w="8940" w:type="dxa"/>
            <w:gridSpan w:val="4"/>
            <w:tcBorders>
              <w:top w:val="nil"/>
              <w:left w:val="nil"/>
              <w:bottom w:val="nil"/>
              <w:right w:val="nil"/>
            </w:tcBorders>
            <w:shd w:val="clear" w:color="000000" w:fill="006991"/>
            <w:vAlign w:val="center"/>
            <w:hideMark/>
          </w:tcPr>
          <w:p w14:paraId="14530870" w14:textId="77777777" w:rsidR="00B3210C" w:rsidRPr="00D71A53" w:rsidRDefault="00B3210C">
            <w:pPr>
              <w:tabs>
                <w:tab w:val="clear" w:pos="567"/>
              </w:tabs>
              <w:spacing w:before="0" w:line="240" w:lineRule="auto"/>
              <w:rPr>
                <w:rFonts w:ascii="Open Sans Semibold" w:eastAsia="Times New Roman" w:hAnsi="Open Sans Semibold" w:cs="Open Sans Semibold"/>
                <w:color w:val="FFFFFF"/>
                <w:sz w:val="16"/>
                <w:szCs w:val="16"/>
                <w:lang w:eastAsia="en-AU"/>
              </w:rPr>
            </w:pPr>
            <w:r w:rsidRPr="00D71A53">
              <w:rPr>
                <w:rFonts w:ascii="Open Sans Semibold" w:eastAsia="Times New Roman" w:hAnsi="Open Sans Semibold" w:cs="Open Sans Semibold"/>
                <w:color w:val="FFFFFF"/>
                <w:sz w:val="16"/>
                <w:szCs w:val="16"/>
                <w:lang w:eastAsia="en-AU"/>
              </w:rPr>
              <w:t>Method changes</w:t>
            </w:r>
          </w:p>
        </w:tc>
      </w:tr>
      <w:tr w:rsidR="00B3210C" w:rsidRPr="00D71A53" w14:paraId="27319947" w14:textId="77777777">
        <w:trPr>
          <w:trHeight w:val="255"/>
        </w:trPr>
        <w:tc>
          <w:tcPr>
            <w:tcW w:w="2640" w:type="dxa"/>
            <w:tcBorders>
              <w:top w:val="single" w:sz="4" w:space="0" w:color="ADD6EA"/>
              <w:left w:val="nil"/>
              <w:bottom w:val="nil"/>
              <w:right w:val="nil"/>
            </w:tcBorders>
            <w:shd w:val="clear" w:color="000000" w:fill="D6E7F0"/>
            <w:hideMark/>
          </w:tcPr>
          <w:p w14:paraId="0EC07724" w14:textId="77777777" w:rsidR="00B3210C" w:rsidRPr="00D71A53" w:rsidRDefault="00B3210C">
            <w:pPr>
              <w:tabs>
                <w:tab w:val="clear" w:pos="567"/>
              </w:tabs>
              <w:spacing w:before="0" w:line="240" w:lineRule="auto"/>
              <w:rPr>
                <w:rFonts w:ascii="Open Sans Semibold" w:eastAsia="Times New Roman" w:hAnsi="Open Sans Semibold" w:cs="Open Sans Semibold"/>
                <w:color w:val="000000"/>
                <w:sz w:val="16"/>
                <w:szCs w:val="16"/>
                <w:lang w:eastAsia="en-AU"/>
              </w:rPr>
            </w:pPr>
            <w:r w:rsidRPr="00D71A53">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08A7591A" w14:textId="77777777" w:rsidR="00B3210C" w:rsidRPr="00D71A53" w:rsidRDefault="00B3210C">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D71A53">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1711F6B1" w14:textId="77777777" w:rsidR="00B3210C" w:rsidRPr="00D71A53" w:rsidRDefault="00B3210C">
            <w:pPr>
              <w:tabs>
                <w:tab w:val="clear" w:pos="567"/>
              </w:tabs>
              <w:spacing w:before="0" w:line="240" w:lineRule="auto"/>
              <w:rPr>
                <w:rFonts w:ascii="Open Sans Semibold" w:eastAsia="Times New Roman" w:hAnsi="Open Sans Semibold" w:cs="Open Sans Semibold"/>
                <w:color w:val="000000"/>
                <w:sz w:val="16"/>
                <w:szCs w:val="16"/>
                <w:lang w:eastAsia="en-AU"/>
              </w:rPr>
            </w:pPr>
            <w:r w:rsidRPr="00D71A53">
              <w:rPr>
                <w:rFonts w:ascii="Open Sans Semibold" w:eastAsia="Times New Roman" w:hAnsi="Open Sans Semibold" w:cs="Open Sans Semibold"/>
                <w:color w:val="000000"/>
                <w:sz w:val="16"/>
                <w:szCs w:val="16"/>
                <w:lang w:eastAsia="en-AU"/>
              </w:rPr>
              <w:t>Explanation</w:t>
            </w:r>
          </w:p>
        </w:tc>
      </w:tr>
      <w:tr w:rsidR="00B3210C" w:rsidRPr="00D71A53" w14:paraId="69FAD65D" w14:textId="77777777">
        <w:trPr>
          <w:trHeight w:val="255"/>
        </w:trPr>
        <w:tc>
          <w:tcPr>
            <w:tcW w:w="2640" w:type="dxa"/>
            <w:tcBorders>
              <w:top w:val="single" w:sz="4" w:space="0" w:color="ADD6EA"/>
              <w:left w:val="nil"/>
              <w:bottom w:val="nil"/>
              <w:right w:val="nil"/>
            </w:tcBorders>
            <w:shd w:val="clear" w:color="000000" w:fill="B6D5E4"/>
            <w:hideMark/>
          </w:tcPr>
          <w:p w14:paraId="34D1FC61" w14:textId="77777777" w:rsidR="00B3210C" w:rsidRPr="00D71A53" w:rsidRDefault="00B3210C">
            <w:pPr>
              <w:tabs>
                <w:tab w:val="clear" w:pos="567"/>
              </w:tabs>
              <w:spacing w:before="0" w:line="240" w:lineRule="auto"/>
              <w:rPr>
                <w:rFonts w:ascii="Open Sans Semibold" w:eastAsia="Times New Roman" w:hAnsi="Open Sans Semibold" w:cs="Open Sans Semibold"/>
                <w:color w:val="000000"/>
                <w:sz w:val="16"/>
                <w:szCs w:val="16"/>
                <w:lang w:eastAsia="en-AU"/>
              </w:rPr>
            </w:pPr>
            <w:r w:rsidRPr="00D71A53">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76CBE8EE" w14:textId="77777777" w:rsidR="00B3210C" w:rsidRPr="00D71A53" w:rsidRDefault="00B3210C">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D71A53">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07B3EE8C" w14:textId="77777777" w:rsidR="00B3210C" w:rsidRPr="00D71A53" w:rsidRDefault="00B3210C">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D71A53">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1CD31C8C" w14:textId="77777777" w:rsidR="00B3210C" w:rsidRPr="00D71A53" w:rsidRDefault="00B3210C">
            <w:pPr>
              <w:tabs>
                <w:tab w:val="clear" w:pos="567"/>
              </w:tabs>
              <w:spacing w:before="0" w:line="240" w:lineRule="auto"/>
              <w:rPr>
                <w:rFonts w:ascii="Open Sans Semibold" w:eastAsia="Times New Roman" w:hAnsi="Open Sans Semibold" w:cs="Open Sans Semibold"/>
                <w:color w:val="000000"/>
                <w:sz w:val="16"/>
                <w:szCs w:val="16"/>
                <w:lang w:eastAsia="en-AU"/>
              </w:rPr>
            </w:pPr>
            <w:r w:rsidRPr="00D71A53">
              <w:rPr>
                <w:rFonts w:ascii="Open Sans Semibold" w:eastAsia="Times New Roman" w:hAnsi="Open Sans Semibold" w:cs="Open Sans Semibold"/>
                <w:color w:val="000000"/>
                <w:sz w:val="16"/>
                <w:szCs w:val="16"/>
                <w:lang w:eastAsia="en-AU"/>
              </w:rPr>
              <w:t> </w:t>
            </w:r>
          </w:p>
        </w:tc>
      </w:tr>
      <w:tr w:rsidR="00B3210C" w:rsidRPr="00D71A53" w14:paraId="723A4473" w14:textId="77777777">
        <w:trPr>
          <w:trHeight w:val="619"/>
        </w:trPr>
        <w:tc>
          <w:tcPr>
            <w:tcW w:w="2640" w:type="dxa"/>
            <w:tcBorders>
              <w:top w:val="single" w:sz="4" w:space="0" w:color="ADD6EA"/>
              <w:left w:val="nil"/>
              <w:bottom w:val="nil"/>
              <w:right w:val="nil"/>
            </w:tcBorders>
            <w:shd w:val="clear" w:color="000000" w:fill="FFFFFF"/>
            <w:hideMark/>
          </w:tcPr>
          <w:p w14:paraId="56FE8DC4" w14:textId="23B79032" w:rsidR="00B3210C" w:rsidRPr="00D71A53" w:rsidRDefault="00B3210C">
            <w:pPr>
              <w:tabs>
                <w:tab w:val="clear" w:pos="567"/>
              </w:tabs>
              <w:spacing w:before="0" w:line="240" w:lineRule="auto"/>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 xml:space="preserve">Changes to model in </w:t>
            </w:r>
            <w:r w:rsidR="000D72F7">
              <w:rPr>
                <w:rFonts w:ascii="Open Sans Light" w:eastAsia="Times New Roman" w:hAnsi="Open Sans Light" w:cs="Open Sans Light"/>
                <w:color w:val="000000"/>
                <w:sz w:val="16"/>
                <w:szCs w:val="16"/>
                <w:lang w:eastAsia="en-AU"/>
              </w:rPr>
              <w:t>w</w:t>
            </w:r>
            <w:r w:rsidR="000D72F7" w:rsidRPr="00D71A53">
              <w:rPr>
                <w:rFonts w:ascii="Open Sans Light" w:eastAsia="Times New Roman" w:hAnsi="Open Sans Light" w:cs="Open Sans Light"/>
                <w:color w:val="000000"/>
                <w:sz w:val="16"/>
                <w:szCs w:val="16"/>
                <w:lang w:eastAsia="en-AU"/>
              </w:rPr>
              <w:t xml:space="preserve">age </w:t>
            </w:r>
            <w:r w:rsidRPr="00D71A53">
              <w:rPr>
                <w:rFonts w:ascii="Open Sans Light" w:eastAsia="Times New Roman" w:hAnsi="Open Sans Light" w:cs="Open Sans Light"/>
                <w:color w:val="000000"/>
                <w:sz w:val="16"/>
                <w:szCs w:val="16"/>
                <w:lang w:eastAsia="en-AU"/>
              </w:rPr>
              <w:t>costs</w:t>
            </w:r>
          </w:p>
        </w:tc>
        <w:tc>
          <w:tcPr>
            <w:tcW w:w="700" w:type="dxa"/>
            <w:tcBorders>
              <w:top w:val="single" w:sz="4" w:space="0" w:color="ADD6EA"/>
              <w:left w:val="nil"/>
              <w:bottom w:val="nil"/>
              <w:right w:val="nil"/>
            </w:tcBorders>
            <w:shd w:val="clear" w:color="000000" w:fill="ADD6EA"/>
            <w:hideMark/>
          </w:tcPr>
          <w:p w14:paraId="7E918C30" w14:textId="77777777" w:rsidR="00B3210C" w:rsidRPr="00D71A53" w:rsidRDefault="00B3210C">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77</w:t>
            </w:r>
          </w:p>
        </w:tc>
        <w:tc>
          <w:tcPr>
            <w:tcW w:w="700" w:type="dxa"/>
            <w:tcBorders>
              <w:top w:val="single" w:sz="4" w:space="0" w:color="ADD6EA"/>
              <w:left w:val="nil"/>
              <w:bottom w:val="nil"/>
              <w:right w:val="nil"/>
            </w:tcBorders>
            <w:shd w:val="clear" w:color="000000" w:fill="ADD6EA"/>
            <w:hideMark/>
          </w:tcPr>
          <w:p w14:paraId="30BC1489" w14:textId="77777777" w:rsidR="00B3210C" w:rsidRPr="00D71A53" w:rsidRDefault="00B3210C">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133</w:t>
            </w:r>
          </w:p>
        </w:tc>
        <w:tc>
          <w:tcPr>
            <w:tcW w:w="4900" w:type="dxa"/>
            <w:tcBorders>
              <w:top w:val="single" w:sz="4" w:space="0" w:color="ADD6EA"/>
              <w:left w:val="nil"/>
              <w:bottom w:val="nil"/>
              <w:right w:val="nil"/>
            </w:tcBorders>
            <w:shd w:val="clear" w:color="000000" w:fill="FFFFFF"/>
            <w:hideMark/>
          </w:tcPr>
          <w:p w14:paraId="3A6C926D" w14:textId="77777777" w:rsidR="00B3210C" w:rsidRPr="00D71A53" w:rsidRDefault="00B3210C">
            <w:pPr>
              <w:tabs>
                <w:tab w:val="clear" w:pos="567"/>
              </w:tabs>
              <w:spacing w:before="0" w:line="240" w:lineRule="auto"/>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Changes to the model used to estimate relative state wage costs produced higher estimates for wage costs in Tasmania than the previous model, increasing its assessed GST needs.</w:t>
            </w:r>
          </w:p>
        </w:tc>
      </w:tr>
      <w:tr w:rsidR="00B3210C" w:rsidRPr="00D71A53" w14:paraId="6F961D24" w14:textId="77777777">
        <w:trPr>
          <w:trHeight w:val="795"/>
        </w:trPr>
        <w:tc>
          <w:tcPr>
            <w:tcW w:w="2640" w:type="dxa"/>
            <w:tcBorders>
              <w:top w:val="single" w:sz="4" w:space="0" w:color="ADD6EA"/>
              <w:left w:val="nil"/>
              <w:bottom w:val="nil"/>
              <w:right w:val="nil"/>
            </w:tcBorders>
            <w:shd w:val="clear" w:color="000000" w:fill="FFFFFF"/>
            <w:hideMark/>
          </w:tcPr>
          <w:p w14:paraId="4060DC59" w14:textId="6AA86462" w:rsidR="00B3210C" w:rsidRPr="00D71A53" w:rsidRDefault="00B3210C">
            <w:pPr>
              <w:tabs>
                <w:tab w:val="clear" w:pos="567"/>
              </w:tabs>
              <w:spacing w:before="0" w:line="240" w:lineRule="auto"/>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 xml:space="preserve">Smoothing in </w:t>
            </w:r>
            <w:r w:rsidR="000D72F7">
              <w:rPr>
                <w:rFonts w:ascii="Open Sans Light" w:eastAsia="Times New Roman" w:hAnsi="Open Sans Light" w:cs="Open Sans Light"/>
                <w:color w:val="000000"/>
                <w:sz w:val="16"/>
                <w:szCs w:val="16"/>
                <w:lang w:eastAsia="en-AU"/>
              </w:rPr>
              <w:t>w</w:t>
            </w:r>
            <w:r w:rsidR="000D72F7" w:rsidRPr="00D71A53">
              <w:rPr>
                <w:rFonts w:ascii="Open Sans Light" w:eastAsia="Times New Roman" w:hAnsi="Open Sans Light" w:cs="Open Sans Light"/>
                <w:color w:val="000000"/>
                <w:sz w:val="16"/>
                <w:szCs w:val="16"/>
                <w:lang w:eastAsia="en-AU"/>
              </w:rPr>
              <w:t xml:space="preserve">age </w:t>
            </w:r>
            <w:r w:rsidRPr="00D71A53">
              <w:rPr>
                <w:rFonts w:ascii="Open Sans Light" w:eastAsia="Times New Roman" w:hAnsi="Open Sans Light" w:cs="Open Sans Light"/>
                <w:color w:val="000000"/>
                <w:sz w:val="16"/>
                <w:szCs w:val="16"/>
                <w:lang w:eastAsia="en-AU"/>
              </w:rPr>
              <w:t>costs</w:t>
            </w:r>
          </w:p>
        </w:tc>
        <w:tc>
          <w:tcPr>
            <w:tcW w:w="700" w:type="dxa"/>
            <w:tcBorders>
              <w:top w:val="single" w:sz="4" w:space="0" w:color="ADD6EA"/>
              <w:left w:val="nil"/>
              <w:bottom w:val="nil"/>
              <w:right w:val="nil"/>
            </w:tcBorders>
            <w:shd w:val="clear" w:color="000000" w:fill="ADD6EA"/>
            <w:hideMark/>
          </w:tcPr>
          <w:p w14:paraId="5EF223D0" w14:textId="77777777" w:rsidR="00B3210C" w:rsidRPr="00D71A53" w:rsidRDefault="00B3210C">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53</w:t>
            </w:r>
          </w:p>
        </w:tc>
        <w:tc>
          <w:tcPr>
            <w:tcW w:w="700" w:type="dxa"/>
            <w:tcBorders>
              <w:top w:val="single" w:sz="4" w:space="0" w:color="ADD6EA"/>
              <w:left w:val="nil"/>
              <w:bottom w:val="nil"/>
              <w:right w:val="nil"/>
            </w:tcBorders>
            <w:shd w:val="clear" w:color="000000" w:fill="ADD6EA"/>
            <w:hideMark/>
          </w:tcPr>
          <w:p w14:paraId="0A54C878" w14:textId="77777777" w:rsidR="00B3210C" w:rsidRPr="00D71A53" w:rsidRDefault="00B3210C">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91</w:t>
            </w:r>
          </w:p>
        </w:tc>
        <w:tc>
          <w:tcPr>
            <w:tcW w:w="4900" w:type="dxa"/>
            <w:tcBorders>
              <w:top w:val="single" w:sz="4" w:space="0" w:color="ADD6EA"/>
              <w:left w:val="nil"/>
              <w:bottom w:val="nil"/>
              <w:right w:val="nil"/>
            </w:tcBorders>
            <w:shd w:val="clear" w:color="000000" w:fill="FFFFFF"/>
            <w:hideMark/>
          </w:tcPr>
          <w:p w14:paraId="719B5844" w14:textId="00F0F16B" w:rsidR="00B3210C" w:rsidRPr="00D71A53" w:rsidRDefault="00B3210C">
            <w:pPr>
              <w:tabs>
                <w:tab w:val="clear" w:pos="567"/>
              </w:tabs>
              <w:spacing w:before="0" w:line="240" w:lineRule="auto"/>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Tasmania had below</w:t>
            </w:r>
            <w:r w:rsidR="004073E3">
              <w:rPr>
                <w:rFonts w:ascii="Open Sans Light" w:eastAsia="Times New Roman" w:hAnsi="Open Sans Light" w:cs="Open Sans Light"/>
                <w:color w:val="000000"/>
                <w:sz w:val="16"/>
                <w:szCs w:val="16"/>
                <w:lang w:eastAsia="en-AU"/>
              </w:rPr>
              <w:t>-</w:t>
            </w:r>
            <w:r w:rsidRPr="00D71A53">
              <w:rPr>
                <w:rFonts w:ascii="Open Sans Light" w:eastAsia="Times New Roman" w:hAnsi="Open Sans Light" w:cs="Open Sans Light"/>
                <w:color w:val="000000"/>
                <w:sz w:val="16"/>
                <w:szCs w:val="16"/>
                <w:lang w:eastAsia="en-AU"/>
              </w:rPr>
              <w:t>trend wage cost estimates in the assessment years. Smoothing the wage cost estimates has brought Tasmania’s wage cost estimates closer to its long-term average and increased its assessed GST needs.</w:t>
            </w:r>
          </w:p>
        </w:tc>
      </w:tr>
      <w:tr w:rsidR="00B3210C" w:rsidRPr="00D71A53" w14:paraId="3F37944E" w14:textId="77777777">
        <w:trPr>
          <w:trHeight w:val="319"/>
        </w:trPr>
        <w:tc>
          <w:tcPr>
            <w:tcW w:w="2640" w:type="dxa"/>
            <w:tcBorders>
              <w:top w:val="single" w:sz="4" w:space="0" w:color="ADD6EA"/>
              <w:left w:val="nil"/>
              <w:bottom w:val="single" w:sz="4" w:space="0" w:color="ADD6EA"/>
              <w:right w:val="nil"/>
            </w:tcBorders>
            <w:shd w:val="clear" w:color="000000" w:fill="FFFFFF"/>
            <w:hideMark/>
          </w:tcPr>
          <w:p w14:paraId="6CE8D268" w14:textId="227BA24B" w:rsidR="00B3210C" w:rsidRPr="00D71A53" w:rsidRDefault="00B3210C">
            <w:pPr>
              <w:tabs>
                <w:tab w:val="clear" w:pos="567"/>
              </w:tabs>
              <w:spacing w:before="0" w:line="240" w:lineRule="auto"/>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 xml:space="preserve">COVID-19 in </w:t>
            </w:r>
            <w:r w:rsidR="000D72F7">
              <w:rPr>
                <w:rFonts w:ascii="Open Sans Light" w:eastAsia="Times New Roman" w:hAnsi="Open Sans Light" w:cs="Open Sans Light"/>
                <w:color w:val="000000"/>
                <w:sz w:val="16"/>
                <w:szCs w:val="16"/>
                <w:lang w:eastAsia="en-AU"/>
              </w:rPr>
              <w:t>s</w:t>
            </w:r>
            <w:r w:rsidR="000D72F7" w:rsidRPr="00D71A53">
              <w:rPr>
                <w:rFonts w:ascii="Open Sans Light" w:eastAsia="Times New Roman" w:hAnsi="Open Sans Light" w:cs="Open Sans Light"/>
                <w:color w:val="000000"/>
                <w:sz w:val="16"/>
                <w:szCs w:val="16"/>
                <w:lang w:eastAsia="en-AU"/>
              </w:rPr>
              <w:t xml:space="preserve">ervices </w:t>
            </w:r>
            <w:r w:rsidRPr="00D71A53">
              <w:rPr>
                <w:rFonts w:ascii="Open Sans Light" w:eastAsia="Times New Roman" w:hAnsi="Open Sans Light" w:cs="Open Sans Light"/>
                <w:color w:val="000000"/>
                <w:sz w:val="16"/>
                <w:szCs w:val="16"/>
                <w:lang w:eastAsia="en-AU"/>
              </w:rPr>
              <w:t>to industry</w:t>
            </w:r>
          </w:p>
        </w:tc>
        <w:tc>
          <w:tcPr>
            <w:tcW w:w="700" w:type="dxa"/>
            <w:tcBorders>
              <w:top w:val="single" w:sz="4" w:space="0" w:color="ADD6EA"/>
              <w:left w:val="nil"/>
              <w:bottom w:val="single" w:sz="4" w:space="0" w:color="ADD6EA"/>
              <w:right w:val="nil"/>
            </w:tcBorders>
            <w:shd w:val="clear" w:color="000000" w:fill="EBBFA0"/>
            <w:hideMark/>
          </w:tcPr>
          <w:p w14:paraId="3ADCC203" w14:textId="77777777" w:rsidR="00B3210C" w:rsidRPr="00D71A53" w:rsidRDefault="00B3210C">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-38</w:t>
            </w:r>
          </w:p>
        </w:tc>
        <w:tc>
          <w:tcPr>
            <w:tcW w:w="700" w:type="dxa"/>
            <w:tcBorders>
              <w:top w:val="single" w:sz="4" w:space="0" w:color="ADD6EA"/>
              <w:left w:val="nil"/>
              <w:bottom w:val="single" w:sz="4" w:space="0" w:color="ADD6EA"/>
              <w:right w:val="nil"/>
            </w:tcBorders>
            <w:shd w:val="clear" w:color="000000" w:fill="EBBFA0"/>
            <w:hideMark/>
          </w:tcPr>
          <w:p w14:paraId="420BCC06" w14:textId="77777777" w:rsidR="00B3210C" w:rsidRPr="00D71A53" w:rsidRDefault="00B3210C">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-66</w:t>
            </w:r>
          </w:p>
        </w:tc>
        <w:tc>
          <w:tcPr>
            <w:tcW w:w="4900" w:type="dxa"/>
            <w:tcBorders>
              <w:top w:val="single" w:sz="4" w:space="0" w:color="ADD6EA"/>
              <w:left w:val="nil"/>
              <w:bottom w:val="nil"/>
              <w:right w:val="nil"/>
            </w:tcBorders>
            <w:shd w:val="clear" w:color="000000" w:fill="FFFFFF"/>
            <w:hideMark/>
          </w:tcPr>
          <w:p w14:paraId="599EE156" w14:textId="4319B6E8" w:rsidR="00B3210C" w:rsidRPr="00D71A53" w:rsidRDefault="00B3210C">
            <w:pPr>
              <w:tabs>
                <w:tab w:val="clear" w:pos="567"/>
              </w:tabs>
              <w:spacing w:before="0" w:line="240" w:lineRule="auto"/>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 xml:space="preserve">The Commission introduced an actual per capita assessment of state COVID-19 business support expenses covered by the national partnership agreements. Tasmania's below-average COVID-19 business support expenses reduced its assessed </w:t>
            </w:r>
            <w:r w:rsidRPr="00D71A53" w:rsidDel="008F654F">
              <w:rPr>
                <w:rFonts w:ascii="Open Sans Light" w:eastAsia="Times New Roman" w:hAnsi="Open Sans Light" w:cs="Open Sans Light"/>
                <w:color w:val="000000"/>
                <w:sz w:val="16"/>
                <w:szCs w:val="16"/>
                <w:lang w:eastAsia="en-AU"/>
              </w:rPr>
              <w:t>GST</w:t>
            </w:r>
            <w:r w:rsidR="008F654F">
              <w:rPr>
                <w:rFonts w:ascii="Open Sans Light" w:eastAsia="Times New Roman" w:hAnsi="Open Sans Light" w:cs="Open Sans Light"/>
                <w:color w:val="000000"/>
                <w:sz w:val="16"/>
                <w:szCs w:val="16"/>
                <w:lang w:eastAsia="en-AU"/>
              </w:rPr>
              <w:t> </w:t>
            </w:r>
            <w:r w:rsidRPr="00D71A53">
              <w:rPr>
                <w:rFonts w:ascii="Open Sans Light" w:eastAsia="Times New Roman" w:hAnsi="Open Sans Light" w:cs="Open Sans Light"/>
                <w:color w:val="000000"/>
                <w:sz w:val="16"/>
                <w:szCs w:val="16"/>
                <w:lang w:eastAsia="en-AU"/>
              </w:rPr>
              <w:t>needs.</w:t>
            </w:r>
          </w:p>
        </w:tc>
      </w:tr>
      <w:tr w:rsidR="00B3210C" w:rsidRPr="00D71A53" w14:paraId="3074AE18" w14:textId="77777777">
        <w:trPr>
          <w:trHeight w:val="375"/>
        </w:trPr>
        <w:tc>
          <w:tcPr>
            <w:tcW w:w="8940" w:type="dxa"/>
            <w:gridSpan w:val="4"/>
            <w:tcBorders>
              <w:top w:val="single" w:sz="4" w:space="0" w:color="ADD6EA"/>
              <w:left w:val="nil"/>
              <w:bottom w:val="nil"/>
              <w:right w:val="nil"/>
            </w:tcBorders>
            <w:shd w:val="clear" w:color="000000" w:fill="006991"/>
            <w:vAlign w:val="center"/>
            <w:hideMark/>
          </w:tcPr>
          <w:p w14:paraId="52415C09" w14:textId="77777777" w:rsidR="00B3210C" w:rsidRPr="00D71A53" w:rsidRDefault="00B3210C">
            <w:pPr>
              <w:tabs>
                <w:tab w:val="clear" w:pos="567"/>
              </w:tabs>
              <w:spacing w:before="0" w:line="240" w:lineRule="auto"/>
              <w:rPr>
                <w:rFonts w:ascii="Open Sans Semibold" w:eastAsia="Times New Roman" w:hAnsi="Open Sans Semibold" w:cs="Open Sans Semibold"/>
                <w:color w:val="FFFFFF"/>
                <w:sz w:val="16"/>
                <w:szCs w:val="16"/>
                <w:lang w:eastAsia="en-AU"/>
              </w:rPr>
            </w:pPr>
            <w:r w:rsidRPr="00D71A53">
              <w:rPr>
                <w:rFonts w:ascii="Open Sans Semibold" w:eastAsia="Times New Roman" w:hAnsi="Open Sans Semibold" w:cs="Open Sans Semibold"/>
                <w:color w:val="FFFFFF"/>
                <w:sz w:val="16"/>
                <w:szCs w:val="16"/>
                <w:lang w:eastAsia="en-AU"/>
              </w:rPr>
              <w:t>Changes in circumstances (a)</w:t>
            </w:r>
          </w:p>
        </w:tc>
      </w:tr>
      <w:tr w:rsidR="00B3210C" w:rsidRPr="00D71A53" w14:paraId="5AB6BA5B" w14:textId="77777777">
        <w:trPr>
          <w:trHeight w:val="255"/>
        </w:trPr>
        <w:tc>
          <w:tcPr>
            <w:tcW w:w="2640" w:type="dxa"/>
            <w:tcBorders>
              <w:top w:val="single" w:sz="4" w:space="0" w:color="ADD6EA"/>
              <w:left w:val="nil"/>
              <w:bottom w:val="nil"/>
              <w:right w:val="nil"/>
            </w:tcBorders>
            <w:shd w:val="clear" w:color="000000" w:fill="D6E7F0"/>
            <w:hideMark/>
          </w:tcPr>
          <w:p w14:paraId="0747ACFB" w14:textId="77777777" w:rsidR="00B3210C" w:rsidRPr="00D71A53" w:rsidRDefault="00B3210C">
            <w:pPr>
              <w:tabs>
                <w:tab w:val="clear" w:pos="567"/>
              </w:tabs>
              <w:spacing w:before="0" w:line="240" w:lineRule="auto"/>
              <w:rPr>
                <w:rFonts w:ascii="Open Sans Semibold" w:eastAsia="Times New Roman" w:hAnsi="Open Sans Semibold" w:cs="Open Sans Semibold"/>
                <w:color w:val="000000"/>
                <w:sz w:val="16"/>
                <w:szCs w:val="16"/>
                <w:lang w:eastAsia="en-AU"/>
              </w:rPr>
            </w:pPr>
            <w:r w:rsidRPr="00D71A53">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63C3DFFD" w14:textId="77777777" w:rsidR="00B3210C" w:rsidRPr="00D71A53" w:rsidRDefault="00B3210C">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D71A53">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6C74DFB3" w14:textId="77777777" w:rsidR="00B3210C" w:rsidRPr="00D71A53" w:rsidRDefault="00B3210C">
            <w:pPr>
              <w:tabs>
                <w:tab w:val="clear" w:pos="567"/>
              </w:tabs>
              <w:spacing w:before="0" w:line="240" w:lineRule="auto"/>
              <w:rPr>
                <w:rFonts w:ascii="Open Sans Semibold" w:eastAsia="Times New Roman" w:hAnsi="Open Sans Semibold" w:cs="Open Sans Semibold"/>
                <w:color w:val="000000"/>
                <w:sz w:val="16"/>
                <w:szCs w:val="16"/>
                <w:lang w:eastAsia="en-AU"/>
              </w:rPr>
            </w:pPr>
            <w:r w:rsidRPr="00D71A53">
              <w:rPr>
                <w:rFonts w:ascii="Open Sans Semibold" w:eastAsia="Times New Roman" w:hAnsi="Open Sans Semibold" w:cs="Open Sans Semibold"/>
                <w:color w:val="000000"/>
                <w:sz w:val="16"/>
                <w:szCs w:val="16"/>
                <w:lang w:eastAsia="en-AU"/>
              </w:rPr>
              <w:t>Explanation</w:t>
            </w:r>
          </w:p>
        </w:tc>
      </w:tr>
      <w:tr w:rsidR="00B3210C" w:rsidRPr="00D71A53" w14:paraId="07153BCD" w14:textId="77777777">
        <w:trPr>
          <w:trHeight w:val="255"/>
        </w:trPr>
        <w:tc>
          <w:tcPr>
            <w:tcW w:w="2640" w:type="dxa"/>
            <w:tcBorders>
              <w:top w:val="single" w:sz="4" w:space="0" w:color="ADD6EA"/>
              <w:left w:val="nil"/>
              <w:bottom w:val="single" w:sz="4" w:space="0" w:color="ADD6EA"/>
              <w:right w:val="nil"/>
            </w:tcBorders>
            <w:shd w:val="clear" w:color="000000" w:fill="B6D5E4"/>
            <w:hideMark/>
          </w:tcPr>
          <w:p w14:paraId="2F18174A" w14:textId="77777777" w:rsidR="00B3210C" w:rsidRPr="00D71A53" w:rsidRDefault="00B3210C">
            <w:pPr>
              <w:tabs>
                <w:tab w:val="clear" w:pos="567"/>
              </w:tabs>
              <w:spacing w:before="0" w:line="240" w:lineRule="auto"/>
              <w:rPr>
                <w:rFonts w:ascii="Open Sans Semibold" w:eastAsia="Times New Roman" w:hAnsi="Open Sans Semibold" w:cs="Open Sans Semibold"/>
                <w:color w:val="000000"/>
                <w:sz w:val="16"/>
                <w:szCs w:val="16"/>
                <w:lang w:eastAsia="en-AU"/>
              </w:rPr>
            </w:pPr>
            <w:r w:rsidRPr="00D71A53">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single" w:sz="4" w:space="0" w:color="ADD6EA"/>
              <w:right w:val="nil"/>
            </w:tcBorders>
            <w:shd w:val="clear" w:color="000000" w:fill="B6D5E4"/>
            <w:hideMark/>
          </w:tcPr>
          <w:p w14:paraId="4A4250BE" w14:textId="77777777" w:rsidR="00B3210C" w:rsidRPr="00D71A53" w:rsidRDefault="00B3210C">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D71A53">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single" w:sz="4" w:space="0" w:color="ADD6EA"/>
              <w:right w:val="nil"/>
            </w:tcBorders>
            <w:shd w:val="clear" w:color="000000" w:fill="B6D5E4"/>
            <w:hideMark/>
          </w:tcPr>
          <w:p w14:paraId="6D206136" w14:textId="77777777" w:rsidR="00B3210C" w:rsidRPr="00D71A53" w:rsidRDefault="00B3210C">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D71A53">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single" w:sz="4" w:space="0" w:color="ADD6EA"/>
              <w:right w:val="nil"/>
            </w:tcBorders>
            <w:shd w:val="clear" w:color="000000" w:fill="B6D5E4"/>
            <w:hideMark/>
          </w:tcPr>
          <w:p w14:paraId="0E3E4CCE" w14:textId="77777777" w:rsidR="00B3210C" w:rsidRPr="00D71A53" w:rsidRDefault="00B3210C">
            <w:pPr>
              <w:tabs>
                <w:tab w:val="clear" w:pos="567"/>
              </w:tabs>
              <w:spacing w:before="0" w:line="240" w:lineRule="auto"/>
              <w:rPr>
                <w:rFonts w:ascii="Open Sans Semibold" w:eastAsia="Times New Roman" w:hAnsi="Open Sans Semibold" w:cs="Open Sans Semibold"/>
                <w:color w:val="000000"/>
                <w:sz w:val="16"/>
                <w:szCs w:val="16"/>
                <w:lang w:eastAsia="en-AU"/>
              </w:rPr>
            </w:pPr>
            <w:r w:rsidRPr="00D71A53">
              <w:rPr>
                <w:rFonts w:ascii="Open Sans Semibold" w:eastAsia="Times New Roman" w:hAnsi="Open Sans Semibold" w:cs="Open Sans Semibold"/>
                <w:color w:val="000000"/>
                <w:sz w:val="16"/>
                <w:szCs w:val="16"/>
                <w:lang w:eastAsia="en-AU"/>
              </w:rPr>
              <w:t> </w:t>
            </w:r>
          </w:p>
        </w:tc>
      </w:tr>
      <w:tr w:rsidR="00B3210C" w:rsidRPr="00D71A53" w14:paraId="2C41A03A" w14:textId="77777777">
        <w:trPr>
          <w:trHeight w:val="795"/>
        </w:trPr>
        <w:tc>
          <w:tcPr>
            <w:tcW w:w="2640" w:type="dxa"/>
            <w:tcBorders>
              <w:top w:val="single" w:sz="4" w:space="0" w:color="ADD6EA"/>
              <w:left w:val="nil"/>
              <w:bottom w:val="nil"/>
              <w:right w:val="nil"/>
            </w:tcBorders>
            <w:shd w:val="clear" w:color="000000" w:fill="FFFFFF"/>
            <w:hideMark/>
          </w:tcPr>
          <w:p w14:paraId="54A3ED74" w14:textId="77777777" w:rsidR="00B3210C" w:rsidRPr="00D71A53" w:rsidRDefault="00B3210C">
            <w:pPr>
              <w:tabs>
                <w:tab w:val="clear" w:pos="567"/>
              </w:tabs>
              <w:spacing w:before="0" w:line="240" w:lineRule="auto"/>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Net borrowing</w:t>
            </w:r>
          </w:p>
        </w:tc>
        <w:tc>
          <w:tcPr>
            <w:tcW w:w="700" w:type="dxa"/>
            <w:tcBorders>
              <w:top w:val="single" w:sz="4" w:space="0" w:color="ADD6EA"/>
              <w:left w:val="nil"/>
              <w:bottom w:val="nil"/>
              <w:right w:val="nil"/>
            </w:tcBorders>
            <w:shd w:val="clear" w:color="000000" w:fill="ADD6EA"/>
            <w:hideMark/>
          </w:tcPr>
          <w:p w14:paraId="2FD96E02" w14:textId="77777777" w:rsidR="00B3210C" w:rsidRPr="00D71A53" w:rsidRDefault="00B3210C">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70</w:t>
            </w:r>
          </w:p>
        </w:tc>
        <w:tc>
          <w:tcPr>
            <w:tcW w:w="700" w:type="dxa"/>
            <w:tcBorders>
              <w:top w:val="single" w:sz="4" w:space="0" w:color="ADD6EA"/>
              <w:left w:val="nil"/>
              <w:bottom w:val="nil"/>
              <w:right w:val="nil"/>
            </w:tcBorders>
            <w:shd w:val="clear" w:color="000000" w:fill="ADD6EA"/>
            <w:hideMark/>
          </w:tcPr>
          <w:p w14:paraId="435E07A9" w14:textId="77777777" w:rsidR="00B3210C" w:rsidRPr="00D71A53" w:rsidRDefault="00B3210C">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122</w:t>
            </w:r>
          </w:p>
        </w:tc>
        <w:tc>
          <w:tcPr>
            <w:tcW w:w="4900" w:type="dxa"/>
            <w:tcBorders>
              <w:top w:val="single" w:sz="4" w:space="0" w:color="ADD6EA"/>
              <w:left w:val="nil"/>
              <w:bottom w:val="nil"/>
              <w:right w:val="nil"/>
            </w:tcBorders>
            <w:shd w:val="clear" w:color="000000" w:fill="FFFFFF"/>
            <w:hideMark/>
          </w:tcPr>
          <w:p w14:paraId="0958BC6F" w14:textId="77777777" w:rsidR="00B3210C" w:rsidRPr="00D71A53" w:rsidRDefault="00B3210C">
            <w:pPr>
              <w:tabs>
                <w:tab w:val="clear" w:pos="567"/>
              </w:tabs>
              <w:spacing w:before="0" w:line="240" w:lineRule="auto"/>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Tasmania’s decreasing share of population growth in 2023</w:t>
            </w:r>
            <w:r w:rsidRPr="00D71A53">
              <w:rPr>
                <w:rFonts w:ascii="Arial" w:eastAsia="Times New Roman" w:hAnsi="Arial" w:cs="Arial"/>
                <w:color w:val="000000"/>
                <w:sz w:val="16"/>
                <w:szCs w:val="16"/>
                <w:lang w:eastAsia="en-AU"/>
              </w:rPr>
              <w:t>‍</w:t>
            </w:r>
            <w:r w:rsidRPr="00D71A53">
              <w:rPr>
                <w:rFonts w:ascii="Open Sans Light" w:eastAsia="Times New Roman" w:hAnsi="Open Sans Light" w:cs="Open Sans Light"/>
                <w:color w:val="000000"/>
                <w:sz w:val="16"/>
                <w:szCs w:val="16"/>
                <w:lang w:eastAsia="en-AU"/>
              </w:rPr>
              <w:t>–</w:t>
            </w:r>
            <w:r w:rsidRPr="00D71A53">
              <w:rPr>
                <w:rFonts w:ascii="Arial" w:eastAsia="Times New Roman" w:hAnsi="Arial" w:cs="Arial"/>
                <w:color w:val="000000"/>
                <w:sz w:val="16"/>
                <w:szCs w:val="16"/>
                <w:lang w:eastAsia="en-AU"/>
              </w:rPr>
              <w:t>‍</w:t>
            </w:r>
            <w:r w:rsidRPr="00D71A53">
              <w:rPr>
                <w:rFonts w:ascii="Open Sans Light" w:eastAsia="Times New Roman" w:hAnsi="Open Sans Light" w:cs="Open Sans Light"/>
                <w:color w:val="000000"/>
                <w:sz w:val="16"/>
                <w:szCs w:val="16"/>
                <w:lang w:eastAsia="en-AU"/>
              </w:rPr>
              <w:t>24 compared with 2020–21 led to a decrease in its ability to service its liabilities, increasing its assessed GST needs. While the decreasing share of national population growth in Tasmania increased its assessed GST needs from the net borrowing assessment, it also led to a larger decrease in Tasmania’s assessed GST needs through the various investment assessments.</w:t>
            </w:r>
          </w:p>
        </w:tc>
      </w:tr>
      <w:tr w:rsidR="00B3210C" w:rsidRPr="00D71A53" w14:paraId="1EE3CEC2" w14:textId="77777777">
        <w:trPr>
          <w:trHeight w:val="1263"/>
        </w:trPr>
        <w:tc>
          <w:tcPr>
            <w:tcW w:w="2640" w:type="dxa"/>
            <w:tcBorders>
              <w:top w:val="single" w:sz="4" w:space="0" w:color="ADD6EA"/>
              <w:left w:val="nil"/>
              <w:bottom w:val="nil"/>
              <w:right w:val="nil"/>
            </w:tcBorders>
            <w:shd w:val="clear" w:color="000000" w:fill="FFFFFF"/>
            <w:hideMark/>
          </w:tcPr>
          <w:p w14:paraId="6CACA9DC" w14:textId="77777777" w:rsidR="00B3210C" w:rsidRPr="00D71A53" w:rsidRDefault="00B3210C">
            <w:pPr>
              <w:tabs>
                <w:tab w:val="clear" w:pos="567"/>
              </w:tabs>
              <w:spacing w:before="0" w:line="240" w:lineRule="auto"/>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Population dispersion</w:t>
            </w:r>
          </w:p>
        </w:tc>
        <w:tc>
          <w:tcPr>
            <w:tcW w:w="700" w:type="dxa"/>
            <w:tcBorders>
              <w:top w:val="single" w:sz="4" w:space="0" w:color="ADD6EA"/>
              <w:left w:val="nil"/>
              <w:bottom w:val="nil"/>
              <w:right w:val="nil"/>
            </w:tcBorders>
            <w:shd w:val="clear" w:color="000000" w:fill="ADD6EA"/>
            <w:hideMark/>
          </w:tcPr>
          <w:p w14:paraId="36FD4021" w14:textId="77777777" w:rsidR="00B3210C" w:rsidRPr="00D71A53" w:rsidRDefault="00B3210C">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60</w:t>
            </w:r>
          </w:p>
        </w:tc>
        <w:tc>
          <w:tcPr>
            <w:tcW w:w="700" w:type="dxa"/>
            <w:tcBorders>
              <w:top w:val="single" w:sz="4" w:space="0" w:color="ADD6EA"/>
              <w:left w:val="nil"/>
              <w:bottom w:val="nil"/>
              <w:right w:val="nil"/>
            </w:tcBorders>
            <w:shd w:val="clear" w:color="000000" w:fill="ADD6EA"/>
            <w:hideMark/>
          </w:tcPr>
          <w:p w14:paraId="2C91F859" w14:textId="77777777" w:rsidR="00B3210C" w:rsidRPr="00D71A53" w:rsidRDefault="00B3210C">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104</w:t>
            </w:r>
          </w:p>
        </w:tc>
        <w:tc>
          <w:tcPr>
            <w:tcW w:w="4900" w:type="dxa"/>
            <w:tcBorders>
              <w:top w:val="single" w:sz="4" w:space="0" w:color="ADD6EA"/>
              <w:left w:val="nil"/>
              <w:bottom w:val="nil"/>
              <w:right w:val="nil"/>
            </w:tcBorders>
            <w:shd w:val="clear" w:color="000000" w:fill="FFFFFF"/>
            <w:hideMark/>
          </w:tcPr>
          <w:p w14:paraId="76F1374F" w14:textId="6C3F28EE" w:rsidR="00B3210C" w:rsidRPr="00D71A53" w:rsidRDefault="00B3210C">
            <w:pPr>
              <w:tabs>
                <w:tab w:val="clear" w:pos="567"/>
              </w:tabs>
              <w:spacing w:before="0" w:line="240" w:lineRule="auto"/>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States have higher community health expenses per capita in regional areas than in major cities. The increase in state community health expenses in 2023–24 compared with 2020</w:t>
            </w:r>
            <w:r w:rsidRPr="00D71A53">
              <w:rPr>
                <w:rFonts w:ascii="Arial" w:eastAsia="Times New Roman" w:hAnsi="Arial" w:cs="Arial"/>
                <w:color w:val="000000"/>
                <w:sz w:val="16"/>
                <w:szCs w:val="16"/>
                <w:lang w:eastAsia="en-AU"/>
              </w:rPr>
              <w:t>‍</w:t>
            </w:r>
            <w:r w:rsidRPr="00D71A53">
              <w:rPr>
                <w:rFonts w:ascii="Open Sans Light" w:eastAsia="Times New Roman" w:hAnsi="Open Sans Light" w:cs="Open Sans Light"/>
                <w:color w:val="000000"/>
                <w:sz w:val="16"/>
                <w:szCs w:val="16"/>
                <w:lang w:eastAsia="en-AU"/>
              </w:rPr>
              <w:t>–</w:t>
            </w:r>
            <w:r w:rsidRPr="00D71A53">
              <w:rPr>
                <w:rFonts w:ascii="Arial" w:eastAsia="Times New Roman" w:hAnsi="Arial" w:cs="Arial"/>
                <w:color w:val="000000"/>
                <w:sz w:val="16"/>
                <w:szCs w:val="16"/>
                <w:lang w:eastAsia="en-AU"/>
              </w:rPr>
              <w:t>‍</w:t>
            </w:r>
            <w:r w:rsidRPr="00D71A53">
              <w:rPr>
                <w:rFonts w:ascii="Open Sans Light" w:eastAsia="Times New Roman" w:hAnsi="Open Sans Light" w:cs="Open Sans Light"/>
                <w:color w:val="000000"/>
                <w:sz w:val="16"/>
                <w:szCs w:val="16"/>
                <w:lang w:eastAsia="en-AU"/>
              </w:rPr>
              <w:t>21 increased the share of assessed expenses in regional areas</w:t>
            </w:r>
            <w:r w:rsidR="00341860">
              <w:rPr>
                <w:rFonts w:ascii="Open Sans Light" w:eastAsia="Times New Roman" w:hAnsi="Open Sans Light" w:cs="Open Sans Light"/>
                <w:color w:val="000000"/>
                <w:sz w:val="16"/>
                <w:szCs w:val="16"/>
                <w:lang w:eastAsia="en-AU"/>
              </w:rPr>
              <w:t>,</w:t>
            </w:r>
            <w:r w:rsidRPr="00D71A53">
              <w:rPr>
                <w:rFonts w:ascii="Open Sans Light" w:eastAsia="Times New Roman" w:hAnsi="Open Sans Light" w:cs="Open Sans Light"/>
                <w:color w:val="000000"/>
                <w:sz w:val="16"/>
                <w:szCs w:val="16"/>
                <w:lang w:eastAsia="en-AU"/>
              </w:rPr>
              <w:t xml:space="preserve"> increasing the influence of population dispersion. This resulted in an increase in Tasmania’s assessed GST needs.</w:t>
            </w:r>
          </w:p>
        </w:tc>
      </w:tr>
      <w:tr w:rsidR="00B3210C" w:rsidRPr="00D71A53" w14:paraId="3C46C929" w14:textId="77777777">
        <w:trPr>
          <w:trHeight w:val="985"/>
        </w:trPr>
        <w:tc>
          <w:tcPr>
            <w:tcW w:w="2640" w:type="dxa"/>
            <w:tcBorders>
              <w:top w:val="single" w:sz="4" w:space="0" w:color="ADD6EA"/>
              <w:left w:val="nil"/>
              <w:bottom w:val="nil"/>
              <w:right w:val="nil"/>
            </w:tcBorders>
            <w:shd w:val="clear" w:color="000000" w:fill="FFFFFF"/>
            <w:hideMark/>
          </w:tcPr>
          <w:p w14:paraId="247FA219" w14:textId="77777777" w:rsidR="00B3210C" w:rsidRPr="00D71A53" w:rsidRDefault="00B3210C">
            <w:pPr>
              <w:tabs>
                <w:tab w:val="clear" w:pos="567"/>
              </w:tabs>
              <w:spacing w:before="0" w:line="240" w:lineRule="auto"/>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Mining production</w:t>
            </w:r>
          </w:p>
        </w:tc>
        <w:tc>
          <w:tcPr>
            <w:tcW w:w="700" w:type="dxa"/>
            <w:tcBorders>
              <w:top w:val="single" w:sz="4" w:space="0" w:color="ADD6EA"/>
              <w:left w:val="nil"/>
              <w:bottom w:val="nil"/>
              <w:right w:val="nil"/>
            </w:tcBorders>
            <w:shd w:val="clear" w:color="000000" w:fill="ADD6EA"/>
            <w:hideMark/>
          </w:tcPr>
          <w:p w14:paraId="4F7A66B5" w14:textId="77777777" w:rsidR="00B3210C" w:rsidRPr="00D71A53" w:rsidRDefault="00B3210C">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53</w:t>
            </w:r>
          </w:p>
        </w:tc>
        <w:tc>
          <w:tcPr>
            <w:tcW w:w="700" w:type="dxa"/>
            <w:tcBorders>
              <w:top w:val="single" w:sz="4" w:space="0" w:color="ADD6EA"/>
              <w:left w:val="nil"/>
              <w:bottom w:val="nil"/>
              <w:right w:val="nil"/>
            </w:tcBorders>
            <w:shd w:val="clear" w:color="000000" w:fill="ADD6EA"/>
            <w:hideMark/>
          </w:tcPr>
          <w:p w14:paraId="25C30E7D" w14:textId="77777777" w:rsidR="00B3210C" w:rsidRPr="00D71A53" w:rsidRDefault="00B3210C">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91</w:t>
            </w:r>
          </w:p>
        </w:tc>
        <w:tc>
          <w:tcPr>
            <w:tcW w:w="4900" w:type="dxa"/>
            <w:tcBorders>
              <w:top w:val="single" w:sz="4" w:space="0" w:color="ADD6EA"/>
              <w:left w:val="nil"/>
              <w:bottom w:val="nil"/>
              <w:right w:val="nil"/>
            </w:tcBorders>
            <w:shd w:val="clear" w:color="000000" w:fill="FFFFFF"/>
            <w:hideMark/>
          </w:tcPr>
          <w:p w14:paraId="470F97FE" w14:textId="77777777" w:rsidR="00B3210C" w:rsidRPr="00D71A53" w:rsidRDefault="00B3210C">
            <w:pPr>
              <w:tabs>
                <w:tab w:val="clear" w:pos="567"/>
              </w:tabs>
              <w:spacing w:before="0" w:line="240" w:lineRule="auto"/>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A large increase in coal prices and average coal royalty rates in 2023–24 compared with 2020</w:t>
            </w:r>
            <w:r w:rsidRPr="00D71A53">
              <w:rPr>
                <w:rFonts w:ascii="Arial" w:eastAsia="Times New Roman" w:hAnsi="Arial" w:cs="Arial"/>
                <w:color w:val="000000"/>
                <w:sz w:val="16"/>
                <w:szCs w:val="16"/>
                <w:lang w:eastAsia="en-AU"/>
              </w:rPr>
              <w:t>‍</w:t>
            </w:r>
            <w:r w:rsidRPr="00D71A53">
              <w:rPr>
                <w:rFonts w:ascii="Open Sans Light" w:eastAsia="Times New Roman" w:hAnsi="Open Sans Light" w:cs="Open Sans Light"/>
                <w:color w:val="000000"/>
                <w:sz w:val="16"/>
                <w:szCs w:val="16"/>
                <w:lang w:eastAsia="en-AU"/>
              </w:rPr>
              <w:t>–</w:t>
            </w:r>
            <w:r w:rsidRPr="00D71A53">
              <w:rPr>
                <w:rFonts w:ascii="Arial" w:eastAsia="Times New Roman" w:hAnsi="Arial" w:cs="Arial"/>
                <w:color w:val="000000"/>
                <w:sz w:val="16"/>
                <w:szCs w:val="16"/>
                <w:lang w:eastAsia="en-AU"/>
              </w:rPr>
              <w:t>‍</w:t>
            </w:r>
            <w:r w:rsidRPr="00D71A53">
              <w:rPr>
                <w:rFonts w:ascii="Open Sans Light" w:eastAsia="Times New Roman" w:hAnsi="Open Sans Light" w:cs="Open Sans Light"/>
                <w:color w:val="000000"/>
                <w:sz w:val="16"/>
                <w:szCs w:val="16"/>
                <w:lang w:eastAsia="en-AU"/>
              </w:rPr>
              <w:t>21 increased the revenue raising capacities of New South Wales and Queensland. This reduced Tasmania’s relative mining revenue capacity and increased its assessed GST needs.</w:t>
            </w:r>
          </w:p>
        </w:tc>
      </w:tr>
      <w:tr w:rsidR="00B3210C" w:rsidRPr="00D71A53" w14:paraId="435C5219" w14:textId="77777777">
        <w:trPr>
          <w:trHeight w:val="546"/>
        </w:trPr>
        <w:tc>
          <w:tcPr>
            <w:tcW w:w="2640" w:type="dxa"/>
            <w:tcBorders>
              <w:top w:val="single" w:sz="4" w:space="0" w:color="ADD6EA"/>
              <w:left w:val="nil"/>
              <w:bottom w:val="single" w:sz="4" w:space="0" w:color="ADD6EA"/>
              <w:right w:val="nil"/>
            </w:tcBorders>
            <w:shd w:val="clear" w:color="000000" w:fill="FFFFFF"/>
            <w:hideMark/>
          </w:tcPr>
          <w:p w14:paraId="029FF43A" w14:textId="77777777" w:rsidR="00B3210C" w:rsidRPr="00D71A53" w:rsidRDefault="00B3210C">
            <w:pPr>
              <w:tabs>
                <w:tab w:val="clear" w:pos="567"/>
              </w:tabs>
              <w:spacing w:before="0" w:line="240" w:lineRule="auto"/>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Commonwealth payments</w:t>
            </w:r>
          </w:p>
        </w:tc>
        <w:tc>
          <w:tcPr>
            <w:tcW w:w="700" w:type="dxa"/>
            <w:tcBorders>
              <w:top w:val="single" w:sz="4" w:space="0" w:color="ADD6EA"/>
              <w:left w:val="nil"/>
              <w:bottom w:val="single" w:sz="4" w:space="0" w:color="ADD6EA"/>
              <w:right w:val="nil"/>
            </w:tcBorders>
            <w:shd w:val="clear" w:color="000000" w:fill="EBBFA0"/>
            <w:hideMark/>
          </w:tcPr>
          <w:p w14:paraId="4D690FBD" w14:textId="77777777" w:rsidR="00B3210C" w:rsidRPr="00D71A53" w:rsidRDefault="00B3210C">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-50</w:t>
            </w:r>
          </w:p>
        </w:tc>
        <w:tc>
          <w:tcPr>
            <w:tcW w:w="700" w:type="dxa"/>
            <w:tcBorders>
              <w:top w:val="single" w:sz="4" w:space="0" w:color="ADD6EA"/>
              <w:left w:val="nil"/>
              <w:bottom w:val="single" w:sz="4" w:space="0" w:color="ADD6EA"/>
              <w:right w:val="nil"/>
            </w:tcBorders>
            <w:shd w:val="clear" w:color="000000" w:fill="EBBFA0"/>
            <w:hideMark/>
          </w:tcPr>
          <w:p w14:paraId="528DA81E" w14:textId="77777777" w:rsidR="00B3210C" w:rsidRPr="00D71A53" w:rsidRDefault="00B3210C">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-86</w:t>
            </w:r>
          </w:p>
        </w:tc>
        <w:tc>
          <w:tcPr>
            <w:tcW w:w="4900" w:type="dxa"/>
            <w:tcBorders>
              <w:top w:val="single" w:sz="4" w:space="0" w:color="ADD6EA"/>
              <w:left w:val="nil"/>
              <w:bottom w:val="single" w:sz="4" w:space="0" w:color="ADD6EA"/>
              <w:right w:val="nil"/>
            </w:tcBorders>
            <w:shd w:val="clear" w:color="000000" w:fill="FFFFFF"/>
            <w:hideMark/>
          </w:tcPr>
          <w:p w14:paraId="1F776B4E" w14:textId="2C12E64B" w:rsidR="00B3210C" w:rsidRPr="00D71A53" w:rsidRDefault="00B3210C">
            <w:pPr>
              <w:tabs>
                <w:tab w:val="clear" w:pos="567"/>
              </w:tabs>
              <w:spacing w:before="0" w:line="240" w:lineRule="auto"/>
              <w:rPr>
                <w:rFonts w:ascii="Open Sans Light" w:eastAsia="Times New Roman" w:hAnsi="Open Sans Light" w:cs="Open Sans Light"/>
                <w:color w:val="000000"/>
                <w:sz w:val="16"/>
                <w:szCs w:val="16"/>
                <w:lang w:eastAsia="en-AU"/>
              </w:rPr>
            </w:pPr>
            <w:r w:rsidRPr="00D71A53">
              <w:rPr>
                <w:rFonts w:ascii="Open Sans Light" w:eastAsia="Times New Roman" w:hAnsi="Open Sans Light" w:cs="Open Sans Light"/>
                <w:color w:val="000000"/>
                <w:sz w:val="16"/>
                <w:szCs w:val="16"/>
                <w:lang w:eastAsia="en-AU"/>
              </w:rPr>
              <w:t>Tasmania received a greater relative share of assessed Commonwealth payments in 2023</w:t>
            </w:r>
            <w:r w:rsidR="005F6246" w:rsidRPr="007872D7">
              <w:rPr>
                <w:rFonts w:ascii="Arial" w:eastAsia="Times New Roman" w:hAnsi="Arial" w:cs="Arial"/>
                <w:color w:val="000000"/>
                <w:sz w:val="16"/>
                <w:szCs w:val="16"/>
                <w:lang w:eastAsia="en-AU"/>
              </w:rPr>
              <w:t>‍</w:t>
            </w:r>
            <w:r w:rsidRPr="00D71A53">
              <w:rPr>
                <w:rFonts w:ascii="Open Sans Light" w:eastAsia="Times New Roman" w:hAnsi="Open Sans Light" w:cs="Open Sans Light"/>
                <w:color w:val="000000"/>
                <w:sz w:val="16"/>
                <w:szCs w:val="16"/>
                <w:lang w:eastAsia="en-AU"/>
              </w:rPr>
              <w:t>–</w:t>
            </w:r>
            <w:r w:rsidR="005F6246" w:rsidRPr="007872D7">
              <w:rPr>
                <w:rFonts w:ascii="Arial" w:eastAsia="Times New Roman" w:hAnsi="Arial" w:cs="Arial"/>
                <w:color w:val="000000"/>
                <w:sz w:val="16"/>
                <w:szCs w:val="16"/>
                <w:lang w:eastAsia="en-AU"/>
              </w:rPr>
              <w:t>‍</w:t>
            </w:r>
            <w:r w:rsidRPr="00D71A53">
              <w:rPr>
                <w:rFonts w:ascii="Open Sans Light" w:eastAsia="Times New Roman" w:hAnsi="Open Sans Light" w:cs="Open Sans Light"/>
                <w:color w:val="000000"/>
                <w:sz w:val="16"/>
                <w:szCs w:val="16"/>
                <w:lang w:eastAsia="en-AU"/>
              </w:rPr>
              <w:t>24 compared with 2020</w:t>
            </w:r>
            <w:r w:rsidRPr="00D71A53">
              <w:rPr>
                <w:rFonts w:ascii="Arial" w:eastAsia="Times New Roman" w:hAnsi="Arial" w:cs="Arial"/>
                <w:color w:val="000000"/>
                <w:sz w:val="16"/>
                <w:szCs w:val="16"/>
                <w:lang w:eastAsia="en-AU"/>
              </w:rPr>
              <w:t>‍</w:t>
            </w:r>
            <w:r w:rsidRPr="00D71A53">
              <w:rPr>
                <w:rFonts w:ascii="Open Sans Light" w:eastAsia="Times New Roman" w:hAnsi="Open Sans Light" w:cs="Open Sans Light"/>
                <w:color w:val="000000"/>
                <w:sz w:val="16"/>
                <w:szCs w:val="16"/>
                <w:lang w:eastAsia="en-AU"/>
              </w:rPr>
              <w:t>–</w:t>
            </w:r>
            <w:r w:rsidRPr="00D71A53">
              <w:rPr>
                <w:rFonts w:ascii="Arial" w:eastAsia="Times New Roman" w:hAnsi="Arial" w:cs="Arial"/>
                <w:color w:val="000000"/>
                <w:sz w:val="16"/>
                <w:szCs w:val="16"/>
                <w:lang w:eastAsia="en-AU"/>
              </w:rPr>
              <w:t>‍</w:t>
            </w:r>
            <w:r w:rsidRPr="00D71A53">
              <w:rPr>
                <w:rFonts w:ascii="Open Sans Light" w:eastAsia="Times New Roman" w:hAnsi="Open Sans Light" w:cs="Open Sans Light"/>
                <w:color w:val="000000"/>
                <w:sz w:val="16"/>
                <w:szCs w:val="16"/>
                <w:lang w:eastAsia="en-AU"/>
              </w:rPr>
              <w:t>21, reducing its assessed GST needs.</w:t>
            </w:r>
          </w:p>
        </w:tc>
      </w:tr>
    </w:tbl>
    <w:p w14:paraId="47C65CDA" w14:textId="4AC86BA2" w:rsidR="00B3210C" w:rsidRPr="00885A41" w:rsidRDefault="00B3210C" w:rsidP="00FB2709">
      <w:pPr>
        <w:pStyle w:val="CGC2025TableNote"/>
        <w:numPr>
          <w:ilvl w:val="0"/>
          <w:numId w:val="24"/>
        </w:numPr>
      </w:pPr>
      <w:r w:rsidRPr="00885A41">
        <w:t>Change of circumstances refers to the impact of replacing the 2020–21 assessment year data with the 2023–24 assessment year data in the calculation of relativities.</w:t>
      </w:r>
    </w:p>
    <w:p w14:paraId="5A4E7D71" w14:textId="77777777" w:rsidR="00B3210C" w:rsidRDefault="00B3210C">
      <w:pPr>
        <w:tabs>
          <w:tab w:val="clear" w:pos="567"/>
        </w:tabs>
        <w:spacing w:before="0" w:after="200" w:line="276" w:lineRule="auto"/>
      </w:pPr>
      <w:r>
        <w:br w:type="page"/>
      </w:r>
    </w:p>
    <w:p w14:paraId="18440874" w14:textId="77777777" w:rsidR="0056556B" w:rsidRPr="00885A41" w:rsidRDefault="0056556B" w:rsidP="0056556B">
      <w:pPr>
        <w:pStyle w:val="Heading2"/>
      </w:pPr>
      <w:r w:rsidRPr="00885A41">
        <w:lastRenderedPageBreak/>
        <w:t>Australian Capital Territory</w:t>
      </w:r>
    </w:p>
    <w:p w14:paraId="0504F7C7" w14:textId="1BF0350C" w:rsidR="0056556B" w:rsidRPr="00885A41" w:rsidRDefault="0056556B" w:rsidP="0056556B">
      <w:r w:rsidRPr="00885A41">
        <w:t xml:space="preserve">In 2025–26, the ACT’s </w:t>
      </w:r>
      <w:r w:rsidRPr="00885A41" w:rsidDel="008F654F">
        <w:t>GST</w:t>
      </w:r>
      <w:r w:rsidR="008F654F">
        <w:t> </w:t>
      </w:r>
      <w:r w:rsidRPr="00885A41">
        <w:t xml:space="preserve">distribution is estimated to increase by $35 million ($73 per capita). The ACT’s share of the </w:t>
      </w:r>
      <w:r w:rsidRPr="00885A41" w:rsidDel="008F654F">
        <w:t>GST</w:t>
      </w:r>
      <w:r w:rsidR="008F654F">
        <w:t> </w:t>
      </w:r>
      <w:r w:rsidRPr="00885A41">
        <w:t>pool is estimated to decrease from 2.1% to 2.0%.</w:t>
      </w:r>
    </w:p>
    <w:p w14:paraId="2AA23229" w14:textId="2749D7B6" w:rsidR="0056556B" w:rsidRPr="00885A41" w:rsidRDefault="0056556B" w:rsidP="004F0848">
      <w:pPr>
        <w:pStyle w:val="CGC2025Bullet1"/>
      </w:pPr>
      <w:r w:rsidRPr="00885A41">
        <w:t xml:space="preserve">The main factors leading to the decrease in the ACT’s assessed </w:t>
      </w:r>
      <w:r w:rsidRPr="00885A41" w:rsidDel="008F654F">
        <w:t>GST</w:t>
      </w:r>
      <w:r w:rsidR="008F654F">
        <w:t> </w:t>
      </w:r>
      <w:r w:rsidRPr="00885A41">
        <w:t>needs are:</w:t>
      </w:r>
    </w:p>
    <w:p w14:paraId="2B6B1075" w14:textId="69838229" w:rsidR="0056556B" w:rsidRDefault="001E2024" w:rsidP="004F0848">
      <w:pPr>
        <w:pStyle w:val="CGC2025Bullet2"/>
      </w:pPr>
      <w:r>
        <w:t xml:space="preserve">a </w:t>
      </w:r>
      <w:r w:rsidR="00BA5AD9">
        <w:t>change to the recurrent urban transport method</w:t>
      </w:r>
      <w:r>
        <w:t>,</w:t>
      </w:r>
      <w:r w:rsidR="00BA5AD9" w:rsidRPr="00847756" w:rsidDel="00BA5AD9">
        <w:t xml:space="preserve"> </w:t>
      </w:r>
      <w:r w:rsidR="00BA5AD9">
        <w:t xml:space="preserve">which </w:t>
      </w:r>
      <w:r>
        <w:t>decreased the</w:t>
      </w:r>
      <w:r w:rsidR="00281821">
        <w:t xml:space="preserve"> </w:t>
      </w:r>
      <w:r w:rsidR="0056556B" w:rsidRPr="00847756">
        <w:t>population-weighted density of Canberra relative to other urban areas, which reduced the ACT’s</w:t>
      </w:r>
      <w:r w:rsidR="0056556B" w:rsidRPr="00847756" w:rsidDel="00AC5C36">
        <w:t xml:space="preserve"> </w:t>
      </w:r>
      <w:r w:rsidR="0056556B" w:rsidRPr="00847756">
        <w:t>assessed need for urban transport investment</w:t>
      </w:r>
    </w:p>
    <w:p w14:paraId="2B9FAFCD" w14:textId="37064A70" w:rsidR="007647C7" w:rsidRPr="00885A41" w:rsidRDefault="007647C7" w:rsidP="007647C7">
      <w:pPr>
        <w:pStyle w:val="CGC2025Bullet2"/>
      </w:pPr>
      <w:r w:rsidRPr="007647C7">
        <w:t>below-average growth in population</w:t>
      </w:r>
      <w:r w:rsidR="00C156FB" w:rsidRPr="00885A41">
        <w:rPr>
          <w:rFonts w:ascii="Times New Roman" w:hAnsi="Times New Roman" w:cs="Times New Roman"/>
        </w:rPr>
        <w:t>‍</w:t>
      </w:r>
      <w:r w:rsidRPr="007647C7">
        <w:t>-</w:t>
      </w:r>
      <w:r w:rsidR="00C156FB" w:rsidRPr="00885A41">
        <w:rPr>
          <w:rFonts w:ascii="Times New Roman" w:hAnsi="Times New Roman" w:cs="Times New Roman"/>
        </w:rPr>
        <w:t>‍</w:t>
      </w:r>
      <w:r w:rsidRPr="007647C7">
        <w:t xml:space="preserve">weighted density in </w:t>
      </w:r>
      <w:r w:rsidR="00847756">
        <w:t>Canberra</w:t>
      </w:r>
      <w:r w:rsidRPr="007647C7">
        <w:t xml:space="preserve"> in 2023</w:t>
      </w:r>
      <w:r w:rsidR="00E46BB4" w:rsidRPr="00885A41">
        <w:rPr>
          <w:rFonts w:ascii="Times New Roman" w:hAnsi="Times New Roman" w:cs="Times New Roman"/>
        </w:rPr>
        <w:t>‍</w:t>
      </w:r>
      <w:r w:rsidR="00E46BB4" w:rsidRPr="00885A41">
        <w:rPr>
          <w:rFonts w:cs="Work Sans"/>
        </w:rPr>
        <w:t>–</w:t>
      </w:r>
      <w:r w:rsidR="00E46BB4" w:rsidRPr="00885A41">
        <w:rPr>
          <w:rFonts w:ascii="Times New Roman" w:hAnsi="Times New Roman" w:cs="Times New Roman"/>
        </w:rPr>
        <w:t>‍</w:t>
      </w:r>
      <w:r w:rsidRPr="007647C7">
        <w:t>24,</w:t>
      </w:r>
      <w:r w:rsidR="00847756">
        <w:t xml:space="preserve"> which</w:t>
      </w:r>
      <w:r w:rsidRPr="007647C7">
        <w:t xml:space="preserve"> reduced </w:t>
      </w:r>
      <w:r w:rsidR="00847756">
        <w:t xml:space="preserve">the ACT’s </w:t>
      </w:r>
      <w:r w:rsidRPr="007647C7">
        <w:t>need for urban transport investment</w:t>
      </w:r>
    </w:p>
    <w:p w14:paraId="45632FDF" w14:textId="32BABFB6" w:rsidR="0056556B" w:rsidRPr="00885A41" w:rsidRDefault="0056556B" w:rsidP="004F0848">
      <w:pPr>
        <w:pStyle w:val="CGC2025Bullet2"/>
      </w:pPr>
      <w:r w:rsidRPr="00885A41">
        <w:t>the ACT receiving a larger share of Commonwealth payments in 2023</w:t>
      </w:r>
      <w:r w:rsidRPr="00885A41">
        <w:rPr>
          <w:rFonts w:ascii="Times New Roman" w:hAnsi="Times New Roman" w:cs="Times New Roman"/>
        </w:rPr>
        <w:t>‍</w:t>
      </w:r>
      <w:r w:rsidRPr="00885A41">
        <w:rPr>
          <w:rFonts w:cs="Work Sans"/>
        </w:rPr>
        <w:t>–</w:t>
      </w:r>
      <w:r w:rsidRPr="00885A41">
        <w:rPr>
          <w:rFonts w:ascii="Times New Roman" w:hAnsi="Times New Roman" w:cs="Times New Roman"/>
        </w:rPr>
        <w:t>‍</w:t>
      </w:r>
      <w:r w:rsidRPr="00885A41">
        <w:t>24 compared with 2020</w:t>
      </w:r>
      <w:r w:rsidR="00A308DE" w:rsidRPr="00146FF7">
        <w:rPr>
          <w:rFonts w:ascii="Times New Roman" w:hAnsi="Times New Roman" w:cs="Times New Roman"/>
        </w:rPr>
        <w:t>‍</w:t>
      </w:r>
      <w:r w:rsidRPr="00885A41">
        <w:t>–</w:t>
      </w:r>
      <w:r w:rsidR="00A308DE" w:rsidRPr="00146FF7">
        <w:rPr>
          <w:rFonts w:ascii="Times New Roman" w:hAnsi="Times New Roman" w:cs="Times New Roman"/>
        </w:rPr>
        <w:t>‍</w:t>
      </w:r>
      <w:r w:rsidRPr="00885A41">
        <w:t>21</w:t>
      </w:r>
    </w:p>
    <w:p w14:paraId="09304FE9" w14:textId="77777777" w:rsidR="0056556B" w:rsidRPr="00885A41" w:rsidRDefault="0056556B" w:rsidP="004F0848">
      <w:pPr>
        <w:pStyle w:val="CGC2025Bullet2"/>
      </w:pPr>
      <w:r w:rsidRPr="00885A41">
        <w:t>a decrease in natural disaster expenses relative to other states, which is largely driven by upward revisions to natural disaster expenses in New South Wales.</w:t>
      </w:r>
    </w:p>
    <w:p w14:paraId="1D766594" w14:textId="18E99389" w:rsidR="0056556B" w:rsidRPr="00885A41" w:rsidRDefault="0056556B" w:rsidP="004F0848">
      <w:pPr>
        <w:pStyle w:val="CGC2025Bullet1"/>
      </w:pPr>
      <w:r w:rsidRPr="00885A41">
        <w:t xml:space="preserve">The main factors partially offsetting the decrease in the ACT’s assessed </w:t>
      </w:r>
      <w:r w:rsidRPr="00885A41" w:rsidDel="008F654F">
        <w:t>GST</w:t>
      </w:r>
      <w:r w:rsidR="008F654F">
        <w:t> </w:t>
      </w:r>
      <w:r w:rsidRPr="00885A41">
        <w:t>needs are:</w:t>
      </w:r>
    </w:p>
    <w:p w14:paraId="6223A0A0" w14:textId="09735ADA" w:rsidR="0056556B" w:rsidRPr="009D7B96" w:rsidRDefault="001D01F0" w:rsidP="004F0848">
      <w:pPr>
        <w:pStyle w:val="CGC2025Bullet2"/>
      </w:pPr>
      <w:r w:rsidRPr="00847756">
        <w:t>the change</w:t>
      </w:r>
      <w:r w:rsidR="00801E7E" w:rsidRPr="00847756">
        <w:t>s</w:t>
      </w:r>
      <w:r w:rsidRPr="00847756">
        <w:t xml:space="preserve"> in the wage costs assessment method</w:t>
      </w:r>
      <w:r w:rsidR="00953A3B" w:rsidRPr="00847756">
        <w:t>, which</w:t>
      </w:r>
      <w:r w:rsidRPr="00847756">
        <w:t xml:space="preserve"> led to an</w:t>
      </w:r>
      <w:r w:rsidR="0056556B" w:rsidRPr="009D7B96">
        <w:t xml:space="preserve"> increase in modelled wage costs of workers in the ACT</w:t>
      </w:r>
    </w:p>
    <w:p w14:paraId="0BD60D5E" w14:textId="56BC5768" w:rsidR="0056556B" w:rsidRPr="009D7B96" w:rsidRDefault="0056556B" w:rsidP="004F0848">
      <w:pPr>
        <w:pStyle w:val="CGC2025Bullet2"/>
      </w:pPr>
      <w:r w:rsidRPr="009D7B96">
        <w:t>a reduced relative capacity to raise mining revenue</w:t>
      </w:r>
      <w:r w:rsidR="001D01F0" w:rsidRPr="00847756">
        <w:t>,</w:t>
      </w:r>
      <w:r w:rsidR="001D01F0" w:rsidRPr="009D7B96">
        <w:t xml:space="preserve"> </w:t>
      </w:r>
      <w:r w:rsidRPr="009D7B96">
        <w:t>because of the increase in the revenue raising capacity of the main coal producing states (New</w:t>
      </w:r>
      <w:r w:rsidR="00C37E66">
        <w:t> </w:t>
      </w:r>
      <w:r w:rsidRPr="009D7B96">
        <w:t>South</w:t>
      </w:r>
      <w:r w:rsidR="00C37E66">
        <w:t> </w:t>
      </w:r>
      <w:r w:rsidRPr="009D7B96">
        <w:t>Wales and Queensland)</w:t>
      </w:r>
    </w:p>
    <w:p w14:paraId="2DCB9090" w14:textId="77777777" w:rsidR="0056556B" w:rsidRPr="009D7B96" w:rsidRDefault="0056556B" w:rsidP="004F0848">
      <w:pPr>
        <w:pStyle w:val="CGC2025Bullet2"/>
      </w:pPr>
      <w:r w:rsidRPr="009D7B96">
        <w:t>changes to the method for calculating the impact of the non-state health sector on state health expense needs</w:t>
      </w:r>
    </w:p>
    <w:p w14:paraId="7575ADBD" w14:textId="0F9BE196" w:rsidR="0056556B" w:rsidRPr="00885A41" w:rsidRDefault="0056556B" w:rsidP="004F0848">
      <w:pPr>
        <w:pStyle w:val="CGC2025Bullet2"/>
      </w:pPr>
      <w:r w:rsidRPr="009D7B96">
        <w:t>a decrease in the ACT’s share of national population growth</w:t>
      </w:r>
      <w:r w:rsidR="00662D84" w:rsidRPr="009D7B96">
        <w:t>, which</w:t>
      </w:r>
      <w:r w:rsidR="00EE79C6">
        <w:t xml:space="preserve"> </w:t>
      </w:r>
      <w:r w:rsidRPr="00885A41">
        <w:t>decreased its capacity to maintain its per capita share of total net financial liabilities.</w:t>
      </w:r>
    </w:p>
    <w:p w14:paraId="3E972C2A" w14:textId="00B5EDC3" w:rsidR="0056556B" w:rsidRPr="00885A41" w:rsidRDefault="0056556B" w:rsidP="004F0848">
      <w:pPr>
        <w:pStyle w:val="CGC2025Bullet1"/>
      </w:pPr>
      <w:r w:rsidRPr="00885A41">
        <w:t xml:space="preserve">The expected growth in the </w:t>
      </w:r>
      <w:r w:rsidRPr="00885A41" w:rsidDel="008F654F">
        <w:t>GST</w:t>
      </w:r>
      <w:r w:rsidR="008F654F">
        <w:t> </w:t>
      </w:r>
      <w:r w:rsidRPr="00885A41">
        <w:t xml:space="preserve">pool contributed to the increase in the ACT’s </w:t>
      </w:r>
      <w:r w:rsidRPr="00885A41" w:rsidDel="008F654F">
        <w:t>GST</w:t>
      </w:r>
      <w:r w:rsidR="008F654F">
        <w:t> </w:t>
      </w:r>
      <w:r w:rsidRPr="00885A41">
        <w:t>distribution.</w:t>
      </w:r>
    </w:p>
    <w:p w14:paraId="48860E84" w14:textId="6450C738" w:rsidR="0056556B" w:rsidRPr="00885A41" w:rsidRDefault="0056556B" w:rsidP="004F0848">
      <w:pPr>
        <w:pStyle w:val="CGC2025Bullet1"/>
      </w:pPr>
      <w:r w:rsidRPr="00885A41">
        <w:t xml:space="preserve">The operation of blended relativities and the </w:t>
      </w:r>
      <w:r w:rsidRPr="00885A41" w:rsidDel="008F654F">
        <w:t>GST</w:t>
      </w:r>
      <w:r w:rsidR="008F654F">
        <w:t> </w:t>
      </w:r>
      <w:r w:rsidRPr="00885A41">
        <w:t xml:space="preserve">floor reduced the ACT’s </w:t>
      </w:r>
      <w:r w:rsidRPr="00885A41" w:rsidDel="008F654F">
        <w:t>GST</w:t>
      </w:r>
      <w:r w:rsidR="008F654F">
        <w:t> </w:t>
      </w:r>
      <w:r w:rsidRPr="00885A41">
        <w:t>distribution by $</w:t>
      </w:r>
      <w:r w:rsidR="00C750DC" w:rsidRPr="00885A41">
        <w:t>14</w:t>
      </w:r>
      <w:r w:rsidR="00C750DC">
        <w:t> </w:t>
      </w:r>
      <w:r w:rsidRPr="00885A41">
        <w:t>million more than in 2024–25.</w:t>
      </w:r>
    </w:p>
    <w:p w14:paraId="59E7ADD3" w14:textId="77777777" w:rsidR="0056556B" w:rsidRPr="00885A41" w:rsidRDefault="0056556B" w:rsidP="0056556B">
      <w:pPr>
        <w:pStyle w:val="CGC2025Caption"/>
        <w:ind w:left="1440" w:hanging="1440"/>
      </w:pPr>
      <w:r w:rsidRPr="00885A41">
        <w:t>Table 3-7</w:t>
      </w:r>
      <w:r w:rsidRPr="00885A41">
        <w:tab/>
        <w:t>Change in estimated GST distribution from 2024–25 to 2025–26, ACT (excludes no worse off payments)</w:t>
      </w:r>
    </w:p>
    <w:tbl>
      <w:tblPr>
        <w:tblW w:w="8940" w:type="dxa"/>
        <w:tblCellMar>
          <w:top w:w="15" w:type="dxa"/>
          <w:bottom w:w="15" w:type="dxa"/>
        </w:tblCellMar>
        <w:tblLook w:val="04A0" w:firstRow="1" w:lastRow="0" w:firstColumn="1" w:lastColumn="0" w:noHBand="0" w:noVBand="1"/>
      </w:tblPr>
      <w:tblGrid>
        <w:gridCol w:w="4060"/>
        <w:gridCol w:w="2440"/>
        <w:gridCol w:w="2440"/>
      </w:tblGrid>
      <w:tr w:rsidR="001559C3" w:rsidRPr="00B273E1" w14:paraId="163166BC" w14:textId="77777777">
        <w:trPr>
          <w:trHeight w:val="300"/>
        </w:trPr>
        <w:tc>
          <w:tcPr>
            <w:tcW w:w="4060" w:type="dxa"/>
            <w:tcBorders>
              <w:top w:val="nil"/>
              <w:left w:val="nil"/>
              <w:bottom w:val="single" w:sz="4" w:space="0" w:color="ADD6EA"/>
              <w:right w:val="nil"/>
            </w:tcBorders>
            <w:shd w:val="clear" w:color="000000" w:fill="006991"/>
            <w:noWrap/>
            <w:vAlign w:val="center"/>
            <w:hideMark/>
          </w:tcPr>
          <w:p w14:paraId="56CB56BD" w14:textId="77777777" w:rsidR="001559C3" w:rsidRPr="00B273E1" w:rsidRDefault="001559C3">
            <w:pPr>
              <w:tabs>
                <w:tab w:val="clear" w:pos="567"/>
              </w:tabs>
              <w:spacing w:before="0" w:line="240" w:lineRule="auto"/>
              <w:rPr>
                <w:rFonts w:ascii="Times New Roman" w:eastAsia="Times New Roman" w:hAnsi="Times New Roman" w:cs="Times New Roman"/>
                <w:sz w:val="24"/>
                <w:szCs w:val="24"/>
                <w:lang w:eastAsia="en-AU"/>
              </w:rPr>
            </w:pPr>
          </w:p>
        </w:tc>
        <w:tc>
          <w:tcPr>
            <w:tcW w:w="2440" w:type="dxa"/>
            <w:tcBorders>
              <w:top w:val="nil"/>
              <w:left w:val="nil"/>
              <w:bottom w:val="single" w:sz="4" w:space="0" w:color="ADD6EA"/>
              <w:right w:val="nil"/>
            </w:tcBorders>
            <w:shd w:val="clear" w:color="000000" w:fill="006991"/>
            <w:noWrap/>
            <w:vAlign w:val="center"/>
            <w:hideMark/>
          </w:tcPr>
          <w:p w14:paraId="51CB66D4" w14:textId="77777777" w:rsidR="001559C3" w:rsidRPr="00B273E1" w:rsidRDefault="001559C3">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273E1">
              <w:rPr>
                <w:rFonts w:ascii="Open Sans Semibold" w:eastAsia="Times New Roman" w:hAnsi="Open Sans Semibold" w:cs="Open Sans Semibold"/>
                <w:color w:val="FFFFFF"/>
                <w:sz w:val="16"/>
                <w:szCs w:val="16"/>
                <w:lang w:eastAsia="en-AU"/>
              </w:rPr>
              <w:t>$m</w:t>
            </w:r>
          </w:p>
        </w:tc>
        <w:tc>
          <w:tcPr>
            <w:tcW w:w="2440" w:type="dxa"/>
            <w:tcBorders>
              <w:top w:val="nil"/>
              <w:left w:val="nil"/>
              <w:bottom w:val="single" w:sz="4" w:space="0" w:color="ADD6EA"/>
              <w:right w:val="nil"/>
            </w:tcBorders>
            <w:shd w:val="clear" w:color="000000" w:fill="006991"/>
            <w:noWrap/>
            <w:vAlign w:val="center"/>
            <w:hideMark/>
          </w:tcPr>
          <w:p w14:paraId="0334A883" w14:textId="77777777" w:rsidR="001559C3" w:rsidRPr="00B273E1" w:rsidRDefault="001559C3">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273E1">
              <w:rPr>
                <w:rFonts w:ascii="Open Sans Semibold" w:eastAsia="Times New Roman" w:hAnsi="Open Sans Semibold" w:cs="Open Sans Semibold"/>
                <w:color w:val="FFFFFF"/>
                <w:sz w:val="16"/>
                <w:szCs w:val="16"/>
                <w:lang w:eastAsia="en-AU"/>
              </w:rPr>
              <w:t>$pc</w:t>
            </w:r>
          </w:p>
        </w:tc>
      </w:tr>
      <w:tr w:rsidR="001559C3" w:rsidRPr="00B273E1" w14:paraId="7330B1FC" w14:textId="77777777">
        <w:trPr>
          <w:trHeight w:val="300"/>
        </w:trPr>
        <w:tc>
          <w:tcPr>
            <w:tcW w:w="4060" w:type="dxa"/>
            <w:tcBorders>
              <w:top w:val="single" w:sz="4" w:space="0" w:color="ADD6EA"/>
              <w:left w:val="nil"/>
              <w:bottom w:val="single" w:sz="4" w:space="0" w:color="ADD6EA"/>
              <w:right w:val="nil"/>
            </w:tcBorders>
            <w:noWrap/>
            <w:vAlign w:val="center"/>
            <w:hideMark/>
          </w:tcPr>
          <w:p w14:paraId="003EF62C" w14:textId="77777777" w:rsidR="001559C3" w:rsidRPr="00B273E1" w:rsidRDefault="001559C3">
            <w:pPr>
              <w:tabs>
                <w:tab w:val="clear" w:pos="567"/>
              </w:tabs>
              <w:spacing w:before="0" w:line="240" w:lineRule="auto"/>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 xml:space="preserve">Change in </w:t>
            </w:r>
            <w:r w:rsidRPr="00B273E1">
              <w:rPr>
                <w:rFonts w:ascii="Open Sans Light" w:eastAsia="Times New Roman" w:hAnsi="Open Sans Light" w:cs="Open Sans Light"/>
                <w:color w:val="000000"/>
                <w:sz w:val="16"/>
                <w:szCs w:val="16"/>
                <w:lang w:eastAsia="en-AU"/>
              </w:rPr>
              <w:t>population</w:t>
            </w:r>
          </w:p>
        </w:tc>
        <w:tc>
          <w:tcPr>
            <w:tcW w:w="2440" w:type="dxa"/>
            <w:tcBorders>
              <w:top w:val="single" w:sz="4" w:space="0" w:color="ADD6EA"/>
              <w:left w:val="nil"/>
              <w:bottom w:val="single" w:sz="4" w:space="0" w:color="ADD6EA"/>
              <w:right w:val="nil"/>
            </w:tcBorders>
            <w:noWrap/>
            <w:vAlign w:val="center"/>
            <w:hideMark/>
          </w:tcPr>
          <w:p w14:paraId="0A769F20" w14:textId="77777777" w:rsidR="001559C3" w:rsidRPr="00B273E1" w:rsidRDefault="001559C3">
            <w:pPr>
              <w:tabs>
                <w:tab w:val="clear" w:pos="567"/>
              </w:tabs>
              <w:spacing w:before="0" w:line="240" w:lineRule="auto"/>
              <w:jc w:val="right"/>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-3</w:t>
            </w:r>
          </w:p>
        </w:tc>
        <w:tc>
          <w:tcPr>
            <w:tcW w:w="2440" w:type="dxa"/>
            <w:tcBorders>
              <w:top w:val="single" w:sz="4" w:space="0" w:color="ADD6EA"/>
              <w:left w:val="nil"/>
              <w:bottom w:val="single" w:sz="4" w:space="0" w:color="ADD6EA"/>
              <w:right w:val="nil"/>
            </w:tcBorders>
            <w:noWrap/>
            <w:vAlign w:val="center"/>
            <w:hideMark/>
          </w:tcPr>
          <w:p w14:paraId="03C33764" w14:textId="77777777" w:rsidR="001559C3" w:rsidRPr="00B273E1" w:rsidRDefault="001559C3">
            <w:pPr>
              <w:tabs>
                <w:tab w:val="clear" w:pos="567"/>
              </w:tabs>
              <w:spacing w:before="0" w:line="240" w:lineRule="auto"/>
              <w:jc w:val="right"/>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-6</w:t>
            </w:r>
          </w:p>
        </w:tc>
      </w:tr>
      <w:tr w:rsidR="001559C3" w:rsidRPr="00B273E1" w14:paraId="68148281" w14:textId="77777777">
        <w:trPr>
          <w:trHeight w:val="300"/>
        </w:trPr>
        <w:tc>
          <w:tcPr>
            <w:tcW w:w="4060" w:type="dxa"/>
            <w:tcBorders>
              <w:top w:val="single" w:sz="4" w:space="0" w:color="ADD6EA"/>
              <w:left w:val="nil"/>
              <w:bottom w:val="single" w:sz="4" w:space="0" w:color="ADD6EA"/>
              <w:right w:val="nil"/>
            </w:tcBorders>
            <w:noWrap/>
            <w:vAlign w:val="center"/>
            <w:hideMark/>
          </w:tcPr>
          <w:p w14:paraId="2E290A1C" w14:textId="77777777" w:rsidR="001559C3" w:rsidRPr="00B273E1" w:rsidRDefault="001559C3">
            <w:pPr>
              <w:tabs>
                <w:tab w:val="clear" w:pos="567"/>
              </w:tabs>
              <w:spacing w:before="0" w:line="240" w:lineRule="auto"/>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 xml:space="preserve">Growth in GST pool </w:t>
            </w:r>
          </w:p>
        </w:tc>
        <w:tc>
          <w:tcPr>
            <w:tcW w:w="2440" w:type="dxa"/>
            <w:tcBorders>
              <w:top w:val="single" w:sz="4" w:space="0" w:color="ADD6EA"/>
              <w:left w:val="nil"/>
              <w:bottom w:val="single" w:sz="4" w:space="0" w:color="ADD6EA"/>
              <w:right w:val="nil"/>
            </w:tcBorders>
            <w:noWrap/>
            <w:vAlign w:val="center"/>
            <w:hideMark/>
          </w:tcPr>
          <w:p w14:paraId="7775A6F7" w14:textId="77777777" w:rsidR="001559C3" w:rsidRPr="00B273E1" w:rsidRDefault="001559C3">
            <w:pPr>
              <w:tabs>
                <w:tab w:val="clear" w:pos="567"/>
              </w:tabs>
              <w:spacing w:before="0" w:line="240" w:lineRule="auto"/>
              <w:jc w:val="right"/>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95</w:t>
            </w:r>
          </w:p>
        </w:tc>
        <w:tc>
          <w:tcPr>
            <w:tcW w:w="2440" w:type="dxa"/>
            <w:tcBorders>
              <w:top w:val="single" w:sz="4" w:space="0" w:color="ADD6EA"/>
              <w:left w:val="nil"/>
              <w:bottom w:val="single" w:sz="4" w:space="0" w:color="ADD6EA"/>
              <w:right w:val="nil"/>
            </w:tcBorders>
            <w:noWrap/>
            <w:vAlign w:val="center"/>
            <w:hideMark/>
          </w:tcPr>
          <w:p w14:paraId="779346EA" w14:textId="77777777" w:rsidR="001559C3" w:rsidRPr="00B273E1" w:rsidRDefault="001559C3">
            <w:pPr>
              <w:tabs>
                <w:tab w:val="clear" w:pos="567"/>
              </w:tabs>
              <w:spacing w:before="0" w:line="240" w:lineRule="auto"/>
              <w:jc w:val="right"/>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196</w:t>
            </w:r>
          </w:p>
        </w:tc>
      </w:tr>
      <w:tr w:rsidR="001559C3" w:rsidRPr="00B273E1" w14:paraId="10F5F7F8" w14:textId="77777777">
        <w:trPr>
          <w:trHeight w:val="300"/>
        </w:trPr>
        <w:tc>
          <w:tcPr>
            <w:tcW w:w="4060" w:type="dxa"/>
            <w:tcBorders>
              <w:top w:val="single" w:sz="4" w:space="0" w:color="ADD6EA"/>
              <w:left w:val="nil"/>
              <w:bottom w:val="single" w:sz="4" w:space="0" w:color="ADD6EA"/>
              <w:right w:val="nil"/>
            </w:tcBorders>
            <w:noWrap/>
            <w:vAlign w:val="center"/>
            <w:hideMark/>
          </w:tcPr>
          <w:p w14:paraId="75DF86AC" w14:textId="77777777" w:rsidR="001559C3" w:rsidRPr="00B273E1" w:rsidRDefault="001559C3">
            <w:pPr>
              <w:tabs>
                <w:tab w:val="clear" w:pos="567"/>
              </w:tabs>
              <w:spacing w:before="0" w:line="240" w:lineRule="auto"/>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Changes in assessed needs</w:t>
            </w:r>
          </w:p>
        </w:tc>
        <w:tc>
          <w:tcPr>
            <w:tcW w:w="2440" w:type="dxa"/>
            <w:tcBorders>
              <w:top w:val="single" w:sz="4" w:space="0" w:color="ADD6EA"/>
              <w:left w:val="nil"/>
              <w:bottom w:val="single" w:sz="4" w:space="0" w:color="ADD6EA"/>
              <w:right w:val="nil"/>
            </w:tcBorders>
            <w:noWrap/>
            <w:vAlign w:val="center"/>
            <w:hideMark/>
          </w:tcPr>
          <w:p w14:paraId="1B3E5F56" w14:textId="77777777" w:rsidR="001559C3" w:rsidRPr="00B273E1" w:rsidRDefault="001559C3">
            <w:pPr>
              <w:tabs>
                <w:tab w:val="clear" w:pos="567"/>
              </w:tabs>
              <w:spacing w:before="0" w:line="240" w:lineRule="auto"/>
              <w:rPr>
                <w:rFonts w:ascii="Open Sans Light" w:eastAsia="Times New Roman" w:hAnsi="Open Sans Light" w:cs="Open Sans Light"/>
                <w:sz w:val="16"/>
                <w:szCs w:val="16"/>
                <w:lang w:eastAsia="en-AU"/>
              </w:rPr>
            </w:pPr>
          </w:p>
        </w:tc>
        <w:tc>
          <w:tcPr>
            <w:tcW w:w="2440" w:type="dxa"/>
            <w:tcBorders>
              <w:top w:val="single" w:sz="4" w:space="0" w:color="ADD6EA"/>
              <w:left w:val="nil"/>
              <w:bottom w:val="single" w:sz="4" w:space="0" w:color="ADD6EA"/>
              <w:right w:val="nil"/>
            </w:tcBorders>
            <w:noWrap/>
            <w:vAlign w:val="center"/>
            <w:hideMark/>
          </w:tcPr>
          <w:p w14:paraId="42DC1A9E" w14:textId="77777777" w:rsidR="001559C3" w:rsidRPr="00B273E1" w:rsidRDefault="001559C3">
            <w:pPr>
              <w:tabs>
                <w:tab w:val="clear" w:pos="567"/>
              </w:tabs>
              <w:spacing w:before="0" w:line="240" w:lineRule="auto"/>
              <w:jc w:val="right"/>
              <w:rPr>
                <w:rFonts w:ascii="Times New Roman" w:eastAsia="Times New Roman" w:hAnsi="Times New Roman" w:cs="Times New Roman"/>
                <w:szCs w:val="20"/>
                <w:lang w:eastAsia="en-AU"/>
              </w:rPr>
            </w:pPr>
          </w:p>
        </w:tc>
      </w:tr>
      <w:tr w:rsidR="001559C3" w:rsidRPr="00B273E1" w14:paraId="7DDE0739" w14:textId="77777777">
        <w:trPr>
          <w:trHeight w:val="300"/>
        </w:trPr>
        <w:tc>
          <w:tcPr>
            <w:tcW w:w="4060" w:type="dxa"/>
            <w:tcBorders>
              <w:top w:val="single" w:sz="4" w:space="0" w:color="ADD6EA"/>
              <w:left w:val="nil"/>
              <w:bottom w:val="single" w:sz="4" w:space="0" w:color="ADD6EA"/>
              <w:right w:val="nil"/>
            </w:tcBorders>
            <w:noWrap/>
            <w:vAlign w:val="center"/>
            <w:hideMark/>
          </w:tcPr>
          <w:p w14:paraId="47368D08" w14:textId="77777777" w:rsidR="001559C3" w:rsidRPr="00B273E1" w:rsidRDefault="001559C3">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Method changes</w:t>
            </w:r>
          </w:p>
        </w:tc>
        <w:tc>
          <w:tcPr>
            <w:tcW w:w="2440" w:type="dxa"/>
            <w:tcBorders>
              <w:top w:val="single" w:sz="4" w:space="0" w:color="ADD6EA"/>
              <w:left w:val="nil"/>
              <w:bottom w:val="single" w:sz="4" w:space="0" w:color="ADD6EA"/>
              <w:right w:val="nil"/>
            </w:tcBorders>
            <w:noWrap/>
            <w:vAlign w:val="center"/>
            <w:hideMark/>
          </w:tcPr>
          <w:p w14:paraId="12CD3EA1" w14:textId="77777777" w:rsidR="001559C3" w:rsidRPr="00B273E1" w:rsidRDefault="001559C3">
            <w:pPr>
              <w:tabs>
                <w:tab w:val="clear" w:pos="567"/>
              </w:tabs>
              <w:spacing w:before="0" w:line="240" w:lineRule="auto"/>
              <w:jc w:val="right"/>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93</w:t>
            </w:r>
          </w:p>
        </w:tc>
        <w:tc>
          <w:tcPr>
            <w:tcW w:w="2440" w:type="dxa"/>
            <w:tcBorders>
              <w:top w:val="single" w:sz="4" w:space="0" w:color="ADD6EA"/>
              <w:left w:val="nil"/>
              <w:bottom w:val="single" w:sz="4" w:space="0" w:color="ADD6EA"/>
              <w:right w:val="nil"/>
            </w:tcBorders>
            <w:noWrap/>
            <w:vAlign w:val="center"/>
            <w:hideMark/>
          </w:tcPr>
          <w:p w14:paraId="66E86E58" w14:textId="77777777" w:rsidR="001559C3" w:rsidRPr="00B273E1" w:rsidRDefault="001559C3">
            <w:pPr>
              <w:tabs>
                <w:tab w:val="clear" w:pos="567"/>
              </w:tabs>
              <w:spacing w:before="0" w:line="240" w:lineRule="auto"/>
              <w:jc w:val="right"/>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192</w:t>
            </w:r>
          </w:p>
        </w:tc>
      </w:tr>
      <w:tr w:rsidR="001559C3" w:rsidRPr="00B273E1" w14:paraId="7C58231D" w14:textId="77777777">
        <w:trPr>
          <w:trHeight w:val="300"/>
        </w:trPr>
        <w:tc>
          <w:tcPr>
            <w:tcW w:w="4060" w:type="dxa"/>
            <w:tcBorders>
              <w:top w:val="single" w:sz="4" w:space="0" w:color="ADD6EA"/>
              <w:left w:val="nil"/>
              <w:bottom w:val="single" w:sz="4" w:space="0" w:color="ADD6EA"/>
              <w:right w:val="nil"/>
            </w:tcBorders>
            <w:noWrap/>
            <w:vAlign w:val="center"/>
            <w:hideMark/>
          </w:tcPr>
          <w:p w14:paraId="49C80D11" w14:textId="77777777" w:rsidR="001559C3" w:rsidRPr="00B273E1" w:rsidRDefault="001559C3">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Data revisions</w:t>
            </w:r>
          </w:p>
        </w:tc>
        <w:tc>
          <w:tcPr>
            <w:tcW w:w="2440" w:type="dxa"/>
            <w:tcBorders>
              <w:top w:val="single" w:sz="4" w:space="0" w:color="ADD6EA"/>
              <w:left w:val="nil"/>
              <w:bottom w:val="single" w:sz="4" w:space="0" w:color="ADD6EA"/>
              <w:right w:val="nil"/>
            </w:tcBorders>
            <w:noWrap/>
            <w:vAlign w:val="center"/>
            <w:hideMark/>
          </w:tcPr>
          <w:p w14:paraId="1AAA2CA8" w14:textId="77777777" w:rsidR="001559C3" w:rsidRPr="00B273E1" w:rsidRDefault="001559C3">
            <w:pPr>
              <w:tabs>
                <w:tab w:val="clear" w:pos="567"/>
              </w:tabs>
              <w:spacing w:before="0" w:line="240" w:lineRule="auto"/>
              <w:jc w:val="right"/>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-42</w:t>
            </w:r>
          </w:p>
        </w:tc>
        <w:tc>
          <w:tcPr>
            <w:tcW w:w="2440" w:type="dxa"/>
            <w:tcBorders>
              <w:top w:val="single" w:sz="4" w:space="0" w:color="ADD6EA"/>
              <w:left w:val="nil"/>
              <w:bottom w:val="single" w:sz="4" w:space="0" w:color="ADD6EA"/>
              <w:right w:val="nil"/>
            </w:tcBorders>
            <w:noWrap/>
            <w:vAlign w:val="center"/>
            <w:hideMark/>
          </w:tcPr>
          <w:p w14:paraId="0D7FD697" w14:textId="77777777" w:rsidR="001559C3" w:rsidRPr="00B273E1" w:rsidRDefault="001559C3">
            <w:pPr>
              <w:tabs>
                <w:tab w:val="clear" w:pos="567"/>
              </w:tabs>
              <w:spacing w:before="0" w:line="240" w:lineRule="auto"/>
              <w:jc w:val="right"/>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-88</w:t>
            </w:r>
          </w:p>
        </w:tc>
      </w:tr>
      <w:tr w:rsidR="001559C3" w:rsidRPr="00B273E1" w14:paraId="2A04BF88" w14:textId="77777777">
        <w:trPr>
          <w:trHeight w:val="300"/>
        </w:trPr>
        <w:tc>
          <w:tcPr>
            <w:tcW w:w="4060" w:type="dxa"/>
            <w:tcBorders>
              <w:top w:val="single" w:sz="4" w:space="0" w:color="ADD6EA"/>
              <w:left w:val="nil"/>
              <w:bottom w:val="single" w:sz="4" w:space="0" w:color="ADD6EA"/>
              <w:right w:val="nil"/>
            </w:tcBorders>
            <w:noWrap/>
            <w:vAlign w:val="center"/>
            <w:hideMark/>
          </w:tcPr>
          <w:p w14:paraId="5C47FB95" w14:textId="77777777" w:rsidR="001559C3" w:rsidRPr="00B273E1" w:rsidRDefault="001559C3">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State circumstances</w:t>
            </w:r>
          </w:p>
        </w:tc>
        <w:tc>
          <w:tcPr>
            <w:tcW w:w="2440" w:type="dxa"/>
            <w:tcBorders>
              <w:top w:val="single" w:sz="4" w:space="0" w:color="ADD6EA"/>
              <w:left w:val="nil"/>
              <w:bottom w:val="single" w:sz="4" w:space="0" w:color="ADD6EA"/>
              <w:right w:val="nil"/>
            </w:tcBorders>
            <w:noWrap/>
            <w:vAlign w:val="center"/>
            <w:hideMark/>
          </w:tcPr>
          <w:p w14:paraId="508B5A45" w14:textId="77777777" w:rsidR="001559C3" w:rsidRPr="00B273E1" w:rsidRDefault="001559C3">
            <w:pPr>
              <w:tabs>
                <w:tab w:val="clear" w:pos="567"/>
              </w:tabs>
              <w:spacing w:before="0" w:line="240" w:lineRule="auto"/>
              <w:jc w:val="right"/>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-93</w:t>
            </w:r>
          </w:p>
        </w:tc>
        <w:tc>
          <w:tcPr>
            <w:tcW w:w="2440" w:type="dxa"/>
            <w:tcBorders>
              <w:top w:val="single" w:sz="4" w:space="0" w:color="ADD6EA"/>
              <w:left w:val="nil"/>
              <w:bottom w:val="single" w:sz="4" w:space="0" w:color="ADD6EA"/>
              <w:right w:val="nil"/>
            </w:tcBorders>
            <w:noWrap/>
            <w:vAlign w:val="center"/>
            <w:hideMark/>
          </w:tcPr>
          <w:p w14:paraId="0D12EC6D" w14:textId="77777777" w:rsidR="001559C3" w:rsidRPr="00B273E1" w:rsidRDefault="001559C3">
            <w:pPr>
              <w:tabs>
                <w:tab w:val="clear" w:pos="567"/>
              </w:tabs>
              <w:spacing w:before="0" w:line="240" w:lineRule="auto"/>
              <w:jc w:val="right"/>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-192</w:t>
            </w:r>
          </w:p>
        </w:tc>
      </w:tr>
      <w:tr w:rsidR="001559C3" w:rsidRPr="00B273E1" w14:paraId="62E596E7" w14:textId="77777777">
        <w:trPr>
          <w:trHeight w:val="300"/>
        </w:trPr>
        <w:tc>
          <w:tcPr>
            <w:tcW w:w="4060" w:type="dxa"/>
            <w:tcBorders>
              <w:top w:val="single" w:sz="4" w:space="0" w:color="ADD6EA"/>
              <w:left w:val="nil"/>
              <w:bottom w:val="single" w:sz="4" w:space="0" w:color="ADD6EA"/>
              <w:right w:val="nil"/>
            </w:tcBorders>
            <w:noWrap/>
            <w:vAlign w:val="center"/>
            <w:hideMark/>
          </w:tcPr>
          <w:p w14:paraId="13348526" w14:textId="77777777" w:rsidR="001559C3" w:rsidRPr="00B273E1" w:rsidRDefault="001559C3">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Total</w:t>
            </w:r>
          </w:p>
        </w:tc>
        <w:tc>
          <w:tcPr>
            <w:tcW w:w="2440" w:type="dxa"/>
            <w:tcBorders>
              <w:top w:val="single" w:sz="4" w:space="0" w:color="ADD6EA"/>
              <w:left w:val="nil"/>
              <w:bottom w:val="single" w:sz="4" w:space="0" w:color="ADD6EA"/>
              <w:right w:val="nil"/>
            </w:tcBorders>
            <w:noWrap/>
            <w:vAlign w:val="center"/>
            <w:hideMark/>
          </w:tcPr>
          <w:p w14:paraId="60E4B3E2" w14:textId="77777777" w:rsidR="001559C3" w:rsidRPr="00B273E1" w:rsidRDefault="001559C3">
            <w:pPr>
              <w:tabs>
                <w:tab w:val="clear" w:pos="567"/>
              </w:tabs>
              <w:spacing w:before="0" w:line="240" w:lineRule="auto"/>
              <w:jc w:val="right"/>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-42</w:t>
            </w:r>
          </w:p>
        </w:tc>
        <w:tc>
          <w:tcPr>
            <w:tcW w:w="2440" w:type="dxa"/>
            <w:tcBorders>
              <w:top w:val="single" w:sz="4" w:space="0" w:color="ADD6EA"/>
              <w:left w:val="nil"/>
              <w:bottom w:val="single" w:sz="4" w:space="0" w:color="ADD6EA"/>
              <w:right w:val="nil"/>
            </w:tcBorders>
            <w:noWrap/>
            <w:vAlign w:val="center"/>
            <w:hideMark/>
          </w:tcPr>
          <w:p w14:paraId="40D5BDF7" w14:textId="77777777" w:rsidR="001559C3" w:rsidRPr="00B273E1" w:rsidRDefault="001559C3">
            <w:pPr>
              <w:tabs>
                <w:tab w:val="clear" w:pos="567"/>
              </w:tabs>
              <w:spacing w:before="0" w:line="240" w:lineRule="auto"/>
              <w:jc w:val="right"/>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-88</w:t>
            </w:r>
          </w:p>
        </w:tc>
      </w:tr>
      <w:tr w:rsidR="001559C3" w:rsidRPr="00B273E1" w14:paraId="27135056" w14:textId="77777777">
        <w:trPr>
          <w:trHeight w:val="300"/>
        </w:trPr>
        <w:tc>
          <w:tcPr>
            <w:tcW w:w="4060" w:type="dxa"/>
            <w:tcBorders>
              <w:top w:val="single" w:sz="4" w:space="0" w:color="ADD6EA"/>
              <w:left w:val="nil"/>
              <w:bottom w:val="single" w:sz="4" w:space="0" w:color="ADD6EA"/>
              <w:right w:val="nil"/>
            </w:tcBorders>
            <w:noWrap/>
            <w:vAlign w:val="center"/>
            <w:hideMark/>
          </w:tcPr>
          <w:p w14:paraId="1CDB0485" w14:textId="45D60C65" w:rsidR="001559C3" w:rsidRPr="00B273E1" w:rsidRDefault="001559C3">
            <w:pPr>
              <w:tabs>
                <w:tab w:val="clear" w:pos="567"/>
              </w:tabs>
              <w:spacing w:before="0" w:line="240" w:lineRule="auto"/>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Blended relativities and GST floor</w:t>
            </w:r>
          </w:p>
        </w:tc>
        <w:tc>
          <w:tcPr>
            <w:tcW w:w="2440" w:type="dxa"/>
            <w:tcBorders>
              <w:top w:val="single" w:sz="4" w:space="0" w:color="ADD6EA"/>
              <w:left w:val="nil"/>
              <w:bottom w:val="single" w:sz="4" w:space="0" w:color="ADD6EA"/>
              <w:right w:val="nil"/>
            </w:tcBorders>
            <w:noWrap/>
            <w:vAlign w:val="center"/>
            <w:hideMark/>
          </w:tcPr>
          <w:p w14:paraId="19492BAD" w14:textId="77777777" w:rsidR="001559C3" w:rsidRPr="00B273E1" w:rsidRDefault="001559C3">
            <w:pPr>
              <w:tabs>
                <w:tab w:val="clear" w:pos="567"/>
              </w:tabs>
              <w:spacing w:before="0" w:line="240" w:lineRule="auto"/>
              <w:jc w:val="right"/>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-14</w:t>
            </w:r>
          </w:p>
        </w:tc>
        <w:tc>
          <w:tcPr>
            <w:tcW w:w="2440" w:type="dxa"/>
            <w:tcBorders>
              <w:top w:val="single" w:sz="4" w:space="0" w:color="ADD6EA"/>
              <w:left w:val="nil"/>
              <w:bottom w:val="single" w:sz="4" w:space="0" w:color="ADD6EA"/>
              <w:right w:val="nil"/>
            </w:tcBorders>
            <w:noWrap/>
            <w:vAlign w:val="center"/>
            <w:hideMark/>
          </w:tcPr>
          <w:p w14:paraId="271D38A8" w14:textId="77777777" w:rsidR="001559C3" w:rsidRPr="00B273E1" w:rsidRDefault="001559C3">
            <w:pPr>
              <w:tabs>
                <w:tab w:val="clear" w:pos="567"/>
              </w:tabs>
              <w:spacing w:before="0" w:line="240" w:lineRule="auto"/>
              <w:jc w:val="right"/>
              <w:rPr>
                <w:rFonts w:ascii="Open Sans Light" w:eastAsia="Times New Roman" w:hAnsi="Open Sans Light" w:cs="Open Sans Light"/>
                <w:sz w:val="16"/>
                <w:szCs w:val="16"/>
                <w:lang w:eastAsia="en-AU"/>
              </w:rPr>
            </w:pPr>
            <w:r w:rsidRPr="00B273E1">
              <w:rPr>
                <w:rFonts w:ascii="Open Sans Light" w:eastAsia="Times New Roman" w:hAnsi="Open Sans Light" w:cs="Open Sans Light"/>
                <w:sz w:val="16"/>
                <w:szCs w:val="16"/>
                <w:lang w:eastAsia="en-AU"/>
              </w:rPr>
              <w:t>-28</w:t>
            </w:r>
          </w:p>
        </w:tc>
      </w:tr>
      <w:tr w:rsidR="001559C3" w:rsidRPr="00B273E1" w14:paraId="7FCD462B" w14:textId="77777777">
        <w:trPr>
          <w:trHeight w:val="300"/>
        </w:trPr>
        <w:tc>
          <w:tcPr>
            <w:tcW w:w="4060" w:type="dxa"/>
            <w:tcBorders>
              <w:top w:val="single" w:sz="4" w:space="0" w:color="ADD6EA"/>
              <w:left w:val="nil"/>
              <w:bottom w:val="single" w:sz="4" w:space="0" w:color="ADD6EA"/>
              <w:right w:val="nil"/>
            </w:tcBorders>
            <w:shd w:val="clear" w:color="000000" w:fill="D6E7F0"/>
            <w:noWrap/>
            <w:vAlign w:val="center"/>
            <w:hideMark/>
          </w:tcPr>
          <w:p w14:paraId="2AFDBBC6" w14:textId="77777777" w:rsidR="001559C3" w:rsidRPr="00B273E1" w:rsidRDefault="001559C3">
            <w:pPr>
              <w:tabs>
                <w:tab w:val="clear" w:pos="567"/>
              </w:tabs>
              <w:spacing w:before="0" w:line="240" w:lineRule="auto"/>
              <w:rPr>
                <w:rFonts w:ascii="Open Sans Semibold" w:eastAsia="Times New Roman" w:hAnsi="Open Sans Semibold" w:cs="Open Sans Semibold"/>
                <w:color w:val="000000"/>
                <w:sz w:val="16"/>
                <w:szCs w:val="16"/>
                <w:lang w:eastAsia="en-AU"/>
              </w:rPr>
            </w:pPr>
            <w:r w:rsidRPr="00B273E1">
              <w:rPr>
                <w:rFonts w:ascii="Open Sans Semibold" w:eastAsia="Times New Roman" w:hAnsi="Open Sans Semibold" w:cs="Open Sans Semibold"/>
                <w:color w:val="000000"/>
                <w:sz w:val="16"/>
                <w:szCs w:val="16"/>
                <w:lang w:eastAsia="en-AU"/>
              </w:rPr>
              <w:t>Total change</w:t>
            </w:r>
          </w:p>
        </w:tc>
        <w:tc>
          <w:tcPr>
            <w:tcW w:w="2440" w:type="dxa"/>
            <w:tcBorders>
              <w:top w:val="single" w:sz="4" w:space="0" w:color="ADD6EA"/>
              <w:left w:val="nil"/>
              <w:bottom w:val="single" w:sz="4" w:space="0" w:color="ADD6EA"/>
              <w:right w:val="nil"/>
            </w:tcBorders>
            <w:shd w:val="clear" w:color="000000" w:fill="D6E7F0"/>
            <w:noWrap/>
            <w:vAlign w:val="center"/>
            <w:hideMark/>
          </w:tcPr>
          <w:p w14:paraId="63196E2C" w14:textId="77777777" w:rsidR="001559C3" w:rsidRPr="00B273E1" w:rsidRDefault="001559C3">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273E1">
              <w:rPr>
                <w:rFonts w:ascii="Open Sans Semibold" w:eastAsia="Times New Roman" w:hAnsi="Open Sans Semibold" w:cs="Open Sans Semibold"/>
                <w:color w:val="000000"/>
                <w:sz w:val="16"/>
                <w:szCs w:val="16"/>
                <w:lang w:eastAsia="en-AU"/>
              </w:rPr>
              <w:t>35</w:t>
            </w:r>
          </w:p>
        </w:tc>
        <w:tc>
          <w:tcPr>
            <w:tcW w:w="2440" w:type="dxa"/>
            <w:tcBorders>
              <w:top w:val="single" w:sz="4" w:space="0" w:color="ADD6EA"/>
              <w:left w:val="nil"/>
              <w:bottom w:val="single" w:sz="4" w:space="0" w:color="ADD6EA"/>
              <w:right w:val="nil"/>
            </w:tcBorders>
            <w:shd w:val="clear" w:color="000000" w:fill="D6E7F0"/>
            <w:noWrap/>
            <w:vAlign w:val="center"/>
            <w:hideMark/>
          </w:tcPr>
          <w:p w14:paraId="61A4869E" w14:textId="77777777" w:rsidR="001559C3" w:rsidRPr="00B273E1" w:rsidRDefault="001559C3">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273E1">
              <w:rPr>
                <w:rFonts w:ascii="Open Sans Semibold" w:eastAsia="Times New Roman" w:hAnsi="Open Sans Semibold" w:cs="Open Sans Semibold"/>
                <w:color w:val="000000"/>
                <w:sz w:val="16"/>
                <w:szCs w:val="16"/>
                <w:lang w:eastAsia="en-AU"/>
              </w:rPr>
              <w:t>73</w:t>
            </w:r>
          </w:p>
        </w:tc>
      </w:tr>
    </w:tbl>
    <w:p w14:paraId="4F7056E1" w14:textId="6D21678F" w:rsidR="004F0848" w:rsidRDefault="0056556B" w:rsidP="00990EDD">
      <w:pPr>
        <w:pStyle w:val="CGC2025TableNote"/>
      </w:pPr>
      <w:r>
        <w:t>Note: Table may not add due to rounding.</w:t>
      </w:r>
      <w:r w:rsidR="004F0848">
        <w:br w:type="page"/>
      </w:r>
    </w:p>
    <w:p w14:paraId="174BD6AC" w14:textId="77777777" w:rsidR="00945FD8" w:rsidRPr="00885A41" w:rsidRDefault="00945FD8" w:rsidP="00945FD8">
      <w:pPr>
        <w:pStyle w:val="CGC2025Caption"/>
      </w:pPr>
      <w:r w:rsidRPr="00885A41">
        <w:lastRenderedPageBreak/>
        <w:t>Figure 3-7</w:t>
      </w:r>
      <w:r w:rsidRPr="00885A41">
        <w:tab/>
        <w:t>ACT: main changes in assessed GST needs, 2025–26 relativities</w:t>
      </w:r>
    </w:p>
    <w:tbl>
      <w:tblPr>
        <w:tblW w:w="8940" w:type="dxa"/>
        <w:tblLook w:val="04A0" w:firstRow="1" w:lastRow="0" w:firstColumn="1" w:lastColumn="0" w:noHBand="0" w:noVBand="1"/>
      </w:tblPr>
      <w:tblGrid>
        <w:gridCol w:w="2640"/>
        <w:gridCol w:w="700"/>
        <w:gridCol w:w="700"/>
        <w:gridCol w:w="4900"/>
      </w:tblGrid>
      <w:tr w:rsidR="00945FD8" w:rsidRPr="001F54B5" w14:paraId="20BE9DA0" w14:textId="77777777">
        <w:trPr>
          <w:trHeight w:val="375"/>
        </w:trPr>
        <w:tc>
          <w:tcPr>
            <w:tcW w:w="8940" w:type="dxa"/>
            <w:gridSpan w:val="4"/>
            <w:tcBorders>
              <w:top w:val="nil"/>
              <w:left w:val="nil"/>
              <w:bottom w:val="nil"/>
              <w:right w:val="nil"/>
            </w:tcBorders>
            <w:shd w:val="clear" w:color="000000" w:fill="006991"/>
            <w:vAlign w:val="center"/>
            <w:hideMark/>
          </w:tcPr>
          <w:p w14:paraId="53773F27" w14:textId="77777777" w:rsidR="00945FD8" w:rsidRPr="001F54B5" w:rsidRDefault="00945FD8">
            <w:pPr>
              <w:tabs>
                <w:tab w:val="clear" w:pos="567"/>
              </w:tabs>
              <w:spacing w:before="0" w:line="240" w:lineRule="auto"/>
              <w:rPr>
                <w:rFonts w:ascii="Open Sans Semibold" w:eastAsia="Times New Roman" w:hAnsi="Open Sans Semibold" w:cs="Open Sans Semibold"/>
                <w:color w:val="FFFFFF"/>
                <w:sz w:val="16"/>
                <w:szCs w:val="16"/>
                <w:lang w:eastAsia="en-AU"/>
              </w:rPr>
            </w:pPr>
            <w:r w:rsidRPr="001F54B5">
              <w:rPr>
                <w:rFonts w:ascii="Open Sans Semibold" w:eastAsia="Times New Roman" w:hAnsi="Open Sans Semibold" w:cs="Open Sans Semibold"/>
                <w:color w:val="FFFFFF"/>
                <w:sz w:val="16"/>
                <w:szCs w:val="16"/>
                <w:lang w:eastAsia="en-AU"/>
              </w:rPr>
              <w:t>Method changes</w:t>
            </w:r>
          </w:p>
        </w:tc>
      </w:tr>
      <w:tr w:rsidR="00945FD8" w:rsidRPr="001F54B5" w14:paraId="556082D7" w14:textId="77777777">
        <w:trPr>
          <w:trHeight w:val="255"/>
        </w:trPr>
        <w:tc>
          <w:tcPr>
            <w:tcW w:w="2640" w:type="dxa"/>
            <w:tcBorders>
              <w:top w:val="single" w:sz="4" w:space="0" w:color="ADD6EA"/>
              <w:left w:val="nil"/>
              <w:bottom w:val="nil"/>
              <w:right w:val="nil"/>
            </w:tcBorders>
            <w:shd w:val="clear" w:color="000000" w:fill="D6E7F0"/>
            <w:hideMark/>
          </w:tcPr>
          <w:p w14:paraId="4BB1D087" w14:textId="77777777" w:rsidR="00945FD8" w:rsidRPr="001F54B5" w:rsidRDefault="00945FD8">
            <w:pPr>
              <w:tabs>
                <w:tab w:val="clear" w:pos="567"/>
              </w:tabs>
              <w:spacing w:before="0" w:line="240" w:lineRule="auto"/>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7F9996DE" w14:textId="77777777" w:rsidR="00945FD8" w:rsidRPr="001F54B5" w:rsidRDefault="00945FD8">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423DBBF5" w14:textId="77777777" w:rsidR="00945FD8" w:rsidRPr="001F54B5" w:rsidRDefault="00945FD8">
            <w:pPr>
              <w:tabs>
                <w:tab w:val="clear" w:pos="567"/>
              </w:tabs>
              <w:spacing w:before="0" w:line="240" w:lineRule="auto"/>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Explanation</w:t>
            </w:r>
          </w:p>
        </w:tc>
      </w:tr>
      <w:tr w:rsidR="00945FD8" w:rsidRPr="001F54B5" w14:paraId="40A8ADFE" w14:textId="77777777">
        <w:trPr>
          <w:trHeight w:val="255"/>
        </w:trPr>
        <w:tc>
          <w:tcPr>
            <w:tcW w:w="2640" w:type="dxa"/>
            <w:tcBorders>
              <w:top w:val="single" w:sz="4" w:space="0" w:color="ADD6EA"/>
              <w:left w:val="nil"/>
              <w:bottom w:val="nil"/>
              <w:right w:val="nil"/>
            </w:tcBorders>
            <w:shd w:val="clear" w:color="000000" w:fill="B6D5E4"/>
            <w:hideMark/>
          </w:tcPr>
          <w:p w14:paraId="72884DF7" w14:textId="77777777" w:rsidR="00945FD8" w:rsidRPr="001F54B5" w:rsidRDefault="00945FD8">
            <w:pPr>
              <w:tabs>
                <w:tab w:val="clear" w:pos="567"/>
              </w:tabs>
              <w:spacing w:before="0" w:line="240" w:lineRule="auto"/>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7223F117" w14:textId="77777777" w:rsidR="00945FD8" w:rsidRPr="001F54B5" w:rsidRDefault="00945FD8">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67E50301" w14:textId="77777777" w:rsidR="00945FD8" w:rsidRPr="001F54B5" w:rsidRDefault="00945FD8">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57B11CBF" w14:textId="77777777" w:rsidR="00945FD8" w:rsidRPr="001F54B5" w:rsidRDefault="00945FD8">
            <w:pPr>
              <w:tabs>
                <w:tab w:val="clear" w:pos="567"/>
              </w:tabs>
              <w:spacing w:before="0" w:line="240" w:lineRule="auto"/>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 </w:t>
            </w:r>
          </w:p>
        </w:tc>
      </w:tr>
      <w:tr w:rsidR="00945FD8" w:rsidRPr="001F54B5" w14:paraId="30FC17C1" w14:textId="77777777">
        <w:trPr>
          <w:trHeight w:val="619"/>
        </w:trPr>
        <w:tc>
          <w:tcPr>
            <w:tcW w:w="2640" w:type="dxa"/>
            <w:tcBorders>
              <w:top w:val="single" w:sz="4" w:space="0" w:color="ADD6EA"/>
              <w:left w:val="nil"/>
              <w:bottom w:val="nil"/>
              <w:right w:val="nil"/>
            </w:tcBorders>
            <w:shd w:val="clear" w:color="000000" w:fill="FFFFFF"/>
            <w:hideMark/>
          </w:tcPr>
          <w:p w14:paraId="2227C49D" w14:textId="26FCE940" w:rsidR="00945FD8" w:rsidRPr="001F54B5" w:rsidRDefault="00945FD8">
            <w:pPr>
              <w:tabs>
                <w:tab w:val="clear" w:pos="567"/>
              </w:tabs>
              <w:spacing w:before="0" w:line="240" w:lineRule="auto"/>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 xml:space="preserve">Changes to model in </w:t>
            </w:r>
            <w:r w:rsidR="002D4B90">
              <w:rPr>
                <w:rFonts w:ascii="Open Sans Light" w:eastAsia="Times New Roman" w:hAnsi="Open Sans Light" w:cs="Open Sans Light"/>
                <w:color w:val="000000"/>
                <w:sz w:val="16"/>
                <w:szCs w:val="16"/>
                <w:lang w:eastAsia="en-AU"/>
              </w:rPr>
              <w:t>w</w:t>
            </w:r>
            <w:r w:rsidRPr="001F54B5">
              <w:rPr>
                <w:rFonts w:ascii="Open Sans Light" w:eastAsia="Times New Roman" w:hAnsi="Open Sans Light" w:cs="Open Sans Light"/>
                <w:color w:val="000000"/>
                <w:sz w:val="16"/>
                <w:szCs w:val="16"/>
                <w:lang w:eastAsia="en-AU"/>
              </w:rPr>
              <w:t>age costs</w:t>
            </w:r>
          </w:p>
        </w:tc>
        <w:tc>
          <w:tcPr>
            <w:tcW w:w="700" w:type="dxa"/>
            <w:tcBorders>
              <w:top w:val="single" w:sz="4" w:space="0" w:color="ADD6EA"/>
              <w:left w:val="nil"/>
              <w:bottom w:val="nil"/>
              <w:right w:val="nil"/>
            </w:tcBorders>
            <w:shd w:val="clear" w:color="000000" w:fill="ADD6EA"/>
            <w:hideMark/>
          </w:tcPr>
          <w:p w14:paraId="6AAE7E9E" w14:textId="77777777" w:rsidR="00945FD8" w:rsidRPr="001F54B5" w:rsidRDefault="00945FD8">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60</w:t>
            </w:r>
          </w:p>
        </w:tc>
        <w:tc>
          <w:tcPr>
            <w:tcW w:w="700" w:type="dxa"/>
            <w:tcBorders>
              <w:top w:val="single" w:sz="4" w:space="0" w:color="ADD6EA"/>
              <w:left w:val="nil"/>
              <w:bottom w:val="nil"/>
              <w:right w:val="nil"/>
            </w:tcBorders>
            <w:shd w:val="clear" w:color="000000" w:fill="ADD6EA"/>
            <w:hideMark/>
          </w:tcPr>
          <w:p w14:paraId="433C6D75" w14:textId="77777777" w:rsidR="00945FD8" w:rsidRPr="001F54B5" w:rsidRDefault="00945FD8">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124</w:t>
            </w:r>
          </w:p>
        </w:tc>
        <w:tc>
          <w:tcPr>
            <w:tcW w:w="4900" w:type="dxa"/>
            <w:tcBorders>
              <w:top w:val="single" w:sz="4" w:space="0" w:color="ADD6EA"/>
              <w:left w:val="nil"/>
              <w:bottom w:val="nil"/>
              <w:right w:val="nil"/>
            </w:tcBorders>
            <w:shd w:val="clear" w:color="000000" w:fill="FFFFFF"/>
            <w:hideMark/>
          </w:tcPr>
          <w:p w14:paraId="003FF73A" w14:textId="77777777" w:rsidR="00945FD8" w:rsidRPr="001F54B5" w:rsidRDefault="00945FD8">
            <w:pPr>
              <w:tabs>
                <w:tab w:val="clear" w:pos="567"/>
              </w:tabs>
              <w:spacing w:before="0" w:line="240" w:lineRule="auto"/>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Changes to the model used to estimate relative state wage costs produced higher estimates for wage costs in the ACT than the previous model, increasing its assessed GST needs.</w:t>
            </w:r>
          </w:p>
        </w:tc>
      </w:tr>
      <w:tr w:rsidR="00945FD8" w:rsidRPr="001F54B5" w14:paraId="6AC8F259" w14:textId="77777777">
        <w:trPr>
          <w:trHeight w:val="795"/>
        </w:trPr>
        <w:tc>
          <w:tcPr>
            <w:tcW w:w="2640" w:type="dxa"/>
            <w:tcBorders>
              <w:top w:val="single" w:sz="4" w:space="0" w:color="ADD6EA"/>
              <w:left w:val="nil"/>
              <w:bottom w:val="single" w:sz="4" w:space="0" w:color="ADD6EA"/>
              <w:right w:val="nil"/>
            </w:tcBorders>
            <w:shd w:val="clear" w:color="000000" w:fill="FFFFFF"/>
            <w:hideMark/>
          </w:tcPr>
          <w:p w14:paraId="52281CFB" w14:textId="77777777" w:rsidR="00945FD8" w:rsidRPr="001F54B5" w:rsidRDefault="00945FD8">
            <w:pPr>
              <w:tabs>
                <w:tab w:val="clear" w:pos="567"/>
              </w:tabs>
              <w:spacing w:before="0" w:line="240" w:lineRule="auto"/>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Investment - Changes to urban transport assessment</w:t>
            </w:r>
          </w:p>
        </w:tc>
        <w:tc>
          <w:tcPr>
            <w:tcW w:w="700" w:type="dxa"/>
            <w:tcBorders>
              <w:top w:val="single" w:sz="4" w:space="0" w:color="ADD6EA"/>
              <w:left w:val="nil"/>
              <w:bottom w:val="single" w:sz="4" w:space="0" w:color="ADD6EA"/>
              <w:right w:val="nil"/>
            </w:tcBorders>
            <w:shd w:val="clear" w:color="000000" w:fill="EBBFA0"/>
            <w:hideMark/>
          </w:tcPr>
          <w:p w14:paraId="67ECB78D" w14:textId="77777777" w:rsidR="00945FD8" w:rsidRPr="001F54B5" w:rsidRDefault="00945FD8">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-49</w:t>
            </w:r>
          </w:p>
        </w:tc>
        <w:tc>
          <w:tcPr>
            <w:tcW w:w="700" w:type="dxa"/>
            <w:tcBorders>
              <w:top w:val="single" w:sz="4" w:space="0" w:color="ADD6EA"/>
              <w:left w:val="nil"/>
              <w:bottom w:val="single" w:sz="4" w:space="0" w:color="ADD6EA"/>
              <w:right w:val="nil"/>
            </w:tcBorders>
            <w:shd w:val="clear" w:color="000000" w:fill="EBBFA0"/>
            <w:hideMark/>
          </w:tcPr>
          <w:p w14:paraId="7F4A8B6A" w14:textId="77777777" w:rsidR="00945FD8" w:rsidRPr="001F54B5" w:rsidRDefault="00945FD8">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-101</w:t>
            </w:r>
          </w:p>
        </w:tc>
        <w:tc>
          <w:tcPr>
            <w:tcW w:w="4900" w:type="dxa"/>
            <w:tcBorders>
              <w:top w:val="single" w:sz="4" w:space="0" w:color="ADD6EA"/>
              <w:left w:val="nil"/>
              <w:bottom w:val="nil"/>
              <w:right w:val="nil"/>
            </w:tcBorders>
            <w:shd w:val="clear" w:color="000000" w:fill="FFFFFF"/>
            <w:hideMark/>
          </w:tcPr>
          <w:p w14:paraId="69D350A0" w14:textId="65E77EFC" w:rsidR="00945FD8" w:rsidRPr="001F54B5" w:rsidRDefault="00945FD8">
            <w:pPr>
              <w:tabs>
                <w:tab w:val="clear" w:pos="567"/>
              </w:tabs>
              <w:spacing w:before="0" w:line="240" w:lineRule="auto"/>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To increase comparability and reduce volatility, the Commission changed the measure of population-weighted density in the transport assessment to a measure based on population per square km. This decreased the rate of growth of population</w:t>
            </w:r>
            <w:r w:rsidR="00402113" w:rsidRPr="001F54B5">
              <w:rPr>
                <w:rFonts w:ascii="Arial" w:eastAsia="Times New Roman" w:hAnsi="Arial" w:cs="Arial"/>
                <w:color w:val="000000"/>
                <w:sz w:val="16"/>
                <w:szCs w:val="16"/>
                <w:lang w:eastAsia="en-AU"/>
              </w:rPr>
              <w:t>‍</w:t>
            </w:r>
            <w:r w:rsidRPr="001F54B5">
              <w:rPr>
                <w:rFonts w:ascii="Open Sans Light" w:eastAsia="Times New Roman" w:hAnsi="Open Sans Light" w:cs="Open Sans Light"/>
                <w:color w:val="000000"/>
                <w:sz w:val="16"/>
                <w:szCs w:val="16"/>
                <w:lang w:eastAsia="en-AU"/>
              </w:rPr>
              <w:t>-</w:t>
            </w:r>
            <w:r w:rsidR="00402113" w:rsidRPr="001F54B5">
              <w:rPr>
                <w:rFonts w:ascii="Arial" w:eastAsia="Times New Roman" w:hAnsi="Arial" w:cs="Arial"/>
                <w:color w:val="000000"/>
                <w:sz w:val="16"/>
                <w:szCs w:val="16"/>
                <w:lang w:eastAsia="en-AU"/>
              </w:rPr>
              <w:t>‍</w:t>
            </w:r>
            <w:r w:rsidRPr="001F54B5">
              <w:rPr>
                <w:rFonts w:ascii="Open Sans Light" w:eastAsia="Times New Roman" w:hAnsi="Open Sans Light" w:cs="Open Sans Light"/>
                <w:color w:val="000000"/>
                <w:sz w:val="16"/>
                <w:szCs w:val="16"/>
                <w:lang w:eastAsia="en-AU"/>
              </w:rPr>
              <w:t>weighted density in Canberra, resulting in a decrease in its assessed GST needs.</w:t>
            </w:r>
          </w:p>
        </w:tc>
      </w:tr>
      <w:tr w:rsidR="00945FD8" w:rsidRPr="001F54B5" w14:paraId="1AF54FF8" w14:textId="77777777">
        <w:trPr>
          <w:trHeight w:val="375"/>
        </w:trPr>
        <w:tc>
          <w:tcPr>
            <w:tcW w:w="8940" w:type="dxa"/>
            <w:gridSpan w:val="4"/>
            <w:tcBorders>
              <w:top w:val="single" w:sz="4" w:space="0" w:color="ADD6EA"/>
              <w:left w:val="nil"/>
              <w:bottom w:val="nil"/>
              <w:right w:val="nil"/>
            </w:tcBorders>
            <w:shd w:val="clear" w:color="000000" w:fill="006991"/>
            <w:vAlign w:val="center"/>
            <w:hideMark/>
          </w:tcPr>
          <w:p w14:paraId="3A063393" w14:textId="77777777" w:rsidR="00945FD8" w:rsidRPr="001F54B5" w:rsidRDefault="00945FD8">
            <w:pPr>
              <w:tabs>
                <w:tab w:val="clear" w:pos="567"/>
              </w:tabs>
              <w:spacing w:before="0" w:line="240" w:lineRule="auto"/>
              <w:rPr>
                <w:rFonts w:ascii="Open Sans Semibold" w:eastAsia="Times New Roman" w:hAnsi="Open Sans Semibold" w:cs="Open Sans Semibold"/>
                <w:color w:val="FFFFFF"/>
                <w:sz w:val="16"/>
                <w:szCs w:val="16"/>
                <w:lang w:eastAsia="en-AU"/>
              </w:rPr>
            </w:pPr>
            <w:r w:rsidRPr="001F54B5">
              <w:rPr>
                <w:rFonts w:ascii="Open Sans Semibold" w:eastAsia="Times New Roman" w:hAnsi="Open Sans Semibold" w:cs="Open Sans Semibold"/>
                <w:color w:val="FFFFFF"/>
                <w:sz w:val="16"/>
                <w:szCs w:val="16"/>
                <w:lang w:eastAsia="en-AU"/>
              </w:rPr>
              <w:t>Revisions</w:t>
            </w:r>
          </w:p>
        </w:tc>
      </w:tr>
      <w:tr w:rsidR="00945FD8" w:rsidRPr="001F54B5" w14:paraId="72CEC7C2" w14:textId="77777777">
        <w:trPr>
          <w:trHeight w:val="255"/>
        </w:trPr>
        <w:tc>
          <w:tcPr>
            <w:tcW w:w="2640" w:type="dxa"/>
            <w:tcBorders>
              <w:top w:val="single" w:sz="4" w:space="0" w:color="ADD6EA"/>
              <w:left w:val="nil"/>
              <w:bottom w:val="nil"/>
              <w:right w:val="nil"/>
            </w:tcBorders>
            <w:shd w:val="clear" w:color="000000" w:fill="D6E7F0"/>
            <w:hideMark/>
          </w:tcPr>
          <w:p w14:paraId="50098E19" w14:textId="77777777" w:rsidR="00945FD8" w:rsidRPr="001F54B5" w:rsidRDefault="00945FD8">
            <w:pPr>
              <w:tabs>
                <w:tab w:val="clear" w:pos="567"/>
              </w:tabs>
              <w:spacing w:before="0" w:line="240" w:lineRule="auto"/>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199D26FB" w14:textId="77777777" w:rsidR="00945FD8" w:rsidRPr="001F54B5" w:rsidRDefault="00945FD8">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3CED331E" w14:textId="77777777" w:rsidR="00945FD8" w:rsidRPr="001F54B5" w:rsidRDefault="00945FD8">
            <w:pPr>
              <w:tabs>
                <w:tab w:val="clear" w:pos="567"/>
              </w:tabs>
              <w:spacing w:before="0" w:line="240" w:lineRule="auto"/>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Explanation</w:t>
            </w:r>
          </w:p>
        </w:tc>
      </w:tr>
      <w:tr w:rsidR="00945FD8" w:rsidRPr="001F54B5" w14:paraId="2CE0397E" w14:textId="77777777">
        <w:trPr>
          <w:trHeight w:val="255"/>
        </w:trPr>
        <w:tc>
          <w:tcPr>
            <w:tcW w:w="2640" w:type="dxa"/>
            <w:tcBorders>
              <w:top w:val="single" w:sz="4" w:space="0" w:color="ADD6EA"/>
              <w:left w:val="nil"/>
              <w:bottom w:val="nil"/>
              <w:right w:val="nil"/>
            </w:tcBorders>
            <w:shd w:val="clear" w:color="000000" w:fill="B6D5E4"/>
            <w:hideMark/>
          </w:tcPr>
          <w:p w14:paraId="01D250B8" w14:textId="77777777" w:rsidR="00945FD8" w:rsidRPr="001F54B5" w:rsidRDefault="00945FD8">
            <w:pPr>
              <w:tabs>
                <w:tab w:val="clear" w:pos="567"/>
              </w:tabs>
              <w:spacing w:before="0" w:line="240" w:lineRule="auto"/>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7C6F6467" w14:textId="77777777" w:rsidR="00945FD8" w:rsidRPr="001F54B5" w:rsidRDefault="00945FD8">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586BC126" w14:textId="77777777" w:rsidR="00945FD8" w:rsidRPr="001F54B5" w:rsidRDefault="00945FD8">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38DDB7C8" w14:textId="77777777" w:rsidR="00945FD8" w:rsidRPr="001F54B5" w:rsidRDefault="00945FD8">
            <w:pPr>
              <w:tabs>
                <w:tab w:val="clear" w:pos="567"/>
              </w:tabs>
              <w:spacing w:before="0" w:line="240" w:lineRule="auto"/>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 </w:t>
            </w:r>
          </w:p>
        </w:tc>
      </w:tr>
      <w:tr w:rsidR="00945FD8" w:rsidRPr="001F54B5" w14:paraId="0A9A0F6F" w14:textId="77777777">
        <w:trPr>
          <w:trHeight w:val="319"/>
        </w:trPr>
        <w:tc>
          <w:tcPr>
            <w:tcW w:w="2640" w:type="dxa"/>
            <w:tcBorders>
              <w:top w:val="single" w:sz="4" w:space="0" w:color="ADD6EA"/>
              <w:left w:val="nil"/>
              <w:bottom w:val="single" w:sz="4" w:space="0" w:color="ADD6EA"/>
              <w:right w:val="nil"/>
            </w:tcBorders>
            <w:shd w:val="clear" w:color="000000" w:fill="FFFFFF"/>
            <w:hideMark/>
          </w:tcPr>
          <w:p w14:paraId="310A5557" w14:textId="77777777" w:rsidR="00945FD8" w:rsidRPr="001F54B5" w:rsidRDefault="00945FD8">
            <w:pPr>
              <w:tabs>
                <w:tab w:val="clear" w:pos="567"/>
              </w:tabs>
              <w:spacing w:before="0" w:line="240" w:lineRule="auto"/>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Natural disaster relief</w:t>
            </w:r>
          </w:p>
        </w:tc>
        <w:tc>
          <w:tcPr>
            <w:tcW w:w="700" w:type="dxa"/>
            <w:tcBorders>
              <w:top w:val="single" w:sz="4" w:space="0" w:color="ADD6EA"/>
              <w:left w:val="nil"/>
              <w:bottom w:val="single" w:sz="4" w:space="0" w:color="ADD6EA"/>
              <w:right w:val="nil"/>
            </w:tcBorders>
            <w:shd w:val="clear" w:color="000000" w:fill="EBBFA0"/>
            <w:hideMark/>
          </w:tcPr>
          <w:p w14:paraId="7478B7C7" w14:textId="77777777" w:rsidR="00945FD8" w:rsidRPr="001F54B5" w:rsidRDefault="00945FD8">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-21</w:t>
            </w:r>
          </w:p>
        </w:tc>
        <w:tc>
          <w:tcPr>
            <w:tcW w:w="700" w:type="dxa"/>
            <w:tcBorders>
              <w:top w:val="single" w:sz="4" w:space="0" w:color="ADD6EA"/>
              <w:left w:val="nil"/>
              <w:bottom w:val="single" w:sz="4" w:space="0" w:color="ADD6EA"/>
              <w:right w:val="nil"/>
            </w:tcBorders>
            <w:shd w:val="clear" w:color="000000" w:fill="EBBFA0"/>
            <w:hideMark/>
          </w:tcPr>
          <w:p w14:paraId="562F50F1" w14:textId="77777777" w:rsidR="00945FD8" w:rsidRPr="001F54B5" w:rsidRDefault="00945FD8">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-44</w:t>
            </w:r>
          </w:p>
        </w:tc>
        <w:tc>
          <w:tcPr>
            <w:tcW w:w="4900" w:type="dxa"/>
            <w:tcBorders>
              <w:top w:val="single" w:sz="4" w:space="0" w:color="ADD6EA"/>
              <w:left w:val="nil"/>
              <w:bottom w:val="nil"/>
              <w:right w:val="nil"/>
            </w:tcBorders>
            <w:shd w:val="clear" w:color="000000" w:fill="FFFFFF"/>
            <w:hideMark/>
          </w:tcPr>
          <w:p w14:paraId="70410CEF" w14:textId="77777777" w:rsidR="00945FD8" w:rsidRPr="001F54B5" w:rsidRDefault="00945FD8">
            <w:pPr>
              <w:tabs>
                <w:tab w:val="clear" w:pos="567"/>
              </w:tabs>
              <w:spacing w:before="0" w:line="240" w:lineRule="auto"/>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Upward revisions to natural disaster expenses in other states led to a reduction in the ACT’s assessed GST needs.</w:t>
            </w:r>
          </w:p>
        </w:tc>
      </w:tr>
      <w:tr w:rsidR="00945FD8" w:rsidRPr="001F54B5" w14:paraId="10B3AF90" w14:textId="77777777">
        <w:trPr>
          <w:trHeight w:val="375"/>
        </w:trPr>
        <w:tc>
          <w:tcPr>
            <w:tcW w:w="8940" w:type="dxa"/>
            <w:gridSpan w:val="4"/>
            <w:tcBorders>
              <w:top w:val="single" w:sz="4" w:space="0" w:color="ADD6EA"/>
              <w:left w:val="nil"/>
              <w:bottom w:val="nil"/>
              <w:right w:val="nil"/>
            </w:tcBorders>
            <w:shd w:val="clear" w:color="000000" w:fill="006991"/>
            <w:vAlign w:val="center"/>
            <w:hideMark/>
          </w:tcPr>
          <w:p w14:paraId="534ECA4C" w14:textId="77777777" w:rsidR="00945FD8" w:rsidRPr="001F54B5" w:rsidRDefault="00945FD8">
            <w:pPr>
              <w:tabs>
                <w:tab w:val="clear" w:pos="567"/>
              </w:tabs>
              <w:spacing w:before="0" w:line="240" w:lineRule="auto"/>
              <w:rPr>
                <w:rFonts w:ascii="Open Sans Semibold" w:eastAsia="Times New Roman" w:hAnsi="Open Sans Semibold" w:cs="Open Sans Semibold"/>
                <w:color w:val="FFFFFF"/>
                <w:sz w:val="16"/>
                <w:szCs w:val="16"/>
                <w:lang w:eastAsia="en-AU"/>
              </w:rPr>
            </w:pPr>
            <w:r w:rsidRPr="001F54B5">
              <w:rPr>
                <w:rFonts w:ascii="Open Sans Semibold" w:eastAsia="Times New Roman" w:hAnsi="Open Sans Semibold" w:cs="Open Sans Semibold"/>
                <w:color w:val="FFFFFF"/>
                <w:sz w:val="16"/>
                <w:szCs w:val="16"/>
                <w:lang w:eastAsia="en-AU"/>
              </w:rPr>
              <w:t>Changes in circumstances (a)</w:t>
            </w:r>
          </w:p>
        </w:tc>
      </w:tr>
      <w:tr w:rsidR="00945FD8" w:rsidRPr="001F54B5" w14:paraId="0915A0EC" w14:textId="77777777">
        <w:trPr>
          <w:trHeight w:val="255"/>
        </w:trPr>
        <w:tc>
          <w:tcPr>
            <w:tcW w:w="2640" w:type="dxa"/>
            <w:tcBorders>
              <w:top w:val="single" w:sz="4" w:space="0" w:color="ADD6EA"/>
              <w:left w:val="nil"/>
              <w:bottom w:val="nil"/>
              <w:right w:val="nil"/>
            </w:tcBorders>
            <w:shd w:val="clear" w:color="000000" w:fill="D6E7F0"/>
            <w:hideMark/>
          </w:tcPr>
          <w:p w14:paraId="5862D4A5" w14:textId="77777777" w:rsidR="00945FD8" w:rsidRPr="001F54B5" w:rsidRDefault="00945FD8">
            <w:pPr>
              <w:tabs>
                <w:tab w:val="clear" w:pos="567"/>
              </w:tabs>
              <w:spacing w:before="0" w:line="240" w:lineRule="auto"/>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628493A8" w14:textId="77777777" w:rsidR="00945FD8" w:rsidRPr="001F54B5" w:rsidRDefault="00945FD8">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13218C72" w14:textId="77777777" w:rsidR="00945FD8" w:rsidRPr="001F54B5" w:rsidRDefault="00945FD8">
            <w:pPr>
              <w:tabs>
                <w:tab w:val="clear" w:pos="567"/>
              </w:tabs>
              <w:spacing w:before="0" w:line="240" w:lineRule="auto"/>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Explanation</w:t>
            </w:r>
          </w:p>
        </w:tc>
      </w:tr>
      <w:tr w:rsidR="00945FD8" w:rsidRPr="001F54B5" w14:paraId="2549320B" w14:textId="77777777">
        <w:trPr>
          <w:trHeight w:val="255"/>
        </w:trPr>
        <w:tc>
          <w:tcPr>
            <w:tcW w:w="2640" w:type="dxa"/>
            <w:tcBorders>
              <w:top w:val="single" w:sz="4" w:space="0" w:color="ADD6EA"/>
              <w:left w:val="nil"/>
              <w:bottom w:val="nil"/>
              <w:right w:val="nil"/>
            </w:tcBorders>
            <w:shd w:val="clear" w:color="000000" w:fill="B6D5E4"/>
            <w:hideMark/>
          </w:tcPr>
          <w:p w14:paraId="1DCB375B" w14:textId="77777777" w:rsidR="00945FD8" w:rsidRPr="001F54B5" w:rsidRDefault="00945FD8">
            <w:pPr>
              <w:tabs>
                <w:tab w:val="clear" w:pos="567"/>
              </w:tabs>
              <w:spacing w:before="0" w:line="240" w:lineRule="auto"/>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18176BB0" w14:textId="77777777" w:rsidR="00945FD8" w:rsidRPr="001F54B5" w:rsidRDefault="00945FD8">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558AF94E" w14:textId="77777777" w:rsidR="00945FD8" w:rsidRPr="001F54B5" w:rsidRDefault="00945FD8">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4F8B1248" w14:textId="77777777" w:rsidR="00945FD8" w:rsidRPr="001F54B5" w:rsidRDefault="00945FD8">
            <w:pPr>
              <w:tabs>
                <w:tab w:val="clear" w:pos="567"/>
              </w:tabs>
              <w:spacing w:before="0" w:line="240" w:lineRule="auto"/>
              <w:rPr>
                <w:rFonts w:ascii="Open Sans Semibold" w:eastAsia="Times New Roman" w:hAnsi="Open Sans Semibold" w:cs="Open Sans Semibold"/>
                <w:color w:val="000000"/>
                <w:sz w:val="16"/>
                <w:szCs w:val="16"/>
                <w:lang w:eastAsia="en-AU"/>
              </w:rPr>
            </w:pPr>
            <w:r w:rsidRPr="001F54B5">
              <w:rPr>
                <w:rFonts w:ascii="Open Sans Semibold" w:eastAsia="Times New Roman" w:hAnsi="Open Sans Semibold" w:cs="Open Sans Semibold"/>
                <w:color w:val="000000"/>
                <w:sz w:val="16"/>
                <w:szCs w:val="16"/>
                <w:lang w:eastAsia="en-AU"/>
              </w:rPr>
              <w:t> </w:t>
            </w:r>
          </w:p>
        </w:tc>
      </w:tr>
      <w:tr w:rsidR="00945FD8" w:rsidRPr="001F54B5" w14:paraId="67C6EB06" w14:textId="77777777">
        <w:trPr>
          <w:trHeight w:val="1049"/>
        </w:trPr>
        <w:tc>
          <w:tcPr>
            <w:tcW w:w="2640" w:type="dxa"/>
            <w:tcBorders>
              <w:top w:val="single" w:sz="4" w:space="0" w:color="ADD6EA"/>
              <w:left w:val="nil"/>
              <w:bottom w:val="nil"/>
              <w:right w:val="nil"/>
            </w:tcBorders>
            <w:shd w:val="clear" w:color="000000" w:fill="FFFFFF"/>
            <w:hideMark/>
          </w:tcPr>
          <w:p w14:paraId="04119A54" w14:textId="77777777" w:rsidR="00945FD8" w:rsidRPr="001F54B5" w:rsidRDefault="00945FD8">
            <w:pPr>
              <w:tabs>
                <w:tab w:val="clear" w:pos="567"/>
              </w:tabs>
              <w:spacing w:before="0" w:line="240" w:lineRule="auto"/>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Mining production</w:t>
            </w:r>
          </w:p>
        </w:tc>
        <w:tc>
          <w:tcPr>
            <w:tcW w:w="700" w:type="dxa"/>
            <w:tcBorders>
              <w:top w:val="single" w:sz="4" w:space="0" w:color="ADD6EA"/>
              <w:left w:val="nil"/>
              <w:bottom w:val="nil"/>
              <w:right w:val="nil"/>
            </w:tcBorders>
            <w:shd w:val="clear" w:color="000000" w:fill="ADD6EA"/>
            <w:hideMark/>
          </w:tcPr>
          <w:p w14:paraId="325A4330" w14:textId="77777777" w:rsidR="00945FD8" w:rsidRPr="001F54B5" w:rsidRDefault="00945FD8">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55</w:t>
            </w:r>
          </w:p>
        </w:tc>
        <w:tc>
          <w:tcPr>
            <w:tcW w:w="700" w:type="dxa"/>
            <w:tcBorders>
              <w:top w:val="single" w:sz="4" w:space="0" w:color="ADD6EA"/>
              <w:left w:val="nil"/>
              <w:bottom w:val="nil"/>
              <w:right w:val="nil"/>
            </w:tcBorders>
            <w:shd w:val="clear" w:color="000000" w:fill="ADD6EA"/>
            <w:hideMark/>
          </w:tcPr>
          <w:p w14:paraId="4BD04488" w14:textId="77777777" w:rsidR="00945FD8" w:rsidRPr="001F54B5" w:rsidRDefault="00945FD8">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114</w:t>
            </w:r>
          </w:p>
        </w:tc>
        <w:tc>
          <w:tcPr>
            <w:tcW w:w="4900" w:type="dxa"/>
            <w:tcBorders>
              <w:top w:val="single" w:sz="4" w:space="0" w:color="ADD6EA"/>
              <w:left w:val="nil"/>
              <w:bottom w:val="nil"/>
              <w:right w:val="nil"/>
            </w:tcBorders>
            <w:shd w:val="clear" w:color="000000" w:fill="FFFFFF"/>
            <w:hideMark/>
          </w:tcPr>
          <w:p w14:paraId="0FE1E2CF" w14:textId="72C954C5" w:rsidR="00945FD8" w:rsidRPr="001F54B5" w:rsidRDefault="00945FD8">
            <w:pPr>
              <w:tabs>
                <w:tab w:val="clear" w:pos="567"/>
              </w:tabs>
              <w:spacing w:before="0" w:line="240" w:lineRule="auto"/>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A large increase in coal prices and average coal royalty rates in 2023–24 compared with 2020</w:t>
            </w:r>
            <w:r w:rsidRPr="001F54B5">
              <w:rPr>
                <w:rFonts w:ascii="Arial" w:eastAsia="Times New Roman" w:hAnsi="Arial" w:cs="Arial"/>
                <w:color w:val="000000"/>
                <w:sz w:val="16"/>
                <w:szCs w:val="16"/>
                <w:lang w:eastAsia="en-AU"/>
              </w:rPr>
              <w:t>‍</w:t>
            </w:r>
            <w:r w:rsidR="00402113">
              <w:rPr>
                <w:rFonts w:ascii="Open Sans Light" w:eastAsia="Times New Roman" w:hAnsi="Open Sans Light" w:cs="Open Sans Light"/>
                <w:color w:val="000000"/>
                <w:sz w:val="16"/>
                <w:szCs w:val="16"/>
                <w:lang w:eastAsia="en-AU"/>
              </w:rPr>
              <w:t>–</w:t>
            </w:r>
            <w:r w:rsidRPr="001F54B5">
              <w:rPr>
                <w:rFonts w:ascii="Arial" w:eastAsia="Times New Roman" w:hAnsi="Arial" w:cs="Arial"/>
                <w:color w:val="000000"/>
                <w:sz w:val="16"/>
                <w:szCs w:val="16"/>
                <w:lang w:eastAsia="en-AU"/>
              </w:rPr>
              <w:t>‍</w:t>
            </w:r>
            <w:r w:rsidRPr="001F54B5">
              <w:rPr>
                <w:rFonts w:ascii="Open Sans Light" w:eastAsia="Times New Roman" w:hAnsi="Open Sans Light" w:cs="Open Sans Light"/>
                <w:color w:val="000000"/>
                <w:sz w:val="16"/>
                <w:szCs w:val="16"/>
                <w:lang w:eastAsia="en-AU"/>
              </w:rPr>
              <w:t>21 increased the revenue raising capacities of New South Wales and Queensland. This reduced the ACT's relative mining revenue capacity and increased its assessed GST needs.</w:t>
            </w:r>
          </w:p>
        </w:tc>
      </w:tr>
      <w:tr w:rsidR="00945FD8" w:rsidRPr="001F54B5" w14:paraId="7B8CFBC1" w14:textId="77777777">
        <w:trPr>
          <w:trHeight w:val="795"/>
        </w:trPr>
        <w:tc>
          <w:tcPr>
            <w:tcW w:w="2640" w:type="dxa"/>
            <w:tcBorders>
              <w:top w:val="single" w:sz="4" w:space="0" w:color="ADD6EA"/>
              <w:left w:val="nil"/>
              <w:bottom w:val="nil"/>
              <w:right w:val="nil"/>
            </w:tcBorders>
            <w:shd w:val="clear" w:color="000000" w:fill="FFFFFF"/>
            <w:hideMark/>
          </w:tcPr>
          <w:p w14:paraId="55333E7D" w14:textId="5AB1730B" w:rsidR="00945FD8" w:rsidRPr="001F54B5" w:rsidRDefault="00945FD8">
            <w:pPr>
              <w:tabs>
                <w:tab w:val="clear" w:pos="567"/>
              </w:tabs>
              <w:spacing w:before="0" w:line="240" w:lineRule="auto"/>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 xml:space="preserve">Relative growth of investment needs for </w:t>
            </w:r>
            <w:r w:rsidR="002D4B90">
              <w:rPr>
                <w:rFonts w:ascii="Open Sans Light" w:eastAsia="Times New Roman" w:hAnsi="Open Sans Light" w:cs="Open Sans Light"/>
                <w:color w:val="000000"/>
                <w:sz w:val="16"/>
                <w:szCs w:val="16"/>
                <w:lang w:eastAsia="en-AU"/>
              </w:rPr>
              <w:t>u</w:t>
            </w:r>
            <w:r w:rsidRPr="001F54B5">
              <w:rPr>
                <w:rFonts w:ascii="Open Sans Light" w:eastAsia="Times New Roman" w:hAnsi="Open Sans Light" w:cs="Open Sans Light"/>
                <w:color w:val="000000"/>
                <w:sz w:val="16"/>
                <w:szCs w:val="16"/>
                <w:lang w:eastAsia="en-AU"/>
              </w:rPr>
              <w:t>rban transport</w:t>
            </w:r>
          </w:p>
        </w:tc>
        <w:tc>
          <w:tcPr>
            <w:tcW w:w="700" w:type="dxa"/>
            <w:tcBorders>
              <w:top w:val="single" w:sz="4" w:space="0" w:color="ADD6EA"/>
              <w:left w:val="nil"/>
              <w:bottom w:val="nil"/>
              <w:right w:val="nil"/>
            </w:tcBorders>
            <w:shd w:val="clear" w:color="000000" w:fill="EBBFA0"/>
            <w:hideMark/>
          </w:tcPr>
          <w:p w14:paraId="29F11E2C" w14:textId="77777777" w:rsidR="00945FD8" w:rsidRPr="001F54B5" w:rsidRDefault="00945FD8">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-27</w:t>
            </w:r>
          </w:p>
        </w:tc>
        <w:tc>
          <w:tcPr>
            <w:tcW w:w="700" w:type="dxa"/>
            <w:tcBorders>
              <w:top w:val="single" w:sz="4" w:space="0" w:color="ADD6EA"/>
              <w:left w:val="nil"/>
              <w:bottom w:val="nil"/>
              <w:right w:val="nil"/>
            </w:tcBorders>
            <w:shd w:val="clear" w:color="000000" w:fill="EBBFA0"/>
            <w:hideMark/>
          </w:tcPr>
          <w:p w14:paraId="221F52E1" w14:textId="77777777" w:rsidR="00945FD8" w:rsidRPr="001F54B5" w:rsidRDefault="00945FD8">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-55</w:t>
            </w:r>
          </w:p>
        </w:tc>
        <w:tc>
          <w:tcPr>
            <w:tcW w:w="4900" w:type="dxa"/>
            <w:tcBorders>
              <w:top w:val="single" w:sz="4" w:space="0" w:color="ADD6EA"/>
              <w:left w:val="nil"/>
              <w:bottom w:val="nil"/>
              <w:right w:val="nil"/>
            </w:tcBorders>
            <w:shd w:val="clear" w:color="000000" w:fill="FFFFFF"/>
            <w:hideMark/>
          </w:tcPr>
          <w:p w14:paraId="26BB53DD" w14:textId="70E61EBC" w:rsidR="00945FD8" w:rsidRPr="001F54B5" w:rsidRDefault="00847756">
            <w:pPr>
              <w:tabs>
                <w:tab w:val="clear" w:pos="567"/>
              </w:tabs>
              <w:spacing w:before="0" w:line="240" w:lineRule="auto"/>
              <w:rPr>
                <w:rFonts w:ascii="Open Sans Light" w:eastAsia="Times New Roman" w:hAnsi="Open Sans Light" w:cs="Open Sans Light"/>
                <w:color w:val="000000"/>
                <w:sz w:val="16"/>
                <w:szCs w:val="16"/>
                <w:lang w:eastAsia="en-AU"/>
              </w:rPr>
            </w:pPr>
            <w:r>
              <w:rPr>
                <w:rFonts w:ascii="Open Sans Light" w:eastAsia="Times New Roman" w:hAnsi="Open Sans Light" w:cs="Open Sans Light"/>
                <w:color w:val="000000"/>
                <w:sz w:val="16"/>
                <w:szCs w:val="16"/>
                <w:lang w:eastAsia="en-AU"/>
              </w:rPr>
              <w:t>B</w:t>
            </w:r>
            <w:r w:rsidR="00945FD8" w:rsidRPr="001F54B5">
              <w:rPr>
                <w:rFonts w:ascii="Open Sans Light" w:eastAsia="Times New Roman" w:hAnsi="Open Sans Light" w:cs="Open Sans Light"/>
                <w:color w:val="000000"/>
                <w:sz w:val="16"/>
                <w:szCs w:val="16"/>
                <w:lang w:eastAsia="en-AU"/>
              </w:rPr>
              <w:t>elow-average growth in population-weighted density in Canberra in 2023–24 compared with 2020–21 reduced the ACT's need for urban transport investment, reducing its assessed GST</w:t>
            </w:r>
            <w:r w:rsidR="002D4B90">
              <w:rPr>
                <w:rFonts w:ascii="Open Sans Light" w:eastAsia="Times New Roman" w:hAnsi="Open Sans Light" w:cs="Open Sans Light"/>
                <w:color w:val="000000"/>
                <w:sz w:val="16"/>
                <w:szCs w:val="16"/>
                <w:lang w:eastAsia="en-AU"/>
              </w:rPr>
              <w:t> </w:t>
            </w:r>
            <w:r w:rsidR="00945FD8" w:rsidRPr="001F54B5">
              <w:rPr>
                <w:rFonts w:ascii="Open Sans Light" w:eastAsia="Times New Roman" w:hAnsi="Open Sans Light" w:cs="Open Sans Light"/>
                <w:color w:val="000000"/>
                <w:sz w:val="16"/>
                <w:szCs w:val="16"/>
                <w:lang w:eastAsia="en-AU"/>
              </w:rPr>
              <w:t>needs.</w:t>
            </w:r>
          </w:p>
        </w:tc>
      </w:tr>
      <w:tr w:rsidR="00945FD8" w:rsidRPr="001F54B5" w14:paraId="33AA8A32" w14:textId="77777777">
        <w:trPr>
          <w:trHeight w:val="795"/>
        </w:trPr>
        <w:tc>
          <w:tcPr>
            <w:tcW w:w="2640" w:type="dxa"/>
            <w:tcBorders>
              <w:top w:val="single" w:sz="4" w:space="0" w:color="ADD6EA"/>
              <w:left w:val="nil"/>
              <w:bottom w:val="nil"/>
              <w:right w:val="nil"/>
            </w:tcBorders>
            <w:shd w:val="clear" w:color="000000" w:fill="FFFFFF"/>
            <w:hideMark/>
          </w:tcPr>
          <w:p w14:paraId="6AA31D56" w14:textId="77777777" w:rsidR="00945FD8" w:rsidRPr="001F54B5" w:rsidRDefault="00945FD8">
            <w:pPr>
              <w:tabs>
                <w:tab w:val="clear" w:pos="567"/>
              </w:tabs>
              <w:spacing w:before="0" w:line="240" w:lineRule="auto"/>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Net borrowing</w:t>
            </w:r>
          </w:p>
        </w:tc>
        <w:tc>
          <w:tcPr>
            <w:tcW w:w="700" w:type="dxa"/>
            <w:tcBorders>
              <w:top w:val="single" w:sz="4" w:space="0" w:color="ADD6EA"/>
              <w:left w:val="nil"/>
              <w:bottom w:val="nil"/>
              <w:right w:val="nil"/>
            </w:tcBorders>
            <w:shd w:val="clear" w:color="000000" w:fill="ADD6EA"/>
            <w:hideMark/>
          </w:tcPr>
          <w:p w14:paraId="0EA960C2" w14:textId="77777777" w:rsidR="00945FD8" w:rsidRPr="001F54B5" w:rsidRDefault="00945FD8">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26</w:t>
            </w:r>
          </w:p>
        </w:tc>
        <w:tc>
          <w:tcPr>
            <w:tcW w:w="700" w:type="dxa"/>
            <w:tcBorders>
              <w:top w:val="single" w:sz="4" w:space="0" w:color="ADD6EA"/>
              <w:left w:val="nil"/>
              <w:bottom w:val="nil"/>
              <w:right w:val="nil"/>
            </w:tcBorders>
            <w:shd w:val="clear" w:color="000000" w:fill="ADD6EA"/>
            <w:hideMark/>
          </w:tcPr>
          <w:p w14:paraId="12F1B744" w14:textId="77777777" w:rsidR="00945FD8" w:rsidRPr="001F54B5" w:rsidRDefault="00945FD8">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54</w:t>
            </w:r>
          </w:p>
        </w:tc>
        <w:tc>
          <w:tcPr>
            <w:tcW w:w="4900" w:type="dxa"/>
            <w:tcBorders>
              <w:top w:val="single" w:sz="4" w:space="0" w:color="ADD6EA"/>
              <w:left w:val="nil"/>
              <w:bottom w:val="nil"/>
              <w:right w:val="nil"/>
            </w:tcBorders>
            <w:shd w:val="clear" w:color="000000" w:fill="FFFFFF"/>
            <w:hideMark/>
          </w:tcPr>
          <w:p w14:paraId="5E105570" w14:textId="63C9D241" w:rsidR="00945FD8" w:rsidRPr="001F54B5" w:rsidRDefault="00945FD8">
            <w:pPr>
              <w:tabs>
                <w:tab w:val="clear" w:pos="567"/>
              </w:tabs>
              <w:spacing w:before="0" w:line="240" w:lineRule="auto"/>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The ACT’s decreasing share of population growth in 2023</w:t>
            </w:r>
            <w:r w:rsidRPr="001F54B5">
              <w:rPr>
                <w:rFonts w:ascii="Arial" w:eastAsia="Times New Roman" w:hAnsi="Arial" w:cs="Arial"/>
                <w:color w:val="000000"/>
                <w:sz w:val="16"/>
                <w:szCs w:val="16"/>
                <w:lang w:eastAsia="en-AU"/>
              </w:rPr>
              <w:t>‍</w:t>
            </w:r>
            <w:r w:rsidRPr="001F54B5">
              <w:rPr>
                <w:rFonts w:ascii="Open Sans Light" w:eastAsia="Times New Roman" w:hAnsi="Open Sans Light" w:cs="Open Sans Light"/>
                <w:color w:val="000000"/>
                <w:sz w:val="16"/>
                <w:szCs w:val="16"/>
                <w:lang w:eastAsia="en-AU"/>
              </w:rPr>
              <w:t>–</w:t>
            </w:r>
            <w:r w:rsidRPr="001F54B5">
              <w:rPr>
                <w:rFonts w:ascii="Arial" w:eastAsia="Times New Roman" w:hAnsi="Arial" w:cs="Arial"/>
                <w:color w:val="000000"/>
                <w:sz w:val="16"/>
                <w:szCs w:val="16"/>
                <w:lang w:eastAsia="en-AU"/>
              </w:rPr>
              <w:t>‍</w:t>
            </w:r>
            <w:r w:rsidRPr="001F54B5">
              <w:rPr>
                <w:rFonts w:ascii="Open Sans Light" w:eastAsia="Times New Roman" w:hAnsi="Open Sans Light" w:cs="Open Sans Light"/>
                <w:color w:val="000000"/>
                <w:sz w:val="16"/>
                <w:szCs w:val="16"/>
                <w:lang w:eastAsia="en-AU"/>
              </w:rPr>
              <w:t>24 compared with 2020–21 led to a decrease in its ability to service its liabilities, increasing its assessed GST needs. While the decreasing share of national population growth in the ACT increased its assessed GST needs from the net borrowing assessment, it led to a larger decrease in the ACT’s assessed GST</w:t>
            </w:r>
            <w:r w:rsidR="002D4B90">
              <w:rPr>
                <w:rFonts w:ascii="Open Sans Light" w:eastAsia="Times New Roman" w:hAnsi="Open Sans Light" w:cs="Open Sans Light"/>
                <w:color w:val="000000"/>
                <w:sz w:val="16"/>
                <w:szCs w:val="16"/>
                <w:lang w:eastAsia="en-AU"/>
              </w:rPr>
              <w:t> </w:t>
            </w:r>
            <w:r w:rsidRPr="001F54B5">
              <w:rPr>
                <w:rFonts w:ascii="Open Sans Light" w:eastAsia="Times New Roman" w:hAnsi="Open Sans Light" w:cs="Open Sans Light"/>
                <w:color w:val="000000"/>
                <w:sz w:val="16"/>
                <w:szCs w:val="16"/>
                <w:lang w:eastAsia="en-AU"/>
              </w:rPr>
              <w:t>needs through the various investment assessments including the relative growth of investment needs for urban transport.</w:t>
            </w:r>
          </w:p>
        </w:tc>
      </w:tr>
      <w:tr w:rsidR="00945FD8" w:rsidRPr="001F54B5" w14:paraId="431E1FA9" w14:textId="77777777">
        <w:trPr>
          <w:trHeight w:val="666"/>
        </w:trPr>
        <w:tc>
          <w:tcPr>
            <w:tcW w:w="2640" w:type="dxa"/>
            <w:tcBorders>
              <w:top w:val="single" w:sz="4" w:space="0" w:color="ADD6EA"/>
              <w:left w:val="nil"/>
              <w:bottom w:val="single" w:sz="4" w:space="0" w:color="ADD6EA"/>
              <w:right w:val="nil"/>
            </w:tcBorders>
            <w:shd w:val="clear" w:color="000000" w:fill="FFFFFF"/>
            <w:hideMark/>
          </w:tcPr>
          <w:p w14:paraId="30847835" w14:textId="77777777" w:rsidR="00945FD8" w:rsidRPr="001F54B5" w:rsidRDefault="00945FD8">
            <w:pPr>
              <w:tabs>
                <w:tab w:val="clear" w:pos="567"/>
              </w:tabs>
              <w:spacing w:before="0" w:line="240" w:lineRule="auto"/>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Commonwealth payments</w:t>
            </w:r>
          </w:p>
        </w:tc>
        <w:tc>
          <w:tcPr>
            <w:tcW w:w="700" w:type="dxa"/>
            <w:tcBorders>
              <w:top w:val="single" w:sz="4" w:space="0" w:color="ADD6EA"/>
              <w:left w:val="nil"/>
              <w:bottom w:val="single" w:sz="4" w:space="0" w:color="ADD6EA"/>
              <w:right w:val="nil"/>
            </w:tcBorders>
            <w:shd w:val="clear" w:color="000000" w:fill="EBBFA0"/>
            <w:hideMark/>
          </w:tcPr>
          <w:p w14:paraId="65044D23" w14:textId="77777777" w:rsidR="00945FD8" w:rsidRPr="001F54B5" w:rsidRDefault="00945FD8">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-24</w:t>
            </w:r>
          </w:p>
        </w:tc>
        <w:tc>
          <w:tcPr>
            <w:tcW w:w="700" w:type="dxa"/>
            <w:tcBorders>
              <w:top w:val="single" w:sz="4" w:space="0" w:color="ADD6EA"/>
              <w:left w:val="nil"/>
              <w:bottom w:val="single" w:sz="4" w:space="0" w:color="ADD6EA"/>
              <w:right w:val="nil"/>
            </w:tcBorders>
            <w:shd w:val="clear" w:color="000000" w:fill="EBBFA0"/>
            <w:hideMark/>
          </w:tcPr>
          <w:p w14:paraId="71102748" w14:textId="77777777" w:rsidR="00945FD8" w:rsidRPr="001F54B5" w:rsidRDefault="00945FD8">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-49</w:t>
            </w:r>
          </w:p>
        </w:tc>
        <w:tc>
          <w:tcPr>
            <w:tcW w:w="4900" w:type="dxa"/>
            <w:tcBorders>
              <w:top w:val="single" w:sz="4" w:space="0" w:color="ADD6EA"/>
              <w:left w:val="nil"/>
              <w:bottom w:val="single" w:sz="4" w:space="0" w:color="ADD6EA"/>
              <w:right w:val="nil"/>
            </w:tcBorders>
            <w:shd w:val="clear" w:color="000000" w:fill="FFFFFF"/>
            <w:hideMark/>
          </w:tcPr>
          <w:p w14:paraId="13BFE0C2" w14:textId="77777777" w:rsidR="00945FD8" w:rsidRPr="001F54B5" w:rsidRDefault="00945FD8">
            <w:pPr>
              <w:tabs>
                <w:tab w:val="clear" w:pos="567"/>
              </w:tabs>
              <w:spacing w:before="0" w:line="240" w:lineRule="auto"/>
              <w:rPr>
                <w:rFonts w:ascii="Open Sans Light" w:eastAsia="Times New Roman" w:hAnsi="Open Sans Light" w:cs="Open Sans Light"/>
                <w:color w:val="000000"/>
                <w:sz w:val="16"/>
                <w:szCs w:val="16"/>
                <w:lang w:eastAsia="en-AU"/>
              </w:rPr>
            </w:pPr>
            <w:r w:rsidRPr="001F54B5">
              <w:rPr>
                <w:rFonts w:ascii="Open Sans Light" w:eastAsia="Times New Roman" w:hAnsi="Open Sans Light" w:cs="Open Sans Light"/>
                <w:color w:val="000000"/>
                <w:sz w:val="16"/>
                <w:szCs w:val="16"/>
                <w:lang w:eastAsia="en-AU"/>
              </w:rPr>
              <w:t>The ACT received a greater relative share of assessed Commonwealth payments in 2023–24 compared with 2020–21, reducing its assessed GST needs.</w:t>
            </w:r>
          </w:p>
        </w:tc>
      </w:tr>
    </w:tbl>
    <w:p w14:paraId="75B15E2C" w14:textId="2381520C" w:rsidR="00945FD8" w:rsidRPr="00885A41" w:rsidRDefault="00945FD8" w:rsidP="00FB2709">
      <w:pPr>
        <w:pStyle w:val="CGC2025TableNote"/>
        <w:numPr>
          <w:ilvl w:val="0"/>
          <w:numId w:val="25"/>
        </w:numPr>
      </w:pPr>
      <w:r w:rsidRPr="00885A41">
        <w:t>Change of circumstances refers to the impact of replacing the 2020–21 assessment year data with the 2023–24 assessment year data in the calculation of relativities.</w:t>
      </w:r>
    </w:p>
    <w:p w14:paraId="574AA167" w14:textId="77777777" w:rsidR="00945FD8" w:rsidRDefault="00945FD8">
      <w:pPr>
        <w:tabs>
          <w:tab w:val="clear" w:pos="567"/>
        </w:tabs>
        <w:spacing w:before="0" w:after="200" w:line="276" w:lineRule="auto"/>
      </w:pPr>
      <w:r>
        <w:br w:type="page"/>
      </w:r>
    </w:p>
    <w:p w14:paraId="60A31D3F" w14:textId="77777777" w:rsidR="00F56E26" w:rsidRPr="00885A41" w:rsidRDefault="00F56E26" w:rsidP="00F56E26">
      <w:pPr>
        <w:pStyle w:val="Heading2"/>
      </w:pPr>
      <w:r w:rsidRPr="00885A41">
        <w:lastRenderedPageBreak/>
        <w:t>Northern Territory</w:t>
      </w:r>
    </w:p>
    <w:p w14:paraId="6CA5EBB3" w14:textId="2EB47074" w:rsidR="00F56E26" w:rsidRPr="00885A41" w:rsidRDefault="00F56E26" w:rsidP="00F56E26">
      <w:r w:rsidRPr="00885A41">
        <w:t xml:space="preserve">In 2025–26, the </w:t>
      </w:r>
      <w:r w:rsidR="00453366" w:rsidRPr="00885A41">
        <w:t>Northern</w:t>
      </w:r>
      <w:r w:rsidR="00453366">
        <w:t> </w:t>
      </w:r>
      <w:r w:rsidRPr="00885A41">
        <w:t xml:space="preserve">Territory’s </w:t>
      </w:r>
      <w:r w:rsidRPr="00885A41" w:rsidDel="008A1ECC">
        <w:t>GST</w:t>
      </w:r>
      <w:r w:rsidR="008A1ECC">
        <w:t> </w:t>
      </w:r>
      <w:r w:rsidRPr="00885A41">
        <w:t xml:space="preserve">distribution is estimated to increase by $248 million ($966 per capita). The </w:t>
      </w:r>
      <w:r w:rsidR="00453366" w:rsidRPr="00885A41">
        <w:t>Northern</w:t>
      </w:r>
      <w:r w:rsidR="00453366">
        <w:t> </w:t>
      </w:r>
      <w:r w:rsidRPr="00885A41">
        <w:t xml:space="preserve">Territory’s share of the </w:t>
      </w:r>
      <w:r w:rsidRPr="00885A41" w:rsidDel="008A1ECC">
        <w:t>GST</w:t>
      </w:r>
      <w:r w:rsidR="008A1ECC">
        <w:t> </w:t>
      </w:r>
      <w:r w:rsidRPr="00885A41">
        <w:t>pool is estimated to increase from 4.7% to 4.8%.</w:t>
      </w:r>
    </w:p>
    <w:p w14:paraId="34502EDC" w14:textId="7E18CC27" w:rsidR="00F56E26" w:rsidRPr="00885A41" w:rsidRDefault="00F56E26" w:rsidP="00F56E26">
      <w:pPr>
        <w:pStyle w:val="CGC2025Bullet1"/>
      </w:pPr>
      <w:r w:rsidRPr="00885A41">
        <w:t xml:space="preserve">The main factors leading to the increase in the </w:t>
      </w:r>
      <w:r w:rsidR="00453366" w:rsidRPr="00885A41">
        <w:t>Northern</w:t>
      </w:r>
      <w:r w:rsidR="00453366">
        <w:t> </w:t>
      </w:r>
      <w:r w:rsidRPr="00885A41">
        <w:t xml:space="preserve">Territory’s assessed </w:t>
      </w:r>
      <w:r w:rsidRPr="00885A41" w:rsidDel="008A1ECC">
        <w:t>GST</w:t>
      </w:r>
      <w:r w:rsidR="008A1ECC">
        <w:t> </w:t>
      </w:r>
      <w:r w:rsidRPr="00885A41">
        <w:t>needs are:</w:t>
      </w:r>
    </w:p>
    <w:p w14:paraId="03227914" w14:textId="77777777" w:rsidR="00F56E26" w:rsidRPr="00885A41" w:rsidRDefault="00F56E26" w:rsidP="00613682">
      <w:pPr>
        <w:pStyle w:val="CGC2025Bullet2"/>
      </w:pPr>
      <w:r w:rsidRPr="00885A41">
        <w:t>method changes to the non-state sector adjustment in the health assessment</w:t>
      </w:r>
    </w:p>
    <w:p w14:paraId="5C8BAEDC" w14:textId="4CC524ED" w:rsidR="00F56E26" w:rsidRPr="00885A41" w:rsidRDefault="00F56E26" w:rsidP="00613682">
      <w:pPr>
        <w:pStyle w:val="CGC2025Bullet2"/>
      </w:pPr>
      <w:r w:rsidRPr="00885A41">
        <w:t xml:space="preserve">the increase in the influence of population dispersion on the </w:t>
      </w:r>
      <w:r w:rsidRPr="00885A41" w:rsidDel="008A1ECC">
        <w:t>GST</w:t>
      </w:r>
      <w:r w:rsidR="008A1ECC">
        <w:t> </w:t>
      </w:r>
      <w:r w:rsidRPr="00885A41">
        <w:t>distribution</w:t>
      </w:r>
      <w:r w:rsidR="00213FA0">
        <w:t xml:space="preserve"> </w:t>
      </w:r>
      <w:r w:rsidRPr="00885A41">
        <w:t>from an increase in assessed state expense needs in regional and remote areas</w:t>
      </w:r>
    </w:p>
    <w:p w14:paraId="75C00969" w14:textId="0CF1C15E" w:rsidR="00F56E26" w:rsidRPr="00885A41" w:rsidRDefault="00F56E26" w:rsidP="00613682">
      <w:pPr>
        <w:pStyle w:val="CGC2025Bullet2"/>
      </w:pPr>
      <w:r w:rsidRPr="00885A41">
        <w:t xml:space="preserve">the increased influence of Indigenous status on the </w:t>
      </w:r>
      <w:r w:rsidRPr="00885A41" w:rsidDel="008A1ECC">
        <w:t>GST</w:t>
      </w:r>
      <w:r w:rsidR="008A1ECC">
        <w:t> </w:t>
      </w:r>
      <w:r w:rsidRPr="00885A41">
        <w:t>distribution</w:t>
      </w:r>
      <w:r w:rsidR="00213FA0" w:rsidRPr="00213FA0">
        <w:t xml:space="preserve"> </w:t>
      </w:r>
      <w:r w:rsidRPr="00885A41">
        <w:t xml:space="preserve">largely driven by an increase in assessed state expense needs for, and the use and cost of providing services used by, </w:t>
      </w:r>
      <w:r w:rsidR="001A5006" w:rsidRPr="00885A41">
        <w:t>First</w:t>
      </w:r>
      <w:r w:rsidR="001A5006">
        <w:t> </w:t>
      </w:r>
      <w:r w:rsidRPr="00885A41">
        <w:t>Nations people</w:t>
      </w:r>
    </w:p>
    <w:p w14:paraId="6335E9AB" w14:textId="77777777" w:rsidR="00F56E26" w:rsidRPr="00885A41" w:rsidRDefault="00F56E26" w:rsidP="00613682">
      <w:pPr>
        <w:pStyle w:val="CGC2025Bullet2"/>
      </w:pPr>
      <w:r w:rsidRPr="00885A41">
        <w:t>the Commission decision to stop assessing Commonwealth own-purpose payments.</w:t>
      </w:r>
    </w:p>
    <w:p w14:paraId="26522DF3" w14:textId="24E7ACBF" w:rsidR="00F56E26" w:rsidRPr="00885A41" w:rsidRDefault="00F56E26" w:rsidP="00F56E26">
      <w:pPr>
        <w:pStyle w:val="CGC2025Bullet1"/>
      </w:pPr>
      <w:r w:rsidRPr="00885A41">
        <w:t xml:space="preserve">The main factors partially offsetting the increase in the </w:t>
      </w:r>
      <w:r w:rsidR="00453366" w:rsidRPr="00885A41">
        <w:t>Northern</w:t>
      </w:r>
      <w:r w:rsidR="00453366">
        <w:t> </w:t>
      </w:r>
      <w:r w:rsidRPr="00885A41">
        <w:t xml:space="preserve">Territory’s assessed </w:t>
      </w:r>
      <w:r w:rsidRPr="00885A41" w:rsidDel="008A1ECC">
        <w:t>GST</w:t>
      </w:r>
      <w:r w:rsidR="008A1ECC">
        <w:t> </w:t>
      </w:r>
      <w:r w:rsidRPr="00885A41">
        <w:t>needs are:</w:t>
      </w:r>
    </w:p>
    <w:p w14:paraId="39B97B2D" w14:textId="0FCA3DE7" w:rsidR="00F56E26" w:rsidRPr="00885A41" w:rsidRDefault="00F56E26" w:rsidP="00F56E26">
      <w:pPr>
        <w:pStyle w:val="CGC2025Bullet2"/>
      </w:pPr>
      <w:r w:rsidRPr="00885A41">
        <w:t xml:space="preserve">the </w:t>
      </w:r>
      <w:r w:rsidR="001A5006" w:rsidRPr="00885A41">
        <w:t>Northern</w:t>
      </w:r>
      <w:r w:rsidR="001A5006">
        <w:t> </w:t>
      </w:r>
      <w:r w:rsidRPr="00885A41">
        <w:t>Territory receiving a larger share of Commonwealth payments in 2023</w:t>
      </w:r>
      <w:r w:rsidR="006425D4" w:rsidRPr="001F54B5">
        <w:rPr>
          <w:rFonts w:ascii="Arial" w:eastAsia="Times New Roman" w:hAnsi="Arial" w:cs="Arial"/>
          <w:color w:val="000000"/>
          <w:sz w:val="16"/>
          <w:szCs w:val="16"/>
          <w:lang w:eastAsia="en-AU"/>
        </w:rPr>
        <w:t>‍</w:t>
      </w:r>
      <w:r w:rsidRPr="00885A41">
        <w:t>–</w:t>
      </w:r>
      <w:r w:rsidR="006425D4" w:rsidRPr="001F54B5">
        <w:rPr>
          <w:rFonts w:ascii="Arial" w:eastAsia="Times New Roman" w:hAnsi="Arial" w:cs="Arial"/>
          <w:color w:val="000000"/>
          <w:sz w:val="16"/>
          <w:szCs w:val="16"/>
          <w:lang w:eastAsia="en-AU"/>
        </w:rPr>
        <w:t>‍</w:t>
      </w:r>
      <w:r w:rsidRPr="00885A41">
        <w:t>24 compared with 2020</w:t>
      </w:r>
      <w:r w:rsidR="00B04894" w:rsidRPr="00146FF7">
        <w:rPr>
          <w:rFonts w:ascii="Times New Roman" w:hAnsi="Times New Roman" w:cs="Times New Roman"/>
        </w:rPr>
        <w:t>‍</w:t>
      </w:r>
      <w:r w:rsidRPr="00885A41">
        <w:t>–</w:t>
      </w:r>
      <w:r w:rsidR="00B04894" w:rsidRPr="00146FF7">
        <w:rPr>
          <w:rFonts w:ascii="Times New Roman" w:hAnsi="Times New Roman" w:cs="Times New Roman"/>
        </w:rPr>
        <w:t>‍</w:t>
      </w:r>
      <w:r w:rsidRPr="00885A41">
        <w:t>21</w:t>
      </w:r>
    </w:p>
    <w:p w14:paraId="1BB73428" w14:textId="74B4609C" w:rsidR="00F56E26" w:rsidRPr="00885A41" w:rsidRDefault="00F56E26" w:rsidP="00F56E26">
      <w:pPr>
        <w:pStyle w:val="CGC2025Bullet2"/>
      </w:pPr>
      <w:r w:rsidRPr="00885A41">
        <w:t>the introduction of a discount in the recurrent roads assessment</w:t>
      </w:r>
      <w:r w:rsidR="00B04894">
        <w:t xml:space="preserve"> method</w:t>
      </w:r>
      <w:r w:rsidRPr="00885A41">
        <w:t>, which reduced assessed investment needs for roads</w:t>
      </w:r>
    </w:p>
    <w:p w14:paraId="5E58AEF5" w14:textId="7F1BC0F2" w:rsidR="00F56E26" w:rsidRPr="00885A41" w:rsidRDefault="00F56E26" w:rsidP="00F56E26">
      <w:pPr>
        <w:pStyle w:val="CGC2025Bullet2"/>
      </w:pPr>
      <w:r w:rsidRPr="00885A41">
        <w:t>the introduction of an assessment</w:t>
      </w:r>
      <w:r w:rsidR="00B04894">
        <w:t xml:space="preserve"> method for</w:t>
      </w:r>
      <w:r w:rsidRPr="00885A41">
        <w:t xml:space="preserve"> ambulatory community mental health in the health assessment.</w:t>
      </w:r>
    </w:p>
    <w:p w14:paraId="0B3CD156" w14:textId="687DAD8D" w:rsidR="00F56E26" w:rsidRPr="00885A41" w:rsidRDefault="00F56E26" w:rsidP="00F56E26">
      <w:pPr>
        <w:pStyle w:val="CGC2025Bullet1"/>
      </w:pPr>
      <w:r w:rsidRPr="00885A41">
        <w:t xml:space="preserve">The expected growth in the </w:t>
      </w:r>
      <w:r w:rsidRPr="00885A41" w:rsidDel="008A1ECC">
        <w:t>GST</w:t>
      </w:r>
      <w:r w:rsidR="008A1ECC">
        <w:t> </w:t>
      </w:r>
      <w:r w:rsidRPr="00885A41">
        <w:t xml:space="preserve">pool contributed to the increase in the </w:t>
      </w:r>
      <w:r w:rsidR="00453366" w:rsidRPr="00885A41">
        <w:t>Northern</w:t>
      </w:r>
      <w:r w:rsidR="00453366">
        <w:t> </w:t>
      </w:r>
      <w:r w:rsidRPr="00885A41">
        <w:t xml:space="preserve">Territory’s </w:t>
      </w:r>
      <w:r w:rsidRPr="00885A41" w:rsidDel="008A1ECC">
        <w:t>GST</w:t>
      </w:r>
      <w:r w:rsidR="008A1ECC">
        <w:t> </w:t>
      </w:r>
      <w:r w:rsidRPr="00885A41">
        <w:t>distribution.</w:t>
      </w:r>
    </w:p>
    <w:p w14:paraId="37378C09" w14:textId="76D6DF2F" w:rsidR="00F56E26" w:rsidRPr="00885A41" w:rsidRDefault="00F56E26" w:rsidP="00F56E26">
      <w:pPr>
        <w:pStyle w:val="CGC2025Bullet1"/>
      </w:pPr>
      <w:r w:rsidRPr="00885A41">
        <w:t xml:space="preserve">The operation of </w:t>
      </w:r>
      <w:r w:rsidRPr="00885A41" w:rsidDel="00796006">
        <w:t>blended</w:t>
      </w:r>
      <w:r w:rsidR="00796006">
        <w:t> </w:t>
      </w:r>
      <w:r w:rsidRPr="00885A41">
        <w:t xml:space="preserve">relativities and the </w:t>
      </w:r>
      <w:r w:rsidRPr="00885A41" w:rsidDel="00796006">
        <w:t>GST</w:t>
      </w:r>
      <w:r w:rsidR="00796006">
        <w:t> </w:t>
      </w:r>
      <w:r w:rsidRPr="00885A41">
        <w:t xml:space="preserve">floor reduced the </w:t>
      </w:r>
      <w:r w:rsidR="00453366" w:rsidRPr="00885A41">
        <w:t>Northern</w:t>
      </w:r>
      <w:r w:rsidR="00453366">
        <w:t> </w:t>
      </w:r>
      <w:r w:rsidRPr="00885A41">
        <w:t xml:space="preserve">Territory’s </w:t>
      </w:r>
      <w:r w:rsidRPr="00885A41" w:rsidDel="00804704">
        <w:t>GST</w:t>
      </w:r>
      <w:r w:rsidR="00804704">
        <w:t> </w:t>
      </w:r>
      <w:r w:rsidRPr="00885A41">
        <w:t>distribution by $</w:t>
      </w:r>
      <w:r w:rsidR="007E5D77" w:rsidRPr="00885A41">
        <w:t>6</w:t>
      </w:r>
      <w:r w:rsidR="007E5D77">
        <w:t> </w:t>
      </w:r>
      <w:r w:rsidRPr="00885A41">
        <w:t>million more than in 2024–25.</w:t>
      </w:r>
    </w:p>
    <w:p w14:paraId="69040D29" w14:textId="55FB482E" w:rsidR="00F56E26" w:rsidRPr="00885A41" w:rsidRDefault="00F56E26" w:rsidP="00F56E26">
      <w:pPr>
        <w:pStyle w:val="CGC2025Caption"/>
        <w:ind w:left="1440" w:hanging="1440"/>
      </w:pPr>
      <w:r w:rsidRPr="00885A41">
        <w:t>Table 3-8</w:t>
      </w:r>
      <w:r w:rsidRPr="00885A41">
        <w:tab/>
        <w:t>Change in estimated GST distribution from 2024–25 to 2025–26, Northern</w:t>
      </w:r>
      <w:r>
        <w:t> </w:t>
      </w:r>
      <w:r w:rsidRPr="00885A41">
        <w:t>Territory (excludes no worse off payments)</w:t>
      </w:r>
    </w:p>
    <w:tbl>
      <w:tblPr>
        <w:tblW w:w="8940" w:type="dxa"/>
        <w:tblCellMar>
          <w:top w:w="15" w:type="dxa"/>
          <w:bottom w:w="15" w:type="dxa"/>
        </w:tblCellMar>
        <w:tblLook w:val="04A0" w:firstRow="1" w:lastRow="0" w:firstColumn="1" w:lastColumn="0" w:noHBand="0" w:noVBand="1"/>
      </w:tblPr>
      <w:tblGrid>
        <w:gridCol w:w="4060"/>
        <w:gridCol w:w="2440"/>
        <w:gridCol w:w="2440"/>
      </w:tblGrid>
      <w:tr w:rsidR="002317AC" w:rsidRPr="005F1D13" w14:paraId="68F8724C" w14:textId="77777777">
        <w:trPr>
          <w:trHeight w:val="300"/>
        </w:trPr>
        <w:tc>
          <w:tcPr>
            <w:tcW w:w="4060" w:type="dxa"/>
            <w:tcBorders>
              <w:top w:val="nil"/>
              <w:left w:val="nil"/>
              <w:bottom w:val="single" w:sz="4" w:space="0" w:color="ADD6EA"/>
              <w:right w:val="nil"/>
            </w:tcBorders>
            <w:shd w:val="clear" w:color="000000" w:fill="006991"/>
            <w:noWrap/>
            <w:vAlign w:val="center"/>
            <w:hideMark/>
          </w:tcPr>
          <w:p w14:paraId="5B0AF4D8" w14:textId="77777777" w:rsidR="002317AC" w:rsidRPr="005F1D13" w:rsidRDefault="002317AC">
            <w:pPr>
              <w:tabs>
                <w:tab w:val="clear" w:pos="567"/>
              </w:tabs>
              <w:spacing w:before="0" w:line="240" w:lineRule="auto"/>
              <w:rPr>
                <w:rFonts w:ascii="Times New Roman" w:eastAsia="Times New Roman" w:hAnsi="Times New Roman" w:cs="Times New Roman"/>
                <w:sz w:val="24"/>
                <w:szCs w:val="24"/>
                <w:lang w:eastAsia="en-AU"/>
              </w:rPr>
            </w:pPr>
          </w:p>
        </w:tc>
        <w:tc>
          <w:tcPr>
            <w:tcW w:w="2440" w:type="dxa"/>
            <w:tcBorders>
              <w:top w:val="nil"/>
              <w:left w:val="nil"/>
              <w:bottom w:val="single" w:sz="4" w:space="0" w:color="ADD6EA"/>
              <w:right w:val="nil"/>
            </w:tcBorders>
            <w:shd w:val="clear" w:color="000000" w:fill="006991"/>
            <w:noWrap/>
            <w:vAlign w:val="center"/>
            <w:hideMark/>
          </w:tcPr>
          <w:p w14:paraId="4E5FE85F" w14:textId="77777777" w:rsidR="002317AC" w:rsidRPr="005F1D13" w:rsidRDefault="002317A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F1D13">
              <w:rPr>
                <w:rFonts w:ascii="Open Sans Semibold" w:eastAsia="Times New Roman" w:hAnsi="Open Sans Semibold" w:cs="Open Sans Semibold"/>
                <w:color w:val="FFFFFF"/>
                <w:sz w:val="16"/>
                <w:szCs w:val="16"/>
                <w:lang w:eastAsia="en-AU"/>
              </w:rPr>
              <w:t>$m</w:t>
            </w:r>
          </w:p>
        </w:tc>
        <w:tc>
          <w:tcPr>
            <w:tcW w:w="2440" w:type="dxa"/>
            <w:tcBorders>
              <w:top w:val="nil"/>
              <w:left w:val="nil"/>
              <w:bottom w:val="single" w:sz="4" w:space="0" w:color="ADD6EA"/>
              <w:right w:val="nil"/>
            </w:tcBorders>
            <w:shd w:val="clear" w:color="000000" w:fill="006991"/>
            <w:noWrap/>
            <w:vAlign w:val="center"/>
            <w:hideMark/>
          </w:tcPr>
          <w:p w14:paraId="50625F8D" w14:textId="77777777" w:rsidR="002317AC" w:rsidRPr="005F1D13" w:rsidRDefault="002317A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F1D13">
              <w:rPr>
                <w:rFonts w:ascii="Open Sans Semibold" w:eastAsia="Times New Roman" w:hAnsi="Open Sans Semibold" w:cs="Open Sans Semibold"/>
                <w:color w:val="FFFFFF"/>
                <w:sz w:val="16"/>
                <w:szCs w:val="16"/>
                <w:lang w:eastAsia="en-AU"/>
              </w:rPr>
              <w:t>$pc</w:t>
            </w:r>
          </w:p>
        </w:tc>
      </w:tr>
      <w:tr w:rsidR="002317AC" w:rsidRPr="005F1D13" w14:paraId="074794E8" w14:textId="77777777">
        <w:trPr>
          <w:trHeight w:val="300"/>
        </w:trPr>
        <w:tc>
          <w:tcPr>
            <w:tcW w:w="4060" w:type="dxa"/>
            <w:tcBorders>
              <w:top w:val="single" w:sz="4" w:space="0" w:color="ADD6EA"/>
              <w:left w:val="nil"/>
              <w:bottom w:val="single" w:sz="4" w:space="0" w:color="ADD6EA"/>
              <w:right w:val="nil"/>
            </w:tcBorders>
            <w:noWrap/>
            <w:vAlign w:val="center"/>
            <w:hideMark/>
          </w:tcPr>
          <w:p w14:paraId="1E45B1CA" w14:textId="77777777" w:rsidR="002317AC" w:rsidRPr="005F1D13" w:rsidRDefault="002317AC">
            <w:pPr>
              <w:tabs>
                <w:tab w:val="clear" w:pos="567"/>
              </w:tabs>
              <w:spacing w:before="0" w:line="240" w:lineRule="auto"/>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 xml:space="preserve">Change in </w:t>
            </w:r>
            <w:r w:rsidRPr="005F1D13">
              <w:rPr>
                <w:rFonts w:ascii="Open Sans Light" w:eastAsia="Times New Roman" w:hAnsi="Open Sans Light" w:cs="Open Sans Light"/>
                <w:color w:val="000000"/>
                <w:sz w:val="16"/>
                <w:szCs w:val="16"/>
                <w:lang w:eastAsia="en-AU"/>
              </w:rPr>
              <w:t>population</w:t>
            </w:r>
          </w:p>
        </w:tc>
        <w:tc>
          <w:tcPr>
            <w:tcW w:w="2440" w:type="dxa"/>
            <w:tcBorders>
              <w:top w:val="single" w:sz="4" w:space="0" w:color="ADD6EA"/>
              <w:left w:val="nil"/>
              <w:bottom w:val="single" w:sz="4" w:space="0" w:color="ADD6EA"/>
              <w:right w:val="nil"/>
            </w:tcBorders>
            <w:noWrap/>
            <w:vAlign w:val="center"/>
            <w:hideMark/>
          </w:tcPr>
          <w:p w14:paraId="72C26699" w14:textId="77777777" w:rsidR="002317AC" w:rsidRPr="005F1D13" w:rsidRDefault="002317AC">
            <w:pPr>
              <w:tabs>
                <w:tab w:val="clear" w:pos="567"/>
              </w:tabs>
              <w:spacing w:before="0" w:line="240" w:lineRule="auto"/>
              <w:jc w:val="right"/>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-30</w:t>
            </w:r>
          </w:p>
        </w:tc>
        <w:tc>
          <w:tcPr>
            <w:tcW w:w="2440" w:type="dxa"/>
            <w:tcBorders>
              <w:top w:val="single" w:sz="4" w:space="0" w:color="ADD6EA"/>
              <w:left w:val="nil"/>
              <w:bottom w:val="single" w:sz="4" w:space="0" w:color="ADD6EA"/>
              <w:right w:val="nil"/>
            </w:tcBorders>
            <w:noWrap/>
            <w:vAlign w:val="center"/>
            <w:hideMark/>
          </w:tcPr>
          <w:p w14:paraId="26E70215" w14:textId="77777777" w:rsidR="002317AC" w:rsidRPr="005F1D13" w:rsidRDefault="002317AC">
            <w:pPr>
              <w:tabs>
                <w:tab w:val="clear" w:pos="567"/>
              </w:tabs>
              <w:spacing w:before="0" w:line="240" w:lineRule="auto"/>
              <w:jc w:val="right"/>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-117</w:t>
            </w:r>
          </w:p>
        </w:tc>
      </w:tr>
      <w:tr w:rsidR="002317AC" w:rsidRPr="005F1D13" w14:paraId="75E77598" w14:textId="77777777">
        <w:trPr>
          <w:trHeight w:val="300"/>
        </w:trPr>
        <w:tc>
          <w:tcPr>
            <w:tcW w:w="4060" w:type="dxa"/>
            <w:tcBorders>
              <w:top w:val="single" w:sz="4" w:space="0" w:color="ADD6EA"/>
              <w:left w:val="nil"/>
              <w:bottom w:val="single" w:sz="4" w:space="0" w:color="ADD6EA"/>
              <w:right w:val="nil"/>
            </w:tcBorders>
            <w:noWrap/>
            <w:vAlign w:val="center"/>
            <w:hideMark/>
          </w:tcPr>
          <w:p w14:paraId="60284160" w14:textId="77777777" w:rsidR="002317AC" w:rsidRPr="005F1D13" w:rsidRDefault="002317AC">
            <w:pPr>
              <w:tabs>
                <w:tab w:val="clear" w:pos="567"/>
              </w:tabs>
              <w:spacing w:before="0" w:line="240" w:lineRule="auto"/>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 xml:space="preserve">Growth in GST pool </w:t>
            </w:r>
          </w:p>
        </w:tc>
        <w:tc>
          <w:tcPr>
            <w:tcW w:w="2440" w:type="dxa"/>
            <w:tcBorders>
              <w:top w:val="single" w:sz="4" w:space="0" w:color="ADD6EA"/>
              <w:left w:val="nil"/>
              <w:bottom w:val="single" w:sz="4" w:space="0" w:color="ADD6EA"/>
              <w:right w:val="nil"/>
            </w:tcBorders>
            <w:noWrap/>
            <w:vAlign w:val="center"/>
            <w:hideMark/>
          </w:tcPr>
          <w:p w14:paraId="0360E974" w14:textId="77777777" w:rsidR="002317AC" w:rsidRPr="005F1D13" w:rsidRDefault="002317AC">
            <w:pPr>
              <w:tabs>
                <w:tab w:val="clear" w:pos="567"/>
              </w:tabs>
              <w:spacing w:before="0" w:line="240" w:lineRule="auto"/>
              <w:jc w:val="right"/>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212</w:t>
            </w:r>
          </w:p>
        </w:tc>
        <w:tc>
          <w:tcPr>
            <w:tcW w:w="2440" w:type="dxa"/>
            <w:tcBorders>
              <w:top w:val="single" w:sz="4" w:space="0" w:color="ADD6EA"/>
              <w:left w:val="nil"/>
              <w:bottom w:val="single" w:sz="4" w:space="0" w:color="ADD6EA"/>
              <w:right w:val="nil"/>
            </w:tcBorders>
            <w:noWrap/>
            <w:vAlign w:val="center"/>
            <w:hideMark/>
          </w:tcPr>
          <w:p w14:paraId="37E8B7FF" w14:textId="77777777" w:rsidR="002317AC" w:rsidRPr="005F1D13" w:rsidRDefault="002317AC">
            <w:pPr>
              <w:tabs>
                <w:tab w:val="clear" w:pos="567"/>
              </w:tabs>
              <w:spacing w:before="0" w:line="240" w:lineRule="auto"/>
              <w:jc w:val="right"/>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824</w:t>
            </w:r>
          </w:p>
        </w:tc>
      </w:tr>
      <w:tr w:rsidR="002317AC" w:rsidRPr="005F1D13" w14:paraId="74D26F55" w14:textId="77777777">
        <w:trPr>
          <w:trHeight w:val="300"/>
        </w:trPr>
        <w:tc>
          <w:tcPr>
            <w:tcW w:w="4060" w:type="dxa"/>
            <w:tcBorders>
              <w:top w:val="single" w:sz="4" w:space="0" w:color="ADD6EA"/>
              <w:left w:val="nil"/>
              <w:bottom w:val="single" w:sz="4" w:space="0" w:color="ADD6EA"/>
              <w:right w:val="nil"/>
            </w:tcBorders>
            <w:noWrap/>
            <w:vAlign w:val="center"/>
            <w:hideMark/>
          </w:tcPr>
          <w:p w14:paraId="4B973EC1" w14:textId="77777777" w:rsidR="002317AC" w:rsidRPr="005F1D13" w:rsidRDefault="002317AC">
            <w:pPr>
              <w:tabs>
                <w:tab w:val="clear" w:pos="567"/>
              </w:tabs>
              <w:spacing w:before="0" w:line="240" w:lineRule="auto"/>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Changes in assessed needs</w:t>
            </w:r>
          </w:p>
        </w:tc>
        <w:tc>
          <w:tcPr>
            <w:tcW w:w="2440" w:type="dxa"/>
            <w:tcBorders>
              <w:top w:val="single" w:sz="4" w:space="0" w:color="ADD6EA"/>
              <w:left w:val="nil"/>
              <w:bottom w:val="single" w:sz="4" w:space="0" w:color="ADD6EA"/>
              <w:right w:val="nil"/>
            </w:tcBorders>
            <w:noWrap/>
            <w:vAlign w:val="center"/>
            <w:hideMark/>
          </w:tcPr>
          <w:p w14:paraId="044F59BE" w14:textId="77777777" w:rsidR="002317AC" w:rsidRPr="005F1D13" w:rsidRDefault="002317AC">
            <w:pPr>
              <w:tabs>
                <w:tab w:val="clear" w:pos="567"/>
              </w:tabs>
              <w:spacing w:before="0" w:line="240" w:lineRule="auto"/>
              <w:rPr>
                <w:rFonts w:ascii="Open Sans Light" w:eastAsia="Times New Roman" w:hAnsi="Open Sans Light" w:cs="Open Sans Light"/>
                <w:sz w:val="16"/>
                <w:szCs w:val="16"/>
                <w:lang w:eastAsia="en-AU"/>
              </w:rPr>
            </w:pPr>
          </w:p>
        </w:tc>
        <w:tc>
          <w:tcPr>
            <w:tcW w:w="2440" w:type="dxa"/>
            <w:tcBorders>
              <w:top w:val="single" w:sz="4" w:space="0" w:color="ADD6EA"/>
              <w:left w:val="nil"/>
              <w:bottom w:val="single" w:sz="4" w:space="0" w:color="ADD6EA"/>
              <w:right w:val="nil"/>
            </w:tcBorders>
            <w:noWrap/>
            <w:vAlign w:val="center"/>
            <w:hideMark/>
          </w:tcPr>
          <w:p w14:paraId="73328984" w14:textId="77777777" w:rsidR="002317AC" w:rsidRPr="005F1D13" w:rsidRDefault="002317AC">
            <w:pPr>
              <w:tabs>
                <w:tab w:val="clear" w:pos="567"/>
              </w:tabs>
              <w:spacing w:before="0" w:line="240" w:lineRule="auto"/>
              <w:jc w:val="right"/>
              <w:rPr>
                <w:rFonts w:ascii="Times New Roman" w:eastAsia="Times New Roman" w:hAnsi="Times New Roman" w:cs="Times New Roman"/>
                <w:szCs w:val="20"/>
                <w:lang w:eastAsia="en-AU"/>
              </w:rPr>
            </w:pPr>
          </w:p>
        </w:tc>
      </w:tr>
      <w:tr w:rsidR="002317AC" w:rsidRPr="005F1D13" w14:paraId="53888996" w14:textId="77777777">
        <w:trPr>
          <w:trHeight w:val="300"/>
        </w:trPr>
        <w:tc>
          <w:tcPr>
            <w:tcW w:w="4060" w:type="dxa"/>
            <w:tcBorders>
              <w:top w:val="single" w:sz="4" w:space="0" w:color="ADD6EA"/>
              <w:left w:val="nil"/>
              <w:bottom w:val="single" w:sz="4" w:space="0" w:color="ADD6EA"/>
              <w:right w:val="nil"/>
            </w:tcBorders>
            <w:noWrap/>
            <w:vAlign w:val="center"/>
            <w:hideMark/>
          </w:tcPr>
          <w:p w14:paraId="4805FCC0" w14:textId="77777777" w:rsidR="002317AC" w:rsidRPr="005F1D13" w:rsidRDefault="002317AC">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Method changes</w:t>
            </w:r>
          </w:p>
        </w:tc>
        <w:tc>
          <w:tcPr>
            <w:tcW w:w="2440" w:type="dxa"/>
            <w:tcBorders>
              <w:top w:val="single" w:sz="4" w:space="0" w:color="ADD6EA"/>
              <w:left w:val="nil"/>
              <w:bottom w:val="single" w:sz="4" w:space="0" w:color="ADD6EA"/>
              <w:right w:val="nil"/>
            </w:tcBorders>
            <w:noWrap/>
            <w:vAlign w:val="center"/>
            <w:hideMark/>
          </w:tcPr>
          <w:p w14:paraId="28BE28BE" w14:textId="77777777" w:rsidR="002317AC" w:rsidRPr="005F1D13" w:rsidRDefault="002317AC">
            <w:pPr>
              <w:tabs>
                <w:tab w:val="clear" w:pos="567"/>
              </w:tabs>
              <w:spacing w:before="0" w:line="240" w:lineRule="auto"/>
              <w:jc w:val="right"/>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-6</w:t>
            </w:r>
          </w:p>
        </w:tc>
        <w:tc>
          <w:tcPr>
            <w:tcW w:w="2440" w:type="dxa"/>
            <w:tcBorders>
              <w:top w:val="single" w:sz="4" w:space="0" w:color="ADD6EA"/>
              <w:left w:val="nil"/>
              <w:bottom w:val="single" w:sz="4" w:space="0" w:color="ADD6EA"/>
              <w:right w:val="nil"/>
            </w:tcBorders>
            <w:noWrap/>
            <w:vAlign w:val="center"/>
            <w:hideMark/>
          </w:tcPr>
          <w:p w14:paraId="222DD672" w14:textId="77777777" w:rsidR="002317AC" w:rsidRPr="005F1D13" w:rsidRDefault="002317AC">
            <w:pPr>
              <w:tabs>
                <w:tab w:val="clear" w:pos="567"/>
              </w:tabs>
              <w:spacing w:before="0" w:line="240" w:lineRule="auto"/>
              <w:jc w:val="right"/>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-23</w:t>
            </w:r>
          </w:p>
        </w:tc>
      </w:tr>
      <w:tr w:rsidR="002317AC" w:rsidRPr="005F1D13" w14:paraId="5E2E741F" w14:textId="77777777">
        <w:trPr>
          <w:trHeight w:val="300"/>
        </w:trPr>
        <w:tc>
          <w:tcPr>
            <w:tcW w:w="4060" w:type="dxa"/>
            <w:tcBorders>
              <w:top w:val="single" w:sz="4" w:space="0" w:color="ADD6EA"/>
              <w:left w:val="nil"/>
              <w:bottom w:val="single" w:sz="4" w:space="0" w:color="ADD6EA"/>
              <w:right w:val="nil"/>
            </w:tcBorders>
            <w:noWrap/>
            <w:vAlign w:val="center"/>
            <w:hideMark/>
          </w:tcPr>
          <w:p w14:paraId="381325D8" w14:textId="77777777" w:rsidR="002317AC" w:rsidRPr="005F1D13" w:rsidRDefault="002317AC">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Data revisions</w:t>
            </w:r>
          </w:p>
        </w:tc>
        <w:tc>
          <w:tcPr>
            <w:tcW w:w="2440" w:type="dxa"/>
            <w:tcBorders>
              <w:top w:val="single" w:sz="4" w:space="0" w:color="ADD6EA"/>
              <w:left w:val="nil"/>
              <w:bottom w:val="single" w:sz="4" w:space="0" w:color="ADD6EA"/>
              <w:right w:val="nil"/>
            </w:tcBorders>
            <w:noWrap/>
            <w:vAlign w:val="center"/>
            <w:hideMark/>
          </w:tcPr>
          <w:p w14:paraId="519FADF4" w14:textId="77777777" w:rsidR="002317AC" w:rsidRPr="005F1D13" w:rsidRDefault="002317AC">
            <w:pPr>
              <w:tabs>
                <w:tab w:val="clear" w:pos="567"/>
              </w:tabs>
              <w:spacing w:before="0" w:line="240" w:lineRule="auto"/>
              <w:jc w:val="right"/>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-15</w:t>
            </w:r>
          </w:p>
        </w:tc>
        <w:tc>
          <w:tcPr>
            <w:tcW w:w="2440" w:type="dxa"/>
            <w:tcBorders>
              <w:top w:val="single" w:sz="4" w:space="0" w:color="ADD6EA"/>
              <w:left w:val="nil"/>
              <w:bottom w:val="single" w:sz="4" w:space="0" w:color="ADD6EA"/>
              <w:right w:val="nil"/>
            </w:tcBorders>
            <w:noWrap/>
            <w:vAlign w:val="center"/>
            <w:hideMark/>
          </w:tcPr>
          <w:p w14:paraId="75E1455A" w14:textId="77777777" w:rsidR="002317AC" w:rsidRPr="005F1D13" w:rsidRDefault="002317AC">
            <w:pPr>
              <w:tabs>
                <w:tab w:val="clear" w:pos="567"/>
              </w:tabs>
              <w:spacing w:before="0" w:line="240" w:lineRule="auto"/>
              <w:jc w:val="right"/>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-57</w:t>
            </w:r>
          </w:p>
        </w:tc>
      </w:tr>
      <w:tr w:rsidR="002317AC" w:rsidRPr="005F1D13" w14:paraId="1A589ABE" w14:textId="77777777">
        <w:trPr>
          <w:trHeight w:val="300"/>
        </w:trPr>
        <w:tc>
          <w:tcPr>
            <w:tcW w:w="4060" w:type="dxa"/>
            <w:tcBorders>
              <w:top w:val="single" w:sz="4" w:space="0" w:color="ADD6EA"/>
              <w:left w:val="nil"/>
              <w:bottom w:val="single" w:sz="4" w:space="0" w:color="ADD6EA"/>
              <w:right w:val="nil"/>
            </w:tcBorders>
            <w:noWrap/>
            <w:vAlign w:val="center"/>
            <w:hideMark/>
          </w:tcPr>
          <w:p w14:paraId="3729AECA" w14:textId="77777777" w:rsidR="002317AC" w:rsidRPr="005F1D13" w:rsidRDefault="002317AC">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State circumstances</w:t>
            </w:r>
          </w:p>
        </w:tc>
        <w:tc>
          <w:tcPr>
            <w:tcW w:w="2440" w:type="dxa"/>
            <w:tcBorders>
              <w:top w:val="single" w:sz="4" w:space="0" w:color="ADD6EA"/>
              <w:left w:val="nil"/>
              <w:bottom w:val="single" w:sz="4" w:space="0" w:color="ADD6EA"/>
              <w:right w:val="nil"/>
            </w:tcBorders>
            <w:noWrap/>
            <w:vAlign w:val="center"/>
            <w:hideMark/>
          </w:tcPr>
          <w:p w14:paraId="552359F1" w14:textId="77777777" w:rsidR="002317AC" w:rsidRPr="005F1D13" w:rsidRDefault="002317AC">
            <w:pPr>
              <w:tabs>
                <w:tab w:val="clear" w:pos="567"/>
              </w:tabs>
              <w:spacing w:before="0" w:line="240" w:lineRule="auto"/>
              <w:jc w:val="right"/>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93</w:t>
            </w:r>
          </w:p>
        </w:tc>
        <w:tc>
          <w:tcPr>
            <w:tcW w:w="2440" w:type="dxa"/>
            <w:tcBorders>
              <w:top w:val="single" w:sz="4" w:space="0" w:color="ADD6EA"/>
              <w:left w:val="nil"/>
              <w:bottom w:val="single" w:sz="4" w:space="0" w:color="ADD6EA"/>
              <w:right w:val="nil"/>
            </w:tcBorders>
            <w:noWrap/>
            <w:vAlign w:val="center"/>
            <w:hideMark/>
          </w:tcPr>
          <w:p w14:paraId="483E553B" w14:textId="77777777" w:rsidR="002317AC" w:rsidRPr="005F1D13" w:rsidRDefault="002317AC">
            <w:pPr>
              <w:tabs>
                <w:tab w:val="clear" w:pos="567"/>
              </w:tabs>
              <w:spacing w:before="0" w:line="240" w:lineRule="auto"/>
              <w:jc w:val="right"/>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362</w:t>
            </w:r>
          </w:p>
        </w:tc>
      </w:tr>
      <w:tr w:rsidR="002317AC" w:rsidRPr="005F1D13" w14:paraId="2E3CF48B" w14:textId="77777777">
        <w:trPr>
          <w:trHeight w:val="300"/>
        </w:trPr>
        <w:tc>
          <w:tcPr>
            <w:tcW w:w="4060" w:type="dxa"/>
            <w:tcBorders>
              <w:top w:val="single" w:sz="4" w:space="0" w:color="ADD6EA"/>
              <w:left w:val="nil"/>
              <w:bottom w:val="single" w:sz="4" w:space="0" w:color="ADD6EA"/>
              <w:right w:val="nil"/>
            </w:tcBorders>
            <w:noWrap/>
            <w:vAlign w:val="center"/>
            <w:hideMark/>
          </w:tcPr>
          <w:p w14:paraId="54352A7D" w14:textId="77777777" w:rsidR="002317AC" w:rsidRPr="005F1D13" w:rsidRDefault="002317AC">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Total</w:t>
            </w:r>
          </w:p>
        </w:tc>
        <w:tc>
          <w:tcPr>
            <w:tcW w:w="2440" w:type="dxa"/>
            <w:tcBorders>
              <w:top w:val="single" w:sz="4" w:space="0" w:color="ADD6EA"/>
              <w:left w:val="nil"/>
              <w:bottom w:val="single" w:sz="4" w:space="0" w:color="ADD6EA"/>
              <w:right w:val="nil"/>
            </w:tcBorders>
            <w:noWrap/>
            <w:vAlign w:val="center"/>
            <w:hideMark/>
          </w:tcPr>
          <w:p w14:paraId="16ABD17C" w14:textId="77777777" w:rsidR="002317AC" w:rsidRPr="005F1D13" w:rsidRDefault="002317AC">
            <w:pPr>
              <w:tabs>
                <w:tab w:val="clear" w:pos="567"/>
              </w:tabs>
              <w:spacing w:before="0" w:line="240" w:lineRule="auto"/>
              <w:jc w:val="right"/>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73</w:t>
            </w:r>
          </w:p>
        </w:tc>
        <w:tc>
          <w:tcPr>
            <w:tcW w:w="2440" w:type="dxa"/>
            <w:tcBorders>
              <w:top w:val="single" w:sz="4" w:space="0" w:color="ADD6EA"/>
              <w:left w:val="nil"/>
              <w:bottom w:val="single" w:sz="4" w:space="0" w:color="ADD6EA"/>
              <w:right w:val="nil"/>
            </w:tcBorders>
            <w:noWrap/>
            <w:vAlign w:val="center"/>
            <w:hideMark/>
          </w:tcPr>
          <w:p w14:paraId="58902DE1" w14:textId="77777777" w:rsidR="002317AC" w:rsidRPr="005F1D13" w:rsidRDefault="002317AC">
            <w:pPr>
              <w:tabs>
                <w:tab w:val="clear" w:pos="567"/>
              </w:tabs>
              <w:spacing w:before="0" w:line="240" w:lineRule="auto"/>
              <w:jc w:val="right"/>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282</w:t>
            </w:r>
          </w:p>
        </w:tc>
      </w:tr>
      <w:tr w:rsidR="002317AC" w:rsidRPr="005F1D13" w14:paraId="50870158" w14:textId="77777777">
        <w:trPr>
          <w:trHeight w:val="300"/>
        </w:trPr>
        <w:tc>
          <w:tcPr>
            <w:tcW w:w="4060" w:type="dxa"/>
            <w:tcBorders>
              <w:top w:val="single" w:sz="4" w:space="0" w:color="ADD6EA"/>
              <w:left w:val="nil"/>
              <w:bottom w:val="single" w:sz="4" w:space="0" w:color="ADD6EA"/>
              <w:right w:val="nil"/>
            </w:tcBorders>
            <w:noWrap/>
            <w:vAlign w:val="center"/>
            <w:hideMark/>
          </w:tcPr>
          <w:p w14:paraId="737E503C" w14:textId="38AFCB6B" w:rsidR="002317AC" w:rsidRPr="005F1D13" w:rsidRDefault="002317AC">
            <w:pPr>
              <w:tabs>
                <w:tab w:val="clear" w:pos="567"/>
              </w:tabs>
              <w:spacing w:before="0" w:line="240" w:lineRule="auto"/>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Blended relativities and GST floor</w:t>
            </w:r>
          </w:p>
        </w:tc>
        <w:tc>
          <w:tcPr>
            <w:tcW w:w="2440" w:type="dxa"/>
            <w:tcBorders>
              <w:top w:val="single" w:sz="4" w:space="0" w:color="ADD6EA"/>
              <w:left w:val="nil"/>
              <w:bottom w:val="single" w:sz="4" w:space="0" w:color="ADD6EA"/>
              <w:right w:val="nil"/>
            </w:tcBorders>
            <w:noWrap/>
            <w:vAlign w:val="center"/>
            <w:hideMark/>
          </w:tcPr>
          <w:p w14:paraId="4FD90289" w14:textId="77777777" w:rsidR="002317AC" w:rsidRPr="005F1D13" w:rsidRDefault="002317AC">
            <w:pPr>
              <w:tabs>
                <w:tab w:val="clear" w:pos="567"/>
              </w:tabs>
              <w:spacing w:before="0" w:line="240" w:lineRule="auto"/>
              <w:jc w:val="right"/>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-6</w:t>
            </w:r>
          </w:p>
        </w:tc>
        <w:tc>
          <w:tcPr>
            <w:tcW w:w="2440" w:type="dxa"/>
            <w:tcBorders>
              <w:top w:val="single" w:sz="4" w:space="0" w:color="ADD6EA"/>
              <w:left w:val="nil"/>
              <w:bottom w:val="single" w:sz="4" w:space="0" w:color="ADD6EA"/>
              <w:right w:val="nil"/>
            </w:tcBorders>
            <w:noWrap/>
            <w:vAlign w:val="center"/>
            <w:hideMark/>
          </w:tcPr>
          <w:p w14:paraId="53431B9C" w14:textId="77777777" w:rsidR="002317AC" w:rsidRPr="005F1D13" w:rsidRDefault="002317AC">
            <w:pPr>
              <w:tabs>
                <w:tab w:val="clear" w:pos="567"/>
              </w:tabs>
              <w:spacing w:before="0" w:line="240" w:lineRule="auto"/>
              <w:jc w:val="right"/>
              <w:rPr>
                <w:rFonts w:ascii="Open Sans Light" w:eastAsia="Times New Roman" w:hAnsi="Open Sans Light" w:cs="Open Sans Light"/>
                <w:sz w:val="16"/>
                <w:szCs w:val="16"/>
                <w:lang w:eastAsia="en-AU"/>
              </w:rPr>
            </w:pPr>
            <w:r w:rsidRPr="005F1D13">
              <w:rPr>
                <w:rFonts w:ascii="Open Sans Light" w:eastAsia="Times New Roman" w:hAnsi="Open Sans Light" w:cs="Open Sans Light"/>
                <w:sz w:val="16"/>
                <w:szCs w:val="16"/>
                <w:lang w:eastAsia="en-AU"/>
              </w:rPr>
              <w:t>-23</w:t>
            </w:r>
          </w:p>
        </w:tc>
      </w:tr>
      <w:tr w:rsidR="002317AC" w:rsidRPr="005F1D13" w14:paraId="1ACB1481" w14:textId="77777777">
        <w:trPr>
          <w:trHeight w:val="300"/>
        </w:trPr>
        <w:tc>
          <w:tcPr>
            <w:tcW w:w="4060" w:type="dxa"/>
            <w:tcBorders>
              <w:top w:val="single" w:sz="4" w:space="0" w:color="ADD6EA"/>
              <w:left w:val="nil"/>
              <w:bottom w:val="single" w:sz="4" w:space="0" w:color="ADD6EA"/>
              <w:right w:val="nil"/>
            </w:tcBorders>
            <w:shd w:val="clear" w:color="000000" w:fill="D6E7F0"/>
            <w:noWrap/>
            <w:vAlign w:val="center"/>
            <w:hideMark/>
          </w:tcPr>
          <w:p w14:paraId="664B665B" w14:textId="77777777" w:rsidR="002317AC" w:rsidRPr="005F1D13" w:rsidRDefault="002317AC">
            <w:pPr>
              <w:tabs>
                <w:tab w:val="clear" w:pos="567"/>
              </w:tabs>
              <w:spacing w:before="0" w:line="240" w:lineRule="auto"/>
              <w:rPr>
                <w:rFonts w:ascii="Open Sans Semibold" w:eastAsia="Times New Roman" w:hAnsi="Open Sans Semibold" w:cs="Open Sans Semibold"/>
                <w:color w:val="000000"/>
                <w:sz w:val="16"/>
                <w:szCs w:val="16"/>
                <w:lang w:eastAsia="en-AU"/>
              </w:rPr>
            </w:pPr>
            <w:r w:rsidRPr="005F1D13">
              <w:rPr>
                <w:rFonts w:ascii="Open Sans Semibold" w:eastAsia="Times New Roman" w:hAnsi="Open Sans Semibold" w:cs="Open Sans Semibold"/>
                <w:color w:val="000000"/>
                <w:sz w:val="16"/>
                <w:szCs w:val="16"/>
                <w:lang w:eastAsia="en-AU"/>
              </w:rPr>
              <w:t>Total change</w:t>
            </w:r>
          </w:p>
        </w:tc>
        <w:tc>
          <w:tcPr>
            <w:tcW w:w="2440" w:type="dxa"/>
            <w:tcBorders>
              <w:top w:val="single" w:sz="4" w:space="0" w:color="ADD6EA"/>
              <w:left w:val="nil"/>
              <w:bottom w:val="single" w:sz="4" w:space="0" w:color="ADD6EA"/>
              <w:right w:val="nil"/>
            </w:tcBorders>
            <w:shd w:val="clear" w:color="000000" w:fill="D6E7F0"/>
            <w:noWrap/>
            <w:vAlign w:val="center"/>
            <w:hideMark/>
          </w:tcPr>
          <w:p w14:paraId="75A2A5A5" w14:textId="77777777" w:rsidR="002317AC" w:rsidRPr="005F1D13" w:rsidRDefault="002317A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F1D13">
              <w:rPr>
                <w:rFonts w:ascii="Open Sans Semibold" w:eastAsia="Times New Roman" w:hAnsi="Open Sans Semibold" w:cs="Open Sans Semibold"/>
                <w:color w:val="000000"/>
                <w:sz w:val="16"/>
                <w:szCs w:val="16"/>
                <w:lang w:eastAsia="en-AU"/>
              </w:rPr>
              <w:t>248</w:t>
            </w:r>
          </w:p>
        </w:tc>
        <w:tc>
          <w:tcPr>
            <w:tcW w:w="2440" w:type="dxa"/>
            <w:tcBorders>
              <w:top w:val="single" w:sz="4" w:space="0" w:color="ADD6EA"/>
              <w:left w:val="nil"/>
              <w:bottom w:val="single" w:sz="4" w:space="0" w:color="ADD6EA"/>
              <w:right w:val="nil"/>
            </w:tcBorders>
            <w:shd w:val="clear" w:color="000000" w:fill="D6E7F0"/>
            <w:noWrap/>
            <w:vAlign w:val="center"/>
            <w:hideMark/>
          </w:tcPr>
          <w:p w14:paraId="7BB99D0E" w14:textId="77777777" w:rsidR="002317AC" w:rsidRPr="005F1D13" w:rsidRDefault="002317A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F1D13">
              <w:rPr>
                <w:rFonts w:ascii="Open Sans Semibold" w:eastAsia="Times New Roman" w:hAnsi="Open Sans Semibold" w:cs="Open Sans Semibold"/>
                <w:color w:val="000000"/>
                <w:sz w:val="16"/>
                <w:szCs w:val="16"/>
                <w:lang w:eastAsia="en-AU"/>
              </w:rPr>
              <w:t>966</w:t>
            </w:r>
          </w:p>
        </w:tc>
      </w:tr>
    </w:tbl>
    <w:p w14:paraId="6B3935FB" w14:textId="77777777" w:rsidR="00F56E26" w:rsidRDefault="00F56E26" w:rsidP="00F56E26">
      <w:pPr>
        <w:pStyle w:val="CGC2025TableNote"/>
      </w:pPr>
      <w:r>
        <w:t>Note: Table may not add due to rounding.</w:t>
      </w:r>
    </w:p>
    <w:p w14:paraId="6A11978C" w14:textId="77777777" w:rsidR="00613682" w:rsidRDefault="00613682">
      <w:pPr>
        <w:tabs>
          <w:tab w:val="clear" w:pos="567"/>
        </w:tabs>
        <w:spacing w:before="0" w:after="200" w:line="276" w:lineRule="auto"/>
      </w:pPr>
      <w:r>
        <w:br w:type="page"/>
      </w:r>
    </w:p>
    <w:p w14:paraId="639874C3" w14:textId="3146B01C" w:rsidR="00EC019B" w:rsidRPr="00885A41" w:rsidRDefault="00EC019B" w:rsidP="00EC019B">
      <w:pPr>
        <w:pStyle w:val="CGC2025Caption"/>
        <w:ind w:left="1440" w:hanging="1440"/>
      </w:pPr>
      <w:r w:rsidRPr="00885A41">
        <w:lastRenderedPageBreak/>
        <w:t>Figure 3-8</w:t>
      </w:r>
      <w:r w:rsidRPr="00885A41">
        <w:tab/>
        <w:t>Northern Territory: main changes in assessed GST needs, 2025</w:t>
      </w:r>
      <w:r w:rsidR="007B14CA">
        <w:noBreakHyphen/>
      </w:r>
      <w:r w:rsidRPr="00885A41">
        <w:t>26</w:t>
      </w:r>
      <w:r w:rsidR="007B14CA">
        <w:t> </w:t>
      </w:r>
      <w:r w:rsidRPr="00885A41">
        <w:t>relativities</w:t>
      </w:r>
    </w:p>
    <w:tbl>
      <w:tblPr>
        <w:tblW w:w="8940" w:type="dxa"/>
        <w:tblLook w:val="04A0" w:firstRow="1" w:lastRow="0" w:firstColumn="1" w:lastColumn="0" w:noHBand="0" w:noVBand="1"/>
      </w:tblPr>
      <w:tblGrid>
        <w:gridCol w:w="2640"/>
        <w:gridCol w:w="700"/>
        <w:gridCol w:w="700"/>
        <w:gridCol w:w="4900"/>
      </w:tblGrid>
      <w:tr w:rsidR="00EC019B" w:rsidRPr="00CD288E" w14:paraId="094F2AE3" w14:textId="77777777">
        <w:trPr>
          <w:trHeight w:val="375"/>
        </w:trPr>
        <w:tc>
          <w:tcPr>
            <w:tcW w:w="8940" w:type="dxa"/>
            <w:gridSpan w:val="4"/>
            <w:tcBorders>
              <w:top w:val="nil"/>
              <w:left w:val="nil"/>
              <w:bottom w:val="nil"/>
              <w:right w:val="nil"/>
            </w:tcBorders>
            <w:shd w:val="clear" w:color="000000" w:fill="006991"/>
            <w:vAlign w:val="center"/>
            <w:hideMark/>
          </w:tcPr>
          <w:p w14:paraId="6AC4571F" w14:textId="77777777" w:rsidR="00EC019B" w:rsidRPr="00CD288E" w:rsidRDefault="00EC019B">
            <w:pPr>
              <w:tabs>
                <w:tab w:val="clear" w:pos="567"/>
              </w:tabs>
              <w:spacing w:before="0" w:line="240" w:lineRule="auto"/>
              <w:rPr>
                <w:rFonts w:ascii="Open Sans Semibold" w:eastAsia="Times New Roman" w:hAnsi="Open Sans Semibold" w:cs="Open Sans Semibold"/>
                <w:color w:val="FFFFFF"/>
                <w:sz w:val="16"/>
                <w:szCs w:val="16"/>
                <w:lang w:eastAsia="en-AU"/>
              </w:rPr>
            </w:pPr>
            <w:r w:rsidRPr="00CD288E">
              <w:rPr>
                <w:rFonts w:ascii="Open Sans Semibold" w:eastAsia="Times New Roman" w:hAnsi="Open Sans Semibold" w:cs="Open Sans Semibold"/>
                <w:color w:val="FFFFFF"/>
                <w:sz w:val="16"/>
                <w:szCs w:val="16"/>
                <w:lang w:eastAsia="en-AU"/>
              </w:rPr>
              <w:t>Method changes</w:t>
            </w:r>
          </w:p>
        </w:tc>
      </w:tr>
      <w:tr w:rsidR="00EC019B" w:rsidRPr="00CD288E" w14:paraId="1DB1D6C9" w14:textId="77777777">
        <w:trPr>
          <w:trHeight w:val="255"/>
        </w:trPr>
        <w:tc>
          <w:tcPr>
            <w:tcW w:w="2640" w:type="dxa"/>
            <w:tcBorders>
              <w:top w:val="single" w:sz="4" w:space="0" w:color="ADD6EA"/>
              <w:left w:val="nil"/>
              <w:bottom w:val="nil"/>
              <w:right w:val="nil"/>
            </w:tcBorders>
            <w:shd w:val="clear" w:color="000000" w:fill="D6E7F0"/>
            <w:hideMark/>
          </w:tcPr>
          <w:p w14:paraId="3D2D0C39" w14:textId="77777777" w:rsidR="00EC019B" w:rsidRPr="00CD288E" w:rsidRDefault="00EC019B">
            <w:pPr>
              <w:tabs>
                <w:tab w:val="clear" w:pos="567"/>
              </w:tabs>
              <w:spacing w:before="0" w:line="240" w:lineRule="auto"/>
              <w:rPr>
                <w:rFonts w:ascii="Open Sans Semibold" w:eastAsia="Times New Roman" w:hAnsi="Open Sans Semibold" w:cs="Open Sans Semibold"/>
                <w:color w:val="000000"/>
                <w:sz w:val="16"/>
                <w:szCs w:val="16"/>
                <w:lang w:eastAsia="en-AU"/>
              </w:rPr>
            </w:pPr>
            <w:r w:rsidRPr="00CD288E">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043AC4AC" w14:textId="77777777" w:rsidR="00EC019B" w:rsidRPr="00CD288E" w:rsidRDefault="00EC019B">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CD288E">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5D97A56B" w14:textId="77777777" w:rsidR="00EC019B" w:rsidRPr="00CD288E" w:rsidRDefault="00EC019B">
            <w:pPr>
              <w:tabs>
                <w:tab w:val="clear" w:pos="567"/>
              </w:tabs>
              <w:spacing w:before="0" w:line="240" w:lineRule="auto"/>
              <w:rPr>
                <w:rFonts w:ascii="Open Sans Semibold" w:eastAsia="Times New Roman" w:hAnsi="Open Sans Semibold" w:cs="Open Sans Semibold"/>
                <w:color w:val="000000"/>
                <w:sz w:val="16"/>
                <w:szCs w:val="16"/>
                <w:lang w:eastAsia="en-AU"/>
              </w:rPr>
            </w:pPr>
            <w:r w:rsidRPr="00CD288E">
              <w:rPr>
                <w:rFonts w:ascii="Open Sans Semibold" w:eastAsia="Times New Roman" w:hAnsi="Open Sans Semibold" w:cs="Open Sans Semibold"/>
                <w:color w:val="000000"/>
                <w:sz w:val="16"/>
                <w:szCs w:val="16"/>
                <w:lang w:eastAsia="en-AU"/>
              </w:rPr>
              <w:t>Explanation</w:t>
            </w:r>
          </w:p>
        </w:tc>
      </w:tr>
      <w:tr w:rsidR="00EC019B" w:rsidRPr="00CD288E" w14:paraId="268B53AA" w14:textId="77777777">
        <w:trPr>
          <w:trHeight w:val="255"/>
        </w:trPr>
        <w:tc>
          <w:tcPr>
            <w:tcW w:w="2640" w:type="dxa"/>
            <w:tcBorders>
              <w:top w:val="single" w:sz="4" w:space="0" w:color="ADD6EA"/>
              <w:left w:val="nil"/>
              <w:bottom w:val="nil"/>
              <w:right w:val="nil"/>
            </w:tcBorders>
            <w:shd w:val="clear" w:color="000000" w:fill="B6D5E4"/>
            <w:hideMark/>
          </w:tcPr>
          <w:p w14:paraId="4A89997D" w14:textId="77777777" w:rsidR="00EC019B" w:rsidRPr="00CD288E" w:rsidRDefault="00EC019B">
            <w:pPr>
              <w:tabs>
                <w:tab w:val="clear" w:pos="567"/>
              </w:tabs>
              <w:spacing w:before="0" w:line="240" w:lineRule="auto"/>
              <w:rPr>
                <w:rFonts w:ascii="Open Sans Semibold" w:eastAsia="Times New Roman" w:hAnsi="Open Sans Semibold" w:cs="Open Sans Semibold"/>
                <w:color w:val="000000"/>
                <w:sz w:val="16"/>
                <w:szCs w:val="16"/>
                <w:lang w:eastAsia="en-AU"/>
              </w:rPr>
            </w:pPr>
            <w:r w:rsidRPr="00CD288E">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1BD21A4B" w14:textId="77777777" w:rsidR="00EC019B" w:rsidRPr="00CD288E" w:rsidRDefault="00EC019B">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CD288E">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66476677" w14:textId="77777777" w:rsidR="00EC019B" w:rsidRPr="00CD288E" w:rsidRDefault="00EC019B">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CD288E">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5C32DE69" w14:textId="77777777" w:rsidR="00EC019B" w:rsidRPr="00CD288E" w:rsidRDefault="00EC019B">
            <w:pPr>
              <w:tabs>
                <w:tab w:val="clear" w:pos="567"/>
              </w:tabs>
              <w:spacing w:before="0" w:line="240" w:lineRule="auto"/>
              <w:rPr>
                <w:rFonts w:ascii="Open Sans Semibold" w:eastAsia="Times New Roman" w:hAnsi="Open Sans Semibold" w:cs="Open Sans Semibold"/>
                <w:color w:val="000000"/>
                <w:sz w:val="16"/>
                <w:szCs w:val="16"/>
                <w:lang w:eastAsia="en-AU"/>
              </w:rPr>
            </w:pPr>
            <w:r w:rsidRPr="00CD288E">
              <w:rPr>
                <w:rFonts w:ascii="Open Sans Semibold" w:eastAsia="Times New Roman" w:hAnsi="Open Sans Semibold" w:cs="Open Sans Semibold"/>
                <w:color w:val="000000"/>
                <w:sz w:val="16"/>
                <w:szCs w:val="16"/>
                <w:lang w:eastAsia="en-AU"/>
              </w:rPr>
              <w:t> </w:t>
            </w:r>
          </w:p>
        </w:tc>
      </w:tr>
      <w:tr w:rsidR="00EC019B" w:rsidRPr="00CD288E" w14:paraId="6BD223BC" w14:textId="77777777">
        <w:trPr>
          <w:trHeight w:val="795"/>
        </w:trPr>
        <w:tc>
          <w:tcPr>
            <w:tcW w:w="2640" w:type="dxa"/>
            <w:tcBorders>
              <w:top w:val="single" w:sz="4" w:space="0" w:color="ADD6EA"/>
              <w:left w:val="nil"/>
              <w:bottom w:val="nil"/>
              <w:right w:val="nil"/>
            </w:tcBorders>
            <w:shd w:val="clear" w:color="000000" w:fill="FFFFFF"/>
            <w:hideMark/>
          </w:tcPr>
          <w:p w14:paraId="4A155B5A" w14:textId="0FBB69F4" w:rsidR="00EC019B" w:rsidRPr="00CD288E" w:rsidRDefault="00EC019B">
            <w:pPr>
              <w:tabs>
                <w:tab w:val="clear" w:pos="567"/>
              </w:tabs>
              <w:spacing w:before="0" w:line="240" w:lineRule="auto"/>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 xml:space="preserve">Changes to non-state sector adjustment in </w:t>
            </w:r>
            <w:r w:rsidR="000D72F7">
              <w:rPr>
                <w:rFonts w:ascii="Open Sans Light" w:eastAsia="Times New Roman" w:hAnsi="Open Sans Light" w:cs="Open Sans Light"/>
                <w:color w:val="000000"/>
                <w:sz w:val="16"/>
                <w:szCs w:val="16"/>
                <w:lang w:eastAsia="en-AU"/>
              </w:rPr>
              <w:t>h</w:t>
            </w:r>
            <w:r w:rsidR="000D72F7" w:rsidRPr="00CD288E">
              <w:rPr>
                <w:rFonts w:ascii="Open Sans Light" w:eastAsia="Times New Roman" w:hAnsi="Open Sans Light" w:cs="Open Sans Light"/>
                <w:color w:val="000000"/>
                <w:sz w:val="16"/>
                <w:szCs w:val="16"/>
                <w:lang w:eastAsia="en-AU"/>
              </w:rPr>
              <w:t>ealth</w:t>
            </w:r>
          </w:p>
        </w:tc>
        <w:tc>
          <w:tcPr>
            <w:tcW w:w="700" w:type="dxa"/>
            <w:tcBorders>
              <w:top w:val="single" w:sz="4" w:space="0" w:color="ADD6EA"/>
              <w:left w:val="nil"/>
              <w:bottom w:val="nil"/>
              <w:right w:val="nil"/>
            </w:tcBorders>
            <w:shd w:val="clear" w:color="000000" w:fill="ADD6EA"/>
            <w:hideMark/>
          </w:tcPr>
          <w:p w14:paraId="305E672F" w14:textId="77777777" w:rsidR="00EC019B" w:rsidRPr="00CD288E" w:rsidRDefault="00EC019B">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63</w:t>
            </w:r>
          </w:p>
        </w:tc>
        <w:tc>
          <w:tcPr>
            <w:tcW w:w="700" w:type="dxa"/>
            <w:tcBorders>
              <w:top w:val="single" w:sz="4" w:space="0" w:color="ADD6EA"/>
              <w:left w:val="nil"/>
              <w:bottom w:val="nil"/>
              <w:right w:val="nil"/>
            </w:tcBorders>
            <w:shd w:val="clear" w:color="000000" w:fill="ADD6EA"/>
            <w:hideMark/>
          </w:tcPr>
          <w:p w14:paraId="30A94799" w14:textId="77777777" w:rsidR="00EC019B" w:rsidRPr="00CD288E" w:rsidRDefault="00EC019B">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244</w:t>
            </w:r>
          </w:p>
        </w:tc>
        <w:tc>
          <w:tcPr>
            <w:tcW w:w="4900" w:type="dxa"/>
            <w:tcBorders>
              <w:top w:val="single" w:sz="4" w:space="0" w:color="ADD6EA"/>
              <w:left w:val="nil"/>
              <w:bottom w:val="nil"/>
              <w:right w:val="nil"/>
            </w:tcBorders>
            <w:shd w:val="clear" w:color="000000" w:fill="FFFFFF"/>
            <w:hideMark/>
          </w:tcPr>
          <w:p w14:paraId="692C8408" w14:textId="776A77E5" w:rsidR="00EC019B" w:rsidRPr="00CD288E" w:rsidRDefault="00EC019B">
            <w:pPr>
              <w:tabs>
                <w:tab w:val="clear" w:pos="567"/>
              </w:tabs>
              <w:spacing w:before="0" w:line="240" w:lineRule="auto"/>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 xml:space="preserve">In the 2020 Review, the grants for non-state </w:t>
            </w:r>
            <w:r w:rsidR="00083AF5" w:rsidRPr="00CD288E">
              <w:rPr>
                <w:rFonts w:ascii="Open Sans Light" w:eastAsia="Times New Roman" w:hAnsi="Open Sans Light" w:cs="Open Sans Light"/>
                <w:color w:val="000000"/>
                <w:sz w:val="16"/>
                <w:szCs w:val="16"/>
                <w:lang w:eastAsia="en-AU"/>
              </w:rPr>
              <w:t>First</w:t>
            </w:r>
            <w:r w:rsidR="00083AF5">
              <w:rPr>
                <w:rFonts w:ascii="Open Sans Light" w:eastAsia="Times New Roman" w:hAnsi="Open Sans Light" w:cs="Open Sans Light"/>
                <w:color w:val="000000"/>
                <w:sz w:val="16"/>
                <w:szCs w:val="16"/>
                <w:lang w:eastAsia="en-AU"/>
              </w:rPr>
              <w:t> </w:t>
            </w:r>
            <w:r w:rsidRPr="00CD288E">
              <w:rPr>
                <w:rFonts w:ascii="Open Sans Light" w:eastAsia="Times New Roman" w:hAnsi="Open Sans Light" w:cs="Open Sans Light"/>
                <w:color w:val="000000"/>
                <w:sz w:val="16"/>
                <w:szCs w:val="16"/>
                <w:lang w:eastAsia="en-AU"/>
              </w:rPr>
              <w:t xml:space="preserve">Nations community-controlled health services received by the </w:t>
            </w:r>
            <w:r w:rsidR="00083AF5" w:rsidRPr="00CD288E">
              <w:rPr>
                <w:rFonts w:ascii="Open Sans Light" w:eastAsia="Times New Roman" w:hAnsi="Open Sans Light" w:cs="Open Sans Light"/>
                <w:color w:val="000000"/>
                <w:sz w:val="16"/>
                <w:szCs w:val="16"/>
                <w:lang w:eastAsia="en-AU"/>
              </w:rPr>
              <w:t>Northern</w:t>
            </w:r>
            <w:r w:rsidR="00083AF5">
              <w:rPr>
                <w:rFonts w:ascii="Open Sans Light" w:eastAsia="Times New Roman" w:hAnsi="Open Sans Light" w:cs="Open Sans Light"/>
                <w:color w:val="000000"/>
                <w:sz w:val="16"/>
                <w:szCs w:val="16"/>
                <w:lang w:eastAsia="en-AU"/>
              </w:rPr>
              <w:t> </w:t>
            </w:r>
            <w:r w:rsidRPr="00CD288E">
              <w:rPr>
                <w:rFonts w:ascii="Open Sans Light" w:eastAsia="Times New Roman" w:hAnsi="Open Sans Light" w:cs="Open Sans Light"/>
                <w:color w:val="000000"/>
                <w:sz w:val="16"/>
                <w:szCs w:val="16"/>
                <w:lang w:eastAsia="en-AU"/>
              </w:rPr>
              <w:t xml:space="preserve">Territory were above its assessed needs and reduced its GST distribution. The Commission decided to assess needs for these services using actual </w:t>
            </w:r>
            <w:r w:rsidR="00083AF5" w:rsidRPr="00CD288E">
              <w:rPr>
                <w:rFonts w:ascii="Open Sans Light" w:eastAsia="Times New Roman" w:hAnsi="Open Sans Light" w:cs="Open Sans Light"/>
                <w:color w:val="000000"/>
                <w:sz w:val="16"/>
                <w:szCs w:val="16"/>
                <w:lang w:eastAsia="en-AU"/>
              </w:rPr>
              <w:t>Commonwealth</w:t>
            </w:r>
            <w:r w:rsidR="00083AF5">
              <w:rPr>
                <w:rFonts w:ascii="Open Sans Light" w:eastAsia="Times New Roman" w:hAnsi="Open Sans Light" w:cs="Open Sans Light"/>
                <w:color w:val="000000"/>
                <w:sz w:val="16"/>
                <w:szCs w:val="16"/>
                <w:lang w:eastAsia="en-AU"/>
              </w:rPr>
              <w:t> </w:t>
            </w:r>
            <w:r w:rsidRPr="00CD288E">
              <w:rPr>
                <w:rFonts w:ascii="Open Sans Light" w:eastAsia="Times New Roman" w:hAnsi="Open Sans Light" w:cs="Open Sans Light"/>
                <w:color w:val="000000"/>
                <w:sz w:val="16"/>
                <w:szCs w:val="16"/>
                <w:lang w:eastAsia="en-AU"/>
              </w:rPr>
              <w:t>grants received. This increased the Northern Territory’s assessed GST needs.</w:t>
            </w:r>
          </w:p>
        </w:tc>
      </w:tr>
      <w:tr w:rsidR="00EC019B" w:rsidRPr="00CD288E" w14:paraId="6C469119" w14:textId="77777777">
        <w:trPr>
          <w:trHeight w:val="795"/>
        </w:trPr>
        <w:tc>
          <w:tcPr>
            <w:tcW w:w="2640" w:type="dxa"/>
            <w:tcBorders>
              <w:top w:val="single" w:sz="4" w:space="0" w:color="ADD6EA"/>
              <w:left w:val="nil"/>
              <w:bottom w:val="nil"/>
              <w:right w:val="nil"/>
            </w:tcBorders>
            <w:shd w:val="clear" w:color="000000" w:fill="FFFFFF"/>
            <w:hideMark/>
          </w:tcPr>
          <w:p w14:paraId="77B1D4A9" w14:textId="77777777" w:rsidR="00EC019B" w:rsidRPr="00CD288E" w:rsidRDefault="00EC019B">
            <w:pPr>
              <w:tabs>
                <w:tab w:val="clear" w:pos="567"/>
              </w:tabs>
              <w:spacing w:before="0" w:line="240" w:lineRule="auto"/>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Removal of COPES in Commonwealth Payments</w:t>
            </w:r>
          </w:p>
        </w:tc>
        <w:tc>
          <w:tcPr>
            <w:tcW w:w="700" w:type="dxa"/>
            <w:tcBorders>
              <w:top w:val="single" w:sz="4" w:space="0" w:color="ADD6EA"/>
              <w:left w:val="nil"/>
              <w:bottom w:val="nil"/>
              <w:right w:val="nil"/>
            </w:tcBorders>
            <w:shd w:val="clear" w:color="000000" w:fill="ADD6EA"/>
            <w:hideMark/>
          </w:tcPr>
          <w:p w14:paraId="7C3850DA" w14:textId="77777777" w:rsidR="00EC019B" w:rsidRPr="00CD288E" w:rsidRDefault="00EC019B">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57</w:t>
            </w:r>
          </w:p>
        </w:tc>
        <w:tc>
          <w:tcPr>
            <w:tcW w:w="700" w:type="dxa"/>
            <w:tcBorders>
              <w:top w:val="single" w:sz="4" w:space="0" w:color="ADD6EA"/>
              <w:left w:val="nil"/>
              <w:bottom w:val="nil"/>
              <w:right w:val="nil"/>
            </w:tcBorders>
            <w:shd w:val="clear" w:color="000000" w:fill="ADD6EA"/>
            <w:hideMark/>
          </w:tcPr>
          <w:p w14:paraId="1782A5F9" w14:textId="77777777" w:rsidR="00EC019B" w:rsidRPr="00CD288E" w:rsidRDefault="00EC019B">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221</w:t>
            </w:r>
          </w:p>
        </w:tc>
        <w:tc>
          <w:tcPr>
            <w:tcW w:w="4900" w:type="dxa"/>
            <w:tcBorders>
              <w:top w:val="single" w:sz="4" w:space="0" w:color="ADD6EA"/>
              <w:left w:val="nil"/>
              <w:bottom w:val="nil"/>
              <w:right w:val="nil"/>
            </w:tcBorders>
            <w:shd w:val="clear" w:color="000000" w:fill="FFFFFF"/>
            <w:hideMark/>
          </w:tcPr>
          <w:p w14:paraId="0A25EECB" w14:textId="560E55CA" w:rsidR="00EC019B" w:rsidRPr="00CD288E" w:rsidRDefault="00EC019B">
            <w:pPr>
              <w:tabs>
                <w:tab w:val="clear" w:pos="567"/>
              </w:tabs>
              <w:spacing w:before="0" w:line="240" w:lineRule="auto"/>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 xml:space="preserve">The </w:t>
            </w:r>
            <w:r w:rsidR="00083AF5" w:rsidRPr="00CD288E">
              <w:rPr>
                <w:rFonts w:ascii="Open Sans Light" w:eastAsia="Times New Roman" w:hAnsi="Open Sans Light" w:cs="Open Sans Light"/>
                <w:color w:val="000000"/>
                <w:sz w:val="16"/>
                <w:szCs w:val="16"/>
                <w:lang w:eastAsia="en-AU"/>
              </w:rPr>
              <w:t>Northern</w:t>
            </w:r>
            <w:r w:rsidR="00083AF5">
              <w:rPr>
                <w:rFonts w:ascii="Open Sans Light" w:eastAsia="Times New Roman" w:hAnsi="Open Sans Light" w:cs="Open Sans Light"/>
                <w:color w:val="000000"/>
                <w:sz w:val="16"/>
                <w:szCs w:val="16"/>
                <w:lang w:eastAsia="en-AU"/>
              </w:rPr>
              <w:t> </w:t>
            </w:r>
            <w:r w:rsidRPr="00CD288E">
              <w:rPr>
                <w:rFonts w:ascii="Open Sans Light" w:eastAsia="Times New Roman" w:hAnsi="Open Sans Light" w:cs="Open Sans Light"/>
                <w:color w:val="000000"/>
                <w:sz w:val="16"/>
                <w:szCs w:val="16"/>
                <w:lang w:eastAsia="en-AU"/>
              </w:rPr>
              <w:t xml:space="preserve">Territory previously received an above-average level of assessed Commonwealth own-purpose payments. The Commission’s decision to no longer assess these payments increased </w:t>
            </w:r>
            <w:r w:rsidR="00083AF5" w:rsidRPr="00CD288E">
              <w:rPr>
                <w:rFonts w:ascii="Open Sans Light" w:eastAsia="Times New Roman" w:hAnsi="Open Sans Light" w:cs="Open Sans Light"/>
                <w:color w:val="000000"/>
                <w:sz w:val="16"/>
                <w:szCs w:val="16"/>
                <w:lang w:eastAsia="en-AU"/>
              </w:rPr>
              <w:t>Northern</w:t>
            </w:r>
            <w:r w:rsidR="00083AF5">
              <w:rPr>
                <w:rFonts w:ascii="Open Sans Light" w:eastAsia="Times New Roman" w:hAnsi="Open Sans Light" w:cs="Open Sans Light"/>
                <w:color w:val="000000"/>
                <w:sz w:val="16"/>
                <w:szCs w:val="16"/>
                <w:lang w:eastAsia="en-AU"/>
              </w:rPr>
              <w:t> </w:t>
            </w:r>
            <w:r w:rsidR="00083AF5" w:rsidRPr="00CD288E">
              <w:rPr>
                <w:rFonts w:ascii="Open Sans Light" w:eastAsia="Times New Roman" w:hAnsi="Open Sans Light" w:cs="Open Sans Light"/>
                <w:color w:val="000000"/>
                <w:sz w:val="16"/>
                <w:szCs w:val="16"/>
                <w:lang w:eastAsia="en-AU"/>
              </w:rPr>
              <w:t>Territory</w:t>
            </w:r>
            <w:r w:rsidR="00AE72EC">
              <w:rPr>
                <w:rFonts w:ascii="Open Sans Light" w:eastAsia="Times New Roman" w:hAnsi="Open Sans Light" w:cs="Open Sans Light"/>
                <w:color w:val="000000"/>
                <w:sz w:val="16"/>
                <w:szCs w:val="16"/>
                <w:lang w:eastAsia="en-AU"/>
              </w:rPr>
              <w:t>’s</w:t>
            </w:r>
            <w:r w:rsidR="00083AF5" w:rsidRPr="00CD288E">
              <w:rPr>
                <w:rFonts w:ascii="Open Sans Light" w:eastAsia="Times New Roman" w:hAnsi="Open Sans Light" w:cs="Open Sans Light"/>
                <w:color w:val="000000"/>
                <w:sz w:val="16"/>
                <w:szCs w:val="16"/>
                <w:lang w:eastAsia="en-AU"/>
              </w:rPr>
              <w:t xml:space="preserve"> </w:t>
            </w:r>
            <w:r w:rsidRPr="00CD288E">
              <w:rPr>
                <w:rFonts w:ascii="Open Sans Light" w:eastAsia="Times New Roman" w:hAnsi="Open Sans Light" w:cs="Open Sans Light"/>
                <w:color w:val="000000"/>
                <w:sz w:val="16"/>
                <w:szCs w:val="16"/>
                <w:lang w:eastAsia="en-AU"/>
              </w:rPr>
              <w:t>assessed GST needs.</w:t>
            </w:r>
          </w:p>
        </w:tc>
      </w:tr>
      <w:tr w:rsidR="00EC019B" w:rsidRPr="00CD288E" w14:paraId="4B5BE71F" w14:textId="77777777">
        <w:trPr>
          <w:trHeight w:val="795"/>
        </w:trPr>
        <w:tc>
          <w:tcPr>
            <w:tcW w:w="2640" w:type="dxa"/>
            <w:tcBorders>
              <w:top w:val="single" w:sz="4" w:space="0" w:color="ADD6EA"/>
              <w:left w:val="nil"/>
              <w:bottom w:val="nil"/>
              <w:right w:val="nil"/>
            </w:tcBorders>
            <w:shd w:val="clear" w:color="000000" w:fill="FFFFFF"/>
            <w:hideMark/>
          </w:tcPr>
          <w:p w14:paraId="6A39647D" w14:textId="77777777" w:rsidR="00EC019B" w:rsidRPr="00CD288E" w:rsidRDefault="00EC019B">
            <w:pPr>
              <w:tabs>
                <w:tab w:val="clear" w:pos="567"/>
              </w:tabs>
              <w:spacing w:before="0" w:line="240" w:lineRule="auto"/>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Investment - Discounting of recurrent roads assessment</w:t>
            </w:r>
          </w:p>
        </w:tc>
        <w:tc>
          <w:tcPr>
            <w:tcW w:w="700" w:type="dxa"/>
            <w:tcBorders>
              <w:top w:val="single" w:sz="4" w:space="0" w:color="ADD6EA"/>
              <w:left w:val="nil"/>
              <w:bottom w:val="nil"/>
              <w:right w:val="nil"/>
            </w:tcBorders>
            <w:shd w:val="clear" w:color="000000" w:fill="EBBFA0"/>
            <w:hideMark/>
          </w:tcPr>
          <w:p w14:paraId="36D10BB8" w14:textId="77777777" w:rsidR="00EC019B" w:rsidRPr="00CD288E" w:rsidRDefault="00EC019B">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-53</w:t>
            </w:r>
          </w:p>
        </w:tc>
        <w:tc>
          <w:tcPr>
            <w:tcW w:w="700" w:type="dxa"/>
            <w:tcBorders>
              <w:top w:val="single" w:sz="4" w:space="0" w:color="ADD6EA"/>
              <w:left w:val="nil"/>
              <w:bottom w:val="nil"/>
              <w:right w:val="nil"/>
            </w:tcBorders>
            <w:shd w:val="clear" w:color="000000" w:fill="EBBFA0"/>
            <w:hideMark/>
          </w:tcPr>
          <w:p w14:paraId="0CBB526F" w14:textId="77777777" w:rsidR="00EC019B" w:rsidRPr="00CD288E" w:rsidRDefault="00EC019B">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-206</w:t>
            </w:r>
          </w:p>
        </w:tc>
        <w:tc>
          <w:tcPr>
            <w:tcW w:w="4900" w:type="dxa"/>
            <w:tcBorders>
              <w:top w:val="single" w:sz="4" w:space="0" w:color="ADD6EA"/>
              <w:left w:val="nil"/>
              <w:bottom w:val="nil"/>
              <w:right w:val="nil"/>
            </w:tcBorders>
            <w:shd w:val="clear" w:color="000000" w:fill="FFFFFF"/>
            <w:hideMark/>
          </w:tcPr>
          <w:p w14:paraId="095635D5" w14:textId="2E162D6D" w:rsidR="00EC019B" w:rsidRPr="00CD288E" w:rsidRDefault="00EC019B">
            <w:pPr>
              <w:tabs>
                <w:tab w:val="clear" w:pos="567"/>
              </w:tabs>
              <w:spacing w:before="0" w:line="240" w:lineRule="auto"/>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 xml:space="preserve">The Commission introduced a 12.5% discount to the recurrent roads assessment. This led to a fall in the assessed share of road investment in the </w:t>
            </w:r>
            <w:r w:rsidR="00083AF5" w:rsidRPr="00CD288E">
              <w:rPr>
                <w:rFonts w:ascii="Open Sans Light" w:eastAsia="Times New Roman" w:hAnsi="Open Sans Light" w:cs="Open Sans Light"/>
                <w:color w:val="000000"/>
                <w:sz w:val="16"/>
                <w:szCs w:val="16"/>
                <w:lang w:eastAsia="en-AU"/>
              </w:rPr>
              <w:t>Northern</w:t>
            </w:r>
            <w:r w:rsidR="00083AF5">
              <w:rPr>
                <w:rFonts w:ascii="Open Sans Light" w:eastAsia="Times New Roman" w:hAnsi="Open Sans Light" w:cs="Open Sans Light"/>
                <w:color w:val="000000"/>
                <w:sz w:val="16"/>
                <w:szCs w:val="16"/>
                <w:lang w:eastAsia="en-AU"/>
              </w:rPr>
              <w:t> </w:t>
            </w:r>
            <w:r w:rsidRPr="00CD288E">
              <w:rPr>
                <w:rFonts w:ascii="Open Sans Light" w:eastAsia="Times New Roman" w:hAnsi="Open Sans Light" w:cs="Open Sans Light"/>
                <w:color w:val="000000"/>
                <w:sz w:val="16"/>
                <w:szCs w:val="16"/>
                <w:lang w:eastAsia="en-AU"/>
              </w:rPr>
              <w:t xml:space="preserve">Territory, reducing its assessed </w:t>
            </w:r>
            <w:r w:rsidRPr="00CD288E" w:rsidDel="00B365A0">
              <w:rPr>
                <w:rFonts w:ascii="Open Sans Light" w:eastAsia="Times New Roman" w:hAnsi="Open Sans Light" w:cs="Open Sans Light"/>
                <w:color w:val="000000"/>
                <w:sz w:val="16"/>
                <w:szCs w:val="16"/>
                <w:lang w:eastAsia="en-AU"/>
              </w:rPr>
              <w:t>GST</w:t>
            </w:r>
            <w:r w:rsidR="00B365A0">
              <w:rPr>
                <w:rFonts w:ascii="Open Sans Light" w:eastAsia="Times New Roman" w:hAnsi="Open Sans Light" w:cs="Open Sans Light"/>
                <w:color w:val="000000"/>
                <w:sz w:val="16"/>
                <w:szCs w:val="16"/>
                <w:lang w:eastAsia="en-AU"/>
              </w:rPr>
              <w:t> </w:t>
            </w:r>
            <w:r w:rsidRPr="00CD288E">
              <w:rPr>
                <w:rFonts w:ascii="Open Sans Light" w:eastAsia="Times New Roman" w:hAnsi="Open Sans Light" w:cs="Open Sans Light"/>
                <w:color w:val="000000"/>
                <w:sz w:val="16"/>
                <w:szCs w:val="16"/>
                <w:lang w:eastAsia="en-AU"/>
              </w:rPr>
              <w:t>needs.</w:t>
            </w:r>
          </w:p>
        </w:tc>
      </w:tr>
      <w:tr w:rsidR="00EC019B" w:rsidRPr="00CD288E" w14:paraId="4A6860AD" w14:textId="77777777">
        <w:trPr>
          <w:trHeight w:val="645"/>
        </w:trPr>
        <w:tc>
          <w:tcPr>
            <w:tcW w:w="2640" w:type="dxa"/>
            <w:tcBorders>
              <w:top w:val="single" w:sz="4" w:space="0" w:color="ADD6EA"/>
              <w:left w:val="nil"/>
              <w:bottom w:val="single" w:sz="4" w:space="0" w:color="ADD6EA"/>
              <w:right w:val="nil"/>
            </w:tcBorders>
            <w:shd w:val="clear" w:color="000000" w:fill="FFFFFF"/>
            <w:hideMark/>
          </w:tcPr>
          <w:p w14:paraId="1FBE79B0" w14:textId="2E2D7D16" w:rsidR="00EC019B" w:rsidRPr="00CD288E" w:rsidRDefault="00EC019B">
            <w:pPr>
              <w:tabs>
                <w:tab w:val="clear" w:pos="567"/>
              </w:tabs>
              <w:spacing w:before="0" w:line="240" w:lineRule="auto"/>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 xml:space="preserve">New ambulatory community mental health assessment in </w:t>
            </w:r>
            <w:r w:rsidR="000D72F7">
              <w:rPr>
                <w:rFonts w:ascii="Open Sans Light" w:eastAsia="Times New Roman" w:hAnsi="Open Sans Light" w:cs="Open Sans Light"/>
                <w:color w:val="000000"/>
                <w:sz w:val="16"/>
                <w:szCs w:val="16"/>
                <w:lang w:eastAsia="en-AU"/>
              </w:rPr>
              <w:t>h</w:t>
            </w:r>
            <w:r w:rsidR="000D72F7" w:rsidRPr="00CD288E">
              <w:rPr>
                <w:rFonts w:ascii="Open Sans Light" w:eastAsia="Times New Roman" w:hAnsi="Open Sans Light" w:cs="Open Sans Light"/>
                <w:color w:val="000000"/>
                <w:sz w:val="16"/>
                <w:szCs w:val="16"/>
                <w:lang w:eastAsia="en-AU"/>
              </w:rPr>
              <w:t>ealth</w:t>
            </w:r>
          </w:p>
        </w:tc>
        <w:tc>
          <w:tcPr>
            <w:tcW w:w="700" w:type="dxa"/>
            <w:tcBorders>
              <w:top w:val="single" w:sz="4" w:space="0" w:color="ADD6EA"/>
              <w:left w:val="nil"/>
              <w:bottom w:val="single" w:sz="4" w:space="0" w:color="ADD6EA"/>
              <w:right w:val="nil"/>
            </w:tcBorders>
            <w:shd w:val="clear" w:color="000000" w:fill="EBBFA0"/>
            <w:hideMark/>
          </w:tcPr>
          <w:p w14:paraId="694F1E37" w14:textId="77777777" w:rsidR="00EC019B" w:rsidRPr="00CD288E" w:rsidRDefault="00EC019B">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-52</w:t>
            </w:r>
          </w:p>
        </w:tc>
        <w:tc>
          <w:tcPr>
            <w:tcW w:w="700" w:type="dxa"/>
            <w:tcBorders>
              <w:top w:val="single" w:sz="4" w:space="0" w:color="ADD6EA"/>
              <w:left w:val="nil"/>
              <w:bottom w:val="single" w:sz="4" w:space="0" w:color="ADD6EA"/>
              <w:right w:val="nil"/>
            </w:tcBorders>
            <w:shd w:val="clear" w:color="000000" w:fill="EBBFA0"/>
            <w:hideMark/>
          </w:tcPr>
          <w:p w14:paraId="1B47168C" w14:textId="77777777" w:rsidR="00EC019B" w:rsidRPr="00CD288E" w:rsidRDefault="00EC019B">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-200</w:t>
            </w:r>
          </w:p>
        </w:tc>
        <w:tc>
          <w:tcPr>
            <w:tcW w:w="4900" w:type="dxa"/>
            <w:tcBorders>
              <w:top w:val="single" w:sz="4" w:space="0" w:color="ADD6EA"/>
              <w:left w:val="nil"/>
              <w:bottom w:val="nil"/>
              <w:right w:val="nil"/>
            </w:tcBorders>
            <w:shd w:val="clear" w:color="000000" w:fill="FFFFFF"/>
            <w:hideMark/>
          </w:tcPr>
          <w:p w14:paraId="1138C849" w14:textId="5096ECDF" w:rsidR="00EC019B" w:rsidRPr="00CD288E" w:rsidRDefault="00EC019B">
            <w:pPr>
              <w:tabs>
                <w:tab w:val="clear" w:pos="567"/>
              </w:tabs>
              <w:spacing w:before="0" w:line="240" w:lineRule="auto"/>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 xml:space="preserve">The Commission has separately assessed ambulatory community mental health services using a direct measure of service use rather than the proxy indicator in the 2020 Review method. Remoteness is now a less important driver, reducing the </w:t>
            </w:r>
            <w:r w:rsidR="00AE72EC" w:rsidRPr="00CD288E">
              <w:rPr>
                <w:rFonts w:ascii="Open Sans Light" w:eastAsia="Times New Roman" w:hAnsi="Open Sans Light" w:cs="Open Sans Light"/>
                <w:color w:val="000000"/>
                <w:sz w:val="16"/>
                <w:szCs w:val="16"/>
                <w:lang w:eastAsia="en-AU"/>
              </w:rPr>
              <w:t>Northern</w:t>
            </w:r>
            <w:r w:rsidR="00AE72EC">
              <w:rPr>
                <w:rFonts w:ascii="Open Sans Light" w:eastAsia="Times New Roman" w:hAnsi="Open Sans Light" w:cs="Open Sans Light"/>
                <w:color w:val="000000"/>
                <w:sz w:val="16"/>
                <w:szCs w:val="16"/>
                <w:lang w:eastAsia="en-AU"/>
              </w:rPr>
              <w:t> </w:t>
            </w:r>
            <w:r w:rsidRPr="00CD288E">
              <w:rPr>
                <w:rFonts w:ascii="Open Sans Light" w:eastAsia="Times New Roman" w:hAnsi="Open Sans Light" w:cs="Open Sans Light"/>
                <w:color w:val="000000"/>
                <w:sz w:val="16"/>
                <w:szCs w:val="16"/>
                <w:lang w:eastAsia="en-AU"/>
              </w:rPr>
              <w:t>Territory’s assessed GST needs.</w:t>
            </w:r>
          </w:p>
        </w:tc>
      </w:tr>
      <w:tr w:rsidR="00EC019B" w:rsidRPr="00CD288E" w14:paraId="53FEA4E9" w14:textId="77777777">
        <w:trPr>
          <w:trHeight w:val="375"/>
        </w:trPr>
        <w:tc>
          <w:tcPr>
            <w:tcW w:w="8940" w:type="dxa"/>
            <w:gridSpan w:val="4"/>
            <w:tcBorders>
              <w:top w:val="single" w:sz="4" w:space="0" w:color="ADD6EA"/>
              <w:left w:val="nil"/>
              <w:bottom w:val="nil"/>
              <w:right w:val="nil"/>
            </w:tcBorders>
            <w:shd w:val="clear" w:color="000000" w:fill="006991"/>
            <w:vAlign w:val="center"/>
            <w:hideMark/>
          </w:tcPr>
          <w:p w14:paraId="2151A39E" w14:textId="77777777" w:rsidR="00EC019B" w:rsidRPr="00CD288E" w:rsidRDefault="00EC019B">
            <w:pPr>
              <w:tabs>
                <w:tab w:val="clear" w:pos="567"/>
              </w:tabs>
              <w:spacing w:before="0" w:line="240" w:lineRule="auto"/>
              <w:rPr>
                <w:rFonts w:ascii="Open Sans Semibold" w:eastAsia="Times New Roman" w:hAnsi="Open Sans Semibold" w:cs="Open Sans Semibold"/>
                <w:color w:val="FFFFFF"/>
                <w:sz w:val="16"/>
                <w:szCs w:val="16"/>
                <w:lang w:eastAsia="en-AU"/>
              </w:rPr>
            </w:pPr>
            <w:r w:rsidRPr="00CD288E">
              <w:rPr>
                <w:rFonts w:ascii="Open Sans Semibold" w:eastAsia="Times New Roman" w:hAnsi="Open Sans Semibold" w:cs="Open Sans Semibold"/>
                <w:color w:val="FFFFFF"/>
                <w:sz w:val="16"/>
                <w:szCs w:val="16"/>
                <w:lang w:eastAsia="en-AU"/>
              </w:rPr>
              <w:t>Changes in circumstances (a)</w:t>
            </w:r>
          </w:p>
        </w:tc>
      </w:tr>
      <w:tr w:rsidR="00EC019B" w:rsidRPr="00CD288E" w14:paraId="0F9EAEA7" w14:textId="77777777">
        <w:trPr>
          <w:trHeight w:val="255"/>
        </w:trPr>
        <w:tc>
          <w:tcPr>
            <w:tcW w:w="2640" w:type="dxa"/>
            <w:tcBorders>
              <w:top w:val="single" w:sz="4" w:space="0" w:color="ADD6EA"/>
              <w:left w:val="nil"/>
              <w:bottom w:val="nil"/>
              <w:right w:val="nil"/>
            </w:tcBorders>
            <w:shd w:val="clear" w:color="000000" w:fill="D6E7F0"/>
            <w:hideMark/>
          </w:tcPr>
          <w:p w14:paraId="6B09678B" w14:textId="77777777" w:rsidR="00EC019B" w:rsidRPr="00CD288E" w:rsidRDefault="00EC019B">
            <w:pPr>
              <w:tabs>
                <w:tab w:val="clear" w:pos="567"/>
              </w:tabs>
              <w:spacing w:before="0" w:line="240" w:lineRule="auto"/>
              <w:rPr>
                <w:rFonts w:ascii="Open Sans Semibold" w:eastAsia="Times New Roman" w:hAnsi="Open Sans Semibold" w:cs="Open Sans Semibold"/>
                <w:color w:val="000000"/>
                <w:sz w:val="16"/>
                <w:szCs w:val="16"/>
                <w:lang w:eastAsia="en-AU"/>
              </w:rPr>
            </w:pPr>
            <w:r w:rsidRPr="00CD288E">
              <w:rPr>
                <w:rFonts w:ascii="Open Sans Semibold" w:eastAsia="Times New Roman" w:hAnsi="Open Sans Semibold" w:cs="Open Sans Semibold"/>
                <w:color w:val="000000"/>
                <w:sz w:val="16"/>
                <w:szCs w:val="16"/>
                <w:lang w:eastAsia="en-AU"/>
              </w:rPr>
              <w:t>Driver</w:t>
            </w:r>
          </w:p>
        </w:tc>
        <w:tc>
          <w:tcPr>
            <w:tcW w:w="1400" w:type="dxa"/>
            <w:gridSpan w:val="2"/>
            <w:tcBorders>
              <w:top w:val="single" w:sz="4" w:space="0" w:color="ADD6EA"/>
              <w:left w:val="nil"/>
              <w:bottom w:val="nil"/>
              <w:right w:val="nil"/>
            </w:tcBorders>
            <w:shd w:val="clear" w:color="000000" w:fill="D6E7F0"/>
            <w:hideMark/>
          </w:tcPr>
          <w:p w14:paraId="62D624B9" w14:textId="77777777" w:rsidR="00EC019B" w:rsidRPr="00CD288E" w:rsidRDefault="00EC019B">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CD288E">
              <w:rPr>
                <w:rFonts w:ascii="Open Sans Semibold" w:eastAsia="Times New Roman" w:hAnsi="Open Sans Semibold" w:cs="Open Sans Semibold"/>
                <w:color w:val="000000"/>
                <w:sz w:val="16"/>
                <w:szCs w:val="16"/>
                <w:lang w:eastAsia="en-AU"/>
              </w:rPr>
              <w:t>Change</w:t>
            </w:r>
          </w:p>
        </w:tc>
        <w:tc>
          <w:tcPr>
            <w:tcW w:w="4900" w:type="dxa"/>
            <w:tcBorders>
              <w:top w:val="single" w:sz="4" w:space="0" w:color="ADD6EA"/>
              <w:left w:val="nil"/>
              <w:bottom w:val="nil"/>
              <w:right w:val="nil"/>
            </w:tcBorders>
            <w:shd w:val="clear" w:color="000000" w:fill="D6E7F0"/>
            <w:hideMark/>
          </w:tcPr>
          <w:p w14:paraId="4C4BB655" w14:textId="77777777" w:rsidR="00EC019B" w:rsidRPr="00CD288E" w:rsidRDefault="00EC019B">
            <w:pPr>
              <w:tabs>
                <w:tab w:val="clear" w:pos="567"/>
              </w:tabs>
              <w:spacing w:before="0" w:line="240" w:lineRule="auto"/>
              <w:rPr>
                <w:rFonts w:ascii="Open Sans Semibold" w:eastAsia="Times New Roman" w:hAnsi="Open Sans Semibold" w:cs="Open Sans Semibold"/>
                <w:color w:val="000000"/>
                <w:sz w:val="16"/>
                <w:szCs w:val="16"/>
                <w:lang w:eastAsia="en-AU"/>
              </w:rPr>
            </w:pPr>
            <w:r w:rsidRPr="00CD288E">
              <w:rPr>
                <w:rFonts w:ascii="Open Sans Semibold" w:eastAsia="Times New Roman" w:hAnsi="Open Sans Semibold" w:cs="Open Sans Semibold"/>
                <w:color w:val="000000"/>
                <w:sz w:val="16"/>
                <w:szCs w:val="16"/>
                <w:lang w:eastAsia="en-AU"/>
              </w:rPr>
              <w:t>Explanation</w:t>
            </w:r>
          </w:p>
        </w:tc>
      </w:tr>
      <w:tr w:rsidR="00EC019B" w:rsidRPr="00CD288E" w14:paraId="04B537EE" w14:textId="77777777">
        <w:trPr>
          <w:trHeight w:val="255"/>
        </w:trPr>
        <w:tc>
          <w:tcPr>
            <w:tcW w:w="2640" w:type="dxa"/>
            <w:tcBorders>
              <w:top w:val="single" w:sz="4" w:space="0" w:color="ADD6EA"/>
              <w:left w:val="nil"/>
              <w:bottom w:val="nil"/>
              <w:right w:val="nil"/>
            </w:tcBorders>
            <w:shd w:val="clear" w:color="000000" w:fill="B6D5E4"/>
            <w:hideMark/>
          </w:tcPr>
          <w:p w14:paraId="559EF2FD" w14:textId="77777777" w:rsidR="00EC019B" w:rsidRPr="00CD288E" w:rsidRDefault="00EC019B">
            <w:pPr>
              <w:tabs>
                <w:tab w:val="clear" w:pos="567"/>
              </w:tabs>
              <w:spacing w:before="0" w:line="240" w:lineRule="auto"/>
              <w:rPr>
                <w:rFonts w:ascii="Open Sans Semibold" w:eastAsia="Times New Roman" w:hAnsi="Open Sans Semibold" w:cs="Open Sans Semibold"/>
                <w:color w:val="000000"/>
                <w:sz w:val="16"/>
                <w:szCs w:val="16"/>
                <w:lang w:eastAsia="en-AU"/>
              </w:rPr>
            </w:pPr>
            <w:r w:rsidRPr="00CD288E">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hideMark/>
          </w:tcPr>
          <w:p w14:paraId="4DDCC833" w14:textId="77777777" w:rsidR="00EC019B" w:rsidRPr="00CD288E" w:rsidRDefault="00EC019B">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CD288E">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hideMark/>
          </w:tcPr>
          <w:p w14:paraId="29F922C5" w14:textId="77777777" w:rsidR="00EC019B" w:rsidRPr="00CD288E" w:rsidRDefault="00EC019B">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CD288E">
              <w:rPr>
                <w:rFonts w:ascii="Open Sans Semibold" w:eastAsia="Times New Roman" w:hAnsi="Open Sans Semibold" w:cs="Open Sans Semibold"/>
                <w:color w:val="000000"/>
                <w:sz w:val="16"/>
                <w:szCs w:val="16"/>
                <w:lang w:eastAsia="en-AU"/>
              </w:rPr>
              <w:t>$pc</w:t>
            </w:r>
          </w:p>
        </w:tc>
        <w:tc>
          <w:tcPr>
            <w:tcW w:w="4900" w:type="dxa"/>
            <w:tcBorders>
              <w:top w:val="single" w:sz="4" w:space="0" w:color="ADD6EA"/>
              <w:left w:val="nil"/>
              <w:bottom w:val="nil"/>
              <w:right w:val="nil"/>
            </w:tcBorders>
            <w:shd w:val="clear" w:color="000000" w:fill="B6D5E4"/>
            <w:hideMark/>
          </w:tcPr>
          <w:p w14:paraId="55B7BC07" w14:textId="77777777" w:rsidR="00EC019B" w:rsidRPr="00CD288E" w:rsidRDefault="00EC019B">
            <w:pPr>
              <w:tabs>
                <w:tab w:val="clear" w:pos="567"/>
              </w:tabs>
              <w:spacing w:before="0" w:line="240" w:lineRule="auto"/>
              <w:rPr>
                <w:rFonts w:ascii="Open Sans Semibold" w:eastAsia="Times New Roman" w:hAnsi="Open Sans Semibold" w:cs="Open Sans Semibold"/>
                <w:color w:val="000000"/>
                <w:sz w:val="16"/>
                <w:szCs w:val="16"/>
                <w:lang w:eastAsia="en-AU"/>
              </w:rPr>
            </w:pPr>
            <w:r w:rsidRPr="00CD288E">
              <w:rPr>
                <w:rFonts w:ascii="Open Sans Semibold" w:eastAsia="Times New Roman" w:hAnsi="Open Sans Semibold" w:cs="Open Sans Semibold"/>
                <w:color w:val="000000"/>
                <w:sz w:val="16"/>
                <w:szCs w:val="16"/>
                <w:lang w:eastAsia="en-AU"/>
              </w:rPr>
              <w:t> </w:t>
            </w:r>
          </w:p>
        </w:tc>
      </w:tr>
      <w:tr w:rsidR="00EC019B" w:rsidRPr="00CD288E" w14:paraId="5846E8CF" w14:textId="77777777">
        <w:trPr>
          <w:trHeight w:val="795"/>
        </w:trPr>
        <w:tc>
          <w:tcPr>
            <w:tcW w:w="2640" w:type="dxa"/>
            <w:tcBorders>
              <w:top w:val="single" w:sz="4" w:space="0" w:color="ADD6EA"/>
              <w:left w:val="nil"/>
              <w:bottom w:val="nil"/>
              <w:right w:val="nil"/>
            </w:tcBorders>
            <w:shd w:val="clear" w:color="000000" w:fill="FFFFFF"/>
            <w:hideMark/>
          </w:tcPr>
          <w:p w14:paraId="372F61B4" w14:textId="77777777" w:rsidR="00EC019B" w:rsidRPr="00CD288E" w:rsidRDefault="00EC019B">
            <w:pPr>
              <w:tabs>
                <w:tab w:val="clear" w:pos="567"/>
              </w:tabs>
              <w:spacing w:before="0" w:line="240" w:lineRule="auto"/>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Population dispersion</w:t>
            </w:r>
          </w:p>
        </w:tc>
        <w:tc>
          <w:tcPr>
            <w:tcW w:w="700" w:type="dxa"/>
            <w:tcBorders>
              <w:top w:val="single" w:sz="4" w:space="0" w:color="ADD6EA"/>
              <w:left w:val="nil"/>
              <w:bottom w:val="nil"/>
              <w:right w:val="nil"/>
            </w:tcBorders>
            <w:shd w:val="clear" w:color="000000" w:fill="ADD6EA"/>
            <w:hideMark/>
          </w:tcPr>
          <w:p w14:paraId="2FC411BB" w14:textId="77777777" w:rsidR="00EC019B" w:rsidRPr="00CD288E" w:rsidRDefault="00EC019B">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70</w:t>
            </w:r>
          </w:p>
        </w:tc>
        <w:tc>
          <w:tcPr>
            <w:tcW w:w="700" w:type="dxa"/>
            <w:tcBorders>
              <w:top w:val="single" w:sz="4" w:space="0" w:color="ADD6EA"/>
              <w:left w:val="nil"/>
              <w:bottom w:val="nil"/>
              <w:right w:val="nil"/>
            </w:tcBorders>
            <w:shd w:val="clear" w:color="000000" w:fill="ADD6EA"/>
            <w:hideMark/>
          </w:tcPr>
          <w:p w14:paraId="0FE8F686" w14:textId="77777777" w:rsidR="00EC019B" w:rsidRPr="00CD288E" w:rsidRDefault="00EC019B">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271</w:t>
            </w:r>
          </w:p>
        </w:tc>
        <w:tc>
          <w:tcPr>
            <w:tcW w:w="4900" w:type="dxa"/>
            <w:tcBorders>
              <w:top w:val="single" w:sz="4" w:space="0" w:color="ADD6EA"/>
              <w:left w:val="nil"/>
              <w:bottom w:val="nil"/>
              <w:right w:val="nil"/>
            </w:tcBorders>
            <w:shd w:val="clear" w:color="000000" w:fill="FFFFFF"/>
            <w:hideMark/>
          </w:tcPr>
          <w:p w14:paraId="77462002" w14:textId="3009ACBA" w:rsidR="00EC019B" w:rsidRPr="00CD288E" w:rsidRDefault="00EC019B">
            <w:pPr>
              <w:tabs>
                <w:tab w:val="clear" w:pos="567"/>
              </w:tabs>
              <w:spacing w:before="0" w:line="240" w:lineRule="auto"/>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States have higher community health expenses per capita in regional areas than in major cities. The increase in state community health expenses in 2023</w:t>
            </w:r>
            <w:r w:rsidR="00AE72EC" w:rsidRPr="001F54B5">
              <w:rPr>
                <w:rFonts w:ascii="Arial" w:eastAsia="Times New Roman" w:hAnsi="Arial" w:cs="Arial"/>
                <w:color w:val="000000"/>
                <w:sz w:val="16"/>
                <w:szCs w:val="16"/>
                <w:lang w:eastAsia="en-AU"/>
              </w:rPr>
              <w:t>‍</w:t>
            </w:r>
            <w:r w:rsidRPr="00CD288E">
              <w:rPr>
                <w:rFonts w:ascii="Open Sans Light" w:eastAsia="Times New Roman" w:hAnsi="Open Sans Light" w:cs="Open Sans Light"/>
                <w:color w:val="000000"/>
                <w:sz w:val="16"/>
                <w:szCs w:val="16"/>
                <w:lang w:eastAsia="en-AU"/>
              </w:rPr>
              <w:t>–</w:t>
            </w:r>
            <w:r w:rsidR="00AE72EC" w:rsidRPr="001F54B5">
              <w:rPr>
                <w:rFonts w:ascii="Arial" w:eastAsia="Times New Roman" w:hAnsi="Arial" w:cs="Arial"/>
                <w:color w:val="000000"/>
                <w:sz w:val="16"/>
                <w:szCs w:val="16"/>
                <w:lang w:eastAsia="en-AU"/>
              </w:rPr>
              <w:t>‍</w:t>
            </w:r>
            <w:r w:rsidRPr="00CD288E">
              <w:rPr>
                <w:rFonts w:ascii="Open Sans Light" w:eastAsia="Times New Roman" w:hAnsi="Open Sans Light" w:cs="Open Sans Light"/>
                <w:color w:val="000000"/>
                <w:sz w:val="16"/>
                <w:szCs w:val="16"/>
                <w:lang w:eastAsia="en-AU"/>
              </w:rPr>
              <w:t>24 compared with 2020</w:t>
            </w:r>
            <w:r w:rsidRPr="00CD288E">
              <w:rPr>
                <w:rFonts w:ascii="Arial" w:eastAsia="Times New Roman" w:hAnsi="Arial" w:cs="Arial"/>
                <w:color w:val="000000"/>
                <w:sz w:val="16"/>
                <w:szCs w:val="16"/>
                <w:lang w:eastAsia="en-AU"/>
              </w:rPr>
              <w:t>‍</w:t>
            </w:r>
            <w:r w:rsidRPr="00CD288E">
              <w:rPr>
                <w:rFonts w:ascii="Open Sans Light" w:eastAsia="Times New Roman" w:hAnsi="Open Sans Light" w:cs="Open Sans Light"/>
                <w:color w:val="000000"/>
                <w:sz w:val="16"/>
                <w:szCs w:val="16"/>
                <w:lang w:eastAsia="en-AU"/>
              </w:rPr>
              <w:t>–</w:t>
            </w:r>
            <w:r w:rsidRPr="00CD288E">
              <w:rPr>
                <w:rFonts w:ascii="Arial" w:eastAsia="Times New Roman" w:hAnsi="Arial" w:cs="Arial"/>
                <w:color w:val="000000"/>
                <w:sz w:val="16"/>
                <w:szCs w:val="16"/>
                <w:lang w:eastAsia="en-AU"/>
              </w:rPr>
              <w:t>‍</w:t>
            </w:r>
            <w:r w:rsidRPr="00CD288E">
              <w:rPr>
                <w:rFonts w:ascii="Open Sans Light" w:eastAsia="Times New Roman" w:hAnsi="Open Sans Light" w:cs="Open Sans Light"/>
                <w:color w:val="000000"/>
                <w:sz w:val="16"/>
                <w:szCs w:val="16"/>
                <w:lang w:eastAsia="en-AU"/>
              </w:rPr>
              <w:t xml:space="preserve">21, increased the share of assessed spending in regional areas increasing the influence of population dispersion. This resulted in an increase in </w:t>
            </w:r>
            <w:r w:rsidR="00AE72EC" w:rsidRPr="00CD288E">
              <w:rPr>
                <w:rFonts w:ascii="Open Sans Light" w:eastAsia="Times New Roman" w:hAnsi="Open Sans Light" w:cs="Open Sans Light"/>
                <w:color w:val="000000"/>
                <w:sz w:val="16"/>
                <w:szCs w:val="16"/>
                <w:lang w:eastAsia="en-AU"/>
              </w:rPr>
              <w:t>Northern</w:t>
            </w:r>
            <w:r w:rsidR="00AE72EC">
              <w:rPr>
                <w:rFonts w:ascii="Open Sans Light" w:eastAsia="Times New Roman" w:hAnsi="Open Sans Light" w:cs="Open Sans Light"/>
                <w:color w:val="000000"/>
                <w:sz w:val="16"/>
                <w:szCs w:val="16"/>
                <w:lang w:eastAsia="en-AU"/>
              </w:rPr>
              <w:t> </w:t>
            </w:r>
            <w:r w:rsidRPr="00CD288E">
              <w:rPr>
                <w:rFonts w:ascii="Open Sans Light" w:eastAsia="Times New Roman" w:hAnsi="Open Sans Light" w:cs="Open Sans Light"/>
                <w:color w:val="000000"/>
                <w:sz w:val="16"/>
                <w:szCs w:val="16"/>
                <w:lang w:eastAsia="en-AU"/>
              </w:rPr>
              <w:t>Territory’s assessed GST</w:t>
            </w:r>
            <w:r w:rsidR="002F739B">
              <w:rPr>
                <w:rFonts w:ascii="Open Sans Light" w:eastAsia="Times New Roman" w:hAnsi="Open Sans Light" w:cs="Open Sans Light"/>
                <w:color w:val="000000"/>
                <w:sz w:val="16"/>
                <w:szCs w:val="16"/>
                <w:lang w:eastAsia="en-AU"/>
              </w:rPr>
              <w:t> </w:t>
            </w:r>
            <w:r w:rsidRPr="00CD288E">
              <w:rPr>
                <w:rFonts w:ascii="Open Sans Light" w:eastAsia="Times New Roman" w:hAnsi="Open Sans Light" w:cs="Open Sans Light"/>
                <w:color w:val="000000"/>
                <w:sz w:val="16"/>
                <w:szCs w:val="16"/>
                <w:lang w:eastAsia="en-AU"/>
              </w:rPr>
              <w:t>needs.</w:t>
            </w:r>
          </w:p>
        </w:tc>
      </w:tr>
      <w:tr w:rsidR="00EC019B" w:rsidRPr="00CD288E" w14:paraId="16CFB57D" w14:textId="77777777">
        <w:trPr>
          <w:trHeight w:val="585"/>
        </w:trPr>
        <w:tc>
          <w:tcPr>
            <w:tcW w:w="2640" w:type="dxa"/>
            <w:tcBorders>
              <w:top w:val="single" w:sz="4" w:space="0" w:color="ADD6EA"/>
              <w:left w:val="nil"/>
              <w:bottom w:val="nil"/>
              <w:right w:val="nil"/>
            </w:tcBorders>
            <w:shd w:val="clear" w:color="000000" w:fill="FFFFFF"/>
            <w:hideMark/>
          </w:tcPr>
          <w:p w14:paraId="335E1F3F" w14:textId="77777777" w:rsidR="00EC019B" w:rsidRPr="00CD288E" w:rsidRDefault="00EC019B">
            <w:pPr>
              <w:tabs>
                <w:tab w:val="clear" w:pos="567"/>
              </w:tabs>
              <w:spacing w:before="0" w:line="240" w:lineRule="auto"/>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Commonwealth payments</w:t>
            </w:r>
          </w:p>
        </w:tc>
        <w:tc>
          <w:tcPr>
            <w:tcW w:w="700" w:type="dxa"/>
            <w:tcBorders>
              <w:top w:val="single" w:sz="4" w:space="0" w:color="ADD6EA"/>
              <w:left w:val="nil"/>
              <w:bottom w:val="nil"/>
              <w:right w:val="nil"/>
            </w:tcBorders>
            <w:shd w:val="clear" w:color="000000" w:fill="EBBFA0"/>
            <w:hideMark/>
          </w:tcPr>
          <w:p w14:paraId="3CE189C1" w14:textId="77777777" w:rsidR="00EC019B" w:rsidRPr="00CD288E" w:rsidRDefault="00EC019B">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-69</w:t>
            </w:r>
          </w:p>
        </w:tc>
        <w:tc>
          <w:tcPr>
            <w:tcW w:w="700" w:type="dxa"/>
            <w:tcBorders>
              <w:top w:val="single" w:sz="4" w:space="0" w:color="ADD6EA"/>
              <w:left w:val="nil"/>
              <w:bottom w:val="nil"/>
              <w:right w:val="nil"/>
            </w:tcBorders>
            <w:shd w:val="clear" w:color="000000" w:fill="EBBFA0"/>
            <w:hideMark/>
          </w:tcPr>
          <w:p w14:paraId="336E9119" w14:textId="77777777" w:rsidR="00EC019B" w:rsidRPr="00CD288E" w:rsidRDefault="00EC019B">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-270</w:t>
            </w:r>
          </w:p>
        </w:tc>
        <w:tc>
          <w:tcPr>
            <w:tcW w:w="4900" w:type="dxa"/>
            <w:tcBorders>
              <w:top w:val="single" w:sz="4" w:space="0" w:color="ADD6EA"/>
              <w:left w:val="nil"/>
              <w:bottom w:val="nil"/>
              <w:right w:val="nil"/>
            </w:tcBorders>
            <w:shd w:val="clear" w:color="000000" w:fill="FFFFFF"/>
            <w:hideMark/>
          </w:tcPr>
          <w:p w14:paraId="33C139B5" w14:textId="7BE3A7BE" w:rsidR="00EC019B" w:rsidRPr="00CD288E" w:rsidRDefault="00EC019B">
            <w:pPr>
              <w:tabs>
                <w:tab w:val="clear" w:pos="567"/>
              </w:tabs>
              <w:spacing w:before="0" w:line="240" w:lineRule="auto"/>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 xml:space="preserve">The </w:t>
            </w:r>
            <w:r w:rsidR="00AE72EC" w:rsidRPr="00CD288E">
              <w:rPr>
                <w:rFonts w:ascii="Open Sans Light" w:eastAsia="Times New Roman" w:hAnsi="Open Sans Light" w:cs="Open Sans Light"/>
                <w:color w:val="000000"/>
                <w:sz w:val="16"/>
                <w:szCs w:val="16"/>
                <w:lang w:eastAsia="en-AU"/>
              </w:rPr>
              <w:t>Northern</w:t>
            </w:r>
            <w:r w:rsidR="00AE72EC">
              <w:rPr>
                <w:rFonts w:ascii="Open Sans Light" w:eastAsia="Times New Roman" w:hAnsi="Open Sans Light" w:cs="Open Sans Light"/>
                <w:color w:val="000000"/>
                <w:sz w:val="16"/>
                <w:szCs w:val="16"/>
                <w:lang w:eastAsia="en-AU"/>
              </w:rPr>
              <w:t> </w:t>
            </w:r>
            <w:r w:rsidRPr="00CD288E">
              <w:rPr>
                <w:rFonts w:ascii="Open Sans Light" w:eastAsia="Times New Roman" w:hAnsi="Open Sans Light" w:cs="Open Sans Light"/>
                <w:color w:val="000000"/>
                <w:sz w:val="16"/>
                <w:szCs w:val="16"/>
                <w:lang w:eastAsia="en-AU"/>
              </w:rPr>
              <w:t xml:space="preserve">Territory received a greater share of assessed </w:t>
            </w:r>
            <w:r w:rsidR="00AE72EC" w:rsidRPr="00CD288E">
              <w:rPr>
                <w:rFonts w:ascii="Open Sans Light" w:eastAsia="Times New Roman" w:hAnsi="Open Sans Light" w:cs="Open Sans Light"/>
                <w:color w:val="000000"/>
                <w:sz w:val="16"/>
                <w:szCs w:val="16"/>
                <w:lang w:eastAsia="en-AU"/>
              </w:rPr>
              <w:t>Commonwealth</w:t>
            </w:r>
            <w:r w:rsidR="00AE72EC">
              <w:rPr>
                <w:rFonts w:ascii="Open Sans Light" w:eastAsia="Times New Roman" w:hAnsi="Open Sans Light" w:cs="Open Sans Light"/>
                <w:color w:val="000000"/>
                <w:sz w:val="16"/>
                <w:szCs w:val="16"/>
                <w:lang w:eastAsia="en-AU"/>
              </w:rPr>
              <w:t> </w:t>
            </w:r>
            <w:r w:rsidRPr="00CD288E">
              <w:rPr>
                <w:rFonts w:ascii="Open Sans Light" w:eastAsia="Times New Roman" w:hAnsi="Open Sans Light" w:cs="Open Sans Light"/>
                <w:color w:val="000000"/>
                <w:sz w:val="16"/>
                <w:szCs w:val="16"/>
                <w:lang w:eastAsia="en-AU"/>
              </w:rPr>
              <w:t>payments in 2023</w:t>
            </w:r>
            <w:r w:rsidR="00AE72EC" w:rsidRPr="001F54B5">
              <w:rPr>
                <w:rFonts w:ascii="Arial" w:eastAsia="Times New Roman" w:hAnsi="Arial" w:cs="Arial"/>
                <w:color w:val="000000"/>
                <w:sz w:val="16"/>
                <w:szCs w:val="16"/>
                <w:lang w:eastAsia="en-AU"/>
              </w:rPr>
              <w:t>‍</w:t>
            </w:r>
            <w:r w:rsidRPr="00CD288E">
              <w:rPr>
                <w:rFonts w:ascii="Open Sans Light" w:eastAsia="Times New Roman" w:hAnsi="Open Sans Light" w:cs="Open Sans Light"/>
                <w:color w:val="000000"/>
                <w:sz w:val="16"/>
                <w:szCs w:val="16"/>
                <w:lang w:eastAsia="en-AU"/>
              </w:rPr>
              <w:t>–</w:t>
            </w:r>
            <w:r w:rsidR="00AE72EC" w:rsidRPr="001F54B5">
              <w:rPr>
                <w:rFonts w:ascii="Arial" w:eastAsia="Times New Roman" w:hAnsi="Arial" w:cs="Arial"/>
                <w:color w:val="000000"/>
                <w:sz w:val="16"/>
                <w:szCs w:val="16"/>
                <w:lang w:eastAsia="en-AU"/>
              </w:rPr>
              <w:t>‍</w:t>
            </w:r>
            <w:r w:rsidRPr="00CD288E">
              <w:rPr>
                <w:rFonts w:ascii="Open Sans Light" w:eastAsia="Times New Roman" w:hAnsi="Open Sans Light" w:cs="Open Sans Light"/>
                <w:color w:val="000000"/>
                <w:sz w:val="16"/>
                <w:szCs w:val="16"/>
                <w:lang w:eastAsia="en-AU"/>
              </w:rPr>
              <w:t>24 compared with 2020–21, reducing its assessed GST needs.</w:t>
            </w:r>
          </w:p>
        </w:tc>
      </w:tr>
      <w:tr w:rsidR="00EC019B" w:rsidRPr="00CD288E" w14:paraId="47E8431E" w14:textId="77777777">
        <w:trPr>
          <w:trHeight w:val="319"/>
        </w:trPr>
        <w:tc>
          <w:tcPr>
            <w:tcW w:w="2640" w:type="dxa"/>
            <w:tcBorders>
              <w:top w:val="single" w:sz="4" w:space="0" w:color="ADD6EA"/>
              <w:left w:val="nil"/>
              <w:bottom w:val="single" w:sz="4" w:space="0" w:color="ADD6EA"/>
              <w:right w:val="nil"/>
            </w:tcBorders>
            <w:shd w:val="clear" w:color="000000" w:fill="FFFFFF"/>
            <w:hideMark/>
          </w:tcPr>
          <w:p w14:paraId="397242FE" w14:textId="77777777" w:rsidR="00EC019B" w:rsidRPr="00CD288E" w:rsidRDefault="00EC019B">
            <w:pPr>
              <w:tabs>
                <w:tab w:val="clear" w:pos="567"/>
              </w:tabs>
              <w:spacing w:before="0" w:line="240" w:lineRule="auto"/>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Indigenous status</w:t>
            </w:r>
          </w:p>
        </w:tc>
        <w:tc>
          <w:tcPr>
            <w:tcW w:w="700" w:type="dxa"/>
            <w:tcBorders>
              <w:top w:val="single" w:sz="4" w:space="0" w:color="ADD6EA"/>
              <w:left w:val="nil"/>
              <w:bottom w:val="single" w:sz="4" w:space="0" w:color="ADD6EA"/>
              <w:right w:val="nil"/>
            </w:tcBorders>
            <w:shd w:val="clear" w:color="000000" w:fill="ADD6EA"/>
            <w:hideMark/>
          </w:tcPr>
          <w:p w14:paraId="6F80E828" w14:textId="77777777" w:rsidR="00EC019B" w:rsidRPr="00CD288E" w:rsidRDefault="00EC019B">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61</w:t>
            </w:r>
          </w:p>
        </w:tc>
        <w:tc>
          <w:tcPr>
            <w:tcW w:w="700" w:type="dxa"/>
            <w:tcBorders>
              <w:top w:val="single" w:sz="4" w:space="0" w:color="ADD6EA"/>
              <w:left w:val="nil"/>
              <w:bottom w:val="single" w:sz="4" w:space="0" w:color="ADD6EA"/>
              <w:right w:val="nil"/>
            </w:tcBorders>
            <w:shd w:val="clear" w:color="000000" w:fill="ADD6EA"/>
            <w:hideMark/>
          </w:tcPr>
          <w:p w14:paraId="3F573739" w14:textId="77777777" w:rsidR="00EC019B" w:rsidRPr="00CD288E" w:rsidRDefault="00EC019B">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236</w:t>
            </w:r>
          </w:p>
        </w:tc>
        <w:tc>
          <w:tcPr>
            <w:tcW w:w="4900" w:type="dxa"/>
            <w:tcBorders>
              <w:top w:val="single" w:sz="4" w:space="0" w:color="ADD6EA"/>
              <w:left w:val="nil"/>
              <w:bottom w:val="single" w:sz="4" w:space="0" w:color="ADD6EA"/>
              <w:right w:val="nil"/>
            </w:tcBorders>
            <w:shd w:val="clear" w:color="000000" w:fill="FFFFFF"/>
            <w:hideMark/>
          </w:tcPr>
          <w:p w14:paraId="0FEE66BE" w14:textId="7D98B60E" w:rsidR="00EC019B" w:rsidRPr="00CD288E" w:rsidRDefault="00EC019B">
            <w:pPr>
              <w:tabs>
                <w:tab w:val="clear" w:pos="567"/>
              </w:tabs>
              <w:spacing w:before="0" w:line="240" w:lineRule="auto"/>
              <w:rPr>
                <w:rFonts w:ascii="Open Sans Light" w:eastAsia="Times New Roman" w:hAnsi="Open Sans Light" w:cs="Open Sans Light"/>
                <w:color w:val="000000"/>
                <w:sz w:val="16"/>
                <w:szCs w:val="16"/>
                <w:lang w:eastAsia="en-AU"/>
              </w:rPr>
            </w:pPr>
            <w:r w:rsidRPr="00CD288E">
              <w:rPr>
                <w:rFonts w:ascii="Open Sans Light" w:eastAsia="Times New Roman" w:hAnsi="Open Sans Light" w:cs="Open Sans Light"/>
                <w:color w:val="000000"/>
                <w:sz w:val="16"/>
                <w:szCs w:val="16"/>
                <w:lang w:eastAsia="en-AU"/>
              </w:rPr>
              <w:t xml:space="preserve">The increase in state child protection services and community health expenses, the increase in use of justice services by First Nations and an increase in the cost of </w:t>
            </w:r>
            <w:r w:rsidR="00AE72EC" w:rsidRPr="00CD288E">
              <w:rPr>
                <w:rFonts w:ascii="Open Sans Light" w:eastAsia="Times New Roman" w:hAnsi="Open Sans Light" w:cs="Open Sans Light"/>
                <w:color w:val="000000"/>
                <w:sz w:val="16"/>
                <w:szCs w:val="16"/>
                <w:lang w:eastAsia="en-AU"/>
              </w:rPr>
              <w:t>First</w:t>
            </w:r>
            <w:r w:rsidR="00AE72EC">
              <w:rPr>
                <w:rFonts w:ascii="Open Sans Light" w:eastAsia="Times New Roman" w:hAnsi="Open Sans Light" w:cs="Open Sans Light"/>
                <w:color w:val="000000"/>
                <w:sz w:val="16"/>
                <w:szCs w:val="16"/>
                <w:lang w:eastAsia="en-AU"/>
              </w:rPr>
              <w:t> </w:t>
            </w:r>
            <w:r w:rsidRPr="00CD288E">
              <w:rPr>
                <w:rFonts w:ascii="Open Sans Light" w:eastAsia="Times New Roman" w:hAnsi="Open Sans Light" w:cs="Open Sans Light"/>
                <w:color w:val="000000"/>
                <w:sz w:val="16"/>
                <w:szCs w:val="16"/>
                <w:lang w:eastAsia="en-AU"/>
              </w:rPr>
              <w:t>Nations students in 2023</w:t>
            </w:r>
            <w:r w:rsidR="00AE72EC" w:rsidRPr="001F54B5">
              <w:rPr>
                <w:rFonts w:ascii="Arial" w:eastAsia="Times New Roman" w:hAnsi="Arial" w:cs="Arial"/>
                <w:color w:val="000000"/>
                <w:sz w:val="16"/>
                <w:szCs w:val="16"/>
                <w:lang w:eastAsia="en-AU"/>
              </w:rPr>
              <w:t>‍</w:t>
            </w:r>
            <w:r w:rsidRPr="00CD288E">
              <w:rPr>
                <w:rFonts w:ascii="Open Sans Light" w:eastAsia="Times New Roman" w:hAnsi="Open Sans Light" w:cs="Open Sans Light"/>
                <w:color w:val="000000"/>
                <w:sz w:val="16"/>
                <w:szCs w:val="16"/>
                <w:lang w:eastAsia="en-AU"/>
              </w:rPr>
              <w:t>–</w:t>
            </w:r>
            <w:r w:rsidR="00AE72EC" w:rsidRPr="001F54B5">
              <w:rPr>
                <w:rFonts w:ascii="Arial" w:eastAsia="Times New Roman" w:hAnsi="Arial" w:cs="Arial"/>
                <w:color w:val="000000"/>
                <w:sz w:val="16"/>
                <w:szCs w:val="16"/>
                <w:lang w:eastAsia="en-AU"/>
              </w:rPr>
              <w:t>‍</w:t>
            </w:r>
            <w:r w:rsidRPr="00CD288E">
              <w:rPr>
                <w:rFonts w:ascii="Open Sans Light" w:eastAsia="Times New Roman" w:hAnsi="Open Sans Light" w:cs="Open Sans Light"/>
                <w:color w:val="000000"/>
                <w:sz w:val="16"/>
                <w:szCs w:val="16"/>
                <w:lang w:eastAsia="en-AU"/>
              </w:rPr>
              <w:t xml:space="preserve">24 compared with 2020–21 increased the influence of Indigenous status on the GST distribution. This increased the </w:t>
            </w:r>
            <w:r w:rsidR="00AE72EC" w:rsidRPr="00CD288E">
              <w:rPr>
                <w:rFonts w:ascii="Open Sans Light" w:eastAsia="Times New Roman" w:hAnsi="Open Sans Light" w:cs="Open Sans Light"/>
                <w:color w:val="000000"/>
                <w:sz w:val="16"/>
                <w:szCs w:val="16"/>
                <w:lang w:eastAsia="en-AU"/>
              </w:rPr>
              <w:t>Northern</w:t>
            </w:r>
            <w:r w:rsidR="00AE72EC">
              <w:rPr>
                <w:rFonts w:ascii="Open Sans Light" w:eastAsia="Times New Roman" w:hAnsi="Open Sans Light" w:cs="Open Sans Light"/>
                <w:color w:val="000000"/>
                <w:sz w:val="16"/>
                <w:szCs w:val="16"/>
                <w:lang w:eastAsia="en-AU"/>
              </w:rPr>
              <w:t> </w:t>
            </w:r>
            <w:r w:rsidRPr="00CD288E">
              <w:rPr>
                <w:rFonts w:ascii="Open Sans Light" w:eastAsia="Times New Roman" w:hAnsi="Open Sans Light" w:cs="Open Sans Light"/>
                <w:color w:val="000000"/>
                <w:sz w:val="16"/>
                <w:szCs w:val="16"/>
                <w:lang w:eastAsia="en-AU"/>
              </w:rPr>
              <w:t>Territory’s assessed GST needs.</w:t>
            </w:r>
          </w:p>
        </w:tc>
      </w:tr>
    </w:tbl>
    <w:p w14:paraId="3463A34D" w14:textId="1153AFF6" w:rsidR="00EC019B" w:rsidRPr="00885A41" w:rsidRDefault="00EC019B" w:rsidP="00FB2709">
      <w:pPr>
        <w:pStyle w:val="CGC2025TableNote"/>
        <w:numPr>
          <w:ilvl w:val="0"/>
          <w:numId w:val="26"/>
        </w:numPr>
      </w:pPr>
      <w:r w:rsidRPr="00885A41">
        <w:t>Change of circumstances refers to the impact of replacing the 2020–21 assessment year data with the 2023–24 assessment year data in the calculation of relativities.</w:t>
      </w:r>
    </w:p>
    <w:p w14:paraId="1561491A" w14:textId="0A293637" w:rsidR="004D4B6D" w:rsidRDefault="004D4B6D" w:rsidP="00436FB0">
      <w:pPr>
        <w:rPr>
          <w:rFonts w:eastAsia="Times New Roman" w:cs="Open Sans"/>
          <w:b/>
          <w:bCs/>
          <w:color w:val="006991"/>
          <w:sz w:val="40"/>
          <w:szCs w:val="40"/>
        </w:rPr>
      </w:pPr>
      <w:r>
        <w:br w:type="page"/>
      </w:r>
    </w:p>
    <w:p w14:paraId="7CBB813C" w14:textId="21CB7557" w:rsidR="00280DED" w:rsidRPr="008D704F" w:rsidRDefault="00280DED" w:rsidP="00002561">
      <w:pPr>
        <w:pStyle w:val="Heading1"/>
        <w:rPr>
          <w:b w:val="0"/>
          <w:bCs w:val="0"/>
        </w:rPr>
      </w:pPr>
      <w:bookmarkStart w:id="143" w:name="_Toc190781293"/>
      <w:bookmarkStart w:id="144" w:name="_Toc190781849"/>
      <w:r w:rsidRPr="00DC55A9">
        <w:lastRenderedPageBreak/>
        <w:t xml:space="preserve">Attachment A: </w:t>
      </w:r>
      <w:r w:rsidRPr="008D704F">
        <w:rPr>
          <w:b w:val="0"/>
          <w:bCs w:val="0"/>
        </w:rPr>
        <w:t>How GST relativities are calculated</w:t>
      </w:r>
      <w:bookmarkEnd w:id="143"/>
      <w:bookmarkEnd w:id="144"/>
      <w:r w:rsidRPr="008D704F">
        <w:rPr>
          <w:b w:val="0"/>
          <w:bCs w:val="0"/>
        </w:rPr>
        <w:t xml:space="preserve"> </w:t>
      </w:r>
    </w:p>
    <w:p w14:paraId="744563F2" w14:textId="77777777" w:rsidR="0040367C" w:rsidRDefault="0040367C" w:rsidP="0040367C">
      <w:bookmarkStart w:id="145" w:name="_Toc127802157"/>
      <w:bookmarkStart w:id="146" w:name="_Toc127804780"/>
      <w:r>
        <w:t>This attachment provides details on how GST relativities are calculated.</w:t>
      </w:r>
      <w:bookmarkEnd w:id="145"/>
      <w:bookmarkEnd w:id="146"/>
      <w:r>
        <w:t xml:space="preserve"> Box A-1 explains the steps involved. </w:t>
      </w:r>
    </w:p>
    <w:p w14:paraId="1DADE598" w14:textId="77777777" w:rsidR="001D322B" w:rsidRPr="00DC55A9" w:rsidRDefault="001D322B" w:rsidP="00A5480B">
      <w:pPr>
        <w:pStyle w:val="Heading2"/>
      </w:pPr>
      <w:r w:rsidRPr="00DC55A9">
        <w:t>Assessed, standard state and GST relativities</w:t>
      </w:r>
    </w:p>
    <w:p w14:paraId="4C14914F" w14:textId="77777777" w:rsidR="00F424C4" w:rsidRPr="005C01CE" w:rsidRDefault="00F424C4" w:rsidP="00F424C4">
      <w:r w:rsidRPr="005C01CE">
        <w:t>Table A-</w:t>
      </w:r>
      <w:r>
        <w:t>1</w:t>
      </w:r>
      <w:r w:rsidRPr="005C01CE">
        <w:t xml:space="preserve"> shows how GST </w:t>
      </w:r>
      <w:r>
        <w:t xml:space="preserve">relativities are derived from assessed relativities.  </w:t>
      </w:r>
    </w:p>
    <w:p w14:paraId="7CE803AC" w14:textId="77777777" w:rsidR="00A5480B" w:rsidRDefault="00A5480B" w:rsidP="00A5480B">
      <w:pPr>
        <w:pStyle w:val="CGC2025Caption"/>
      </w:pPr>
      <w:r w:rsidRPr="00DC55A9">
        <w:t>Table A-1</w:t>
      </w:r>
      <w:r w:rsidRPr="00DC55A9">
        <w:tab/>
        <w:t>Assessed relativities to GST relativities, 2025–26 (a)</w:t>
      </w:r>
    </w:p>
    <w:tbl>
      <w:tblPr>
        <w:tblW w:w="8980" w:type="dxa"/>
        <w:tblLook w:val="04A0" w:firstRow="1" w:lastRow="0" w:firstColumn="1" w:lastColumn="0" w:noHBand="0" w:noVBand="1"/>
      </w:tblPr>
      <w:tblGrid>
        <w:gridCol w:w="1292"/>
        <w:gridCol w:w="860"/>
        <w:gridCol w:w="860"/>
        <w:gridCol w:w="860"/>
        <w:gridCol w:w="860"/>
        <w:gridCol w:w="860"/>
        <w:gridCol w:w="860"/>
        <w:gridCol w:w="860"/>
        <w:gridCol w:w="860"/>
        <w:gridCol w:w="808"/>
      </w:tblGrid>
      <w:tr w:rsidR="00EB6731" w:rsidRPr="00304176" w14:paraId="07FB5025" w14:textId="77777777" w:rsidTr="00E90A6D">
        <w:trPr>
          <w:trHeight w:val="375"/>
        </w:trPr>
        <w:tc>
          <w:tcPr>
            <w:tcW w:w="1292" w:type="dxa"/>
            <w:tcBorders>
              <w:top w:val="nil"/>
              <w:left w:val="nil"/>
              <w:bottom w:val="nil"/>
              <w:right w:val="nil"/>
            </w:tcBorders>
            <w:shd w:val="clear" w:color="000000" w:fill="006991"/>
            <w:vAlign w:val="bottom"/>
            <w:hideMark/>
          </w:tcPr>
          <w:p w14:paraId="294DF3E8" w14:textId="77777777" w:rsidR="00EB6731" w:rsidRPr="00304176" w:rsidRDefault="00EB6731">
            <w:pPr>
              <w:tabs>
                <w:tab w:val="clear" w:pos="567"/>
              </w:tabs>
              <w:spacing w:before="0" w:line="240" w:lineRule="auto"/>
              <w:rPr>
                <w:rFonts w:ascii="Open Sans Semibold" w:eastAsia="Times New Roman" w:hAnsi="Open Sans Semibold" w:cs="Open Sans Semibold"/>
                <w:color w:val="FFFFFF"/>
                <w:sz w:val="16"/>
                <w:szCs w:val="16"/>
                <w:lang w:eastAsia="en-AU"/>
              </w:rPr>
            </w:pPr>
            <w:r w:rsidRPr="00304176">
              <w:rPr>
                <w:rFonts w:ascii="Open Sans Semibold" w:eastAsia="Times New Roman" w:hAnsi="Open Sans Semibold" w:cs="Open Sans Semibold"/>
                <w:color w:val="FFFFFF"/>
                <w:sz w:val="16"/>
                <w:szCs w:val="16"/>
                <w:lang w:eastAsia="en-AU"/>
              </w:rPr>
              <w:t> </w:t>
            </w:r>
          </w:p>
        </w:tc>
        <w:tc>
          <w:tcPr>
            <w:tcW w:w="860" w:type="dxa"/>
            <w:tcBorders>
              <w:top w:val="nil"/>
              <w:left w:val="nil"/>
              <w:bottom w:val="nil"/>
              <w:right w:val="nil"/>
            </w:tcBorders>
            <w:shd w:val="clear" w:color="000000" w:fill="006991"/>
            <w:vAlign w:val="center"/>
            <w:hideMark/>
          </w:tcPr>
          <w:p w14:paraId="2E92D35D"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4176">
              <w:rPr>
                <w:rFonts w:ascii="Open Sans Semibold" w:eastAsia="Times New Roman" w:hAnsi="Open Sans Semibold" w:cs="Open Sans Semibold"/>
                <w:color w:val="FFFFFF"/>
                <w:sz w:val="16"/>
                <w:szCs w:val="16"/>
                <w:lang w:eastAsia="en-AU"/>
              </w:rPr>
              <w:t>NSW</w:t>
            </w:r>
          </w:p>
        </w:tc>
        <w:tc>
          <w:tcPr>
            <w:tcW w:w="860" w:type="dxa"/>
            <w:tcBorders>
              <w:top w:val="nil"/>
              <w:left w:val="nil"/>
              <w:bottom w:val="nil"/>
              <w:right w:val="nil"/>
            </w:tcBorders>
            <w:shd w:val="clear" w:color="000000" w:fill="006991"/>
            <w:vAlign w:val="center"/>
            <w:hideMark/>
          </w:tcPr>
          <w:p w14:paraId="51C36695"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4176">
              <w:rPr>
                <w:rFonts w:ascii="Open Sans Semibold" w:eastAsia="Times New Roman" w:hAnsi="Open Sans Semibold" w:cs="Open Sans Semibold"/>
                <w:color w:val="FFFFFF"/>
                <w:sz w:val="16"/>
                <w:szCs w:val="16"/>
                <w:lang w:eastAsia="en-AU"/>
              </w:rPr>
              <w:t>Vic</w:t>
            </w:r>
          </w:p>
        </w:tc>
        <w:tc>
          <w:tcPr>
            <w:tcW w:w="860" w:type="dxa"/>
            <w:tcBorders>
              <w:top w:val="nil"/>
              <w:left w:val="nil"/>
              <w:bottom w:val="nil"/>
              <w:right w:val="nil"/>
            </w:tcBorders>
            <w:shd w:val="clear" w:color="000000" w:fill="006991"/>
            <w:vAlign w:val="center"/>
            <w:hideMark/>
          </w:tcPr>
          <w:p w14:paraId="50434D20"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4176">
              <w:rPr>
                <w:rFonts w:ascii="Open Sans Semibold" w:eastAsia="Times New Roman" w:hAnsi="Open Sans Semibold" w:cs="Open Sans Semibold"/>
                <w:color w:val="FFFFFF"/>
                <w:sz w:val="16"/>
                <w:szCs w:val="16"/>
                <w:lang w:eastAsia="en-AU"/>
              </w:rPr>
              <w:t>Qld</w:t>
            </w:r>
          </w:p>
        </w:tc>
        <w:tc>
          <w:tcPr>
            <w:tcW w:w="860" w:type="dxa"/>
            <w:tcBorders>
              <w:top w:val="nil"/>
              <w:left w:val="nil"/>
              <w:bottom w:val="nil"/>
              <w:right w:val="nil"/>
            </w:tcBorders>
            <w:shd w:val="clear" w:color="000000" w:fill="006991"/>
            <w:vAlign w:val="center"/>
            <w:hideMark/>
          </w:tcPr>
          <w:p w14:paraId="40F2AD26"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4176">
              <w:rPr>
                <w:rFonts w:ascii="Open Sans Semibold" w:eastAsia="Times New Roman" w:hAnsi="Open Sans Semibold" w:cs="Open Sans Semibold"/>
                <w:color w:val="FFFFFF"/>
                <w:sz w:val="16"/>
                <w:szCs w:val="16"/>
                <w:lang w:eastAsia="en-AU"/>
              </w:rPr>
              <w:t>WA</w:t>
            </w:r>
          </w:p>
        </w:tc>
        <w:tc>
          <w:tcPr>
            <w:tcW w:w="860" w:type="dxa"/>
            <w:tcBorders>
              <w:top w:val="nil"/>
              <w:left w:val="nil"/>
              <w:bottom w:val="nil"/>
              <w:right w:val="nil"/>
            </w:tcBorders>
            <w:shd w:val="clear" w:color="000000" w:fill="006991"/>
            <w:vAlign w:val="center"/>
            <w:hideMark/>
          </w:tcPr>
          <w:p w14:paraId="38E9738E"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4176">
              <w:rPr>
                <w:rFonts w:ascii="Open Sans Semibold" w:eastAsia="Times New Roman" w:hAnsi="Open Sans Semibold" w:cs="Open Sans Semibold"/>
                <w:color w:val="FFFFFF"/>
                <w:sz w:val="16"/>
                <w:szCs w:val="16"/>
                <w:lang w:eastAsia="en-AU"/>
              </w:rPr>
              <w:t>SA</w:t>
            </w:r>
          </w:p>
        </w:tc>
        <w:tc>
          <w:tcPr>
            <w:tcW w:w="860" w:type="dxa"/>
            <w:tcBorders>
              <w:top w:val="nil"/>
              <w:left w:val="nil"/>
              <w:bottom w:val="nil"/>
              <w:right w:val="nil"/>
            </w:tcBorders>
            <w:shd w:val="clear" w:color="000000" w:fill="006991"/>
            <w:vAlign w:val="center"/>
            <w:hideMark/>
          </w:tcPr>
          <w:p w14:paraId="6F02E5E0"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4176">
              <w:rPr>
                <w:rFonts w:ascii="Open Sans Semibold" w:eastAsia="Times New Roman" w:hAnsi="Open Sans Semibold" w:cs="Open Sans Semibold"/>
                <w:color w:val="FFFFFF"/>
                <w:sz w:val="16"/>
                <w:szCs w:val="16"/>
                <w:lang w:eastAsia="en-AU"/>
              </w:rPr>
              <w:t>Tas</w:t>
            </w:r>
          </w:p>
        </w:tc>
        <w:tc>
          <w:tcPr>
            <w:tcW w:w="860" w:type="dxa"/>
            <w:tcBorders>
              <w:top w:val="nil"/>
              <w:left w:val="nil"/>
              <w:bottom w:val="nil"/>
              <w:right w:val="nil"/>
            </w:tcBorders>
            <w:shd w:val="clear" w:color="000000" w:fill="006991"/>
            <w:vAlign w:val="center"/>
            <w:hideMark/>
          </w:tcPr>
          <w:p w14:paraId="5D39B3AA"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4176">
              <w:rPr>
                <w:rFonts w:ascii="Open Sans Semibold" w:eastAsia="Times New Roman" w:hAnsi="Open Sans Semibold" w:cs="Open Sans Semibold"/>
                <w:color w:val="FFFFFF"/>
                <w:sz w:val="16"/>
                <w:szCs w:val="16"/>
                <w:lang w:eastAsia="en-AU"/>
              </w:rPr>
              <w:t>ACT</w:t>
            </w:r>
          </w:p>
        </w:tc>
        <w:tc>
          <w:tcPr>
            <w:tcW w:w="860" w:type="dxa"/>
            <w:tcBorders>
              <w:top w:val="nil"/>
              <w:left w:val="nil"/>
              <w:bottom w:val="nil"/>
              <w:right w:val="nil"/>
            </w:tcBorders>
            <w:shd w:val="clear" w:color="000000" w:fill="006991"/>
            <w:vAlign w:val="center"/>
            <w:hideMark/>
          </w:tcPr>
          <w:p w14:paraId="09AE732D"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4176">
              <w:rPr>
                <w:rFonts w:ascii="Open Sans Semibold" w:eastAsia="Times New Roman" w:hAnsi="Open Sans Semibold" w:cs="Open Sans Semibold"/>
                <w:color w:val="FFFFFF"/>
                <w:sz w:val="16"/>
                <w:szCs w:val="16"/>
                <w:lang w:eastAsia="en-AU"/>
              </w:rPr>
              <w:t>NT</w:t>
            </w:r>
          </w:p>
        </w:tc>
        <w:tc>
          <w:tcPr>
            <w:tcW w:w="808" w:type="dxa"/>
            <w:tcBorders>
              <w:top w:val="nil"/>
              <w:left w:val="nil"/>
              <w:bottom w:val="nil"/>
              <w:right w:val="nil"/>
            </w:tcBorders>
            <w:shd w:val="clear" w:color="000000" w:fill="006991"/>
            <w:vAlign w:val="center"/>
            <w:hideMark/>
          </w:tcPr>
          <w:p w14:paraId="048546D7"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4176">
              <w:rPr>
                <w:rFonts w:ascii="Open Sans Semibold" w:eastAsia="Times New Roman" w:hAnsi="Open Sans Semibold" w:cs="Open Sans Semibold"/>
                <w:color w:val="FFFFFF"/>
                <w:sz w:val="16"/>
                <w:szCs w:val="16"/>
                <w:lang w:eastAsia="en-AU"/>
              </w:rPr>
              <w:t>Total</w:t>
            </w:r>
          </w:p>
        </w:tc>
      </w:tr>
      <w:tr w:rsidR="00EB6731" w:rsidRPr="00304176" w14:paraId="23D3C5A4" w14:textId="77777777">
        <w:trPr>
          <w:trHeight w:val="315"/>
        </w:trPr>
        <w:tc>
          <w:tcPr>
            <w:tcW w:w="8980" w:type="dxa"/>
            <w:gridSpan w:val="10"/>
            <w:tcBorders>
              <w:top w:val="single" w:sz="4" w:space="0" w:color="ADD6EA"/>
              <w:left w:val="nil"/>
              <w:bottom w:val="single" w:sz="4" w:space="0" w:color="ADD6EA"/>
              <w:right w:val="nil"/>
            </w:tcBorders>
            <w:shd w:val="clear" w:color="auto" w:fill="auto"/>
            <w:vAlign w:val="center"/>
            <w:hideMark/>
          </w:tcPr>
          <w:p w14:paraId="4F3E4B18" w14:textId="77777777" w:rsidR="00EB6731" w:rsidRPr="00304176" w:rsidRDefault="00EB6731">
            <w:pPr>
              <w:tabs>
                <w:tab w:val="clear" w:pos="567"/>
              </w:tabs>
              <w:spacing w:before="0" w:line="240" w:lineRule="auto"/>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Assessed relativities</w:t>
            </w:r>
          </w:p>
        </w:tc>
      </w:tr>
      <w:tr w:rsidR="00EB6731" w:rsidRPr="00304176" w14:paraId="4A9F0B33" w14:textId="77777777" w:rsidTr="00E90A6D">
        <w:trPr>
          <w:trHeight w:val="315"/>
        </w:trPr>
        <w:tc>
          <w:tcPr>
            <w:tcW w:w="1292" w:type="dxa"/>
            <w:tcBorders>
              <w:top w:val="nil"/>
              <w:left w:val="nil"/>
              <w:bottom w:val="nil"/>
              <w:right w:val="nil"/>
            </w:tcBorders>
            <w:shd w:val="clear" w:color="auto" w:fill="auto"/>
            <w:vAlign w:val="center"/>
            <w:hideMark/>
          </w:tcPr>
          <w:p w14:paraId="0E51E9F7" w14:textId="77777777" w:rsidR="00EB6731" w:rsidRPr="00304176" w:rsidRDefault="00EB6731">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2021-22</w:t>
            </w:r>
          </w:p>
        </w:tc>
        <w:tc>
          <w:tcPr>
            <w:tcW w:w="860" w:type="dxa"/>
            <w:tcBorders>
              <w:top w:val="nil"/>
              <w:left w:val="nil"/>
              <w:bottom w:val="nil"/>
              <w:right w:val="nil"/>
            </w:tcBorders>
            <w:shd w:val="clear" w:color="auto" w:fill="auto"/>
            <w:noWrap/>
            <w:vAlign w:val="center"/>
            <w:hideMark/>
          </w:tcPr>
          <w:p w14:paraId="778963D9"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0.97804</w:t>
            </w:r>
          </w:p>
        </w:tc>
        <w:tc>
          <w:tcPr>
            <w:tcW w:w="860" w:type="dxa"/>
            <w:tcBorders>
              <w:top w:val="nil"/>
              <w:left w:val="nil"/>
              <w:bottom w:val="nil"/>
              <w:right w:val="nil"/>
            </w:tcBorders>
            <w:shd w:val="clear" w:color="auto" w:fill="auto"/>
            <w:noWrap/>
            <w:vAlign w:val="center"/>
            <w:hideMark/>
          </w:tcPr>
          <w:p w14:paraId="6CC861BB"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1.16424</w:t>
            </w:r>
          </w:p>
        </w:tc>
        <w:tc>
          <w:tcPr>
            <w:tcW w:w="860" w:type="dxa"/>
            <w:tcBorders>
              <w:top w:val="nil"/>
              <w:left w:val="nil"/>
              <w:bottom w:val="nil"/>
              <w:right w:val="nil"/>
            </w:tcBorders>
            <w:shd w:val="clear" w:color="auto" w:fill="auto"/>
            <w:noWrap/>
            <w:vAlign w:val="center"/>
            <w:hideMark/>
          </w:tcPr>
          <w:p w14:paraId="5E5A4455"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0.88307</w:t>
            </w:r>
          </w:p>
        </w:tc>
        <w:tc>
          <w:tcPr>
            <w:tcW w:w="860" w:type="dxa"/>
            <w:tcBorders>
              <w:top w:val="nil"/>
              <w:left w:val="nil"/>
              <w:bottom w:val="nil"/>
              <w:right w:val="nil"/>
            </w:tcBorders>
            <w:shd w:val="clear" w:color="auto" w:fill="auto"/>
            <w:noWrap/>
            <w:vAlign w:val="center"/>
            <w:hideMark/>
          </w:tcPr>
          <w:p w14:paraId="47FC6564"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0.02253</w:t>
            </w:r>
          </w:p>
        </w:tc>
        <w:tc>
          <w:tcPr>
            <w:tcW w:w="860" w:type="dxa"/>
            <w:tcBorders>
              <w:top w:val="nil"/>
              <w:left w:val="nil"/>
              <w:bottom w:val="nil"/>
              <w:right w:val="nil"/>
            </w:tcBorders>
            <w:shd w:val="clear" w:color="auto" w:fill="auto"/>
            <w:noWrap/>
            <w:vAlign w:val="center"/>
            <w:hideMark/>
          </w:tcPr>
          <w:p w14:paraId="38CA987A"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1.41001</w:t>
            </w:r>
          </w:p>
        </w:tc>
        <w:tc>
          <w:tcPr>
            <w:tcW w:w="860" w:type="dxa"/>
            <w:tcBorders>
              <w:top w:val="nil"/>
              <w:left w:val="nil"/>
              <w:bottom w:val="nil"/>
              <w:right w:val="nil"/>
            </w:tcBorders>
            <w:shd w:val="clear" w:color="auto" w:fill="auto"/>
            <w:noWrap/>
            <w:vAlign w:val="center"/>
            <w:hideMark/>
          </w:tcPr>
          <w:p w14:paraId="4F48506B"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1.88451</w:t>
            </w:r>
          </w:p>
        </w:tc>
        <w:tc>
          <w:tcPr>
            <w:tcW w:w="860" w:type="dxa"/>
            <w:tcBorders>
              <w:top w:val="nil"/>
              <w:left w:val="nil"/>
              <w:bottom w:val="nil"/>
              <w:right w:val="nil"/>
            </w:tcBorders>
            <w:shd w:val="clear" w:color="auto" w:fill="auto"/>
            <w:noWrap/>
            <w:vAlign w:val="center"/>
            <w:hideMark/>
          </w:tcPr>
          <w:p w14:paraId="2441F961"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1.32697</w:t>
            </w:r>
          </w:p>
        </w:tc>
        <w:tc>
          <w:tcPr>
            <w:tcW w:w="860" w:type="dxa"/>
            <w:tcBorders>
              <w:top w:val="nil"/>
              <w:left w:val="nil"/>
              <w:bottom w:val="nil"/>
              <w:right w:val="nil"/>
            </w:tcBorders>
            <w:shd w:val="clear" w:color="auto" w:fill="auto"/>
            <w:noWrap/>
            <w:vAlign w:val="center"/>
            <w:hideMark/>
          </w:tcPr>
          <w:p w14:paraId="1208D648"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5.12722</w:t>
            </w:r>
          </w:p>
        </w:tc>
        <w:tc>
          <w:tcPr>
            <w:tcW w:w="808" w:type="dxa"/>
            <w:tcBorders>
              <w:top w:val="nil"/>
              <w:left w:val="nil"/>
              <w:bottom w:val="nil"/>
              <w:right w:val="nil"/>
            </w:tcBorders>
            <w:shd w:val="clear" w:color="auto" w:fill="auto"/>
            <w:noWrap/>
            <w:vAlign w:val="center"/>
            <w:hideMark/>
          </w:tcPr>
          <w:p w14:paraId="78114C0A"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1.00000</w:t>
            </w:r>
          </w:p>
        </w:tc>
      </w:tr>
      <w:tr w:rsidR="00EB6731" w:rsidRPr="00304176" w14:paraId="63A8AFDA" w14:textId="77777777" w:rsidTr="00E90A6D">
        <w:trPr>
          <w:trHeight w:val="315"/>
        </w:trPr>
        <w:tc>
          <w:tcPr>
            <w:tcW w:w="1292" w:type="dxa"/>
            <w:tcBorders>
              <w:top w:val="single" w:sz="4" w:space="0" w:color="ADD6EA"/>
              <w:left w:val="nil"/>
              <w:bottom w:val="nil"/>
              <w:right w:val="nil"/>
            </w:tcBorders>
            <w:shd w:val="clear" w:color="auto" w:fill="auto"/>
            <w:vAlign w:val="center"/>
            <w:hideMark/>
          </w:tcPr>
          <w:p w14:paraId="527D8F33" w14:textId="77777777" w:rsidR="00EB6731" w:rsidRPr="00304176" w:rsidRDefault="00EB6731">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2022-23</w:t>
            </w:r>
          </w:p>
        </w:tc>
        <w:tc>
          <w:tcPr>
            <w:tcW w:w="860" w:type="dxa"/>
            <w:tcBorders>
              <w:top w:val="single" w:sz="4" w:space="0" w:color="ADD6EA"/>
              <w:left w:val="nil"/>
              <w:bottom w:val="nil"/>
              <w:right w:val="nil"/>
            </w:tcBorders>
            <w:shd w:val="clear" w:color="auto" w:fill="auto"/>
            <w:noWrap/>
            <w:vAlign w:val="center"/>
            <w:hideMark/>
          </w:tcPr>
          <w:p w14:paraId="35EB720B"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0.93613</w:t>
            </w:r>
          </w:p>
        </w:tc>
        <w:tc>
          <w:tcPr>
            <w:tcW w:w="860" w:type="dxa"/>
            <w:tcBorders>
              <w:top w:val="single" w:sz="4" w:space="0" w:color="ADD6EA"/>
              <w:left w:val="nil"/>
              <w:bottom w:val="nil"/>
              <w:right w:val="nil"/>
            </w:tcBorders>
            <w:shd w:val="clear" w:color="auto" w:fill="auto"/>
            <w:noWrap/>
            <w:vAlign w:val="center"/>
            <w:hideMark/>
          </w:tcPr>
          <w:p w14:paraId="2482D3A9"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1.14341</w:t>
            </w:r>
          </w:p>
        </w:tc>
        <w:tc>
          <w:tcPr>
            <w:tcW w:w="860" w:type="dxa"/>
            <w:tcBorders>
              <w:top w:val="single" w:sz="4" w:space="0" w:color="ADD6EA"/>
              <w:left w:val="nil"/>
              <w:bottom w:val="nil"/>
              <w:right w:val="nil"/>
            </w:tcBorders>
            <w:shd w:val="clear" w:color="auto" w:fill="auto"/>
            <w:noWrap/>
            <w:vAlign w:val="center"/>
            <w:hideMark/>
          </w:tcPr>
          <w:p w14:paraId="49FEAEB2"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0.78937</w:t>
            </w:r>
          </w:p>
        </w:tc>
        <w:tc>
          <w:tcPr>
            <w:tcW w:w="860" w:type="dxa"/>
            <w:tcBorders>
              <w:top w:val="single" w:sz="4" w:space="0" w:color="ADD6EA"/>
              <w:left w:val="nil"/>
              <w:bottom w:val="nil"/>
              <w:right w:val="nil"/>
            </w:tcBorders>
            <w:shd w:val="clear" w:color="auto" w:fill="auto"/>
            <w:noWrap/>
            <w:vAlign w:val="center"/>
            <w:hideMark/>
          </w:tcPr>
          <w:p w14:paraId="4A80B443"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0.30161</w:t>
            </w:r>
          </w:p>
        </w:tc>
        <w:tc>
          <w:tcPr>
            <w:tcW w:w="860" w:type="dxa"/>
            <w:tcBorders>
              <w:top w:val="single" w:sz="4" w:space="0" w:color="ADD6EA"/>
              <w:left w:val="nil"/>
              <w:bottom w:val="nil"/>
              <w:right w:val="nil"/>
            </w:tcBorders>
            <w:shd w:val="clear" w:color="auto" w:fill="auto"/>
            <w:noWrap/>
            <w:vAlign w:val="center"/>
            <w:hideMark/>
          </w:tcPr>
          <w:p w14:paraId="469040C3"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1.53833</w:t>
            </w:r>
          </w:p>
        </w:tc>
        <w:tc>
          <w:tcPr>
            <w:tcW w:w="860" w:type="dxa"/>
            <w:tcBorders>
              <w:top w:val="single" w:sz="4" w:space="0" w:color="ADD6EA"/>
              <w:left w:val="nil"/>
              <w:bottom w:val="nil"/>
              <w:right w:val="nil"/>
            </w:tcBorders>
            <w:shd w:val="clear" w:color="auto" w:fill="auto"/>
            <w:noWrap/>
            <w:vAlign w:val="center"/>
            <w:hideMark/>
          </w:tcPr>
          <w:p w14:paraId="27114B30"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1.94968</w:t>
            </w:r>
          </w:p>
        </w:tc>
        <w:tc>
          <w:tcPr>
            <w:tcW w:w="860" w:type="dxa"/>
            <w:tcBorders>
              <w:top w:val="single" w:sz="4" w:space="0" w:color="ADD6EA"/>
              <w:left w:val="nil"/>
              <w:bottom w:val="nil"/>
              <w:right w:val="nil"/>
            </w:tcBorders>
            <w:shd w:val="clear" w:color="auto" w:fill="auto"/>
            <w:noWrap/>
            <w:vAlign w:val="center"/>
            <w:hideMark/>
          </w:tcPr>
          <w:p w14:paraId="5D7E3BD0"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1.19669</w:t>
            </w:r>
          </w:p>
        </w:tc>
        <w:tc>
          <w:tcPr>
            <w:tcW w:w="860" w:type="dxa"/>
            <w:tcBorders>
              <w:top w:val="single" w:sz="4" w:space="0" w:color="ADD6EA"/>
              <w:left w:val="nil"/>
              <w:bottom w:val="nil"/>
              <w:right w:val="nil"/>
            </w:tcBorders>
            <w:shd w:val="clear" w:color="auto" w:fill="auto"/>
            <w:noWrap/>
            <w:vAlign w:val="center"/>
            <w:hideMark/>
          </w:tcPr>
          <w:p w14:paraId="4EC9906D"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5.19781</w:t>
            </w:r>
          </w:p>
        </w:tc>
        <w:tc>
          <w:tcPr>
            <w:tcW w:w="808" w:type="dxa"/>
            <w:tcBorders>
              <w:top w:val="single" w:sz="4" w:space="0" w:color="ADD6EA"/>
              <w:left w:val="nil"/>
              <w:bottom w:val="nil"/>
              <w:right w:val="nil"/>
            </w:tcBorders>
            <w:shd w:val="clear" w:color="auto" w:fill="auto"/>
            <w:noWrap/>
            <w:vAlign w:val="center"/>
            <w:hideMark/>
          </w:tcPr>
          <w:p w14:paraId="25B674B9"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1.00000</w:t>
            </w:r>
          </w:p>
        </w:tc>
      </w:tr>
      <w:tr w:rsidR="00EB6731" w:rsidRPr="00304176" w14:paraId="1C43EDA1" w14:textId="77777777" w:rsidTr="00E90A6D">
        <w:trPr>
          <w:trHeight w:val="315"/>
        </w:trPr>
        <w:tc>
          <w:tcPr>
            <w:tcW w:w="1292" w:type="dxa"/>
            <w:tcBorders>
              <w:top w:val="single" w:sz="4" w:space="0" w:color="ADD6EA"/>
              <w:left w:val="nil"/>
              <w:bottom w:val="nil"/>
              <w:right w:val="nil"/>
            </w:tcBorders>
            <w:shd w:val="clear" w:color="auto" w:fill="auto"/>
            <w:vAlign w:val="center"/>
            <w:hideMark/>
          </w:tcPr>
          <w:p w14:paraId="596F2572" w14:textId="77777777" w:rsidR="00EB6731" w:rsidRPr="00304176" w:rsidRDefault="00EB6731">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2023-24</w:t>
            </w:r>
          </w:p>
        </w:tc>
        <w:tc>
          <w:tcPr>
            <w:tcW w:w="860" w:type="dxa"/>
            <w:tcBorders>
              <w:top w:val="single" w:sz="4" w:space="0" w:color="ADD6EA"/>
              <w:left w:val="nil"/>
              <w:bottom w:val="nil"/>
              <w:right w:val="nil"/>
            </w:tcBorders>
            <w:shd w:val="clear" w:color="auto" w:fill="auto"/>
            <w:noWrap/>
            <w:vAlign w:val="center"/>
            <w:hideMark/>
          </w:tcPr>
          <w:p w14:paraId="17FC6BCB"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0.91356</w:t>
            </w:r>
          </w:p>
        </w:tc>
        <w:tc>
          <w:tcPr>
            <w:tcW w:w="860" w:type="dxa"/>
            <w:tcBorders>
              <w:top w:val="single" w:sz="4" w:space="0" w:color="ADD6EA"/>
              <w:left w:val="nil"/>
              <w:bottom w:val="nil"/>
              <w:right w:val="nil"/>
            </w:tcBorders>
            <w:shd w:val="clear" w:color="auto" w:fill="auto"/>
            <w:noWrap/>
            <w:vAlign w:val="center"/>
            <w:hideMark/>
          </w:tcPr>
          <w:p w14:paraId="49C01B5E"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1.13899</w:t>
            </w:r>
          </w:p>
        </w:tc>
        <w:tc>
          <w:tcPr>
            <w:tcW w:w="860" w:type="dxa"/>
            <w:tcBorders>
              <w:top w:val="single" w:sz="4" w:space="0" w:color="ADD6EA"/>
              <w:left w:val="nil"/>
              <w:bottom w:val="nil"/>
              <w:right w:val="nil"/>
            </w:tcBorders>
            <w:shd w:val="clear" w:color="auto" w:fill="auto"/>
            <w:noWrap/>
            <w:vAlign w:val="center"/>
            <w:hideMark/>
          </w:tcPr>
          <w:p w14:paraId="69E6D012"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0.89264</w:t>
            </w:r>
          </w:p>
        </w:tc>
        <w:tc>
          <w:tcPr>
            <w:tcW w:w="860" w:type="dxa"/>
            <w:tcBorders>
              <w:top w:val="single" w:sz="4" w:space="0" w:color="ADD6EA"/>
              <w:left w:val="nil"/>
              <w:bottom w:val="nil"/>
              <w:right w:val="nil"/>
            </w:tcBorders>
            <w:shd w:val="clear" w:color="auto" w:fill="auto"/>
            <w:noWrap/>
            <w:vAlign w:val="center"/>
            <w:hideMark/>
          </w:tcPr>
          <w:p w14:paraId="56C92418"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0.23461</w:t>
            </w:r>
          </w:p>
        </w:tc>
        <w:tc>
          <w:tcPr>
            <w:tcW w:w="860" w:type="dxa"/>
            <w:tcBorders>
              <w:top w:val="single" w:sz="4" w:space="0" w:color="ADD6EA"/>
              <w:left w:val="nil"/>
              <w:bottom w:val="nil"/>
              <w:right w:val="nil"/>
            </w:tcBorders>
            <w:shd w:val="clear" w:color="auto" w:fill="auto"/>
            <w:noWrap/>
            <w:vAlign w:val="center"/>
            <w:hideMark/>
          </w:tcPr>
          <w:p w14:paraId="7D7A9996"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1.46022</w:t>
            </w:r>
          </w:p>
        </w:tc>
        <w:tc>
          <w:tcPr>
            <w:tcW w:w="860" w:type="dxa"/>
            <w:tcBorders>
              <w:top w:val="single" w:sz="4" w:space="0" w:color="ADD6EA"/>
              <w:left w:val="nil"/>
              <w:bottom w:val="nil"/>
              <w:right w:val="nil"/>
            </w:tcBorders>
            <w:shd w:val="clear" w:color="auto" w:fill="auto"/>
            <w:noWrap/>
            <w:vAlign w:val="center"/>
            <w:hideMark/>
          </w:tcPr>
          <w:p w14:paraId="63630CC5"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1.92590</w:t>
            </w:r>
          </w:p>
        </w:tc>
        <w:tc>
          <w:tcPr>
            <w:tcW w:w="860" w:type="dxa"/>
            <w:tcBorders>
              <w:top w:val="single" w:sz="4" w:space="0" w:color="ADD6EA"/>
              <w:left w:val="nil"/>
              <w:bottom w:val="nil"/>
              <w:right w:val="nil"/>
            </w:tcBorders>
            <w:shd w:val="clear" w:color="auto" w:fill="auto"/>
            <w:noWrap/>
            <w:vAlign w:val="center"/>
            <w:hideMark/>
          </w:tcPr>
          <w:p w14:paraId="69EDD661"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1.23712</w:t>
            </w:r>
          </w:p>
        </w:tc>
        <w:tc>
          <w:tcPr>
            <w:tcW w:w="860" w:type="dxa"/>
            <w:tcBorders>
              <w:top w:val="single" w:sz="4" w:space="0" w:color="ADD6EA"/>
              <w:left w:val="nil"/>
              <w:bottom w:val="nil"/>
              <w:right w:val="nil"/>
            </w:tcBorders>
            <w:shd w:val="clear" w:color="auto" w:fill="auto"/>
            <w:noWrap/>
            <w:vAlign w:val="center"/>
            <w:hideMark/>
          </w:tcPr>
          <w:p w14:paraId="644627E5"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5.33910</w:t>
            </w:r>
          </w:p>
        </w:tc>
        <w:tc>
          <w:tcPr>
            <w:tcW w:w="808" w:type="dxa"/>
            <w:tcBorders>
              <w:top w:val="single" w:sz="4" w:space="0" w:color="ADD6EA"/>
              <w:left w:val="nil"/>
              <w:bottom w:val="nil"/>
              <w:right w:val="nil"/>
            </w:tcBorders>
            <w:shd w:val="clear" w:color="auto" w:fill="auto"/>
            <w:noWrap/>
            <w:vAlign w:val="center"/>
            <w:hideMark/>
          </w:tcPr>
          <w:p w14:paraId="7275622B"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1.00000</w:t>
            </w:r>
          </w:p>
        </w:tc>
      </w:tr>
      <w:tr w:rsidR="00EB6731" w:rsidRPr="00304176" w14:paraId="1ADD79EB" w14:textId="77777777" w:rsidTr="00E90A6D">
        <w:trPr>
          <w:trHeight w:val="315"/>
        </w:trPr>
        <w:tc>
          <w:tcPr>
            <w:tcW w:w="1292" w:type="dxa"/>
            <w:tcBorders>
              <w:top w:val="single" w:sz="4" w:space="0" w:color="ADD6EA"/>
              <w:left w:val="nil"/>
              <w:bottom w:val="single" w:sz="4" w:space="0" w:color="ADD6EA"/>
              <w:right w:val="nil"/>
            </w:tcBorders>
            <w:shd w:val="clear" w:color="000000" w:fill="D6E7F0"/>
            <w:vAlign w:val="center"/>
            <w:hideMark/>
          </w:tcPr>
          <w:p w14:paraId="75000371" w14:textId="77777777" w:rsidR="00EB6731" w:rsidRPr="00304176" w:rsidRDefault="00EB6731">
            <w:pPr>
              <w:tabs>
                <w:tab w:val="clear" w:pos="567"/>
              </w:tabs>
              <w:spacing w:before="0" w:line="240" w:lineRule="auto"/>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Average</w:t>
            </w:r>
          </w:p>
        </w:tc>
        <w:tc>
          <w:tcPr>
            <w:tcW w:w="860" w:type="dxa"/>
            <w:tcBorders>
              <w:top w:val="single" w:sz="4" w:space="0" w:color="ADD6EA"/>
              <w:left w:val="nil"/>
              <w:bottom w:val="single" w:sz="4" w:space="0" w:color="ADD6EA"/>
              <w:right w:val="nil"/>
            </w:tcBorders>
            <w:shd w:val="clear" w:color="000000" w:fill="D6E7F0"/>
            <w:noWrap/>
            <w:vAlign w:val="center"/>
            <w:hideMark/>
          </w:tcPr>
          <w:p w14:paraId="1C90EA9B"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0.94644</w:t>
            </w:r>
          </w:p>
        </w:tc>
        <w:tc>
          <w:tcPr>
            <w:tcW w:w="860" w:type="dxa"/>
            <w:tcBorders>
              <w:top w:val="single" w:sz="4" w:space="0" w:color="ADD6EA"/>
              <w:left w:val="nil"/>
              <w:bottom w:val="single" w:sz="4" w:space="0" w:color="ADD6EA"/>
              <w:right w:val="nil"/>
            </w:tcBorders>
            <w:shd w:val="clear" w:color="000000" w:fill="D6E7F0"/>
            <w:noWrap/>
            <w:vAlign w:val="center"/>
            <w:hideMark/>
          </w:tcPr>
          <w:p w14:paraId="7E850D27"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1.15359</w:t>
            </w:r>
          </w:p>
        </w:tc>
        <w:tc>
          <w:tcPr>
            <w:tcW w:w="860" w:type="dxa"/>
            <w:tcBorders>
              <w:top w:val="single" w:sz="4" w:space="0" w:color="ADD6EA"/>
              <w:left w:val="nil"/>
              <w:bottom w:val="single" w:sz="4" w:space="0" w:color="ADD6EA"/>
              <w:right w:val="nil"/>
            </w:tcBorders>
            <w:shd w:val="clear" w:color="000000" w:fill="D6E7F0"/>
            <w:noWrap/>
            <w:vAlign w:val="center"/>
            <w:hideMark/>
          </w:tcPr>
          <w:p w14:paraId="515690FF"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0.85853</w:t>
            </w:r>
          </w:p>
        </w:tc>
        <w:tc>
          <w:tcPr>
            <w:tcW w:w="860" w:type="dxa"/>
            <w:tcBorders>
              <w:top w:val="single" w:sz="4" w:space="0" w:color="ADD6EA"/>
              <w:left w:val="nil"/>
              <w:bottom w:val="single" w:sz="4" w:space="0" w:color="ADD6EA"/>
              <w:right w:val="nil"/>
            </w:tcBorders>
            <w:shd w:val="clear" w:color="000000" w:fill="D6E7F0"/>
            <w:noWrap/>
            <w:vAlign w:val="center"/>
            <w:hideMark/>
          </w:tcPr>
          <w:p w14:paraId="01055BFC"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0.18701</w:t>
            </w:r>
          </w:p>
        </w:tc>
        <w:tc>
          <w:tcPr>
            <w:tcW w:w="860" w:type="dxa"/>
            <w:tcBorders>
              <w:top w:val="single" w:sz="4" w:space="0" w:color="ADD6EA"/>
              <w:left w:val="nil"/>
              <w:bottom w:val="single" w:sz="4" w:space="0" w:color="ADD6EA"/>
              <w:right w:val="nil"/>
            </w:tcBorders>
            <w:shd w:val="clear" w:color="000000" w:fill="D6E7F0"/>
            <w:noWrap/>
            <w:vAlign w:val="center"/>
            <w:hideMark/>
          </w:tcPr>
          <w:p w14:paraId="45A681C0"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1.47555</w:t>
            </w:r>
          </w:p>
        </w:tc>
        <w:tc>
          <w:tcPr>
            <w:tcW w:w="860" w:type="dxa"/>
            <w:tcBorders>
              <w:top w:val="single" w:sz="4" w:space="0" w:color="ADD6EA"/>
              <w:left w:val="nil"/>
              <w:bottom w:val="single" w:sz="4" w:space="0" w:color="ADD6EA"/>
              <w:right w:val="nil"/>
            </w:tcBorders>
            <w:shd w:val="clear" w:color="000000" w:fill="D6E7F0"/>
            <w:noWrap/>
            <w:vAlign w:val="center"/>
            <w:hideMark/>
          </w:tcPr>
          <w:p w14:paraId="1FCC8D3A"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1.92791</w:t>
            </w:r>
          </w:p>
        </w:tc>
        <w:tc>
          <w:tcPr>
            <w:tcW w:w="860" w:type="dxa"/>
            <w:tcBorders>
              <w:top w:val="single" w:sz="4" w:space="0" w:color="ADD6EA"/>
              <w:left w:val="nil"/>
              <w:bottom w:val="single" w:sz="4" w:space="0" w:color="ADD6EA"/>
              <w:right w:val="nil"/>
            </w:tcBorders>
            <w:shd w:val="clear" w:color="000000" w:fill="D6E7F0"/>
            <w:noWrap/>
            <w:vAlign w:val="center"/>
            <w:hideMark/>
          </w:tcPr>
          <w:p w14:paraId="0552AD49"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1.25874</w:t>
            </w:r>
          </w:p>
        </w:tc>
        <w:tc>
          <w:tcPr>
            <w:tcW w:w="860" w:type="dxa"/>
            <w:tcBorders>
              <w:top w:val="single" w:sz="4" w:space="0" w:color="ADD6EA"/>
              <w:left w:val="nil"/>
              <w:bottom w:val="single" w:sz="4" w:space="0" w:color="ADD6EA"/>
              <w:right w:val="nil"/>
            </w:tcBorders>
            <w:shd w:val="clear" w:color="000000" w:fill="D6E7F0"/>
            <w:noWrap/>
            <w:vAlign w:val="center"/>
            <w:hideMark/>
          </w:tcPr>
          <w:p w14:paraId="4FCE7A5F"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5.24279</w:t>
            </w:r>
          </w:p>
        </w:tc>
        <w:tc>
          <w:tcPr>
            <w:tcW w:w="808" w:type="dxa"/>
            <w:tcBorders>
              <w:top w:val="single" w:sz="4" w:space="0" w:color="ADD6EA"/>
              <w:left w:val="nil"/>
              <w:bottom w:val="single" w:sz="4" w:space="0" w:color="ADD6EA"/>
              <w:right w:val="nil"/>
            </w:tcBorders>
            <w:shd w:val="clear" w:color="000000" w:fill="D6E7F0"/>
            <w:noWrap/>
            <w:vAlign w:val="center"/>
            <w:hideMark/>
          </w:tcPr>
          <w:p w14:paraId="3F3978D6"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1.00000</w:t>
            </w:r>
          </w:p>
        </w:tc>
      </w:tr>
      <w:tr w:rsidR="00EB6731" w:rsidRPr="00304176" w14:paraId="7B9581F7" w14:textId="77777777">
        <w:trPr>
          <w:trHeight w:val="315"/>
        </w:trPr>
        <w:tc>
          <w:tcPr>
            <w:tcW w:w="8980" w:type="dxa"/>
            <w:gridSpan w:val="10"/>
            <w:tcBorders>
              <w:top w:val="single" w:sz="4" w:space="0" w:color="ADD6EA"/>
              <w:left w:val="nil"/>
              <w:bottom w:val="single" w:sz="4" w:space="0" w:color="ADD6EA"/>
              <w:right w:val="nil"/>
            </w:tcBorders>
            <w:shd w:val="clear" w:color="auto" w:fill="auto"/>
            <w:vAlign w:val="center"/>
            <w:hideMark/>
          </w:tcPr>
          <w:p w14:paraId="3D9AED7C" w14:textId="77777777" w:rsidR="00EB6731" w:rsidRPr="00304176" w:rsidRDefault="00EB6731">
            <w:pPr>
              <w:tabs>
                <w:tab w:val="clear" w:pos="567"/>
              </w:tabs>
              <w:spacing w:before="0" w:line="240" w:lineRule="auto"/>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Standard state relativities (b)</w:t>
            </w:r>
          </w:p>
        </w:tc>
      </w:tr>
      <w:tr w:rsidR="00EB6731" w:rsidRPr="00304176" w14:paraId="06012B94" w14:textId="77777777" w:rsidTr="00E90A6D">
        <w:trPr>
          <w:trHeight w:val="315"/>
        </w:trPr>
        <w:tc>
          <w:tcPr>
            <w:tcW w:w="1292" w:type="dxa"/>
            <w:tcBorders>
              <w:top w:val="nil"/>
              <w:left w:val="nil"/>
              <w:bottom w:val="nil"/>
              <w:right w:val="nil"/>
            </w:tcBorders>
            <w:shd w:val="clear" w:color="auto" w:fill="auto"/>
            <w:vAlign w:val="center"/>
            <w:hideMark/>
          </w:tcPr>
          <w:p w14:paraId="31A7CB5B" w14:textId="77777777" w:rsidR="00EB6731" w:rsidRPr="00304176" w:rsidRDefault="00EB6731">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2021-22</w:t>
            </w:r>
          </w:p>
        </w:tc>
        <w:tc>
          <w:tcPr>
            <w:tcW w:w="860" w:type="dxa"/>
            <w:tcBorders>
              <w:top w:val="nil"/>
              <w:left w:val="nil"/>
              <w:bottom w:val="nil"/>
              <w:right w:val="nil"/>
            </w:tcBorders>
            <w:shd w:val="clear" w:color="auto" w:fill="auto"/>
            <w:noWrap/>
            <w:vAlign w:val="center"/>
            <w:hideMark/>
          </w:tcPr>
          <w:p w14:paraId="0D3127D2"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0.85619</w:t>
            </w:r>
          </w:p>
        </w:tc>
        <w:tc>
          <w:tcPr>
            <w:tcW w:w="860" w:type="dxa"/>
            <w:tcBorders>
              <w:top w:val="nil"/>
              <w:left w:val="nil"/>
              <w:bottom w:val="nil"/>
              <w:right w:val="nil"/>
            </w:tcBorders>
            <w:shd w:val="clear" w:color="auto" w:fill="auto"/>
            <w:noWrap/>
            <w:vAlign w:val="center"/>
            <w:hideMark/>
          </w:tcPr>
          <w:p w14:paraId="31D15AE3"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1.04239</w:t>
            </w:r>
          </w:p>
        </w:tc>
        <w:tc>
          <w:tcPr>
            <w:tcW w:w="860" w:type="dxa"/>
            <w:tcBorders>
              <w:top w:val="nil"/>
              <w:left w:val="nil"/>
              <w:bottom w:val="nil"/>
              <w:right w:val="nil"/>
            </w:tcBorders>
            <w:shd w:val="clear" w:color="auto" w:fill="auto"/>
            <w:noWrap/>
            <w:vAlign w:val="center"/>
            <w:hideMark/>
          </w:tcPr>
          <w:p w14:paraId="479887C3"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0.85619</w:t>
            </w:r>
          </w:p>
        </w:tc>
        <w:tc>
          <w:tcPr>
            <w:tcW w:w="860" w:type="dxa"/>
            <w:tcBorders>
              <w:top w:val="nil"/>
              <w:left w:val="nil"/>
              <w:bottom w:val="nil"/>
              <w:right w:val="nil"/>
            </w:tcBorders>
            <w:shd w:val="clear" w:color="auto" w:fill="auto"/>
            <w:noWrap/>
            <w:vAlign w:val="center"/>
            <w:hideMark/>
          </w:tcPr>
          <w:p w14:paraId="419D20C0"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0.85619</w:t>
            </w:r>
          </w:p>
        </w:tc>
        <w:tc>
          <w:tcPr>
            <w:tcW w:w="860" w:type="dxa"/>
            <w:tcBorders>
              <w:top w:val="nil"/>
              <w:left w:val="nil"/>
              <w:bottom w:val="nil"/>
              <w:right w:val="nil"/>
            </w:tcBorders>
            <w:shd w:val="clear" w:color="auto" w:fill="auto"/>
            <w:noWrap/>
            <w:vAlign w:val="center"/>
            <w:hideMark/>
          </w:tcPr>
          <w:p w14:paraId="43FE4895"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1.28816</w:t>
            </w:r>
          </w:p>
        </w:tc>
        <w:tc>
          <w:tcPr>
            <w:tcW w:w="860" w:type="dxa"/>
            <w:tcBorders>
              <w:top w:val="nil"/>
              <w:left w:val="nil"/>
              <w:bottom w:val="nil"/>
              <w:right w:val="nil"/>
            </w:tcBorders>
            <w:shd w:val="clear" w:color="auto" w:fill="auto"/>
            <w:noWrap/>
            <w:vAlign w:val="center"/>
            <w:hideMark/>
          </w:tcPr>
          <w:p w14:paraId="0D334603"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1.76266</w:t>
            </w:r>
          </w:p>
        </w:tc>
        <w:tc>
          <w:tcPr>
            <w:tcW w:w="860" w:type="dxa"/>
            <w:tcBorders>
              <w:top w:val="nil"/>
              <w:left w:val="nil"/>
              <w:bottom w:val="nil"/>
              <w:right w:val="nil"/>
            </w:tcBorders>
            <w:shd w:val="clear" w:color="auto" w:fill="auto"/>
            <w:noWrap/>
            <w:vAlign w:val="center"/>
            <w:hideMark/>
          </w:tcPr>
          <w:p w14:paraId="03119851"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1.20512</w:t>
            </w:r>
          </w:p>
        </w:tc>
        <w:tc>
          <w:tcPr>
            <w:tcW w:w="860" w:type="dxa"/>
            <w:tcBorders>
              <w:top w:val="nil"/>
              <w:left w:val="nil"/>
              <w:bottom w:val="nil"/>
              <w:right w:val="nil"/>
            </w:tcBorders>
            <w:shd w:val="clear" w:color="auto" w:fill="auto"/>
            <w:noWrap/>
            <w:vAlign w:val="center"/>
            <w:hideMark/>
          </w:tcPr>
          <w:p w14:paraId="550D09E1"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5.00537</w:t>
            </w:r>
          </w:p>
        </w:tc>
        <w:tc>
          <w:tcPr>
            <w:tcW w:w="808" w:type="dxa"/>
            <w:tcBorders>
              <w:top w:val="nil"/>
              <w:left w:val="nil"/>
              <w:bottom w:val="nil"/>
              <w:right w:val="nil"/>
            </w:tcBorders>
            <w:shd w:val="clear" w:color="auto" w:fill="auto"/>
            <w:noWrap/>
            <w:vAlign w:val="center"/>
            <w:hideMark/>
          </w:tcPr>
          <w:p w14:paraId="7040EE41"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1.00000</w:t>
            </w:r>
          </w:p>
        </w:tc>
      </w:tr>
      <w:tr w:rsidR="00EB6731" w:rsidRPr="00304176" w14:paraId="6317D9E9" w14:textId="77777777" w:rsidTr="00E90A6D">
        <w:trPr>
          <w:trHeight w:val="315"/>
        </w:trPr>
        <w:tc>
          <w:tcPr>
            <w:tcW w:w="1292" w:type="dxa"/>
            <w:tcBorders>
              <w:top w:val="single" w:sz="4" w:space="0" w:color="ADD6EA"/>
              <w:left w:val="nil"/>
              <w:bottom w:val="nil"/>
              <w:right w:val="nil"/>
            </w:tcBorders>
            <w:shd w:val="clear" w:color="auto" w:fill="auto"/>
            <w:vAlign w:val="center"/>
            <w:hideMark/>
          </w:tcPr>
          <w:p w14:paraId="75F178E5" w14:textId="77777777" w:rsidR="00EB6731" w:rsidRPr="00304176" w:rsidRDefault="00EB6731">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2022-23</w:t>
            </w:r>
          </w:p>
        </w:tc>
        <w:tc>
          <w:tcPr>
            <w:tcW w:w="860" w:type="dxa"/>
            <w:tcBorders>
              <w:top w:val="single" w:sz="4" w:space="0" w:color="ADD6EA"/>
              <w:left w:val="nil"/>
              <w:bottom w:val="nil"/>
              <w:right w:val="nil"/>
            </w:tcBorders>
            <w:shd w:val="clear" w:color="auto" w:fill="auto"/>
            <w:noWrap/>
            <w:vAlign w:val="center"/>
            <w:hideMark/>
          </w:tcPr>
          <w:p w14:paraId="4BB7E8DE"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0.83771</w:t>
            </w:r>
          </w:p>
        </w:tc>
        <w:tc>
          <w:tcPr>
            <w:tcW w:w="860" w:type="dxa"/>
            <w:tcBorders>
              <w:top w:val="single" w:sz="4" w:space="0" w:color="ADD6EA"/>
              <w:left w:val="nil"/>
              <w:bottom w:val="nil"/>
              <w:right w:val="nil"/>
            </w:tcBorders>
            <w:shd w:val="clear" w:color="auto" w:fill="auto"/>
            <w:noWrap/>
            <w:vAlign w:val="center"/>
            <w:hideMark/>
          </w:tcPr>
          <w:p w14:paraId="696D7A44"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1.04498</w:t>
            </w:r>
          </w:p>
        </w:tc>
        <w:tc>
          <w:tcPr>
            <w:tcW w:w="860" w:type="dxa"/>
            <w:tcBorders>
              <w:top w:val="single" w:sz="4" w:space="0" w:color="ADD6EA"/>
              <w:left w:val="nil"/>
              <w:bottom w:val="nil"/>
              <w:right w:val="nil"/>
            </w:tcBorders>
            <w:shd w:val="clear" w:color="auto" w:fill="auto"/>
            <w:noWrap/>
            <w:vAlign w:val="center"/>
            <w:hideMark/>
          </w:tcPr>
          <w:p w14:paraId="27F878F1"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0.83771</w:t>
            </w:r>
          </w:p>
        </w:tc>
        <w:tc>
          <w:tcPr>
            <w:tcW w:w="860" w:type="dxa"/>
            <w:tcBorders>
              <w:top w:val="single" w:sz="4" w:space="0" w:color="ADD6EA"/>
              <w:left w:val="nil"/>
              <w:bottom w:val="nil"/>
              <w:right w:val="nil"/>
            </w:tcBorders>
            <w:shd w:val="clear" w:color="auto" w:fill="auto"/>
            <w:noWrap/>
            <w:vAlign w:val="center"/>
            <w:hideMark/>
          </w:tcPr>
          <w:p w14:paraId="02448128"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0.83771</w:t>
            </w:r>
          </w:p>
        </w:tc>
        <w:tc>
          <w:tcPr>
            <w:tcW w:w="860" w:type="dxa"/>
            <w:tcBorders>
              <w:top w:val="single" w:sz="4" w:space="0" w:color="ADD6EA"/>
              <w:left w:val="nil"/>
              <w:bottom w:val="nil"/>
              <w:right w:val="nil"/>
            </w:tcBorders>
            <w:shd w:val="clear" w:color="auto" w:fill="auto"/>
            <w:noWrap/>
            <w:vAlign w:val="center"/>
            <w:hideMark/>
          </w:tcPr>
          <w:p w14:paraId="191B9993"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1.43990</w:t>
            </w:r>
          </w:p>
        </w:tc>
        <w:tc>
          <w:tcPr>
            <w:tcW w:w="860" w:type="dxa"/>
            <w:tcBorders>
              <w:top w:val="single" w:sz="4" w:space="0" w:color="ADD6EA"/>
              <w:left w:val="nil"/>
              <w:bottom w:val="nil"/>
              <w:right w:val="nil"/>
            </w:tcBorders>
            <w:shd w:val="clear" w:color="auto" w:fill="auto"/>
            <w:noWrap/>
            <w:vAlign w:val="center"/>
            <w:hideMark/>
          </w:tcPr>
          <w:p w14:paraId="52DF5F2A"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1.85126</w:t>
            </w:r>
          </w:p>
        </w:tc>
        <w:tc>
          <w:tcPr>
            <w:tcW w:w="860" w:type="dxa"/>
            <w:tcBorders>
              <w:top w:val="single" w:sz="4" w:space="0" w:color="ADD6EA"/>
              <w:left w:val="nil"/>
              <w:bottom w:val="nil"/>
              <w:right w:val="nil"/>
            </w:tcBorders>
            <w:shd w:val="clear" w:color="auto" w:fill="auto"/>
            <w:noWrap/>
            <w:vAlign w:val="center"/>
            <w:hideMark/>
          </w:tcPr>
          <w:p w14:paraId="5E52B907"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1.09827</w:t>
            </w:r>
          </w:p>
        </w:tc>
        <w:tc>
          <w:tcPr>
            <w:tcW w:w="860" w:type="dxa"/>
            <w:tcBorders>
              <w:top w:val="single" w:sz="4" w:space="0" w:color="ADD6EA"/>
              <w:left w:val="nil"/>
              <w:bottom w:val="nil"/>
              <w:right w:val="nil"/>
            </w:tcBorders>
            <w:shd w:val="clear" w:color="auto" w:fill="auto"/>
            <w:noWrap/>
            <w:vAlign w:val="center"/>
            <w:hideMark/>
          </w:tcPr>
          <w:p w14:paraId="26913B87"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5.09939</w:t>
            </w:r>
          </w:p>
        </w:tc>
        <w:tc>
          <w:tcPr>
            <w:tcW w:w="808" w:type="dxa"/>
            <w:tcBorders>
              <w:top w:val="single" w:sz="4" w:space="0" w:color="ADD6EA"/>
              <w:left w:val="nil"/>
              <w:bottom w:val="nil"/>
              <w:right w:val="nil"/>
            </w:tcBorders>
            <w:shd w:val="clear" w:color="auto" w:fill="auto"/>
            <w:noWrap/>
            <w:vAlign w:val="center"/>
            <w:hideMark/>
          </w:tcPr>
          <w:p w14:paraId="2CA578CB"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1.00000</w:t>
            </w:r>
          </w:p>
        </w:tc>
      </w:tr>
      <w:tr w:rsidR="00EB6731" w:rsidRPr="00304176" w14:paraId="2CD7DA67" w14:textId="77777777" w:rsidTr="00E90A6D">
        <w:trPr>
          <w:trHeight w:val="315"/>
        </w:trPr>
        <w:tc>
          <w:tcPr>
            <w:tcW w:w="1292" w:type="dxa"/>
            <w:tcBorders>
              <w:top w:val="single" w:sz="4" w:space="0" w:color="ADD6EA"/>
              <w:left w:val="nil"/>
              <w:bottom w:val="nil"/>
              <w:right w:val="nil"/>
            </w:tcBorders>
            <w:shd w:val="clear" w:color="auto" w:fill="auto"/>
            <w:vAlign w:val="center"/>
            <w:hideMark/>
          </w:tcPr>
          <w:p w14:paraId="250FBB81" w14:textId="77777777" w:rsidR="00EB6731" w:rsidRPr="00304176" w:rsidRDefault="00EB6731">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2023-24</w:t>
            </w:r>
          </w:p>
        </w:tc>
        <w:tc>
          <w:tcPr>
            <w:tcW w:w="860" w:type="dxa"/>
            <w:tcBorders>
              <w:top w:val="single" w:sz="4" w:space="0" w:color="ADD6EA"/>
              <w:left w:val="nil"/>
              <w:bottom w:val="nil"/>
              <w:right w:val="nil"/>
            </w:tcBorders>
            <w:shd w:val="clear" w:color="auto" w:fill="auto"/>
            <w:noWrap/>
            <w:vAlign w:val="center"/>
            <w:hideMark/>
          </w:tcPr>
          <w:p w14:paraId="67990101"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0.83547</w:t>
            </w:r>
          </w:p>
        </w:tc>
        <w:tc>
          <w:tcPr>
            <w:tcW w:w="860" w:type="dxa"/>
            <w:tcBorders>
              <w:top w:val="single" w:sz="4" w:space="0" w:color="ADD6EA"/>
              <w:left w:val="nil"/>
              <w:bottom w:val="nil"/>
              <w:right w:val="nil"/>
            </w:tcBorders>
            <w:shd w:val="clear" w:color="auto" w:fill="auto"/>
            <w:noWrap/>
            <w:vAlign w:val="center"/>
            <w:hideMark/>
          </w:tcPr>
          <w:p w14:paraId="73C86597"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1.06091</w:t>
            </w:r>
          </w:p>
        </w:tc>
        <w:tc>
          <w:tcPr>
            <w:tcW w:w="860" w:type="dxa"/>
            <w:tcBorders>
              <w:top w:val="single" w:sz="4" w:space="0" w:color="ADD6EA"/>
              <w:left w:val="nil"/>
              <w:bottom w:val="nil"/>
              <w:right w:val="nil"/>
            </w:tcBorders>
            <w:shd w:val="clear" w:color="auto" w:fill="auto"/>
            <w:noWrap/>
            <w:vAlign w:val="center"/>
            <w:hideMark/>
          </w:tcPr>
          <w:p w14:paraId="69EE5713"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0.83547</w:t>
            </w:r>
          </w:p>
        </w:tc>
        <w:tc>
          <w:tcPr>
            <w:tcW w:w="860" w:type="dxa"/>
            <w:tcBorders>
              <w:top w:val="single" w:sz="4" w:space="0" w:color="ADD6EA"/>
              <w:left w:val="nil"/>
              <w:bottom w:val="nil"/>
              <w:right w:val="nil"/>
            </w:tcBorders>
            <w:shd w:val="clear" w:color="auto" w:fill="auto"/>
            <w:noWrap/>
            <w:vAlign w:val="center"/>
            <w:hideMark/>
          </w:tcPr>
          <w:p w14:paraId="778F729A"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0.83547</w:t>
            </w:r>
          </w:p>
        </w:tc>
        <w:tc>
          <w:tcPr>
            <w:tcW w:w="860" w:type="dxa"/>
            <w:tcBorders>
              <w:top w:val="single" w:sz="4" w:space="0" w:color="ADD6EA"/>
              <w:left w:val="nil"/>
              <w:bottom w:val="nil"/>
              <w:right w:val="nil"/>
            </w:tcBorders>
            <w:shd w:val="clear" w:color="auto" w:fill="auto"/>
            <w:noWrap/>
            <w:vAlign w:val="center"/>
            <w:hideMark/>
          </w:tcPr>
          <w:p w14:paraId="552C8411"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1.38214</w:t>
            </w:r>
          </w:p>
        </w:tc>
        <w:tc>
          <w:tcPr>
            <w:tcW w:w="860" w:type="dxa"/>
            <w:tcBorders>
              <w:top w:val="single" w:sz="4" w:space="0" w:color="ADD6EA"/>
              <w:left w:val="nil"/>
              <w:bottom w:val="nil"/>
              <w:right w:val="nil"/>
            </w:tcBorders>
            <w:shd w:val="clear" w:color="auto" w:fill="auto"/>
            <w:noWrap/>
            <w:vAlign w:val="center"/>
            <w:hideMark/>
          </w:tcPr>
          <w:p w14:paraId="27D35F69"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1.84782</w:t>
            </w:r>
          </w:p>
        </w:tc>
        <w:tc>
          <w:tcPr>
            <w:tcW w:w="860" w:type="dxa"/>
            <w:tcBorders>
              <w:top w:val="single" w:sz="4" w:space="0" w:color="ADD6EA"/>
              <w:left w:val="nil"/>
              <w:bottom w:val="nil"/>
              <w:right w:val="nil"/>
            </w:tcBorders>
            <w:shd w:val="clear" w:color="auto" w:fill="auto"/>
            <w:noWrap/>
            <w:vAlign w:val="center"/>
            <w:hideMark/>
          </w:tcPr>
          <w:p w14:paraId="730013D0"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1.15903</w:t>
            </w:r>
          </w:p>
        </w:tc>
        <w:tc>
          <w:tcPr>
            <w:tcW w:w="860" w:type="dxa"/>
            <w:tcBorders>
              <w:top w:val="single" w:sz="4" w:space="0" w:color="ADD6EA"/>
              <w:left w:val="nil"/>
              <w:bottom w:val="nil"/>
              <w:right w:val="nil"/>
            </w:tcBorders>
            <w:shd w:val="clear" w:color="auto" w:fill="auto"/>
            <w:noWrap/>
            <w:vAlign w:val="center"/>
            <w:hideMark/>
          </w:tcPr>
          <w:p w14:paraId="6504F624"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5.26102</w:t>
            </w:r>
          </w:p>
        </w:tc>
        <w:tc>
          <w:tcPr>
            <w:tcW w:w="808" w:type="dxa"/>
            <w:tcBorders>
              <w:top w:val="single" w:sz="4" w:space="0" w:color="ADD6EA"/>
              <w:left w:val="nil"/>
              <w:bottom w:val="nil"/>
              <w:right w:val="nil"/>
            </w:tcBorders>
            <w:shd w:val="clear" w:color="auto" w:fill="auto"/>
            <w:noWrap/>
            <w:vAlign w:val="center"/>
            <w:hideMark/>
          </w:tcPr>
          <w:p w14:paraId="0A63AC5B"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1.00000</w:t>
            </w:r>
          </w:p>
        </w:tc>
      </w:tr>
      <w:tr w:rsidR="00EB6731" w:rsidRPr="00304176" w14:paraId="464C9243" w14:textId="77777777" w:rsidTr="00E90A6D">
        <w:trPr>
          <w:trHeight w:val="315"/>
        </w:trPr>
        <w:tc>
          <w:tcPr>
            <w:tcW w:w="1292" w:type="dxa"/>
            <w:tcBorders>
              <w:top w:val="single" w:sz="4" w:space="0" w:color="ADD6EA"/>
              <w:left w:val="nil"/>
              <w:bottom w:val="single" w:sz="4" w:space="0" w:color="ADD6EA"/>
              <w:right w:val="nil"/>
            </w:tcBorders>
            <w:shd w:val="clear" w:color="000000" w:fill="D6E7F0"/>
            <w:vAlign w:val="center"/>
            <w:hideMark/>
          </w:tcPr>
          <w:p w14:paraId="6FE275DC" w14:textId="77777777" w:rsidR="00EB6731" w:rsidRPr="00304176" w:rsidRDefault="00EB6731">
            <w:pPr>
              <w:tabs>
                <w:tab w:val="clear" w:pos="567"/>
              </w:tabs>
              <w:spacing w:before="0" w:line="240" w:lineRule="auto"/>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Average</w:t>
            </w:r>
          </w:p>
        </w:tc>
        <w:tc>
          <w:tcPr>
            <w:tcW w:w="860" w:type="dxa"/>
            <w:tcBorders>
              <w:top w:val="single" w:sz="4" w:space="0" w:color="ADD6EA"/>
              <w:left w:val="nil"/>
              <w:bottom w:val="single" w:sz="4" w:space="0" w:color="ADD6EA"/>
              <w:right w:val="nil"/>
            </w:tcBorders>
            <w:shd w:val="clear" w:color="000000" w:fill="D6E7F0"/>
            <w:noWrap/>
            <w:vAlign w:val="center"/>
            <w:hideMark/>
          </w:tcPr>
          <w:p w14:paraId="5DD06DF5"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0.84526</w:t>
            </w:r>
          </w:p>
        </w:tc>
        <w:tc>
          <w:tcPr>
            <w:tcW w:w="860" w:type="dxa"/>
            <w:tcBorders>
              <w:top w:val="single" w:sz="4" w:space="0" w:color="ADD6EA"/>
              <w:left w:val="nil"/>
              <w:bottom w:val="single" w:sz="4" w:space="0" w:color="ADD6EA"/>
              <w:right w:val="nil"/>
            </w:tcBorders>
            <w:shd w:val="clear" w:color="000000" w:fill="D6E7F0"/>
            <w:noWrap/>
            <w:vAlign w:val="center"/>
            <w:hideMark/>
          </w:tcPr>
          <w:p w14:paraId="201745B8"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1.05209</w:t>
            </w:r>
          </w:p>
        </w:tc>
        <w:tc>
          <w:tcPr>
            <w:tcW w:w="860" w:type="dxa"/>
            <w:tcBorders>
              <w:top w:val="single" w:sz="4" w:space="0" w:color="ADD6EA"/>
              <w:left w:val="nil"/>
              <w:bottom w:val="single" w:sz="4" w:space="0" w:color="ADD6EA"/>
              <w:right w:val="nil"/>
            </w:tcBorders>
            <w:shd w:val="clear" w:color="000000" w:fill="D6E7F0"/>
            <w:noWrap/>
            <w:vAlign w:val="center"/>
            <w:hideMark/>
          </w:tcPr>
          <w:p w14:paraId="37DA6508"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0.84526</w:t>
            </w:r>
          </w:p>
        </w:tc>
        <w:tc>
          <w:tcPr>
            <w:tcW w:w="860" w:type="dxa"/>
            <w:tcBorders>
              <w:top w:val="single" w:sz="4" w:space="0" w:color="ADD6EA"/>
              <w:left w:val="nil"/>
              <w:bottom w:val="single" w:sz="4" w:space="0" w:color="ADD6EA"/>
              <w:right w:val="nil"/>
            </w:tcBorders>
            <w:shd w:val="clear" w:color="000000" w:fill="D6E7F0"/>
            <w:noWrap/>
            <w:vAlign w:val="center"/>
            <w:hideMark/>
          </w:tcPr>
          <w:p w14:paraId="5062BECB"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0.84526</w:t>
            </w:r>
          </w:p>
        </w:tc>
        <w:tc>
          <w:tcPr>
            <w:tcW w:w="860" w:type="dxa"/>
            <w:tcBorders>
              <w:top w:val="single" w:sz="4" w:space="0" w:color="ADD6EA"/>
              <w:left w:val="nil"/>
              <w:bottom w:val="single" w:sz="4" w:space="0" w:color="ADD6EA"/>
              <w:right w:val="nil"/>
            </w:tcBorders>
            <w:shd w:val="clear" w:color="000000" w:fill="D6E7F0"/>
            <w:noWrap/>
            <w:vAlign w:val="center"/>
            <w:hideMark/>
          </w:tcPr>
          <w:p w14:paraId="773E583F"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1.37354</w:t>
            </w:r>
          </w:p>
        </w:tc>
        <w:tc>
          <w:tcPr>
            <w:tcW w:w="860" w:type="dxa"/>
            <w:tcBorders>
              <w:top w:val="single" w:sz="4" w:space="0" w:color="ADD6EA"/>
              <w:left w:val="nil"/>
              <w:bottom w:val="single" w:sz="4" w:space="0" w:color="ADD6EA"/>
              <w:right w:val="nil"/>
            </w:tcBorders>
            <w:shd w:val="clear" w:color="000000" w:fill="D6E7F0"/>
            <w:noWrap/>
            <w:vAlign w:val="center"/>
            <w:hideMark/>
          </w:tcPr>
          <w:p w14:paraId="2DCC554F"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1.82520</w:t>
            </w:r>
          </w:p>
        </w:tc>
        <w:tc>
          <w:tcPr>
            <w:tcW w:w="860" w:type="dxa"/>
            <w:tcBorders>
              <w:top w:val="single" w:sz="4" w:space="0" w:color="ADD6EA"/>
              <w:left w:val="nil"/>
              <w:bottom w:val="single" w:sz="4" w:space="0" w:color="ADD6EA"/>
              <w:right w:val="nil"/>
            </w:tcBorders>
            <w:shd w:val="clear" w:color="000000" w:fill="D6E7F0"/>
            <w:noWrap/>
            <w:vAlign w:val="center"/>
            <w:hideMark/>
          </w:tcPr>
          <w:p w14:paraId="12F18B3F"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1.15707</w:t>
            </w:r>
          </w:p>
        </w:tc>
        <w:tc>
          <w:tcPr>
            <w:tcW w:w="860" w:type="dxa"/>
            <w:tcBorders>
              <w:top w:val="single" w:sz="4" w:space="0" w:color="ADD6EA"/>
              <w:left w:val="nil"/>
              <w:bottom w:val="single" w:sz="4" w:space="0" w:color="ADD6EA"/>
              <w:right w:val="nil"/>
            </w:tcBorders>
            <w:shd w:val="clear" w:color="000000" w:fill="D6E7F0"/>
            <w:noWrap/>
            <w:vAlign w:val="center"/>
            <w:hideMark/>
          </w:tcPr>
          <w:p w14:paraId="5777B7AB"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5.13493</w:t>
            </w:r>
          </w:p>
        </w:tc>
        <w:tc>
          <w:tcPr>
            <w:tcW w:w="808" w:type="dxa"/>
            <w:tcBorders>
              <w:top w:val="single" w:sz="4" w:space="0" w:color="ADD6EA"/>
              <w:left w:val="nil"/>
              <w:bottom w:val="single" w:sz="4" w:space="0" w:color="ADD6EA"/>
              <w:right w:val="nil"/>
            </w:tcBorders>
            <w:shd w:val="clear" w:color="000000" w:fill="D6E7F0"/>
            <w:noWrap/>
            <w:vAlign w:val="center"/>
            <w:hideMark/>
          </w:tcPr>
          <w:p w14:paraId="26CDF569"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1.00000</w:t>
            </w:r>
          </w:p>
        </w:tc>
      </w:tr>
      <w:tr w:rsidR="00EB6731" w:rsidRPr="00304176" w14:paraId="021F15A0" w14:textId="77777777">
        <w:trPr>
          <w:trHeight w:val="315"/>
        </w:trPr>
        <w:tc>
          <w:tcPr>
            <w:tcW w:w="8980" w:type="dxa"/>
            <w:gridSpan w:val="10"/>
            <w:tcBorders>
              <w:top w:val="single" w:sz="4" w:space="0" w:color="ADD6EA"/>
              <w:left w:val="nil"/>
              <w:bottom w:val="single" w:sz="4" w:space="0" w:color="ADD6EA"/>
              <w:right w:val="nil"/>
            </w:tcBorders>
            <w:shd w:val="clear" w:color="auto" w:fill="auto"/>
            <w:vAlign w:val="center"/>
            <w:hideMark/>
          </w:tcPr>
          <w:p w14:paraId="0293FB5F" w14:textId="77777777" w:rsidR="00EB6731" w:rsidRPr="00304176" w:rsidRDefault="00EB6731">
            <w:pPr>
              <w:tabs>
                <w:tab w:val="clear" w:pos="567"/>
              </w:tabs>
              <w:spacing w:before="0" w:line="240" w:lineRule="auto"/>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 xml:space="preserve">Blended relativities (c) </w:t>
            </w:r>
          </w:p>
        </w:tc>
      </w:tr>
      <w:tr w:rsidR="00EB6731" w:rsidRPr="00304176" w14:paraId="0DE1F0F1" w14:textId="77777777" w:rsidTr="00E90A6D">
        <w:trPr>
          <w:trHeight w:val="315"/>
        </w:trPr>
        <w:tc>
          <w:tcPr>
            <w:tcW w:w="1292" w:type="dxa"/>
            <w:tcBorders>
              <w:top w:val="nil"/>
              <w:left w:val="nil"/>
              <w:bottom w:val="nil"/>
              <w:right w:val="nil"/>
            </w:tcBorders>
            <w:shd w:val="clear" w:color="auto" w:fill="auto"/>
            <w:vAlign w:val="center"/>
            <w:hideMark/>
          </w:tcPr>
          <w:p w14:paraId="7D8D51BF" w14:textId="77777777" w:rsidR="00EB6731" w:rsidRPr="00304176" w:rsidRDefault="00EB6731">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2021-22</w:t>
            </w:r>
          </w:p>
        </w:tc>
        <w:tc>
          <w:tcPr>
            <w:tcW w:w="860" w:type="dxa"/>
            <w:tcBorders>
              <w:top w:val="nil"/>
              <w:left w:val="nil"/>
              <w:bottom w:val="nil"/>
              <w:right w:val="nil"/>
            </w:tcBorders>
            <w:shd w:val="clear" w:color="auto" w:fill="auto"/>
            <w:noWrap/>
            <w:vAlign w:val="center"/>
            <w:hideMark/>
          </w:tcPr>
          <w:p w14:paraId="31860D2F"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0.87649</w:t>
            </w:r>
          </w:p>
        </w:tc>
        <w:tc>
          <w:tcPr>
            <w:tcW w:w="860" w:type="dxa"/>
            <w:tcBorders>
              <w:top w:val="nil"/>
              <w:left w:val="nil"/>
              <w:bottom w:val="nil"/>
              <w:right w:val="nil"/>
            </w:tcBorders>
            <w:shd w:val="clear" w:color="auto" w:fill="auto"/>
            <w:noWrap/>
            <w:vAlign w:val="center"/>
            <w:hideMark/>
          </w:tcPr>
          <w:p w14:paraId="7EB49F8F"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1.06270</w:t>
            </w:r>
          </w:p>
        </w:tc>
        <w:tc>
          <w:tcPr>
            <w:tcW w:w="860" w:type="dxa"/>
            <w:tcBorders>
              <w:top w:val="nil"/>
              <w:left w:val="nil"/>
              <w:bottom w:val="nil"/>
              <w:right w:val="nil"/>
            </w:tcBorders>
            <w:shd w:val="clear" w:color="auto" w:fill="auto"/>
            <w:noWrap/>
            <w:vAlign w:val="center"/>
            <w:hideMark/>
          </w:tcPr>
          <w:p w14:paraId="725A28D5"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0.86067</w:t>
            </w:r>
          </w:p>
        </w:tc>
        <w:tc>
          <w:tcPr>
            <w:tcW w:w="860" w:type="dxa"/>
            <w:tcBorders>
              <w:top w:val="nil"/>
              <w:left w:val="nil"/>
              <w:bottom w:val="nil"/>
              <w:right w:val="nil"/>
            </w:tcBorders>
            <w:shd w:val="clear" w:color="auto" w:fill="auto"/>
            <w:noWrap/>
            <w:vAlign w:val="center"/>
            <w:hideMark/>
          </w:tcPr>
          <w:p w14:paraId="07DD6533"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0.71724</w:t>
            </w:r>
          </w:p>
        </w:tc>
        <w:tc>
          <w:tcPr>
            <w:tcW w:w="860" w:type="dxa"/>
            <w:tcBorders>
              <w:top w:val="nil"/>
              <w:left w:val="nil"/>
              <w:bottom w:val="nil"/>
              <w:right w:val="nil"/>
            </w:tcBorders>
            <w:shd w:val="clear" w:color="auto" w:fill="auto"/>
            <w:noWrap/>
            <w:vAlign w:val="center"/>
            <w:hideMark/>
          </w:tcPr>
          <w:p w14:paraId="538005B5"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1.30847</w:t>
            </w:r>
          </w:p>
        </w:tc>
        <w:tc>
          <w:tcPr>
            <w:tcW w:w="860" w:type="dxa"/>
            <w:tcBorders>
              <w:top w:val="nil"/>
              <w:left w:val="nil"/>
              <w:bottom w:val="nil"/>
              <w:right w:val="nil"/>
            </w:tcBorders>
            <w:shd w:val="clear" w:color="auto" w:fill="auto"/>
            <w:noWrap/>
            <w:vAlign w:val="center"/>
            <w:hideMark/>
          </w:tcPr>
          <w:p w14:paraId="7167C2B9"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1.78297</w:t>
            </w:r>
          </w:p>
        </w:tc>
        <w:tc>
          <w:tcPr>
            <w:tcW w:w="860" w:type="dxa"/>
            <w:tcBorders>
              <w:top w:val="nil"/>
              <w:left w:val="nil"/>
              <w:bottom w:val="nil"/>
              <w:right w:val="nil"/>
            </w:tcBorders>
            <w:shd w:val="clear" w:color="auto" w:fill="auto"/>
            <w:noWrap/>
            <w:vAlign w:val="center"/>
            <w:hideMark/>
          </w:tcPr>
          <w:p w14:paraId="34A62879"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1.22543</w:t>
            </w:r>
          </w:p>
        </w:tc>
        <w:tc>
          <w:tcPr>
            <w:tcW w:w="860" w:type="dxa"/>
            <w:tcBorders>
              <w:top w:val="nil"/>
              <w:left w:val="nil"/>
              <w:bottom w:val="nil"/>
              <w:right w:val="nil"/>
            </w:tcBorders>
            <w:shd w:val="clear" w:color="auto" w:fill="auto"/>
            <w:noWrap/>
            <w:vAlign w:val="center"/>
            <w:hideMark/>
          </w:tcPr>
          <w:p w14:paraId="656B67C5"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5.02568</w:t>
            </w:r>
          </w:p>
        </w:tc>
        <w:tc>
          <w:tcPr>
            <w:tcW w:w="808" w:type="dxa"/>
            <w:tcBorders>
              <w:top w:val="nil"/>
              <w:left w:val="nil"/>
              <w:bottom w:val="nil"/>
              <w:right w:val="nil"/>
            </w:tcBorders>
            <w:shd w:val="clear" w:color="auto" w:fill="auto"/>
            <w:noWrap/>
            <w:vAlign w:val="center"/>
            <w:hideMark/>
          </w:tcPr>
          <w:p w14:paraId="6478EB26"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1.00000</w:t>
            </w:r>
          </w:p>
        </w:tc>
      </w:tr>
      <w:tr w:rsidR="00EB6731" w:rsidRPr="00304176" w14:paraId="044F5ADA" w14:textId="77777777" w:rsidTr="00E90A6D">
        <w:trPr>
          <w:trHeight w:val="315"/>
        </w:trPr>
        <w:tc>
          <w:tcPr>
            <w:tcW w:w="1292" w:type="dxa"/>
            <w:tcBorders>
              <w:top w:val="single" w:sz="4" w:space="0" w:color="ADD6EA"/>
              <w:left w:val="nil"/>
              <w:bottom w:val="nil"/>
              <w:right w:val="nil"/>
            </w:tcBorders>
            <w:shd w:val="clear" w:color="auto" w:fill="auto"/>
            <w:vAlign w:val="center"/>
            <w:hideMark/>
          </w:tcPr>
          <w:p w14:paraId="2FE502C0" w14:textId="77777777" w:rsidR="00EB6731" w:rsidRPr="00304176" w:rsidRDefault="00EB6731">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2022-23</w:t>
            </w:r>
          </w:p>
        </w:tc>
        <w:tc>
          <w:tcPr>
            <w:tcW w:w="860" w:type="dxa"/>
            <w:tcBorders>
              <w:top w:val="single" w:sz="4" w:space="0" w:color="ADD6EA"/>
              <w:left w:val="nil"/>
              <w:bottom w:val="nil"/>
              <w:right w:val="nil"/>
            </w:tcBorders>
            <w:shd w:val="clear" w:color="auto" w:fill="auto"/>
            <w:noWrap/>
            <w:vAlign w:val="center"/>
            <w:hideMark/>
          </w:tcPr>
          <w:p w14:paraId="7FA7583D"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0.85411</w:t>
            </w:r>
          </w:p>
        </w:tc>
        <w:tc>
          <w:tcPr>
            <w:tcW w:w="860" w:type="dxa"/>
            <w:tcBorders>
              <w:top w:val="single" w:sz="4" w:space="0" w:color="ADD6EA"/>
              <w:left w:val="nil"/>
              <w:bottom w:val="nil"/>
              <w:right w:val="nil"/>
            </w:tcBorders>
            <w:shd w:val="clear" w:color="auto" w:fill="auto"/>
            <w:noWrap/>
            <w:vAlign w:val="center"/>
            <w:hideMark/>
          </w:tcPr>
          <w:p w14:paraId="51F109DB"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1.06139</w:t>
            </w:r>
          </w:p>
        </w:tc>
        <w:tc>
          <w:tcPr>
            <w:tcW w:w="860" w:type="dxa"/>
            <w:tcBorders>
              <w:top w:val="single" w:sz="4" w:space="0" w:color="ADD6EA"/>
              <w:left w:val="nil"/>
              <w:bottom w:val="nil"/>
              <w:right w:val="nil"/>
            </w:tcBorders>
            <w:shd w:val="clear" w:color="auto" w:fill="auto"/>
            <w:noWrap/>
            <w:vAlign w:val="center"/>
            <w:hideMark/>
          </w:tcPr>
          <w:p w14:paraId="2713ED67"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0.82965</w:t>
            </w:r>
          </w:p>
        </w:tc>
        <w:tc>
          <w:tcPr>
            <w:tcW w:w="860" w:type="dxa"/>
            <w:tcBorders>
              <w:top w:val="single" w:sz="4" w:space="0" w:color="ADD6EA"/>
              <w:left w:val="nil"/>
              <w:bottom w:val="nil"/>
              <w:right w:val="nil"/>
            </w:tcBorders>
            <w:shd w:val="clear" w:color="auto" w:fill="auto"/>
            <w:noWrap/>
            <w:vAlign w:val="center"/>
            <w:hideMark/>
          </w:tcPr>
          <w:p w14:paraId="42874FE6"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0.74836</w:t>
            </w:r>
          </w:p>
        </w:tc>
        <w:tc>
          <w:tcPr>
            <w:tcW w:w="860" w:type="dxa"/>
            <w:tcBorders>
              <w:top w:val="single" w:sz="4" w:space="0" w:color="ADD6EA"/>
              <w:left w:val="nil"/>
              <w:bottom w:val="nil"/>
              <w:right w:val="nil"/>
            </w:tcBorders>
            <w:shd w:val="clear" w:color="auto" w:fill="auto"/>
            <w:noWrap/>
            <w:vAlign w:val="center"/>
            <w:hideMark/>
          </w:tcPr>
          <w:p w14:paraId="5C110F55"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1.45631</w:t>
            </w:r>
          </w:p>
        </w:tc>
        <w:tc>
          <w:tcPr>
            <w:tcW w:w="860" w:type="dxa"/>
            <w:tcBorders>
              <w:top w:val="single" w:sz="4" w:space="0" w:color="ADD6EA"/>
              <w:left w:val="nil"/>
              <w:bottom w:val="nil"/>
              <w:right w:val="nil"/>
            </w:tcBorders>
            <w:shd w:val="clear" w:color="auto" w:fill="auto"/>
            <w:noWrap/>
            <w:vAlign w:val="center"/>
            <w:hideMark/>
          </w:tcPr>
          <w:p w14:paraId="1586157C"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1.86766</w:t>
            </w:r>
          </w:p>
        </w:tc>
        <w:tc>
          <w:tcPr>
            <w:tcW w:w="860" w:type="dxa"/>
            <w:tcBorders>
              <w:top w:val="single" w:sz="4" w:space="0" w:color="ADD6EA"/>
              <w:left w:val="nil"/>
              <w:bottom w:val="nil"/>
              <w:right w:val="nil"/>
            </w:tcBorders>
            <w:shd w:val="clear" w:color="auto" w:fill="auto"/>
            <w:noWrap/>
            <w:vAlign w:val="center"/>
            <w:hideMark/>
          </w:tcPr>
          <w:p w14:paraId="53F2F536"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1.11467</w:t>
            </w:r>
          </w:p>
        </w:tc>
        <w:tc>
          <w:tcPr>
            <w:tcW w:w="860" w:type="dxa"/>
            <w:tcBorders>
              <w:top w:val="single" w:sz="4" w:space="0" w:color="ADD6EA"/>
              <w:left w:val="nil"/>
              <w:bottom w:val="nil"/>
              <w:right w:val="nil"/>
            </w:tcBorders>
            <w:shd w:val="clear" w:color="auto" w:fill="auto"/>
            <w:noWrap/>
            <w:vAlign w:val="center"/>
            <w:hideMark/>
          </w:tcPr>
          <w:p w14:paraId="2AB5F72E"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5.11579</w:t>
            </w:r>
          </w:p>
        </w:tc>
        <w:tc>
          <w:tcPr>
            <w:tcW w:w="808" w:type="dxa"/>
            <w:tcBorders>
              <w:top w:val="single" w:sz="4" w:space="0" w:color="ADD6EA"/>
              <w:left w:val="nil"/>
              <w:bottom w:val="nil"/>
              <w:right w:val="nil"/>
            </w:tcBorders>
            <w:shd w:val="clear" w:color="auto" w:fill="auto"/>
            <w:noWrap/>
            <w:vAlign w:val="center"/>
            <w:hideMark/>
          </w:tcPr>
          <w:p w14:paraId="21D85C08"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1.00000</w:t>
            </w:r>
          </w:p>
        </w:tc>
      </w:tr>
      <w:tr w:rsidR="00EB6731" w:rsidRPr="00304176" w14:paraId="0F93D1F7" w14:textId="77777777" w:rsidTr="00E90A6D">
        <w:trPr>
          <w:trHeight w:val="315"/>
        </w:trPr>
        <w:tc>
          <w:tcPr>
            <w:tcW w:w="1292" w:type="dxa"/>
            <w:tcBorders>
              <w:top w:val="single" w:sz="4" w:space="0" w:color="ADD6EA"/>
              <w:left w:val="nil"/>
              <w:bottom w:val="nil"/>
              <w:right w:val="nil"/>
            </w:tcBorders>
            <w:shd w:val="clear" w:color="auto" w:fill="auto"/>
            <w:vAlign w:val="center"/>
            <w:hideMark/>
          </w:tcPr>
          <w:p w14:paraId="735D1CA8" w14:textId="77777777" w:rsidR="00EB6731" w:rsidRPr="00304176" w:rsidRDefault="00EB6731">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2023-24</w:t>
            </w:r>
          </w:p>
        </w:tc>
        <w:tc>
          <w:tcPr>
            <w:tcW w:w="860" w:type="dxa"/>
            <w:tcBorders>
              <w:top w:val="single" w:sz="4" w:space="0" w:color="ADD6EA"/>
              <w:left w:val="nil"/>
              <w:bottom w:val="nil"/>
              <w:right w:val="nil"/>
            </w:tcBorders>
            <w:shd w:val="clear" w:color="auto" w:fill="auto"/>
            <w:noWrap/>
            <w:vAlign w:val="center"/>
            <w:hideMark/>
          </w:tcPr>
          <w:p w14:paraId="56215377"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0.84849</w:t>
            </w:r>
          </w:p>
        </w:tc>
        <w:tc>
          <w:tcPr>
            <w:tcW w:w="860" w:type="dxa"/>
            <w:tcBorders>
              <w:top w:val="single" w:sz="4" w:space="0" w:color="ADD6EA"/>
              <w:left w:val="nil"/>
              <w:bottom w:val="nil"/>
              <w:right w:val="nil"/>
            </w:tcBorders>
            <w:shd w:val="clear" w:color="auto" w:fill="auto"/>
            <w:noWrap/>
            <w:vAlign w:val="center"/>
            <w:hideMark/>
          </w:tcPr>
          <w:p w14:paraId="578BCE93"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1.07392</w:t>
            </w:r>
          </w:p>
        </w:tc>
        <w:tc>
          <w:tcPr>
            <w:tcW w:w="860" w:type="dxa"/>
            <w:tcBorders>
              <w:top w:val="single" w:sz="4" w:space="0" w:color="ADD6EA"/>
              <w:left w:val="nil"/>
              <w:bottom w:val="nil"/>
              <w:right w:val="nil"/>
            </w:tcBorders>
            <w:shd w:val="clear" w:color="auto" w:fill="auto"/>
            <w:noWrap/>
            <w:vAlign w:val="center"/>
            <w:hideMark/>
          </w:tcPr>
          <w:p w14:paraId="2980CF25"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0.84500</w:t>
            </w:r>
          </w:p>
        </w:tc>
        <w:tc>
          <w:tcPr>
            <w:tcW w:w="860" w:type="dxa"/>
            <w:tcBorders>
              <w:top w:val="single" w:sz="4" w:space="0" w:color="ADD6EA"/>
              <w:left w:val="nil"/>
              <w:bottom w:val="nil"/>
              <w:right w:val="nil"/>
            </w:tcBorders>
            <w:shd w:val="clear" w:color="auto" w:fill="auto"/>
            <w:noWrap/>
            <w:vAlign w:val="center"/>
            <w:hideMark/>
          </w:tcPr>
          <w:p w14:paraId="4D978DF1"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0.73533</w:t>
            </w:r>
          </w:p>
        </w:tc>
        <w:tc>
          <w:tcPr>
            <w:tcW w:w="860" w:type="dxa"/>
            <w:tcBorders>
              <w:top w:val="single" w:sz="4" w:space="0" w:color="ADD6EA"/>
              <w:left w:val="nil"/>
              <w:bottom w:val="nil"/>
              <w:right w:val="nil"/>
            </w:tcBorders>
            <w:shd w:val="clear" w:color="auto" w:fill="auto"/>
            <w:noWrap/>
            <w:vAlign w:val="center"/>
            <w:hideMark/>
          </w:tcPr>
          <w:p w14:paraId="4A2D25AD"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1.39515</w:t>
            </w:r>
          </w:p>
        </w:tc>
        <w:tc>
          <w:tcPr>
            <w:tcW w:w="860" w:type="dxa"/>
            <w:tcBorders>
              <w:top w:val="single" w:sz="4" w:space="0" w:color="ADD6EA"/>
              <w:left w:val="nil"/>
              <w:bottom w:val="nil"/>
              <w:right w:val="nil"/>
            </w:tcBorders>
            <w:shd w:val="clear" w:color="auto" w:fill="auto"/>
            <w:noWrap/>
            <w:vAlign w:val="center"/>
            <w:hideMark/>
          </w:tcPr>
          <w:p w14:paraId="410B307E"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1.86084</w:t>
            </w:r>
          </w:p>
        </w:tc>
        <w:tc>
          <w:tcPr>
            <w:tcW w:w="860" w:type="dxa"/>
            <w:tcBorders>
              <w:top w:val="single" w:sz="4" w:space="0" w:color="ADD6EA"/>
              <w:left w:val="nil"/>
              <w:bottom w:val="nil"/>
              <w:right w:val="nil"/>
            </w:tcBorders>
            <w:shd w:val="clear" w:color="auto" w:fill="auto"/>
            <w:noWrap/>
            <w:vAlign w:val="center"/>
            <w:hideMark/>
          </w:tcPr>
          <w:p w14:paraId="65503906"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1.17205</w:t>
            </w:r>
          </w:p>
        </w:tc>
        <w:tc>
          <w:tcPr>
            <w:tcW w:w="860" w:type="dxa"/>
            <w:tcBorders>
              <w:top w:val="single" w:sz="4" w:space="0" w:color="ADD6EA"/>
              <w:left w:val="nil"/>
              <w:bottom w:val="nil"/>
              <w:right w:val="nil"/>
            </w:tcBorders>
            <w:shd w:val="clear" w:color="auto" w:fill="auto"/>
            <w:noWrap/>
            <w:vAlign w:val="center"/>
            <w:hideMark/>
          </w:tcPr>
          <w:p w14:paraId="51A8808F"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5.27403</w:t>
            </w:r>
          </w:p>
        </w:tc>
        <w:tc>
          <w:tcPr>
            <w:tcW w:w="808" w:type="dxa"/>
            <w:tcBorders>
              <w:top w:val="single" w:sz="4" w:space="0" w:color="ADD6EA"/>
              <w:left w:val="nil"/>
              <w:bottom w:val="nil"/>
              <w:right w:val="nil"/>
            </w:tcBorders>
            <w:shd w:val="clear" w:color="auto" w:fill="auto"/>
            <w:noWrap/>
            <w:vAlign w:val="center"/>
            <w:hideMark/>
          </w:tcPr>
          <w:p w14:paraId="4858BE92" w14:textId="77777777" w:rsidR="00EB6731" w:rsidRPr="00304176" w:rsidRDefault="00EB673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4176">
              <w:rPr>
                <w:rFonts w:ascii="Open Sans Light" w:eastAsia="Times New Roman" w:hAnsi="Open Sans Light" w:cs="Open Sans Light"/>
                <w:color w:val="000000"/>
                <w:sz w:val="16"/>
                <w:szCs w:val="16"/>
                <w:lang w:eastAsia="en-AU"/>
              </w:rPr>
              <w:t>1.00000</w:t>
            </w:r>
          </w:p>
        </w:tc>
      </w:tr>
      <w:tr w:rsidR="00EB6731" w:rsidRPr="00304176" w14:paraId="79809AB9" w14:textId="77777777" w:rsidTr="00E90A6D">
        <w:trPr>
          <w:trHeight w:val="315"/>
        </w:trPr>
        <w:tc>
          <w:tcPr>
            <w:tcW w:w="1292" w:type="dxa"/>
            <w:tcBorders>
              <w:top w:val="single" w:sz="4" w:space="0" w:color="ADD6EA"/>
              <w:left w:val="nil"/>
              <w:bottom w:val="single" w:sz="4" w:space="0" w:color="ADD6EA"/>
              <w:right w:val="nil"/>
            </w:tcBorders>
            <w:shd w:val="clear" w:color="000000" w:fill="D6E7F0"/>
            <w:vAlign w:val="center"/>
            <w:hideMark/>
          </w:tcPr>
          <w:p w14:paraId="34EAABED" w14:textId="77777777" w:rsidR="00EB6731" w:rsidRPr="00304176" w:rsidRDefault="00EB6731">
            <w:pPr>
              <w:tabs>
                <w:tab w:val="clear" w:pos="567"/>
              </w:tabs>
              <w:spacing w:before="0" w:line="240" w:lineRule="auto"/>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Average (d)</w:t>
            </w:r>
          </w:p>
        </w:tc>
        <w:tc>
          <w:tcPr>
            <w:tcW w:w="860" w:type="dxa"/>
            <w:tcBorders>
              <w:top w:val="single" w:sz="4" w:space="0" w:color="ADD6EA"/>
              <w:left w:val="nil"/>
              <w:bottom w:val="single" w:sz="4" w:space="0" w:color="ADD6EA"/>
              <w:right w:val="nil"/>
            </w:tcBorders>
            <w:shd w:val="clear" w:color="000000" w:fill="D6E7F0"/>
            <w:noWrap/>
            <w:vAlign w:val="center"/>
            <w:hideMark/>
          </w:tcPr>
          <w:p w14:paraId="29D2699B"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0.86210</w:t>
            </w:r>
          </w:p>
        </w:tc>
        <w:tc>
          <w:tcPr>
            <w:tcW w:w="860" w:type="dxa"/>
            <w:tcBorders>
              <w:top w:val="single" w:sz="4" w:space="0" w:color="ADD6EA"/>
              <w:left w:val="nil"/>
              <w:bottom w:val="single" w:sz="4" w:space="0" w:color="ADD6EA"/>
              <w:right w:val="nil"/>
            </w:tcBorders>
            <w:shd w:val="clear" w:color="000000" w:fill="D6E7F0"/>
            <w:noWrap/>
            <w:vAlign w:val="center"/>
            <w:hideMark/>
          </w:tcPr>
          <w:p w14:paraId="082A363B"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1.06899</w:t>
            </w:r>
          </w:p>
        </w:tc>
        <w:tc>
          <w:tcPr>
            <w:tcW w:w="860" w:type="dxa"/>
            <w:tcBorders>
              <w:top w:val="single" w:sz="4" w:space="0" w:color="ADD6EA"/>
              <w:left w:val="nil"/>
              <w:bottom w:val="single" w:sz="4" w:space="0" w:color="ADD6EA"/>
              <w:right w:val="nil"/>
            </w:tcBorders>
            <w:shd w:val="clear" w:color="000000" w:fill="D6E7F0"/>
            <w:noWrap/>
            <w:vAlign w:val="center"/>
            <w:hideMark/>
          </w:tcPr>
          <w:p w14:paraId="566F1D85"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0.84747</w:t>
            </w:r>
          </w:p>
        </w:tc>
        <w:tc>
          <w:tcPr>
            <w:tcW w:w="860" w:type="dxa"/>
            <w:tcBorders>
              <w:top w:val="single" w:sz="4" w:space="0" w:color="ADD6EA"/>
              <w:left w:val="nil"/>
              <w:bottom w:val="single" w:sz="4" w:space="0" w:color="ADD6EA"/>
              <w:right w:val="nil"/>
            </w:tcBorders>
            <w:shd w:val="clear" w:color="000000" w:fill="D6E7F0"/>
            <w:noWrap/>
            <w:vAlign w:val="center"/>
            <w:hideMark/>
          </w:tcPr>
          <w:p w14:paraId="7FCC57F8"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0.73570</w:t>
            </w:r>
          </w:p>
        </w:tc>
        <w:tc>
          <w:tcPr>
            <w:tcW w:w="860" w:type="dxa"/>
            <w:tcBorders>
              <w:top w:val="single" w:sz="4" w:space="0" w:color="ADD6EA"/>
              <w:left w:val="nil"/>
              <w:bottom w:val="single" w:sz="4" w:space="0" w:color="ADD6EA"/>
              <w:right w:val="nil"/>
            </w:tcBorders>
            <w:shd w:val="clear" w:color="000000" w:fill="D6E7F0"/>
            <w:noWrap/>
            <w:vAlign w:val="center"/>
            <w:hideMark/>
          </w:tcPr>
          <w:p w14:paraId="5D57D16F"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1.39052</w:t>
            </w:r>
          </w:p>
        </w:tc>
        <w:tc>
          <w:tcPr>
            <w:tcW w:w="860" w:type="dxa"/>
            <w:tcBorders>
              <w:top w:val="single" w:sz="4" w:space="0" w:color="ADD6EA"/>
              <w:left w:val="nil"/>
              <w:bottom w:val="single" w:sz="4" w:space="0" w:color="ADD6EA"/>
              <w:right w:val="nil"/>
            </w:tcBorders>
            <w:shd w:val="clear" w:color="000000" w:fill="D6E7F0"/>
            <w:noWrap/>
            <w:vAlign w:val="center"/>
            <w:hideMark/>
          </w:tcPr>
          <w:p w14:paraId="0D0A7169"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1.84230</w:t>
            </w:r>
          </w:p>
        </w:tc>
        <w:tc>
          <w:tcPr>
            <w:tcW w:w="860" w:type="dxa"/>
            <w:tcBorders>
              <w:top w:val="single" w:sz="4" w:space="0" w:color="ADD6EA"/>
              <w:left w:val="nil"/>
              <w:bottom w:val="single" w:sz="4" w:space="0" w:color="ADD6EA"/>
              <w:right w:val="nil"/>
            </w:tcBorders>
            <w:shd w:val="clear" w:color="000000" w:fill="D6E7F0"/>
            <w:noWrap/>
            <w:vAlign w:val="center"/>
            <w:hideMark/>
          </w:tcPr>
          <w:p w14:paraId="64AD73B4"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1.17399</w:t>
            </w:r>
          </w:p>
        </w:tc>
        <w:tc>
          <w:tcPr>
            <w:tcW w:w="860" w:type="dxa"/>
            <w:tcBorders>
              <w:top w:val="single" w:sz="4" w:space="0" w:color="ADD6EA"/>
              <w:left w:val="nil"/>
              <w:bottom w:val="single" w:sz="4" w:space="0" w:color="ADD6EA"/>
              <w:right w:val="nil"/>
            </w:tcBorders>
            <w:shd w:val="clear" w:color="000000" w:fill="D6E7F0"/>
            <w:noWrap/>
            <w:vAlign w:val="center"/>
            <w:hideMark/>
          </w:tcPr>
          <w:p w14:paraId="6D3CA0D2"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5.15288</w:t>
            </w:r>
          </w:p>
        </w:tc>
        <w:tc>
          <w:tcPr>
            <w:tcW w:w="808" w:type="dxa"/>
            <w:tcBorders>
              <w:top w:val="single" w:sz="4" w:space="0" w:color="ADD6EA"/>
              <w:left w:val="nil"/>
              <w:bottom w:val="single" w:sz="4" w:space="0" w:color="ADD6EA"/>
              <w:right w:val="nil"/>
            </w:tcBorders>
            <w:shd w:val="clear" w:color="000000" w:fill="D6E7F0"/>
            <w:noWrap/>
            <w:vAlign w:val="center"/>
            <w:hideMark/>
          </w:tcPr>
          <w:p w14:paraId="49F28FB9"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1.00000</w:t>
            </w:r>
          </w:p>
        </w:tc>
      </w:tr>
      <w:tr w:rsidR="00EB6731" w:rsidRPr="00304176" w14:paraId="7A3172F8" w14:textId="77777777" w:rsidTr="00E90A6D">
        <w:trPr>
          <w:trHeight w:val="285"/>
        </w:trPr>
        <w:tc>
          <w:tcPr>
            <w:tcW w:w="1292" w:type="dxa"/>
            <w:tcBorders>
              <w:top w:val="nil"/>
              <w:left w:val="nil"/>
              <w:bottom w:val="single" w:sz="4" w:space="0" w:color="ADD6EA"/>
              <w:right w:val="nil"/>
            </w:tcBorders>
            <w:shd w:val="clear" w:color="000000" w:fill="B6D5E4"/>
            <w:vAlign w:val="center"/>
            <w:hideMark/>
          </w:tcPr>
          <w:p w14:paraId="55BCA856" w14:textId="77777777" w:rsidR="00EB6731" w:rsidRPr="00304176" w:rsidRDefault="00EB6731">
            <w:pPr>
              <w:tabs>
                <w:tab w:val="clear" w:pos="567"/>
              </w:tabs>
              <w:spacing w:before="0" w:line="240" w:lineRule="auto"/>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GST relativity (d)</w:t>
            </w:r>
          </w:p>
        </w:tc>
        <w:tc>
          <w:tcPr>
            <w:tcW w:w="860" w:type="dxa"/>
            <w:tcBorders>
              <w:top w:val="nil"/>
              <w:left w:val="nil"/>
              <w:bottom w:val="single" w:sz="4" w:space="0" w:color="ADD6EA"/>
              <w:right w:val="nil"/>
            </w:tcBorders>
            <w:shd w:val="clear" w:color="000000" w:fill="B6D5E4"/>
            <w:noWrap/>
            <w:vAlign w:val="center"/>
            <w:hideMark/>
          </w:tcPr>
          <w:p w14:paraId="4192D245"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0.86034</w:t>
            </w:r>
          </w:p>
        </w:tc>
        <w:tc>
          <w:tcPr>
            <w:tcW w:w="860" w:type="dxa"/>
            <w:tcBorders>
              <w:top w:val="nil"/>
              <w:left w:val="nil"/>
              <w:bottom w:val="single" w:sz="4" w:space="0" w:color="ADD6EA"/>
              <w:right w:val="nil"/>
            </w:tcBorders>
            <w:shd w:val="clear" w:color="000000" w:fill="B6D5E4"/>
            <w:noWrap/>
            <w:vAlign w:val="center"/>
            <w:hideMark/>
          </w:tcPr>
          <w:p w14:paraId="3899718A"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1.06722</w:t>
            </w:r>
          </w:p>
        </w:tc>
        <w:tc>
          <w:tcPr>
            <w:tcW w:w="860" w:type="dxa"/>
            <w:tcBorders>
              <w:top w:val="nil"/>
              <w:left w:val="nil"/>
              <w:bottom w:val="single" w:sz="4" w:space="0" w:color="ADD6EA"/>
              <w:right w:val="nil"/>
            </w:tcBorders>
            <w:shd w:val="clear" w:color="000000" w:fill="B6D5E4"/>
            <w:noWrap/>
            <w:vAlign w:val="center"/>
            <w:hideMark/>
          </w:tcPr>
          <w:p w14:paraId="71A5981E"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0.84571</w:t>
            </w:r>
          </w:p>
        </w:tc>
        <w:tc>
          <w:tcPr>
            <w:tcW w:w="860" w:type="dxa"/>
            <w:tcBorders>
              <w:top w:val="nil"/>
              <w:left w:val="nil"/>
              <w:bottom w:val="single" w:sz="4" w:space="0" w:color="ADD6EA"/>
              <w:right w:val="nil"/>
            </w:tcBorders>
            <w:shd w:val="clear" w:color="000000" w:fill="B6D5E4"/>
            <w:noWrap/>
            <w:vAlign w:val="center"/>
            <w:hideMark/>
          </w:tcPr>
          <w:p w14:paraId="78C9A0B2"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0.75000</w:t>
            </w:r>
          </w:p>
        </w:tc>
        <w:tc>
          <w:tcPr>
            <w:tcW w:w="860" w:type="dxa"/>
            <w:tcBorders>
              <w:top w:val="nil"/>
              <w:left w:val="nil"/>
              <w:bottom w:val="single" w:sz="4" w:space="0" w:color="ADD6EA"/>
              <w:right w:val="nil"/>
            </w:tcBorders>
            <w:shd w:val="clear" w:color="000000" w:fill="B6D5E4"/>
            <w:noWrap/>
            <w:vAlign w:val="center"/>
            <w:hideMark/>
          </w:tcPr>
          <w:p w14:paraId="6A26B8C9"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1.38876</w:t>
            </w:r>
          </w:p>
        </w:tc>
        <w:tc>
          <w:tcPr>
            <w:tcW w:w="860" w:type="dxa"/>
            <w:tcBorders>
              <w:top w:val="nil"/>
              <w:left w:val="nil"/>
              <w:bottom w:val="single" w:sz="4" w:space="0" w:color="ADD6EA"/>
              <w:right w:val="nil"/>
            </w:tcBorders>
            <w:shd w:val="clear" w:color="000000" w:fill="B6D5E4"/>
            <w:noWrap/>
            <w:vAlign w:val="center"/>
            <w:hideMark/>
          </w:tcPr>
          <w:p w14:paraId="6A8BD50D"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1.84053</w:t>
            </w:r>
          </w:p>
        </w:tc>
        <w:tc>
          <w:tcPr>
            <w:tcW w:w="860" w:type="dxa"/>
            <w:tcBorders>
              <w:top w:val="nil"/>
              <w:left w:val="nil"/>
              <w:bottom w:val="single" w:sz="4" w:space="0" w:color="ADD6EA"/>
              <w:right w:val="nil"/>
            </w:tcBorders>
            <w:shd w:val="clear" w:color="000000" w:fill="B6D5E4"/>
            <w:noWrap/>
            <w:vAlign w:val="center"/>
            <w:hideMark/>
          </w:tcPr>
          <w:p w14:paraId="1179525B"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1.17223</w:t>
            </w:r>
          </w:p>
        </w:tc>
        <w:tc>
          <w:tcPr>
            <w:tcW w:w="860" w:type="dxa"/>
            <w:tcBorders>
              <w:top w:val="nil"/>
              <w:left w:val="nil"/>
              <w:bottom w:val="single" w:sz="4" w:space="0" w:color="ADD6EA"/>
              <w:right w:val="nil"/>
            </w:tcBorders>
            <w:shd w:val="clear" w:color="000000" w:fill="B6D5E4"/>
            <w:noWrap/>
            <w:vAlign w:val="center"/>
            <w:hideMark/>
          </w:tcPr>
          <w:p w14:paraId="76591F7B"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5.15112</w:t>
            </w:r>
          </w:p>
        </w:tc>
        <w:tc>
          <w:tcPr>
            <w:tcW w:w="808" w:type="dxa"/>
            <w:tcBorders>
              <w:top w:val="nil"/>
              <w:left w:val="nil"/>
              <w:bottom w:val="single" w:sz="4" w:space="0" w:color="ADD6EA"/>
              <w:right w:val="nil"/>
            </w:tcBorders>
            <w:shd w:val="clear" w:color="000000" w:fill="B6D5E4"/>
            <w:noWrap/>
            <w:vAlign w:val="center"/>
            <w:hideMark/>
          </w:tcPr>
          <w:p w14:paraId="5419BB40" w14:textId="77777777" w:rsidR="00EB6731" w:rsidRPr="00304176" w:rsidRDefault="00EB673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4176">
              <w:rPr>
                <w:rFonts w:ascii="Open Sans Semibold" w:eastAsia="Times New Roman" w:hAnsi="Open Sans Semibold" w:cs="Open Sans Semibold"/>
                <w:color w:val="000000"/>
                <w:sz w:val="16"/>
                <w:szCs w:val="16"/>
                <w:lang w:eastAsia="en-AU"/>
              </w:rPr>
              <w:t>1.00000</w:t>
            </w:r>
          </w:p>
        </w:tc>
      </w:tr>
    </w:tbl>
    <w:p w14:paraId="73B5A5AD" w14:textId="5EE07A4F" w:rsidR="00814C3F" w:rsidRPr="00602106" w:rsidRDefault="003608CA" w:rsidP="00D7545F">
      <w:pPr>
        <w:pStyle w:val="CGC2025TableNote"/>
        <w:numPr>
          <w:ilvl w:val="0"/>
          <w:numId w:val="32"/>
        </w:numPr>
      </w:pPr>
      <w:r w:rsidRPr="00602106">
        <w:t xml:space="preserve"> </w:t>
      </w:r>
      <w:r w:rsidR="00814C3F" w:rsidRPr="00602106">
        <w:t xml:space="preserve">See </w:t>
      </w:r>
      <w:r w:rsidR="00814C3F">
        <w:t>Box A-1</w:t>
      </w:r>
      <w:r w:rsidR="00814C3F" w:rsidRPr="00602106">
        <w:t xml:space="preserve"> for an explanation of the steps taken to calculate GST relativities using assessed relativities and the   requirements of the</w:t>
      </w:r>
      <w:r w:rsidR="00814C3F">
        <w:t xml:space="preserve"> 2018</w:t>
      </w:r>
      <w:r w:rsidR="00814C3F" w:rsidRPr="00602106">
        <w:t xml:space="preserve"> GST distribution legislation.</w:t>
      </w:r>
    </w:p>
    <w:p w14:paraId="0F5F098D" w14:textId="77777777" w:rsidR="00D7545F" w:rsidRDefault="00814C3F">
      <w:pPr>
        <w:pStyle w:val="CGC2025TableNote"/>
        <w:numPr>
          <w:ilvl w:val="0"/>
          <w:numId w:val="32"/>
        </w:numPr>
      </w:pPr>
      <w:r w:rsidRPr="00602106">
        <w:t>New South Wales was the standard state for all 3 assessment years.</w:t>
      </w:r>
      <w:r w:rsidR="00D7545F">
        <w:t xml:space="preserve"> </w:t>
      </w:r>
    </w:p>
    <w:p w14:paraId="2C56A3CA" w14:textId="77777777" w:rsidR="00D7545F" w:rsidRDefault="00814C3F">
      <w:pPr>
        <w:pStyle w:val="CGC2025TableNote"/>
        <w:numPr>
          <w:ilvl w:val="0"/>
          <w:numId w:val="32"/>
        </w:numPr>
      </w:pPr>
      <w:r w:rsidRPr="00602106">
        <w:t>In the 2025</w:t>
      </w:r>
      <w:r>
        <w:t>–</w:t>
      </w:r>
      <w:r w:rsidRPr="00602106">
        <w:t xml:space="preserve">26 GST relativities, the blended relativities are five-sixths of the standard state approach and one-sixth of the previous approach. </w:t>
      </w:r>
    </w:p>
    <w:p w14:paraId="550A2E52" w14:textId="0F07766B" w:rsidR="004A5A9B" w:rsidRDefault="00814C3F">
      <w:pPr>
        <w:pStyle w:val="CGC2025TableNote"/>
        <w:numPr>
          <w:ilvl w:val="0"/>
          <w:numId w:val="32"/>
        </w:numPr>
      </w:pPr>
      <w:r w:rsidRPr="00602106">
        <w:t>The average blended relativity of Western Australia is below the GST relativity floor of 0.75. In calculating final GST</w:t>
      </w:r>
      <w:r w:rsidR="00E72637">
        <w:t> </w:t>
      </w:r>
      <w:r w:rsidRPr="00602106">
        <w:t>relativities, this is raised to the floor of 0.75 and the relativities of</w:t>
      </w:r>
      <w:r>
        <w:t xml:space="preserve"> the</w:t>
      </w:r>
      <w:r w:rsidRPr="00602106">
        <w:t xml:space="preserve"> other states adjusted down on a population</w:t>
      </w:r>
      <w:r w:rsidR="006579F8">
        <w:t xml:space="preserve"> </w:t>
      </w:r>
      <w:r w:rsidRPr="00602106">
        <w:t>share basis</w:t>
      </w:r>
      <w:r>
        <w:t>.</w:t>
      </w:r>
    </w:p>
    <w:p w14:paraId="5FB7BB71" w14:textId="77777777" w:rsidR="00E550D5" w:rsidRPr="00DC55A9" w:rsidRDefault="00E550D5" w:rsidP="00E550D5">
      <w:pPr>
        <w:pStyle w:val="Heading3"/>
      </w:pPr>
      <w:r w:rsidRPr="00DC55A9">
        <w:t>Assessed relativities</w:t>
      </w:r>
    </w:p>
    <w:p w14:paraId="30EC38BF" w14:textId="77777777" w:rsidR="00FC0FA2" w:rsidRDefault="00FC0FA2" w:rsidP="00FC0FA2">
      <w:r w:rsidRPr="00972706">
        <w:t>Assessed relativities have changed since 2024–25 for 3 reasons.</w:t>
      </w:r>
    </w:p>
    <w:p w14:paraId="7149BCEB" w14:textId="77777777" w:rsidR="00FC0FA2" w:rsidRPr="00DC55A9" w:rsidRDefault="00FC0FA2" w:rsidP="00B76707">
      <w:pPr>
        <w:pStyle w:val="CGC2025Bullet1"/>
      </w:pPr>
      <w:r w:rsidRPr="00DC55A9">
        <w:t>The Commission has changed some assessment methods as part of the 2025 Review.</w:t>
      </w:r>
    </w:p>
    <w:p w14:paraId="34E172CA" w14:textId="4A5524E5" w:rsidR="00FC0FA2" w:rsidRPr="00DC55A9" w:rsidRDefault="00FC0FA2" w:rsidP="00B76707">
      <w:pPr>
        <w:pStyle w:val="CGC2025Bullet1"/>
      </w:pPr>
      <w:r w:rsidRPr="00DC55A9">
        <w:t>The Commission uses a 3-year rolling average in its assessment of state fiscal capacities.</w:t>
      </w:r>
      <w:r w:rsidRPr="00C17B5B">
        <w:rPr>
          <w:vertAlign w:val="superscript"/>
        </w:rPr>
        <w:footnoteReference w:id="9"/>
      </w:r>
      <w:r w:rsidRPr="00DC55A9">
        <w:t xml:space="preserve"> It incorporates revisions to previous years of data to ensure the most up</w:t>
      </w:r>
      <w:r w:rsidR="000977B1">
        <w:t>-</w:t>
      </w:r>
      <w:r w:rsidRPr="00DC55A9">
        <w:t>to</w:t>
      </w:r>
      <w:r w:rsidR="000977B1">
        <w:t>-</w:t>
      </w:r>
      <w:r w:rsidRPr="00DC55A9">
        <w:t xml:space="preserve">date information is used to calculate relativities. </w:t>
      </w:r>
    </w:p>
    <w:p w14:paraId="47FD8D1E" w14:textId="77777777" w:rsidR="00FC0FA2" w:rsidRPr="00DC55A9" w:rsidRDefault="00FC0FA2" w:rsidP="00B76707">
      <w:pPr>
        <w:pStyle w:val="CGC2025Bullet1"/>
      </w:pPr>
      <w:r w:rsidRPr="00DC55A9">
        <w:lastRenderedPageBreak/>
        <w:t>Differences in the year falling out of the calculations (2020-21), compared with the year coming into the calculations (2023-24), contribute to changes in the distribution of GST. These reflect changing state circumstances.</w:t>
      </w:r>
    </w:p>
    <w:p w14:paraId="651B9AA7" w14:textId="77777777" w:rsidR="00FC0FA2" w:rsidRDefault="00FC0FA2" w:rsidP="00FC0FA2">
      <w:r>
        <w:t xml:space="preserve">Details of the main reasons for the changes in assessed relativities in 2025-26 are provided in Chapter 2. </w:t>
      </w:r>
    </w:p>
    <w:p w14:paraId="6F08E1F1" w14:textId="77777777" w:rsidR="00FC0FA2" w:rsidRPr="00DC55A9" w:rsidRDefault="00FC0FA2" w:rsidP="00B76707">
      <w:pPr>
        <w:pStyle w:val="Heading3"/>
      </w:pPr>
      <w:r w:rsidRPr="00DC55A9">
        <w:t>Standard state relativities and blending</w:t>
      </w:r>
    </w:p>
    <w:p w14:paraId="42D0BC42" w14:textId="77777777" w:rsidR="00FC0FA2" w:rsidRDefault="00FC0FA2" w:rsidP="00FC0FA2">
      <w:r>
        <w:t>In 2025–26, New South Wales was the</w:t>
      </w:r>
      <w:r w:rsidRPr="00065974">
        <w:t xml:space="preserve"> standard state for all assessment years (2021</w:t>
      </w:r>
      <w:r>
        <w:t>–</w:t>
      </w:r>
      <w:r w:rsidRPr="00065974">
        <w:t>22, 2022</w:t>
      </w:r>
      <w:r>
        <w:t>–</w:t>
      </w:r>
      <w:r w:rsidRPr="00065974">
        <w:t>23 and 2023</w:t>
      </w:r>
      <w:r>
        <w:t>–</w:t>
      </w:r>
      <w:r w:rsidRPr="00065974">
        <w:t xml:space="preserve">24) because its assessed relativity in each year </w:t>
      </w:r>
      <w:r>
        <w:t>wa</w:t>
      </w:r>
      <w:r w:rsidRPr="00065974">
        <w:t xml:space="preserve">s lower than Victoria’s. </w:t>
      </w:r>
    </w:p>
    <w:p w14:paraId="5CD3046B" w14:textId="71301662" w:rsidR="00FC0FA2" w:rsidRPr="00065974" w:rsidRDefault="00FC0FA2" w:rsidP="00FC0FA2">
      <w:r w:rsidRPr="004C00B8">
        <w:t>Queensland’s and Western Australia’s assessed relativities were below the standard state</w:t>
      </w:r>
      <w:r w:rsidR="7EDCFD53" w:rsidRPr="004C00B8">
        <w:t xml:space="preserve"> </w:t>
      </w:r>
      <w:r w:rsidR="00E11F74" w:rsidRPr="004C00B8">
        <w:t>(</w:t>
      </w:r>
      <w:r w:rsidR="5140DB77" w:rsidRPr="004C00B8">
        <w:t>New South Wales)</w:t>
      </w:r>
      <w:r w:rsidRPr="004C00B8">
        <w:t xml:space="preserve"> in each assessment year. Both Queensland’s and Western Australia’s relativities were increased in each year to align with New South Wales’ assessed relativity. The relativities of all states, including Queensland, Western Australia and the standard state, were then </w:t>
      </w:r>
      <w:r w:rsidR="00C45E6D" w:rsidRPr="004C00B8">
        <w:t>adjusted</w:t>
      </w:r>
      <w:r w:rsidRPr="004C00B8">
        <w:t xml:space="preserve"> to ensure the reduction to relativities resulting from lifting Queensland’s and Western Australia’s relativities was shared on an equal per capita basis between all states.</w:t>
      </w:r>
      <w:r>
        <w:t xml:space="preserve"> </w:t>
      </w:r>
    </w:p>
    <w:p w14:paraId="265D71E9" w14:textId="77777777" w:rsidR="00FC0FA2" w:rsidRDefault="00FC0FA2" w:rsidP="00FC0FA2">
      <w:r>
        <w:t xml:space="preserve">This is the first time since the implementation of the 2018 GST distribution legislation that 2 states have had an assessed relativity below that of the standard state. Previously, only Western Australia had been below the standard state. </w:t>
      </w:r>
    </w:p>
    <w:p w14:paraId="69E7C6D7" w14:textId="77777777" w:rsidR="00FC0FA2" w:rsidRPr="00065974" w:rsidRDefault="00FC0FA2" w:rsidP="00FC0FA2">
      <w:r>
        <w:t>To calculate blended relativities for 2025–26, as per the 2018 GST distribution legislation, standard state relativities have a weighting of five</w:t>
      </w:r>
      <w:r>
        <w:noBreakHyphen/>
        <w:t>sixths and assessed relativities have a weighting of one</w:t>
      </w:r>
      <w:r>
        <w:noBreakHyphen/>
        <w:t>sixth. From 2026–27, GST relativities will reflect the standard state relativities and the application of the GST relativity floor of 0.75, should it be triggered.</w:t>
      </w:r>
    </w:p>
    <w:p w14:paraId="7BC42614" w14:textId="77777777" w:rsidR="00FC0FA2" w:rsidRPr="00DC55A9" w:rsidRDefault="00FC0FA2" w:rsidP="000D4379">
      <w:pPr>
        <w:pStyle w:val="Heading3"/>
      </w:pPr>
      <w:r w:rsidRPr="00DC55A9">
        <w:t>GST relativity floor</w:t>
      </w:r>
    </w:p>
    <w:p w14:paraId="2EF5D6C3" w14:textId="3DD77A30" w:rsidR="00FC0FA2" w:rsidRPr="004C00B8" w:rsidRDefault="00FC0FA2" w:rsidP="00FC0FA2">
      <w:r w:rsidRPr="00065974">
        <w:t xml:space="preserve">Western Australia’s average </w:t>
      </w:r>
      <w:r w:rsidRPr="004C00B8">
        <w:t xml:space="preserve">blended relativity was below the GST relativity floor so it was raised to the 0.75 floor. The relativities of the other states were scaled down </w:t>
      </w:r>
      <w:r w:rsidR="009D3FC5" w:rsidRPr="004C00B8">
        <w:t>on a population share ba</w:t>
      </w:r>
      <w:r w:rsidR="00CA6862" w:rsidRPr="004C00B8">
        <w:t xml:space="preserve">sis </w:t>
      </w:r>
      <w:r w:rsidRPr="004C00B8">
        <w:t xml:space="preserve">to account for the increase in Western Australia’s relativity. </w:t>
      </w:r>
    </w:p>
    <w:p w14:paraId="283CB64E" w14:textId="6FA2FF10" w:rsidR="00FC0FA2" w:rsidRDefault="00FC0FA2" w:rsidP="00FC0FA2">
      <w:r w:rsidRPr="004C00B8">
        <w:t>Queensland’s average blended relativity</w:t>
      </w:r>
      <w:r>
        <w:t xml:space="preserve"> was above 0.75, so the GST relativity floor was not applicable. While Queensland benefited from having its assessed relativities increased to that of the standard state, this benefit was more than offset by the reduction in its relativity (along with other states) as a consequence of lifting Western Australia’s relativity, including to the GST relativity floor of 0.75.  </w:t>
      </w:r>
    </w:p>
    <w:p w14:paraId="3202959C" w14:textId="7B64B45F" w:rsidR="003F7E8B" w:rsidRDefault="00FC0FA2" w:rsidP="00E550D5">
      <w:r w:rsidRPr="00065974">
        <w:t>Box </w:t>
      </w:r>
      <w:r>
        <w:t>A</w:t>
      </w:r>
      <w:r>
        <w:noBreakHyphen/>
      </w:r>
      <w:r w:rsidRPr="00065974">
        <w:t xml:space="preserve">2 and </w:t>
      </w:r>
      <w:r>
        <w:t>Box A</w:t>
      </w:r>
      <w:r w:rsidRPr="00065974">
        <w:noBreakHyphen/>
        <w:t>3 provide illustration</w:t>
      </w:r>
      <w:r>
        <w:t>s</w:t>
      </w:r>
      <w:r w:rsidRPr="00065974">
        <w:t xml:space="preserve"> of the calculations </w:t>
      </w:r>
      <w:r>
        <w:t>of the GST relativities for</w:t>
      </w:r>
      <w:r w:rsidRPr="00065974">
        <w:t xml:space="preserve"> Queensland and Western Australia</w:t>
      </w:r>
      <w:r>
        <w:t xml:space="preserve"> in 2025–26</w:t>
      </w:r>
      <w:r w:rsidRPr="00065974">
        <w:t>.</w:t>
      </w:r>
      <w:r>
        <w:t xml:space="preserve"> </w:t>
      </w:r>
    </w:p>
    <w:p w14:paraId="2F04813A" w14:textId="77777777" w:rsidR="003F7E8B" w:rsidRDefault="003F7E8B" w:rsidP="00E550D5"/>
    <w:p w14:paraId="59647BBB" w14:textId="77777777" w:rsidR="003F7E8B" w:rsidRDefault="003F7E8B" w:rsidP="00E550D5"/>
    <w:p w14:paraId="0DA6CFA0" w14:textId="5E7952B3" w:rsidR="003F7E8B" w:rsidRDefault="003F7E8B">
      <w:pPr>
        <w:tabs>
          <w:tab w:val="clear" w:pos="567"/>
        </w:tabs>
        <w:spacing w:before="0" w:after="200" w:line="276" w:lineRule="auto"/>
        <w:rPr>
          <w:rFonts w:eastAsia="Times New Roman" w:cs="Open Sans"/>
          <w:b/>
          <w:bCs/>
          <w:color w:val="006991"/>
          <w:sz w:val="28"/>
          <w:szCs w:val="28"/>
        </w:rPr>
      </w:pPr>
      <w:r>
        <w:rPr>
          <w:rFonts w:eastAsia="Times New Roman" w:cs="Open Sans"/>
          <w:b/>
          <w:bCs/>
          <w:color w:val="006991"/>
          <w:sz w:val="28"/>
          <w:szCs w:val="28"/>
        </w:rPr>
        <w:br w:type="page"/>
      </w:r>
    </w:p>
    <w:p w14:paraId="6F667644" w14:textId="2D9FFADB" w:rsidR="003F7E8B" w:rsidRDefault="003F7E8B">
      <w:pPr>
        <w:tabs>
          <w:tab w:val="clear" w:pos="567"/>
        </w:tabs>
        <w:spacing w:before="0" w:after="200" w:line="276" w:lineRule="auto"/>
      </w:pPr>
      <w:r>
        <w:rPr>
          <w:noProof/>
        </w:rPr>
        <w:lastRenderedPageBreak/>
        <mc:AlternateContent>
          <mc:Choice Requires="wps">
            <w:drawing>
              <wp:anchor distT="45720" distB="45720" distL="114300" distR="114300" simplePos="0" relativeHeight="251658250" behindDoc="0" locked="0" layoutInCell="1" allowOverlap="1" wp14:anchorId="6D676C76" wp14:editId="2C57AE25">
                <wp:simplePos x="0" y="0"/>
                <wp:positionH relativeFrom="margin">
                  <wp:posOffset>0</wp:posOffset>
                </wp:positionH>
                <wp:positionV relativeFrom="paragraph">
                  <wp:posOffset>0</wp:posOffset>
                </wp:positionV>
                <wp:extent cx="5853600" cy="8845200"/>
                <wp:effectExtent l="0" t="0" r="13970" b="13335"/>
                <wp:wrapSquare wrapText="bothSides"/>
                <wp:docPr id="1966634429" name="Text Box 1966634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600" cy="8845200"/>
                        </a:xfrm>
                        <a:prstGeom prst="rect">
                          <a:avLst/>
                        </a:prstGeom>
                        <a:solidFill>
                          <a:srgbClr val="E5F8FF"/>
                        </a:solidFill>
                        <a:ln w="9525">
                          <a:solidFill>
                            <a:schemeClr val="bg1"/>
                          </a:solidFill>
                          <a:miter lim="800000"/>
                          <a:headEnd/>
                          <a:tailEnd/>
                        </a:ln>
                      </wps:spPr>
                      <wps:txbx>
                        <w:txbxContent>
                          <w:p w14:paraId="15ADCF09" w14:textId="77777777" w:rsidR="003F7E8B" w:rsidRPr="00C95B56" w:rsidRDefault="003F7E8B" w:rsidP="00C0083B">
                            <w:pPr>
                              <w:pStyle w:val="HeadingBox-Level3"/>
                            </w:pPr>
                            <w:bookmarkStart w:id="147" w:name="Box_1_1"/>
                            <w:bookmarkStart w:id="148" w:name="_Toc159675679"/>
                            <w:bookmarkStart w:id="149" w:name="_Toc159675986"/>
                            <w:bookmarkStart w:id="150" w:name="_Toc159676053"/>
                            <w:bookmarkStart w:id="151" w:name="_Toc190780961"/>
                            <w:r w:rsidRPr="00C95B56">
                              <w:t xml:space="preserve">Box </w:t>
                            </w:r>
                            <w:r>
                              <w:t>A</w:t>
                            </w:r>
                            <w:r w:rsidRPr="00C95B56">
                              <w:t>-1</w:t>
                            </w:r>
                            <w:bookmarkEnd w:id="147"/>
                            <w:r w:rsidRPr="00C95B56">
                              <w:tab/>
                              <w:t>Calculation of GST relativities</w:t>
                            </w:r>
                            <w:bookmarkEnd w:id="148"/>
                            <w:bookmarkEnd w:id="149"/>
                            <w:bookmarkEnd w:id="150"/>
                            <w:bookmarkEnd w:id="151"/>
                            <w:r w:rsidRPr="00C95B56">
                              <w:t xml:space="preserve"> </w:t>
                            </w:r>
                          </w:p>
                          <w:p w14:paraId="47EC5134" w14:textId="77777777" w:rsidR="003F7E8B" w:rsidRPr="00F84471" w:rsidRDefault="003F7E8B" w:rsidP="003F7E8B">
                            <w:r w:rsidRPr="00065974">
                              <w:t xml:space="preserve">The Commission’s recommendations on GST relativities are consistent with the </w:t>
                            </w:r>
                            <w:r w:rsidRPr="00065974">
                              <w:rPr>
                                <w:i/>
                              </w:rPr>
                              <w:t>Commonwealth Grants Commission Act 1973</w:t>
                            </w:r>
                            <w:r w:rsidRPr="00065974">
                              <w:t xml:space="preserve">, the </w:t>
                            </w:r>
                            <w:r w:rsidRPr="00065974">
                              <w:rPr>
                                <w:i/>
                              </w:rPr>
                              <w:t>Federal Financial Relations Act 2009</w:t>
                            </w:r>
                            <w:r w:rsidRPr="00065974">
                              <w:rPr>
                                <w:iCs/>
                              </w:rPr>
                              <w:t xml:space="preserve">, the </w:t>
                            </w:r>
                            <w:r w:rsidRPr="00065974">
                              <w:rPr>
                                <w:i/>
                              </w:rPr>
                              <w:t xml:space="preserve">Treasury Laws Amendment (Making Sure Every State and Territory Gets Their Fair Share of GST) Act 2018 </w:t>
                            </w:r>
                            <w:r w:rsidRPr="00065974">
                              <w:t>and the terms of reference issued by the Commonwealth Treasurer. The Commission undertakes several steps to produce GST relativities.</w:t>
                            </w:r>
                          </w:p>
                          <w:p w14:paraId="4FF415ED" w14:textId="77777777" w:rsidR="003F7E8B" w:rsidRPr="00C95B56" w:rsidRDefault="003F7E8B" w:rsidP="003F7E8B">
                            <w:pPr>
                              <w:pStyle w:val="Heading4"/>
                            </w:pPr>
                            <w:bookmarkStart w:id="152" w:name="_Toc127786120"/>
                            <w:bookmarkStart w:id="153" w:name="_Toc127786251"/>
                            <w:bookmarkStart w:id="154" w:name="_Toc127786552"/>
                            <w:bookmarkStart w:id="155" w:name="_Toc127786877"/>
                            <w:bookmarkStart w:id="156" w:name="_Toc127787094"/>
                            <w:bookmarkStart w:id="157" w:name="_Toc127788030"/>
                            <w:bookmarkStart w:id="158" w:name="_Toc127802159"/>
                            <w:bookmarkStart w:id="159" w:name="_Toc127804782"/>
                            <w:bookmarkStart w:id="160" w:name="_Toc159675680"/>
                            <w:bookmarkStart w:id="161" w:name="_Toc159675987"/>
                            <w:bookmarkStart w:id="162" w:name="_Toc159676054"/>
                            <w:r w:rsidRPr="00F84471">
                              <w:t>Assessed relativities</w:t>
                            </w:r>
                            <w:bookmarkEnd w:id="152"/>
                            <w:bookmarkEnd w:id="153"/>
                            <w:bookmarkEnd w:id="154"/>
                            <w:bookmarkEnd w:id="155"/>
                            <w:bookmarkEnd w:id="156"/>
                            <w:bookmarkEnd w:id="157"/>
                            <w:bookmarkEnd w:id="158"/>
                            <w:bookmarkEnd w:id="159"/>
                            <w:bookmarkEnd w:id="160"/>
                            <w:bookmarkEnd w:id="161"/>
                            <w:bookmarkEnd w:id="162"/>
                          </w:p>
                          <w:p w14:paraId="61F9FD5D" w14:textId="77777777" w:rsidR="003F7E8B" w:rsidRPr="00C95B56" w:rsidRDefault="003F7E8B" w:rsidP="003F7E8B">
                            <w:r w:rsidRPr="00C95B56">
                              <w:t xml:space="preserve">Assessed relativities are calculated for each assessment year by comparing each state’s relative </w:t>
                            </w:r>
                            <w:r>
                              <w:t>capacity</w:t>
                            </w:r>
                            <w:r w:rsidRPr="00C95B56">
                              <w:t xml:space="preserve"> to raise revenue with its relative cost of providing services.</w:t>
                            </w:r>
                            <w:r>
                              <w:t xml:space="preserve"> </w:t>
                            </w:r>
                          </w:p>
                          <w:p w14:paraId="4E79B193" w14:textId="77777777" w:rsidR="003F7E8B" w:rsidRPr="00C95B56" w:rsidRDefault="003F7E8B" w:rsidP="003F7E8B">
                            <w:r w:rsidRPr="00C95B56">
                              <w:t>Drivers of differences in revenue capacity include mineral endowments, land values, property transactions, and taxable payrolls. States also receive different levels of funding through Commonwealth payments.</w:t>
                            </w:r>
                          </w:p>
                          <w:p w14:paraId="2D9E379C" w14:textId="77777777" w:rsidR="003F7E8B" w:rsidRDefault="003F7E8B" w:rsidP="003F7E8B">
                            <w:r w:rsidRPr="00C95B56">
                              <w:t>Service costs can vary by state for a range of reasons, including socio-demographic characteristics of the population, wage pressures, population dispersion, population density and rates of population growth.</w:t>
                            </w:r>
                          </w:p>
                          <w:p w14:paraId="29C82208" w14:textId="77777777" w:rsidR="003F7E8B" w:rsidRPr="004D2A75" w:rsidRDefault="003F7E8B" w:rsidP="003F7E8B">
                            <w:pPr>
                              <w:pStyle w:val="CGC2025Bullet1"/>
                              <w:numPr>
                                <w:ilvl w:val="0"/>
                                <w:numId w:val="0"/>
                              </w:numPr>
                            </w:pPr>
                            <w:r w:rsidRPr="004D2A75">
                              <w:t xml:space="preserve">Assessed relativities match a state’s assessed expenditure with its assessed revenue including GST. Without the 2018 GST distribution legislation, GST relativities would equal assessed relativities. </w:t>
                            </w:r>
                          </w:p>
                          <w:p w14:paraId="7DCE55E2" w14:textId="77777777" w:rsidR="003F7E8B" w:rsidRPr="004D2A75" w:rsidRDefault="003F7E8B" w:rsidP="003F7E8B">
                            <w:pPr>
                              <w:pStyle w:val="Heading4"/>
                            </w:pPr>
                            <w:bookmarkStart w:id="163" w:name="_Toc127786121"/>
                            <w:bookmarkStart w:id="164" w:name="_Toc127786252"/>
                            <w:bookmarkStart w:id="165" w:name="_Toc127786553"/>
                            <w:bookmarkStart w:id="166" w:name="_Toc127786878"/>
                            <w:bookmarkStart w:id="167" w:name="_Toc127787095"/>
                            <w:bookmarkStart w:id="168" w:name="_Toc127788031"/>
                            <w:bookmarkStart w:id="169" w:name="_Toc127802160"/>
                            <w:bookmarkStart w:id="170" w:name="_Toc127804783"/>
                            <w:bookmarkStart w:id="171" w:name="_Toc159675681"/>
                            <w:bookmarkStart w:id="172" w:name="_Toc159675988"/>
                            <w:bookmarkStart w:id="173" w:name="_Toc159676055"/>
                            <w:r w:rsidRPr="004D2A75">
                              <w:t>Standard state relativities</w:t>
                            </w:r>
                            <w:bookmarkEnd w:id="163"/>
                            <w:bookmarkEnd w:id="164"/>
                            <w:bookmarkEnd w:id="165"/>
                            <w:bookmarkEnd w:id="166"/>
                            <w:bookmarkEnd w:id="167"/>
                            <w:bookmarkEnd w:id="168"/>
                            <w:bookmarkEnd w:id="169"/>
                            <w:bookmarkEnd w:id="170"/>
                            <w:bookmarkEnd w:id="171"/>
                            <w:bookmarkEnd w:id="172"/>
                            <w:bookmarkEnd w:id="173"/>
                            <w:r w:rsidRPr="004D2A75">
                              <w:t xml:space="preserve"> and blending</w:t>
                            </w:r>
                          </w:p>
                          <w:p w14:paraId="6FC1BC27" w14:textId="02CD05AD" w:rsidR="003F7E8B" w:rsidRPr="00C95B56" w:rsidRDefault="003F7E8B" w:rsidP="003F7E8B">
                            <w:r w:rsidRPr="004D2A75">
                              <w:t>Standard state relativities are calculated for each assessment year by adjusting assessed relativities so that no state has a relativity below the lower of New South Wales or Victoria (referred to as the ‘standard state’). Therefore, any state that is fiscally stronger (and therefore has a lower assessed relativity) than the standard state, will</w:t>
                            </w:r>
                            <w:r w:rsidRPr="00972706">
                              <w:t xml:space="preserve"> have its relativity increased to the assessed relativity of the standard state. Given the GST is distributed from a fixed funding pool, relativities for all states are </w:t>
                            </w:r>
                            <w:r w:rsidR="00513156" w:rsidRPr="0017649F">
                              <w:t>adjusted down</w:t>
                            </w:r>
                            <w:r w:rsidR="00513156">
                              <w:t xml:space="preserve"> </w:t>
                            </w:r>
                            <w:r w:rsidRPr="00972706">
                              <w:t>on a population</w:t>
                            </w:r>
                            <w:r w:rsidR="006579F8">
                              <w:t xml:space="preserve"> </w:t>
                            </w:r>
                            <w:r w:rsidRPr="00972706">
                              <w:t>share basis to accommodate this increase.</w:t>
                            </w:r>
                          </w:p>
                          <w:p w14:paraId="765C2A83" w14:textId="77777777" w:rsidR="003F7E8B" w:rsidRPr="00C95B56" w:rsidRDefault="003F7E8B" w:rsidP="003F7E8B">
                            <w:r w:rsidRPr="00C95B56">
                              <w:t>Over the 6-year transition period prescribed in the</w:t>
                            </w:r>
                            <w:r>
                              <w:t xml:space="preserve"> 2018</w:t>
                            </w:r>
                            <w:r w:rsidRPr="00C95B56">
                              <w:t xml:space="preserve"> GST distribution </w:t>
                            </w:r>
                            <w:r>
                              <w:t>legislation</w:t>
                            </w:r>
                            <w:r w:rsidRPr="00C95B56">
                              <w:t xml:space="preserve">, assessed relativities are blended with standard state relativities in each assessment year. The weighting </w:t>
                            </w:r>
                            <w:r w:rsidRPr="002203A0">
                              <w:t>that each receives is specified in the legislation</w:t>
                            </w:r>
                            <w:r>
                              <w:t xml:space="preserve">. Blended relativities are calculated for each assessment year and then averaged </w:t>
                            </w:r>
                            <w:r w:rsidRPr="00855002">
                              <w:t>and rescaled.</w:t>
                            </w:r>
                            <w:r>
                              <w:t xml:space="preserve"> In 2025-26, the blending reflected five-sixths standard state relativities and one-sixth assessed relativities.</w:t>
                            </w:r>
                          </w:p>
                          <w:p w14:paraId="48D7D7A7" w14:textId="77777777" w:rsidR="003F7E8B" w:rsidRPr="00C95B56" w:rsidRDefault="003F7E8B" w:rsidP="003F7E8B">
                            <w:pPr>
                              <w:pStyle w:val="Heading4"/>
                            </w:pPr>
                            <w:bookmarkStart w:id="174" w:name="_Toc127786123"/>
                            <w:bookmarkStart w:id="175" w:name="_Toc127786254"/>
                            <w:bookmarkStart w:id="176" w:name="_Toc127786555"/>
                            <w:bookmarkStart w:id="177" w:name="_Toc127786880"/>
                            <w:bookmarkStart w:id="178" w:name="_Toc127787097"/>
                            <w:bookmarkStart w:id="179" w:name="_Toc127788033"/>
                            <w:bookmarkStart w:id="180" w:name="_Toc127802162"/>
                            <w:bookmarkStart w:id="181" w:name="_Toc127804785"/>
                            <w:bookmarkStart w:id="182" w:name="_Toc159675683"/>
                            <w:bookmarkStart w:id="183" w:name="_Toc159675990"/>
                            <w:bookmarkStart w:id="184" w:name="_Toc159676057"/>
                            <w:r w:rsidRPr="00C95B56">
                              <w:t>GST relativity floor</w:t>
                            </w:r>
                            <w:bookmarkEnd w:id="174"/>
                            <w:bookmarkEnd w:id="175"/>
                            <w:bookmarkEnd w:id="176"/>
                            <w:bookmarkEnd w:id="177"/>
                            <w:bookmarkEnd w:id="178"/>
                            <w:bookmarkEnd w:id="179"/>
                            <w:bookmarkEnd w:id="180"/>
                            <w:bookmarkEnd w:id="181"/>
                            <w:bookmarkEnd w:id="182"/>
                            <w:bookmarkEnd w:id="183"/>
                            <w:bookmarkEnd w:id="184"/>
                          </w:p>
                          <w:p w14:paraId="1B790972" w14:textId="7CCC8BAA" w:rsidR="003F7E8B" w:rsidRPr="00C95B56" w:rsidRDefault="003F7E8B" w:rsidP="003F7E8B">
                            <w:r w:rsidRPr="00C95B56">
                              <w:t>The GST relativity floor sets a minimum relativity</w:t>
                            </w:r>
                            <w:r>
                              <w:t xml:space="preserve"> (0.75)</w:t>
                            </w:r>
                            <w:r w:rsidRPr="00C95B56">
                              <w:t>, below which a state’s per capita share of the GST pool cannot fall</w:t>
                            </w:r>
                            <w:r w:rsidRPr="00C86309">
                              <w:t>. If a</w:t>
                            </w:r>
                            <w:r w:rsidRPr="00C95B56">
                              <w:t xml:space="preserve"> state’s </w:t>
                            </w:r>
                            <w:r>
                              <w:t xml:space="preserve">averaged </w:t>
                            </w:r>
                            <w:r w:rsidRPr="00C95B56">
                              <w:t>blended relativity is below the floor, its GST relativity is adjusted up to the floor. To accommodate this, the relativities of other states are adjusted down on a population</w:t>
                            </w:r>
                            <w:r w:rsidR="006579F8">
                              <w:t xml:space="preserve"> </w:t>
                            </w:r>
                            <w:r w:rsidRPr="00C95B56">
                              <w:t>share basis.</w:t>
                            </w:r>
                          </w:p>
                          <w:p w14:paraId="0D6C23D9" w14:textId="77777777" w:rsidR="003F7E8B" w:rsidRPr="00C95B56" w:rsidRDefault="003F7E8B" w:rsidP="003F7E8B">
                            <w:pPr>
                              <w:pStyle w:val="Heading4"/>
                            </w:pPr>
                            <w:bookmarkStart w:id="185" w:name="_Toc127786124"/>
                            <w:bookmarkStart w:id="186" w:name="_Toc127786255"/>
                            <w:bookmarkStart w:id="187" w:name="_Toc127786556"/>
                            <w:bookmarkStart w:id="188" w:name="_Toc127786881"/>
                            <w:bookmarkStart w:id="189" w:name="_Toc127787098"/>
                            <w:bookmarkStart w:id="190" w:name="_Toc127788034"/>
                            <w:bookmarkStart w:id="191" w:name="_Toc127802163"/>
                            <w:bookmarkStart w:id="192" w:name="_Toc127804786"/>
                            <w:bookmarkStart w:id="193" w:name="_Toc159675684"/>
                            <w:bookmarkStart w:id="194" w:name="_Toc159675991"/>
                            <w:bookmarkStart w:id="195" w:name="_Toc159676058"/>
                            <w:r w:rsidRPr="00C95B56">
                              <w:t>GST relativities</w:t>
                            </w:r>
                            <w:bookmarkEnd w:id="185"/>
                            <w:bookmarkEnd w:id="186"/>
                            <w:bookmarkEnd w:id="187"/>
                            <w:bookmarkEnd w:id="188"/>
                            <w:bookmarkEnd w:id="189"/>
                            <w:bookmarkEnd w:id="190"/>
                            <w:bookmarkEnd w:id="191"/>
                            <w:bookmarkEnd w:id="192"/>
                            <w:bookmarkEnd w:id="193"/>
                            <w:bookmarkEnd w:id="194"/>
                            <w:bookmarkEnd w:id="195"/>
                          </w:p>
                          <w:p w14:paraId="08A7EF9C" w14:textId="77777777" w:rsidR="003F7E8B" w:rsidRPr="00D06DB5" w:rsidRDefault="003F7E8B" w:rsidP="003F7E8B">
                            <w:r w:rsidRPr="00C95B56">
                              <w:t>The final numbers are called GST relativities. The Commission recommends these to the Commonwealth Treasurer for the distribution of the GST pool.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76C76" id="Text Box 1966634429" o:spid="_x0000_s1044" type="#_x0000_t202" style="position:absolute;margin-left:0;margin-top:0;width:460.9pt;height:696.45pt;z-index:2516582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" fillcolor="#e5f8ff" strokecolor="white [3212]">
                <v:textbox>
                  <w:txbxContent>
                    <w:p w14:paraId="15ADCF09" w14:textId="77777777" w:rsidR="003F7E8B" w:rsidRPr="00C95B56" w:rsidRDefault="003F7E8B" w:rsidP="00C0083B">
                      <w:pPr>
                        <w:pStyle w:val="HeadingBox-Level3"/>
                      </w:pPr>
                      <w:bookmarkStart w:id="211" w:name="Box_1_1"/>
                      <w:bookmarkStart w:id="212" w:name="_Toc159675679"/>
                      <w:bookmarkStart w:id="213" w:name="_Toc159675986"/>
                      <w:bookmarkStart w:id="214" w:name="_Toc159676053"/>
                      <w:bookmarkStart w:id="215" w:name="_Toc190780961"/>
                      <w:r w:rsidRPr="00C95B56">
                        <w:t xml:space="preserve">Box </w:t>
                      </w:r>
                      <w:r>
                        <w:t>A</w:t>
                      </w:r>
                      <w:r w:rsidRPr="00C95B56">
                        <w:t>-1</w:t>
                      </w:r>
                      <w:bookmarkEnd w:id="211"/>
                      <w:r w:rsidRPr="00C95B56">
                        <w:tab/>
                        <w:t>Calculation of GST relativities</w:t>
                      </w:r>
                      <w:bookmarkEnd w:id="212"/>
                      <w:bookmarkEnd w:id="213"/>
                      <w:bookmarkEnd w:id="214"/>
                      <w:bookmarkEnd w:id="215"/>
                      <w:r w:rsidRPr="00C95B56">
                        <w:t xml:space="preserve"> </w:t>
                      </w:r>
                    </w:p>
                    <w:p w14:paraId="47EC5134" w14:textId="77777777" w:rsidR="003F7E8B" w:rsidRPr="00F84471" w:rsidRDefault="003F7E8B" w:rsidP="003F7E8B">
                      <w:r w:rsidRPr="00065974">
                        <w:t xml:space="preserve">The Commission’s recommendations on GST relativities are consistent with the </w:t>
                      </w:r>
                      <w:r w:rsidRPr="00065974">
                        <w:rPr>
                          <w:i/>
                        </w:rPr>
                        <w:t>Commonwealth Grants Commission Act 1973</w:t>
                      </w:r>
                      <w:r w:rsidRPr="00065974">
                        <w:t xml:space="preserve">, the </w:t>
                      </w:r>
                      <w:r w:rsidRPr="00065974">
                        <w:rPr>
                          <w:i/>
                        </w:rPr>
                        <w:t>Federal Financial Relations Act 2009</w:t>
                      </w:r>
                      <w:r w:rsidRPr="00065974">
                        <w:rPr>
                          <w:iCs/>
                        </w:rPr>
                        <w:t xml:space="preserve">, the </w:t>
                      </w:r>
                      <w:r w:rsidRPr="00065974">
                        <w:rPr>
                          <w:i/>
                        </w:rPr>
                        <w:t xml:space="preserve">Treasury Laws Amendment (Making Sure Every State and Territory Gets Their Fair Share of GST) Act 2018 </w:t>
                      </w:r>
                      <w:r w:rsidRPr="00065974">
                        <w:t>and the terms of reference issued by the Commonwealth Treasurer. The Commission undertakes several steps to produce GST relativities.</w:t>
                      </w:r>
                    </w:p>
                    <w:p w14:paraId="4FF415ED" w14:textId="77777777" w:rsidR="003F7E8B" w:rsidRPr="00C95B56" w:rsidRDefault="003F7E8B" w:rsidP="003F7E8B">
                      <w:pPr>
                        <w:pStyle w:val="Heading4"/>
                      </w:pPr>
                      <w:bookmarkStart w:id="216" w:name="_Toc127786120"/>
                      <w:bookmarkStart w:id="217" w:name="_Toc127786251"/>
                      <w:bookmarkStart w:id="218" w:name="_Toc127786552"/>
                      <w:bookmarkStart w:id="219" w:name="_Toc127786877"/>
                      <w:bookmarkStart w:id="220" w:name="_Toc127787094"/>
                      <w:bookmarkStart w:id="221" w:name="_Toc127788030"/>
                      <w:bookmarkStart w:id="222" w:name="_Toc127802159"/>
                      <w:bookmarkStart w:id="223" w:name="_Toc127804782"/>
                      <w:bookmarkStart w:id="224" w:name="_Toc159675680"/>
                      <w:bookmarkStart w:id="225" w:name="_Toc159675987"/>
                      <w:bookmarkStart w:id="226" w:name="_Toc159676054"/>
                      <w:r w:rsidRPr="00F84471">
                        <w:t>Assessed relativities</w:t>
                      </w:r>
                      <w:bookmarkEnd w:id="216"/>
                      <w:bookmarkEnd w:id="217"/>
                      <w:bookmarkEnd w:id="218"/>
                      <w:bookmarkEnd w:id="219"/>
                      <w:bookmarkEnd w:id="220"/>
                      <w:bookmarkEnd w:id="221"/>
                      <w:bookmarkEnd w:id="222"/>
                      <w:bookmarkEnd w:id="223"/>
                      <w:bookmarkEnd w:id="224"/>
                      <w:bookmarkEnd w:id="225"/>
                      <w:bookmarkEnd w:id="226"/>
                    </w:p>
                    <w:p w14:paraId="61F9FD5D" w14:textId="77777777" w:rsidR="003F7E8B" w:rsidRPr="00C95B56" w:rsidRDefault="003F7E8B" w:rsidP="003F7E8B">
                      <w:r w:rsidRPr="00C95B56">
                        <w:t xml:space="preserve">Assessed relativities are calculated for each assessment year by comparing each state’s relative </w:t>
                      </w:r>
                      <w:r>
                        <w:t>capacity</w:t>
                      </w:r>
                      <w:r w:rsidRPr="00C95B56">
                        <w:t xml:space="preserve"> to raise revenue with its relative cost of providing services.</w:t>
                      </w:r>
                      <w:r>
                        <w:t xml:space="preserve"> </w:t>
                      </w:r>
                    </w:p>
                    <w:p w14:paraId="4E79B193" w14:textId="77777777" w:rsidR="003F7E8B" w:rsidRPr="00C95B56" w:rsidRDefault="003F7E8B" w:rsidP="003F7E8B">
                      <w:r w:rsidRPr="00C95B56">
                        <w:t>Drivers of differences in revenue capacity include mineral endowments, land values, property transactions, and taxable payrolls. States also receive different levels of funding through Commonwealth payments.</w:t>
                      </w:r>
                    </w:p>
                    <w:p w14:paraId="2D9E379C" w14:textId="77777777" w:rsidR="003F7E8B" w:rsidRDefault="003F7E8B" w:rsidP="003F7E8B">
                      <w:r w:rsidRPr="00C95B56">
                        <w:t>Service costs can vary by state for a range of reasons, including socio-demographic characteristics of the population, wage pressures, population dispersion, population density and rates of population growth.</w:t>
                      </w:r>
                    </w:p>
                    <w:p w14:paraId="29C82208" w14:textId="77777777" w:rsidR="003F7E8B" w:rsidRPr="004D2A75" w:rsidRDefault="003F7E8B" w:rsidP="003F7E8B">
                      <w:pPr>
                        <w:pStyle w:val="CGC2025Bullet1"/>
                        <w:numPr>
                          <w:ilvl w:val="0"/>
                          <w:numId w:val="0"/>
                        </w:numPr>
                      </w:pPr>
                      <w:r w:rsidRPr="004D2A75">
                        <w:t xml:space="preserve">Assessed relativities match a state’s assessed expenditure with its assessed revenue including GST. Without the 2018 GST distribution legislation, GST relativities would equal assessed relativities. </w:t>
                      </w:r>
                    </w:p>
                    <w:p w14:paraId="7DCE55E2" w14:textId="77777777" w:rsidR="003F7E8B" w:rsidRPr="004D2A75" w:rsidRDefault="003F7E8B" w:rsidP="003F7E8B">
                      <w:pPr>
                        <w:pStyle w:val="Heading4"/>
                      </w:pPr>
                      <w:bookmarkStart w:id="227" w:name="_Toc127786121"/>
                      <w:bookmarkStart w:id="228" w:name="_Toc127786252"/>
                      <w:bookmarkStart w:id="229" w:name="_Toc127786553"/>
                      <w:bookmarkStart w:id="230" w:name="_Toc127786878"/>
                      <w:bookmarkStart w:id="231" w:name="_Toc127787095"/>
                      <w:bookmarkStart w:id="232" w:name="_Toc127788031"/>
                      <w:bookmarkStart w:id="233" w:name="_Toc127802160"/>
                      <w:bookmarkStart w:id="234" w:name="_Toc127804783"/>
                      <w:bookmarkStart w:id="235" w:name="_Toc159675681"/>
                      <w:bookmarkStart w:id="236" w:name="_Toc159675988"/>
                      <w:bookmarkStart w:id="237" w:name="_Toc159676055"/>
                      <w:r w:rsidRPr="004D2A75">
                        <w:t>Standard state relativities</w:t>
                      </w:r>
                      <w:bookmarkEnd w:id="227"/>
                      <w:bookmarkEnd w:id="228"/>
                      <w:bookmarkEnd w:id="229"/>
                      <w:bookmarkEnd w:id="230"/>
                      <w:bookmarkEnd w:id="231"/>
                      <w:bookmarkEnd w:id="232"/>
                      <w:bookmarkEnd w:id="233"/>
                      <w:bookmarkEnd w:id="234"/>
                      <w:bookmarkEnd w:id="235"/>
                      <w:bookmarkEnd w:id="236"/>
                      <w:bookmarkEnd w:id="237"/>
                      <w:r w:rsidRPr="004D2A75">
                        <w:t xml:space="preserve"> and blending</w:t>
                      </w:r>
                    </w:p>
                    <w:p w14:paraId="6FC1BC27" w14:textId="02CD05AD" w:rsidR="003F7E8B" w:rsidRPr="00C95B56" w:rsidRDefault="003F7E8B" w:rsidP="003F7E8B">
                      <w:r w:rsidRPr="004D2A75">
                        <w:t>Standard state relativities are calculated for each assessment year by adjusting assessed relativities so that no state has a relativity below the lower of New South Wales or Victoria (referred to as the ‘standard state’). Therefore, any state that is fiscally stronger (and therefore has a lower assessed relativity) than the standard state, will</w:t>
                      </w:r>
                      <w:r w:rsidRPr="00972706">
                        <w:t xml:space="preserve"> have its relativity increased to the assessed relativity of the standard state. Given the GST is distributed from a fixed funding pool, relativities for all states are </w:t>
                      </w:r>
                      <w:r w:rsidR="00513156" w:rsidRPr="0017649F">
                        <w:t>adjusted down</w:t>
                      </w:r>
                      <w:r w:rsidR="00513156">
                        <w:t xml:space="preserve"> </w:t>
                      </w:r>
                      <w:r w:rsidRPr="00972706">
                        <w:t>on a population</w:t>
                      </w:r>
                      <w:r w:rsidR="006579F8">
                        <w:t xml:space="preserve"> </w:t>
                      </w:r>
                      <w:r w:rsidRPr="00972706">
                        <w:t>share basis to accommodate this increase.</w:t>
                      </w:r>
                    </w:p>
                    <w:p w14:paraId="765C2A83" w14:textId="77777777" w:rsidR="003F7E8B" w:rsidRPr="00C95B56" w:rsidRDefault="003F7E8B" w:rsidP="003F7E8B">
                      <w:r w:rsidRPr="00C95B56">
                        <w:t>Over the 6-year transition period prescribed in the</w:t>
                      </w:r>
                      <w:r>
                        <w:t xml:space="preserve"> 2018</w:t>
                      </w:r>
                      <w:r w:rsidRPr="00C95B56">
                        <w:t xml:space="preserve"> GST distribution </w:t>
                      </w:r>
                      <w:r>
                        <w:t>legislation</w:t>
                      </w:r>
                      <w:r w:rsidRPr="00C95B56">
                        <w:t xml:space="preserve">, assessed relativities are blended with standard state relativities in each assessment year. The weighting </w:t>
                      </w:r>
                      <w:r w:rsidRPr="002203A0">
                        <w:t>that each receives is specified in the legislation</w:t>
                      </w:r>
                      <w:r>
                        <w:t xml:space="preserve">. Blended relativities are calculated for each assessment year and then averaged </w:t>
                      </w:r>
                      <w:r w:rsidRPr="00855002">
                        <w:t>and rescaled.</w:t>
                      </w:r>
                      <w:r>
                        <w:t xml:space="preserve"> In 2025-26, the blending reflected five-sixths standard state relativities and one-sixth assessed relativities.</w:t>
                      </w:r>
                    </w:p>
                    <w:p w14:paraId="48D7D7A7" w14:textId="77777777" w:rsidR="003F7E8B" w:rsidRPr="00C95B56" w:rsidRDefault="003F7E8B" w:rsidP="003F7E8B">
                      <w:pPr>
                        <w:pStyle w:val="Heading4"/>
                      </w:pPr>
                      <w:bookmarkStart w:id="238" w:name="_Toc127786123"/>
                      <w:bookmarkStart w:id="239" w:name="_Toc127786254"/>
                      <w:bookmarkStart w:id="240" w:name="_Toc127786555"/>
                      <w:bookmarkStart w:id="241" w:name="_Toc127786880"/>
                      <w:bookmarkStart w:id="242" w:name="_Toc127787097"/>
                      <w:bookmarkStart w:id="243" w:name="_Toc127788033"/>
                      <w:bookmarkStart w:id="244" w:name="_Toc127802162"/>
                      <w:bookmarkStart w:id="245" w:name="_Toc127804785"/>
                      <w:bookmarkStart w:id="246" w:name="_Toc159675683"/>
                      <w:bookmarkStart w:id="247" w:name="_Toc159675990"/>
                      <w:bookmarkStart w:id="248" w:name="_Toc159676057"/>
                      <w:r w:rsidRPr="00C95B56">
                        <w:t>GST relativity floor</w:t>
                      </w:r>
                      <w:bookmarkEnd w:id="238"/>
                      <w:bookmarkEnd w:id="239"/>
                      <w:bookmarkEnd w:id="240"/>
                      <w:bookmarkEnd w:id="241"/>
                      <w:bookmarkEnd w:id="242"/>
                      <w:bookmarkEnd w:id="243"/>
                      <w:bookmarkEnd w:id="244"/>
                      <w:bookmarkEnd w:id="245"/>
                      <w:bookmarkEnd w:id="246"/>
                      <w:bookmarkEnd w:id="247"/>
                      <w:bookmarkEnd w:id="248"/>
                    </w:p>
                    <w:p w14:paraId="1B790972" w14:textId="7CCC8BAA" w:rsidR="003F7E8B" w:rsidRPr="00C95B56" w:rsidRDefault="003F7E8B" w:rsidP="003F7E8B">
                      <w:r w:rsidRPr="00C95B56">
                        <w:t>The GST relativity floor sets a minimum relativity</w:t>
                      </w:r>
                      <w:r>
                        <w:t xml:space="preserve"> (0.75)</w:t>
                      </w:r>
                      <w:r w:rsidRPr="00C95B56">
                        <w:t>, below which a state’s per capita share of the GST pool cannot fall</w:t>
                      </w:r>
                      <w:r w:rsidRPr="00C86309">
                        <w:t>. If a</w:t>
                      </w:r>
                      <w:r w:rsidRPr="00C95B56">
                        <w:t xml:space="preserve"> state’s </w:t>
                      </w:r>
                      <w:r>
                        <w:t xml:space="preserve">averaged </w:t>
                      </w:r>
                      <w:r w:rsidRPr="00C95B56">
                        <w:t>blended relativity is below the floor, its GST relativity is adjusted up to the floor. To accommodate this, the relativities of other states are adjusted down on a population</w:t>
                      </w:r>
                      <w:r w:rsidR="006579F8">
                        <w:t xml:space="preserve"> </w:t>
                      </w:r>
                      <w:r w:rsidRPr="00C95B56">
                        <w:t>share basis.</w:t>
                      </w:r>
                    </w:p>
                    <w:p w14:paraId="0D6C23D9" w14:textId="77777777" w:rsidR="003F7E8B" w:rsidRPr="00C95B56" w:rsidRDefault="003F7E8B" w:rsidP="003F7E8B">
                      <w:pPr>
                        <w:pStyle w:val="Heading4"/>
                      </w:pPr>
                      <w:bookmarkStart w:id="249" w:name="_Toc127786124"/>
                      <w:bookmarkStart w:id="250" w:name="_Toc127786255"/>
                      <w:bookmarkStart w:id="251" w:name="_Toc127786556"/>
                      <w:bookmarkStart w:id="252" w:name="_Toc127786881"/>
                      <w:bookmarkStart w:id="253" w:name="_Toc127787098"/>
                      <w:bookmarkStart w:id="254" w:name="_Toc127788034"/>
                      <w:bookmarkStart w:id="255" w:name="_Toc127802163"/>
                      <w:bookmarkStart w:id="256" w:name="_Toc127804786"/>
                      <w:bookmarkStart w:id="257" w:name="_Toc159675684"/>
                      <w:bookmarkStart w:id="258" w:name="_Toc159675991"/>
                      <w:bookmarkStart w:id="259" w:name="_Toc159676058"/>
                      <w:r w:rsidRPr="00C95B56">
                        <w:t>GST relativities</w:t>
                      </w:r>
                      <w:bookmarkEnd w:id="249"/>
                      <w:bookmarkEnd w:id="250"/>
                      <w:bookmarkEnd w:id="251"/>
                      <w:bookmarkEnd w:id="252"/>
                      <w:bookmarkEnd w:id="253"/>
                      <w:bookmarkEnd w:id="254"/>
                      <w:bookmarkEnd w:id="255"/>
                      <w:bookmarkEnd w:id="256"/>
                      <w:bookmarkEnd w:id="257"/>
                      <w:bookmarkEnd w:id="258"/>
                      <w:bookmarkEnd w:id="259"/>
                    </w:p>
                    <w:p w14:paraId="08A7EF9C" w14:textId="77777777" w:rsidR="003F7E8B" w:rsidRPr="00D06DB5" w:rsidRDefault="003F7E8B" w:rsidP="003F7E8B">
                      <w:r w:rsidRPr="00C95B56">
                        <w:t>The final numbers are called GST relativities. The Commission recommends these to the Commonwealth Treasurer for the distribution of the GST pool.</w:t>
                      </w:r>
                    </w:p>
                  </w:txbxContent>
                </v:textbox>
                <w10:wrap type="square" anchorx="margin"/>
              </v:shape>
            </w:pict>
          </mc:Fallback>
        </mc:AlternateContent>
      </w:r>
      <w:r>
        <w:br w:type="page"/>
      </w:r>
    </w:p>
    <w:p w14:paraId="2CCED428" w14:textId="52529F2B" w:rsidR="003F7E8B" w:rsidRDefault="00F70436">
      <w:pPr>
        <w:tabs>
          <w:tab w:val="clear" w:pos="567"/>
        </w:tabs>
        <w:spacing w:before="0" w:after="200" w:line="276" w:lineRule="auto"/>
      </w:pPr>
      <w:r>
        <w:rPr>
          <w:noProof/>
        </w:rPr>
        <w:lastRenderedPageBreak/>
        <mc:AlternateContent>
          <mc:Choice Requires="wps">
            <w:drawing>
              <wp:anchor distT="45720" distB="45720" distL="114300" distR="114300" simplePos="0" relativeHeight="251658251" behindDoc="0" locked="0" layoutInCell="1" allowOverlap="1" wp14:anchorId="46B11487" wp14:editId="2FC4CF76">
                <wp:simplePos x="0" y="0"/>
                <wp:positionH relativeFrom="margin">
                  <wp:posOffset>0</wp:posOffset>
                </wp:positionH>
                <wp:positionV relativeFrom="paragraph">
                  <wp:posOffset>0</wp:posOffset>
                </wp:positionV>
                <wp:extent cx="5853600" cy="8845200"/>
                <wp:effectExtent l="0" t="0" r="13970" b="13335"/>
                <wp:wrapSquare wrapText="bothSides"/>
                <wp:docPr id="1736537670" name="Text Box 1736537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600" cy="8845200"/>
                        </a:xfrm>
                        <a:prstGeom prst="rect">
                          <a:avLst/>
                        </a:prstGeom>
                        <a:solidFill>
                          <a:srgbClr val="E5F8FF"/>
                        </a:solidFill>
                        <a:ln w="9525">
                          <a:solidFill>
                            <a:schemeClr val="bg1"/>
                          </a:solidFill>
                          <a:miter lim="800000"/>
                          <a:headEnd/>
                          <a:tailEnd/>
                        </a:ln>
                      </wps:spPr>
                      <wps:txbx>
                        <w:txbxContent>
                          <w:p w14:paraId="4518D349" w14:textId="77777777" w:rsidR="00F70436" w:rsidRPr="00F91281" w:rsidRDefault="00F70436" w:rsidP="00C0083B">
                            <w:pPr>
                              <w:pStyle w:val="HeadingBox-Level3"/>
                            </w:pPr>
                            <w:bookmarkStart w:id="196" w:name="_Toc190780962"/>
                            <w:r w:rsidRPr="00F91281">
                              <w:t xml:space="preserve">Box </w:t>
                            </w:r>
                            <w:r>
                              <w:t>A</w:t>
                            </w:r>
                            <w:r w:rsidRPr="00F91281">
                              <w:t>-2</w:t>
                            </w:r>
                            <w:r w:rsidRPr="00F91281">
                              <w:tab/>
                              <w:t>Calculating Queensland’s GST relativity</w:t>
                            </w:r>
                            <w:bookmarkEnd w:id="196"/>
                          </w:p>
                          <w:p w14:paraId="646E7374" w14:textId="78C2569C" w:rsidR="00F70436" w:rsidRPr="00F91281" w:rsidRDefault="00F70436" w:rsidP="00F70436">
                            <w:r w:rsidRPr="00F91281">
                              <w:t xml:space="preserve">Queensland’s </w:t>
                            </w:r>
                            <w:r>
                              <w:t>assessed</w:t>
                            </w:r>
                            <w:r w:rsidRPr="00F91281">
                              <w:t xml:space="preserve"> relativity </w:t>
                            </w:r>
                            <w:r>
                              <w:t>wa</w:t>
                            </w:r>
                            <w:r w:rsidRPr="00F91281">
                              <w:t xml:space="preserve">s below the standard state (New South Wales) and </w:t>
                            </w:r>
                            <w:r w:rsidRPr="0017649F">
                              <w:t xml:space="preserve">therefore brought up to the standard state in all 3 assessment years. It was then </w:t>
                            </w:r>
                            <w:r w:rsidR="00513156" w:rsidRPr="0017649F">
                              <w:t xml:space="preserve">adjusted down </w:t>
                            </w:r>
                            <w:r w:rsidRPr="0017649F">
                              <w:t>and blended with one</w:t>
                            </w:r>
                            <w:r w:rsidRPr="0017649F">
                              <w:noBreakHyphen/>
                              <w:t>sixth of its assessed relativity. The 3 blended relativities were averaged and rescaled to get an average relativity of 0.84747. This relativity was above 0.75 so it was not directly impacted by the GST relativity floor. Like all states other than Western Australia, Queensland’s GST relativity was adjusted down to account for Western Australia being brought up to the floor.</w:t>
                            </w:r>
                            <w:r>
                              <w:t xml:space="preserve"> </w:t>
                            </w:r>
                          </w:p>
                          <w:p w14:paraId="7C502478" w14:textId="72EB1994" w:rsidR="00F70436" w:rsidRPr="00F91281" w:rsidRDefault="00F70436" w:rsidP="00F70436">
                            <w:r w:rsidRPr="00F91281">
                              <w:t>The following diagram illustrates the</w:t>
                            </w:r>
                            <w:r>
                              <w:t>se</w:t>
                            </w:r>
                            <w:r w:rsidRPr="00F91281">
                              <w:t xml:space="preserve"> steps</w:t>
                            </w:r>
                            <w:r>
                              <w:t>.</w:t>
                            </w:r>
                          </w:p>
                          <w:p w14:paraId="29940F0C" w14:textId="14337575" w:rsidR="00F70436" w:rsidRDefault="00531946" w:rsidP="00F70436">
                            <w:pPr>
                              <w:jc w:val="center"/>
                            </w:pPr>
                            <w:r w:rsidRPr="00531946">
                              <w:rPr>
                                <w:noProof/>
                              </w:rPr>
                              <w:drawing>
                                <wp:inline distT="0" distB="0" distL="0" distR="0" wp14:anchorId="111F371D" wp14:editId="7F606341">
                                  <wp:extent cx="5661660" cy="6727825"/>
                                  <wp:effectExtent l="0" t="0" r="0" b="0"/>
                                  <wp:docPr id="13111075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61660" cy="6727825"/>
                                          </a:xfrm>
                                          <a:prstGeom prst="rect">
                                            <a:avLst/>
                                          </a:prstGeom>
                                          <a:noFill/>
                                          <a:ln>
                                            <a:noFill/>
                                          </a:ln>
                                        </pic:spPr>
                                      </pic:pic>
                                    </a:graphicData>
                                  </a:graphic>
                                </wp:inline>
                              </w:drawing>
                            </w:r>
                          </w:p>
                          <w:p w14:paraId="30121827" w14:textId="77777777" w:rsidR="00F70436" w:rsidRPr="00D06DB5" w:rsidRDefault="00F70436" w:rsidP="00F70436">
                            <w:pPr>
                              <w:pStyle w:val="CGCTablenot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11487" id="Text Box 1736537670" o:spid="_x0000_s1045" type="#_x0000_t202" style="position:absolute;margin-left:0;margin-top:0;width:460.9pt;height:696.45pt;z-index:25165825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" fillcolor="#e5f8ff" strokecolor="white [3212]">
                <v:textbox>
                  <w:txbxContent>
                    <w:p w14:paraId="4518D349" w14:textId="77777777" w:rsidR="00F70436" w:rsidRPr="00F91281" w:rsidRDefault="00F70436" w:rsidP="00C0083B">
                      <w:pPr>
                        <w:pStyle w:val="HeadingBox-Level3"/>
                      </w:pPr>
                      <w:bookmarkStart w:id="261" w:name="_Toc190780962"/>
                      <w:r w:rsidRPr="00F91281">
                        <w:t xml:space="preserve">Box </w:t>
                      </w:r>
                      <w:r>
                        <w:t>A</w:t>
                      </w:r>
                      <w:r w:rsidRPr="00F91281">
                        <w:t>-2</w:t>
                      </w:r>
                      <w:r w:rsidRPr="00F91281">
                        <w:tab/>
                        <w:t>Calculating Queensland’s GST relativity</w:t>
                      </w:r>
                      <w:bookmarkEnd w:id="261"/>
                    </w:p>
                    <w:p w14:paraId="646E7374" w14:textId="78C2569C" w:rsidR="00F70436" w:rsidRPr="00F91281" w:rsidRDefault="00F70436" w:rsidP="00F70436">
                      <w:r w:rsidRPr="00F91281">
                        <w:t xml:space="preserve">Queensland’s </w:t>
                      </w:r>
                      <w:r>
                        <w:t>assessed</w:t>
                      </w:r>
                      <w:r w:rsidRPr="00F91281">
                        <w:t xml:space="preserve"> relativity </w:t>
                      </w:r>
                      <w:r>
                        <w:t>wa</w:t>
                      </w:r>
                      <w:r w:rsidRPr="00F91281">
                        <w:t xml:space="preserve">s below the standard state (New South Wales) and </w:t>
                      </w:r>
                      <w:r w:rsidRPr="0017649F">
                        <w:t xml:space="preserve">therefore brought up to the standard state in all 3 assessment years. It was then </w:t>
                      </w:r>
                      <w:r w:rsidR="00513156" w:rsidRPr="0017649F">
                        <w:t xml:space="preserve">adjusted down </w:t>
                      </w:r>
                      <w:r w:rsidRPr="0017649F">
                        <w:t>and blended with one</w:t>
                      </w:r>
                      <w:r w:rsidRPr="0017649F">
                        <w:noBreakHyphen/>
                        <w:t>sixth of its assessed relativity. The 3 blended relativities were averaged and rescaled to get an average relativity of 0.84747. This relativity was above 0.75 so it was not directly impacted by the GST relativity floor. Like all states other than Western Australia, Queensland’s GST relativity was adjusted down to account for Western Australia being brought up to the floor.</w:t>
                      </w:r>
                      <w:r>
                        <w:t xml:space="preserve"> </w:t>
                      </w:r>
                    </w:p>
                    <w:p w14:paraId="7C502478" w14:textId="72EB1994" w:rsidR="00F70436" w:rsidRPr="00F91281" w:rsidRDefault="00F70436" w:rsidP="00F70436">
                      <w:r w:rsidRPr="00F91281">
                        <w:t>The following diagram illustrates the</w:t>
                      </w:r>
                      <w:r>
                        <w:t>se</w:t>
                      </w:r>
                      <w:r w:rsidRPr="00F91281">
                        <w:t xml:space="preserve"> steps</w:t>
                      </w:r>
                      <w:r>
                        <w:t>.</w:t>
                      </w:r>
                    </w:p>
                    <w:p w14:paraId="29940F0C" w14:textId="14337575" w:rsidR="00F70436" w:rsidRDefault="00531946" w:rsidP="00F70436">
                      <w:pPr>
                        <w:jc w:val="center"/>
                      </w:pPr>
                      <w:r w:rsidRPr="00531946">
                        <w:rPr>
                          <w:noProof/>
                        </w:rPr>
                        <w:drawing>
                          <wp:inline distT="0" distB="0" distL="0" distR="0" wp14:anchorId="111F371D" wp14:editId="7F606341">
                            <wp:extent cx="5661660" cy="6727825"/>
                            <wp:effectExtent l="0" t="0" r="0" b="0"/>
                            <wp:docPr id="13111075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61660" cy="6727825"/>
                                    </a:xfrm>
                                    <a:prstGeom prst="rect">
                                      <a:avLst/>
                                    </a:prstGeom>
                                    <a:noFill/>
                                    <a:ln>
                                      <a:noFill/>
                                    </a:ln>
                                  </pic:spPr>
                                </pic:pic>
                              </a:graphicData>
                            </a:graphic>
                          </wp:inline>
                        </w:drawing>
                      </w:r>
                    </w:p>
                    <w:p w14:paraId="30121827" w14:textId="77777777" w:rsidR="00F70436" w:rsidRPr="00D06DB5" w:rsidRDefault="00F70436" w:rsidP="00F70436">
                      <w:pPr>
                        <w:pStyle w:val="CGCTablenote"/>
                      </w:pPr>
                    </w:p>
                  </w:txbxContent>
                </v:textbox>
                <w10:wrap type="square" anchorx="margin"/>
              </v:shape>
            </w:pict>
          </mc:Fallback>
        </mc:AlternateContent>
      </w:r>
      <w:r w:rsidR="003F7E8B">
        <w:br w:type="page"/>
      </w:r>
    </w:p>
    <w:p w14:paraId="539A0201" w14:textId="57280246" w:rsidR="00F70436" w:rsidRDefault="009051D5">
      <w:pPr>
        <w:tabs>
          <w:tab w:val="clear" w:pos="567"/>
        </w:tabs>
        <w:spacing w:before="0" w:after="200" w:line="276" w:lineRule="auto"/>
      </w:pPr>
      <w:r>
        <w:rPr>
          <w:noProof/>
        </w:rPr>
        <w:lastRenderedPageBreak/>
        <mc:AlternateContent>
          <mc:Choice Requires="wps">
            <w:drawing>
              <wp:anchor distT="45720" distB="45720" distL="114300" distR="114300" simplePos="0" relativeHeight="251658252" behindDoc="0" locked="0" layoutInCell="1" allowOverlap="1" wp14:anchorId="34EC10BF" wp14:editId="44B3DB99">
                <wp:simplePos x="0" y="0"/>
                <wp:positionH relativeFrom="margin">
                  <wp:posOffset>0</wp:posOffset>
                </wp:positionH>
                <wp:positionV relativeFrom="paragraph">
                  <wp:posOffset>0</wp:posOffset>
                </wp:positionV>
                <wp:extent cx="5853600" cy="8485200"/>
                <wp:effectExtent l="0" t="0" r="13970" b="11430"/>
                <wp:wrapSquare wrapText="bothSides"/>
                <wp:docPr id="1778803025" name="Text Box 1778803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600" cy="8485200"/>
                        </a:xfrm>
                        <a:prstGeom prst="rect">
                          <a:avLst/>
                        </a:prstGeom>
                        <a:solidFill>
                          <a:srgbClr val="E5F8FF"/>
                        </a:solidFill>
                        <a:ln w="9525">
                          <a:solidFill>
                            <a:schemeClr val="bg1"/>
                          </a:solidFill>
                          <a:miter lim="800000"/>
                          <a:headEnd/>
                          <a:tailEnd/>
                        </a:ln>
                      </wps:spPr>
                      <wps:txbx>
                        <w:txbxContent>
                          <w:p w14:paraId="585CA07E" w14:textId="77777777" w:rsidR="009051D5" w:rsidRPr="00F91281" w:rsidRDefault="009051D5" w:rsidP="00662ECD">
                            <w:pPr>
                              <w:pStyle w:val="HeadingBox-Level3"/>
                            </w:pPr>
                            <w:bookmarkStart w:id="197" w:name="_Toc190780963"/>
                            <w:r w:rsidRPr="00F91281">
                              <w:t xml:space="preserve">Box </w:t>
                            </w:r>
                            <w:r>
                              <w:t>A</w:t>
                            </w:r>
                            <w:r w:rsidRPr="00F91281">
                              <w:t>-</w:t>
                            </w:r>
                            <w:r>
                              <w:t>3</w:t>
                            </w:r>
                            <w:r w:rsidRPr="00F91281">
                              <w:tab/>
                              <w:t>Calculating Western Australia’s GST relativity</w:t>
                            </w:r>
                            <w:bookmarkEnd w:id="197"/>
                            <w:r w:rsidRPr="00F91281">
                              <w:t xml:space="preserve"> </w:t>
                            </w:r>
                          </w:p>
                          <w:p w14:paraId="7485D76A" w14:textId="37B1D06E" w:rsidR="009051D5" w:rsidRPr="00F91281" w:rsidRDefault="009051D5" w:rsidP="009051D5">
                            <w:r w:rsidRPr="0017649F">
                              <w:t xml:space="preserve">Western Australia’s assessed relativity was below the standard state (New South Wales) and therefore brought up to the standard state in all 3 assessment years. It was then </w:t>
                            </w:r>
                            <w:r w:rsidR="00513156" w:rsidRPr="0017649F">
                              <w:t>adjusted down</w:t>
                            </w:r>
                            <w:r w:rsidRPr="0017649F">
                              <w:t xml:space="preserve"> and blended with one</w:t>
                            </w:r>
                            <w:r w:rsidRPr="0017649F">
                              <w:noBreakHyphen/>
                              <w:t>sixth of its assessed relativity. The 3 blended relativities were averaged and rescaled to get an average relativity of 0.73570. This relativity was below 0.75 so it was brought up to the GST relativity floor.</w:t>
                            </w:r>
                            <w:r w:rsidRPr="00F91281">
                              <w:t xml:space="preserve"> </w:t>
                            </w:r>
                          </w:p>
                          <w:p w14:paraId="4DA5EEF3" w14:textId="257D34D6" w:rsidR="009051D5" w:rsidRPr="00310D9B" w:rsidRDefault="009051D5" w:rsidP="009051D5">
                            <w:r w:rsidRPr="00F91281">
                              <w:t>The following diagram illustrates the</w:t>
                            </w:r>
                            <w:r>
                              <w:t>se steps</w:t>
                            </w:r>
                            <w:r w:rsidRPr="00F91281">
                              <w:t>.</w:t>
                            </w:r>
                            <w:r>
                              <w:t xml:space="preserve"> </w:t>
                            </w:r>
                          </w:p>
                          <w:p w14:paraId="71CCBA6A" w14:textId="61AF0088" w:rsidR="009051D5" w:rsidRDefault="00651A30" w:rsidP="009051D5">
                            <w:pPr>
                              <w:jc w:val="center"/>
                            </w:pPr>
                            <w:r w:rsidRPr="00651A30">
                              <w:rPr>
                                <w:noProof/>
                              </w:rPr>
                              <w:drawing>
                                <wp:inline distT="0" distB="0" distL="0" distR="0" wp14:anchorId="67126DCA" wp14:editId="3213C92A">
                                  <wp:extent cx="5661660" cy="6727825"/>
                                  <wp:effectExtent l="0" t="0" r="0" b="0"/>
                                  <wp:docPr id="68129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1660" cy="6727825"/>
                                          </a:xfrm>
                                          <a:prstGeom prst="rect">
                                            <a:avLst/>
                                          </a:prstGeom>
                                          <a:noFill/>
                                          <a:ln>
                                            <a:noFill/>
                                          </a:ln>
                                        </pic:spPr>
                                      </pic:pic>
                                    </a:graphicData>
                                  </a:graphic>
                                </wp:inline>
                              </w:drawing>
                            </w:r>
                          </w:p>
                          <w:p w14:paraId="5618620D" w14:textId="77777777" w:rsidR="009051D5" w:rsidRPr="00D06DB5" w:rsidRDefault="009051D5" w:rsidP="009051D5">
                            <w:pPr>
                              <w:pStyle w:val="CGCTablenot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EC10BF" id="Text Box 1778803025" o:spid="_x0000_s1046" type="#_x0000_t202" style="position:absolute;margin-left:0;margin-top:0;width:460.9pt;height:668.15pt;z-index:2516582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" fillcolor="#e5f8ff" strokecolor="white [3212]">
                <v:textbox>
                  <w:txbxContent>
                    <w:p w14:paraId="585CA07E" w14:textId="77777777" w:rsidR="009051D5" w:rsidRPr="00F91281" w:rsidRDefault="009051D5" w:rsidP="00662ECD">
                      <w:pPr>
                        <w:pStyle w:val="HeadingBox-Level3"/>
                      </w:pPr>
                      <w:bookmarkStart w:id="263" w:name="_Toc190780963"/>
                      <w:r w:rsidRPr="00F91281">
                        <w:t xml:space="preserve">Box </w:t>
                      </w:r>
                      <w:r>
                        <w:t>A</w:t>
                      </w:r>
                      <w:r w:rsidRPr="00F91281">
                        <w:t>-</w:t>
                      </w:r>
                      <w:r>
                        <w:t>3</w:t>
                      </w:r>
                      <w:r w:rsidRPr="00F91281">
                        <w:tab/>
                        <w:t>Calculating Western Australia’s GST relativity</w:t>
                      </w:r>
                      <w:bookmarkEnd w:id="263"/>
                      <w:r w:rsidRPr="00F91281">
                        <w:t xml:space="preserve"> </w:t>
                      </w:r>
                    </w:p>
                    <w:p w14:paraId="7485D76A" w14:textId="37B1D06E" w:rsidR="009051D5" w:rsidRPr="00F91281" w:rsidRDefault="009051D5" w:rsidP="009051D5">
                      <w:r w:rsidRPr="0017649F">
                        <w:t xml:space="preserve">Western Australia’s assessed relativity was below the standard state (New South Wales) and therefore brought up to the standard state in all 3 assessment years. It was then </w:t>
                      </w:r>
                      <w:r w:rsidR="00513156" w:rsidRPr="0017649F">
                        <w:t>adjusted down</w:t>
                      </w:r>
                      <w:r w:rsidRPr="0017649F">
                        <w:t xml:space="preserve"> and blended with one</w:t>
                      </w:r>
                      <w:r w:rsidRPr="0017649F">
                        <w:noBreakHyphen/>
                        <w:t>sixth of its assessed relativity. The 3 blended relativities were averaged and rescaled to get an average relativity of 0.73570. This relativity was below 0.75 so it was brought up to the GST relativity floor.</w:t>
                      </w:r>
                      <w:r w:rsidRPr="00F91281">
                        <w:t xml:space="preserve"> </w:t>
                      </w:r>
                    </w:p>
                    <w:p w14:paraId="4DA5EEF3" w14:textId="257D34D6" w:rsidR="009051D5" w:rsidRPr="00310D9B" w:rsidRDefault="009051D5" w:rsidP="009051D5">
                      <w:r w:rsidRPr="00F91281">
                        <w:t>The following diagram illustrates the</w:t>
                      </w:r>
                      <w:r>
                        <w:t>se steps</w:t>
                      </w:r>
                      <w:r w:rsidRPr="00F91281">
                        <w:t>.</w:t>
                      </w:r>
                      <w:r>
                        <w:t xml:space="preserve"> </w:t>
                      </w:r>
                    </w:p>
                    <w:p w14:paraId="71CCBA6A" w14:textId="61AF0088" w:rsidR="009051D5" w:rsidRDefault="00651A30" w:rsidP="009051D5">
                      <w:pPr>
                        <w:jc w:val="center"/>
                      </w:pPr>
                      <w:r w:rsidRPr="00651A30">
                        <w:rPr>
                          <w:noProof/>
                        </w:rPr>
                        <w:drawing>
                          <wp:inline distT="0" distB="0" distL="0" distR="0" wp14:anchorId="67126DCA" wp14:editId="3213C92A">
                            <wp:extent cx="5661660" cy="6727825"/>
                            <wp:effectExtent l="0" t="0" r="0" b="0"/>
                            <wp:docPr id="68129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61660" cy="6727825"/>
                                    </a:xfrm>
                                    <a:prstGeom prst="rect">
                                      <a:avLst/>
                                    </a:prstGeom>
                                    <a:noFill/>
                                    <a:ln>
                                      <a:noFill/>
                                    </a:ln>
                                  </pic:spPr>
                                </pic:pic>
                              </a:graphicData>
                            </a:graphic>
                          </wp:inline>
                        </w:drawing>
                      </w:r>
                    </w:p>
                    <w:p w14:paraId="5618620D" w14:textId="77777777" w:rsidR="009051D5" w:rsidRPr="00D06DB5" w:rsidRDefault="009051D5" w:rsidP="009051D5">
                      <w:pPr>
                        <w:pStyle w:val="CGCTablenote"/>
                      </w:pPr>
                    </w:p>
                  </w:txbxContent>
                </v:textbox>
                <w10:wrap type="square" anchorx="margin"/>
              </v:shape>
            </w:pict>
          </mc:Fallback>
        </mc:AlternateContent>
      </w:r>
      <w:r w:rsidR="00F70436">
        <w:br w:type="page"/>
      </w:r>
    </w:p>
    <w:p w14:paraId="4CC407B8" w14:textId="77777777" w:rsidR="002D440A" w:rsidRPr="00DC55A9" w:rsidRDefault="002D440A" w:rsidP="00645EB6">
      <w:pPr>
        <w:pStyle w:val="Heading2"/>
      </w:pPr>
      <w:r w:rsidRPr="00DC55A9">
        <w:lastRenderedPageBreak/>
        <w:t>Assessed state budgets</w:t>
      </w:r>
    </w:p>
    <w:p w14:paraId="1768F297" w14:textId="15B7ADEC" w:rsidR="002D440A" w:rsidRDefault="002D440A" w:rsidP="002D440A">
      <w:r w:rsidRPr="004177B0">
        <w:t xml:space="preserve">GST relativities represent the differing GST needs of states. In calculating </w:t>
      </w:r>
      <w:r>
        <w:t xml:space="preserve">assessed </w:t>
      </w:r>
      <w:r w:rsidRPr="004177B0">
        <w:t xml:space="preserve">relativities, each state’s relative capacity to raise revenue </w:t>
      </w:r>
      <w:r>
        <w:t>and its share of Commonwealth</w:t>
      </w:r>
      <w:r w:rsidR="00AE54DE">
        <w:t> </w:t>
      </w:r>
      <w:r>
        <w:t xml:space="preserve">payments </w:t>
      </w:r>
      <w:r w:rsidRPr="004177B0">
        <w:t>is compared with its relative cost of providing services</w:t>
      </w:r>
      <w:r>
        <w:t xml:space="preserve"> and infrastructure</w:t>
      </w:r>
      <w:r w:rsidRPr="004177B0">
        <w:t xml:space="preserve">. </w:t>
      </w:r>
      <w:r>
        <w:t>GST</w:t>
      </w:r>
      <w:r w:rsidR="007B6780">
        <w:t> </w:t>
      </w:r>
      <w:r>
        <w:t>needs increase when this gap is larger.</w:t>
      </w:r>
    </w:p>
    <w:p w14:paraId="302F4F0B" w14:textId="5AF514C9" w:rsidR="002D440A" w:rsidRPr="00607566" w:rsidRDefault="002D440A" w:rsidP="002D440A">
      <w:r>
        <w:t>Figure A-1</w:t>
      </w:r>
      <w:r w:rsidRPr="00733CC8">
        <w:t xml:space="preserve"> </w:t>
      </w:r>
      <w:r w:rsidRPr="00831CBD">
        <w:t>illustrates the estimated assessed state budgets per capita for 2025–26. The blue bar on the left shows the total assessed expenditure</w:t>
      </w:r>
      <w:r w:rsidRPr="00607566">
        <w:t xml:space="preserve"> for each state. The bar on the right shows the sum of assessed revenue, assessed net borrowing, Commonwealth</w:t>
      </w:r>
      <w:r w:rsidR="00AE54DE">
        <w:t> </w:t>
      </w:r>
      <w:r w:rsidRPr="00607566">
        <w:t>payments and revenue from the GST pool.</w:t>
      </w:r>
      <w:r w:rsidRPr="00AD0636">
        <w:rPr>
          <w:vertAlign w:val="superscript"/>
        </w:rPr>
        <w:footnoteReference w:id="10"/>
      </w:r>
      <w:r>
        <w:t xml:space="preserve"> </w:t>
      </w:r>
    </w:p>
    <w:p w14:paraId="44BD6780" w14:textId="77777777" w:rsidR="00672A3A" w:rsidRPr="00DC55A9" w:rsidRDefault="00672A3A" w:rsidP="00096207">
      <w:pPr>
        <w:pStyle w:val="CGC2025Caption"/>
      </w:pPr>
      <w:r w:rsidRPr="00DC55A9">
        <w:t>Figure A-1</w:t>
      </w:r>
      <w:r w:rsidRPr="00DC55A9">
        <w:tab/>
        <w:t>Assessed budgets per capita 2025–26 (excludes no worse off payments)</w:t>
      </w:r>
    </w:p>
    <w:p w14:paraId="098DB0C8" w14:textId="01AF121B" w:rsidR="00E550D5" w:rsidRDefault="006F3FF7" w:rsidP="00E550D5">
      <w:r>
        <w:rPr>
          <w:noProof/>
        </w:rPr>
        <w:drawing>
          <wp:inline distT="0" distB="0" distL="0" distR="0" wp14:anchorId="34564CF5" wp14:editId="7CFF3EED">
            <wp:extent cx="5731510" cy="3358515"/>
            <wp:effectExtent l="0" t="0" r="2540" b="13335"/>
            <wp:docPr id="123993045" name="Chart 1" descr="A column chart of states' assessed expenditure and revenue on a population basis&#10;">
              <a:extLst xmlns:a="http://schemas.openxmlformats.org/drawingml/2006/main">
                <a:ext uri="{FF2B5EF4-FFF2-40B4-BE49-F238E27FC236}">
                  <a16:creationId xmlns:a16="http://schemas.microsoft.com/office/drawing/2014/main" id="{98854F34-23F0-4FFA-98E3-5E2CF80FC5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B047F1C" w14:textId="2934F839" w:rsidR="00096207" w:rsidRPr="00E95800" w:rsidRDefault="00096207" w:rsidP="00437FF7">
      <w:pPr>
        <w:pStyle w:val="CGC2025TableNote"/>
        <w:tabs>
          <w:tab w:val="clear" w:pos="567"/>
          <w:tab w:val="left" w:pos="993"/>
        </w:tabs>
        <w:ind w:left="567" w:hanging="454"/>
      </w:pPr>
      <w:r>
        <w:rPr>
          <w:lang w:eastAsia="en-AU"/>
        </w:rPr>
        <w:t>(a)</w:t>
      </w:r>
      <w:r w:rsidRPr="00C340BF">
        <w:rPr>
          <w:lang w:eastAsia="en-AU"/>
        </w:rPr>
        <w:t xml:space="preserve"> </w:t>
      </w:r>
      <w:r w:rsidR="00437FF7">
        <w:rPr>
          <w:lang w:eastAsia="en-AU"/>
        </w:rPr>
        <w:tab/>
      </w:r>
      <w:r w:rsidRPr="00C340BF">
        <w:rPr>
          <w:lang w:eastAsia="en-AU"/>
        </w:rPr>
        <w:t>Includes expenses and investment.</w:t>
      </w:r>
      <w:r>
        <w:rPr>
          <w:lang w:eastAsia="en-AU"/>
        </w:rPr>
        <w:t xml:space="preserve"> </w:t>
      </w:r>
    </w:p>
    <w:p w14:paraId="368D3A40" w14:textId="77777777" w:rsidR="00096207" w:rsidRPr="00C95B56" w:rsidRDefault="00096207" w:rsidP="00096207">
      <w:r w:rsidRPr="00C95B56">
        <w:t>Under the previous GST distribution arrangements, each state’s GST share was calculated so that its assessed revenue (including its recommended GST distribution) equalled its assessed expenditure.</w:t>
      </w:r>
    </w:p>
    <w:p w14:paraId="6300845C" w14:textId="5A16860E" w:rsidR="00096207" w:rsidRDefault="00096207" w:rsidP="00096207">
      <w:r w:rsidRPr="009F34CE">
        <w:t xml:space="preserve">After applying the </w:t>
      </w:r>
      <w:r>
        <w:t xml:space="preserve">2018 </w:t>
      </w:r>
      <w:r w:rsidRPr="009F34CE">
        <w:t>GST distribution legislation, Western Australia’s GST distribution combined with its asse</w:t>
      </w:r>
      <w:r w:rsidRPr="005A2698">
        <w:t>ssed revenues is estimated to exceed its assessed expenditure. For other states, no worse off payments</w:t>
      </w:r>
      <w:r w:rsidRPr="005A2698" w:rsidDel="00A550DA">
        <w:t xml:space="preserve"> </w:t>
      </w:r>
      <w:r w:rsidRPr="005A2698">
        <w:t xml:space="preserve">will </w:t>
      </w:r>
      <w:r w:rsidRPr="0021568F">
        <w:t>partially</w:t>
      </w:r>
      <w:r w:rsidRPr="005A2698">
        <w:t xml:space="preserve"> offset</w:t>
      </w:r>
      <w:r w:rsidRPr="009F34CE">
        <w:t xml:space="preserve"> the difference </w:t>
      </w:r>
      <w:r w:rsidRPr="007E63D1">
        <w:t>between their assessed expenditure and the combination of their GST distribution and assessed revenues.</w:t>
      </w:r>
      <w:r w:rsidR="00B142EC">
        <w:t xml:space="preserve"> </w:t>
      </w:r>
    </w:p>
    <w:p w14:paraId="15C17DD1" w14:textId="5785EBFB" w:rsidR="00C7519D" w:rsidRDefault="00C7519D">
      <w:pPr>
        <w:tabs>
          <w:tab w:val="clear" w:pos="567"/>
        </w:tabs>
        <w:spacing w:before="0" w:after="200" w:line="276" w:lineRule="auto"/>
      </w:pPr>
      <w:r>
        <w:br w:type="page"/>
      </w:r>
    </w:p>
    <w:p w14:paraId="1704BA74" w14:textId="7E8E6529" w:rsidR="00082E98" w:rsidRPr="00622B4E" w:rsidRDefault="00082E98" w:rsidP="00E83505">
      <w:pPr>
        <w:pStyle w:val="Heading1"/>
        <w:ind w:right="-46"/>
        <w:rPr>
          <w:b w:val="0"/>
          <w:bCs w:val="0"/>
        </w:rPr>
      </w:pPr>
      <w:bookmarkStart w:id="198" w:name="_Toc190781294"/>
      <w:bookmarkStart w:id="199" w:name="_Toc190781850"/>
      <w:r w:rsidRPr="00A813CD">
        <w:lastRenderedPageBreak/>
        <w:t xml:space="preserve">Attachment B: </w:t>
      </w:r>
      <w:r w:rsidRPr="00EE0CF4">
        <w:rPr>
          <w:b w:val="0"/>
          <w:bCs w:val="0"/>
        </w:rPr>
        <w:t>GST distribution since 2000</w:t>
      </w:r>
      <w:bookmarkEnd w:id="198"/>
      <w:r w:rsidR="004172F5">
        <w:rPr>
          <w:b w:val="0"/>
          <w:bCs w:val="0"/>
        </w:rPr>
        <w:t>–</w:t>
      </w:r>
      <w:r w:rsidR="004172F5">
        <w:rPr>
          <w:rFonts w:ascii="Times New Roman" w:hAnsi="Times New Roman" w:cs="Times New Roman" w:hint="cs"/>
          <w:b w:val="0"/>
          <w:bCs w:val="0"/>
          <w:rtl/>
        </w:rPr>
        <w:t>‍</w:t>
      </w:r>
      <w:r w:rsidRPr="00EE0CF4">
        <w:rPr>
          <w:b w:val="0"/>
          <w:bCs w:val="0"/>
        </w:rPr>
        <w:t>01</w:t>
      </w:r>
      <w:bookmarkEnd w:id="199"/>
    </w:p>
    <w:p w14:paraId="2B71C3B7" w14:textId="77777777" w:rsidR="00082E98" w:rsidRPr="00994C2F" w:rsidRDefault="00082E98" w:rsidP="00082E98">
      <w:r w:rsidRPr="00994C2F">
        <w:t xml:space="preserve">This attachment provides an overview of how states’ GST shares compare with each other over time. A state’s GST share is primarily driven by its relative fiscal capacity, with a lower relative fiscal capacity resulting in a greater (per capita) share of GST revenue. The </w:t>
      </w:r>
      <w:r>
        <w:t>2018 GST distribution legislation</w:t>
      </w:r>
      <w:r w:rsidRPr="00994C2F">
        <w:t xml:space="preserve"> also affect</w:t>
      </w:r>
      <w:r>
        <w:t>s</w:t>
      </w:r>
      <w:r w:rsidRPr="00994C2F">
        <w:t xml:space="preserve"> GST shares.</w:t>
      </w:r>
      <w:r w:rsidRPr="002C5C70">
        <w:rPr>
          <w:vertAlign w:val="superscript"/>
        </w:rPr>
        <w:footnoteReference w:id="11"/>
      </w:r>
    </w:p>
    <w:p w14:paraId="466E1993" w14:textId="24F82217" w:rsidR="00082E98" w:rsidRPr="0095123E" w:rsidRDefault="00F23527" w:rsidP="00082E98">
      <w:r>
        <w:t xml:space="preserve">Figure B-1 </w:t>
      </w:r>
      <w:r w:rsidR="00082E98">
        <w:t>and Figure B</w:t>
      </w:r>
      <w:r>
        <w:t xml:space="preserve">-2 </w:t>
      </w:r>
      <w:r w:rsidR="00082E98">
        <w:t>show how each state’s proportion of GST pool compares to its population share over time.</w:t>
      </w:r>
    </w:p>
    <w:p w14:paraId="08D7EAEE" w14:textId="523AFEC8" w:rsidR="00082E98" w:rsidRPr="0095123E" w:rsidRDefault="00082E98" w:rsidP="00082E98">
      <w:pPr>
        <w:pStyle w:val="BulletPoints"/>
      </w:pPr>
      <w:r>
        <w:t xml:space="preserve">Figure </w:t>
      </w:r>
      <w:r w:rsidR="00F23527">
        <w:t xml:space="preserve">B-1 </w:t>
      </w:r>
      <w:r w:rsidRPr="0095123E">
        <w:t xml:space="preserve">shows when a state receives a larger proportion of the GST pool than if funds were </w:t>
      </w:r>
      <w:r>
        <w:t>distributed</w:t>
      </w:r>
      <w:r w:rsidRPr="0095123E">
        <w:t xml:space="preserve"> according to population share. This occurs when a state is assessed as having a relatively low fiscal capacity, and therefore receives more than an equal per capita </w:t>
      </w:r>
      <w:r>
        <w:t>distribution</w:t>
      </w:r>
      <w:r w:rsidRPr="0095123E">
        <w:t>, i.e. a GST relativity of above one.</w:t>
      </w:r>
    </w:p>
    <w:p w14:paraId="5E5C6DB9" w14:textId="3044FD7B" w:rsidR="00082E98" w:rsidRPr="00994C2F" w:rsidRDefault="00F23527" w:rsidP="00082E98">
      <w:pPr>
        <w:pStyle w:val="BulletPoints"/>
      </w:pPr>
      <w:r>
        <w:t xml:space="preserve">Figure B-2 </w:t>
      </w:r>
      <w:r w:rsidR="00082E98">
        <w:t>shows when a state receives a smaller proportion of the GST pool relative to its population share. This occurs when a state is assessed as having a relatively high fiscal capacity, and therefore receives less than an equal per capita distribution, i.e. a GST relativity of below one.</w:t>
      </w:r>
    </w:p>
    <w:p w14:paraId="1AEA3411" w14:textId="77777777" w:rsidR="00082E98" w:rsidRDefault="00082E98" w:rsidP="00082E98">
      <w:r w:rsidRPr="00994C2F">
        <w:t>For example, in 2000</w:t>
      </w:r>
      <w:r>
        <w:t>–</w:t>
      </w:r>
      <w:r w:rsidRPr="00994C2F">
        <w:t>01, the Northe</w:t>
      </w:r>
      <w:r>
        <w:t>r</w:t>
      </w:r>
      <w:r w:rsidRPr="00994C2F">
        <w:t xml:space="preserve">n Territory’s share of the GST pool exceeded its population share by </w:t>
      </w:r>
      <w:r>
        <w:t>around</w:t>
      </w:r>
      <w:r w:rsidRPr="00994C2F">
        <w:t xml:space="preserve"> </w:t>
      </w:r>
      <w:r>
        <w:t>4 percentage points</w:t>
      </w:r>
      <w:r w:rsidRPr="00994C2F">
        <w:t xml:space="preserve"> and Victoria’s GST share was </w:t>
      </w:r>
      <w:r>
        <w:t>around</w:t>
      </w:r>
      <w:r w:rsidRPr="00994C2F">
        <w:t xml:space="preserve"> 4</w:t>
      </w:r>
      <w:r>
        <w:t> percentage points</w:t>
      </w:r>
      <w:r w:rsidRPr="00994C2F">
        <w:t xml:space="preserve"> less than its population share.</w:t>
      </w:r>
    </w:p>
    <w:p w14:paraId="25DC2C32" w14:textId="77777777" w:rsidR="00082E98" w:rsidRPr="00A813CD" w:rsidRDefault="00082E98" w:rsidP="00E83505">
      <w:pPr>
        <w:pStyle w:val="CGC2025Caption"/>
        <w:ind w:left="1440" w:hanging="1440"/>
      </w:pPr>
      <w:bookmarkStart w:id="200" w:name="Figure_A_1"/>
      <w:r w:rsidRPr="00A813CD">
        <w:t xml:space="preserve">Figure B-1 </w:t>
      </w:r>
      <w:bookmarkEnd w:id="200"/>
      <w:r w:rsidRPr="00A813CD">
        <w:tab/>
        <w:t>Proportion of the GST pool in excess of a state’s population share,</w:t>
      </w:r>
      <w:r w:rsidRPr="00A813CD">
        <w:br/>
        <w:t>2000–01 to 2025–26 (excludes no worse off payments)</w:t>
      </w:r>
    </w:p>
    <w:p w14:paraId="47BAE48F" w14:textId="2C19DA6F" w:rsidR="00096207" w:rsidRDefault="007E6069" w:rsidP="00E550D5">
      <w:r>
        <w:rPr>
          <w:noProof/>
        </w:rPr>
        <w:drawing>
          <wp:inline distT="0" distB="0" distL="0" distR="0" wp14:anchorId="76DDA817" wp14:editId="30867D68">
            <wp:extent cx="5652000" cy="3519550"/>
            <wp:effectExtent l="0" t="0" r="6350" b="5080"/>
            <wp:docPr id="1647850560" name="Chart 1">
              <a:extLst xmlns:a="http://schemas.openxmlformats.org/drawingml/2006/main">
                <a:ext uri="{FF2B5EF4-FFF2-40B4-BE49-F238E27FC236}">
                  <a16:creationId xmlns:a16="http://schemas.microsoft.com/office/drawing/2014/main" id="{B1086987-8C8A-4C27-957F-25CC0BEDCE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2D727ED" w14:textId="49EB0808" w:rsidR="00025F53" w:rsidRPr="00025F53" w:rsidRDefault="00025F53" w:rsidP="00025F53">
      <w:pPr>
        <w:pStyle w:val="CGC2025TableNote"/>
        <w:ind w:left="560" w:hanging="447"/>
      </w:pPr>
      <w:r w:rsidRPr="00025F53">
        <w:t>Note: this refers to GST distribution, which has been different from assessed relativities since the 2018 GST distribution legislation came into effect. It does not include no worse off payments.</w:t>
      </w:r>
    </w:p>
    <w:p w14:paraId="412CA4D3" w14:textId="77777777" w:rsidR="00226342" w:rsidRDefault="00226342">
      <w:pPr>
        <w:tabs>
          <w:tab w:val="clear" w:pos="567"/>
        </w:tabs>
        <w:spacing w:before="0" w:after="200" w:line="276" w:lineRule="auto"/>
        <w:rPr>
          <w:b/>
        </w:rPr>
      </w:pPr>
      <w:bookmarkStart w:id="201" w:name="Figure_A_2"/>
      <w:r>
        <w:br w:type="page"/>
      </w:r>
    </w:p>
    <w:p w14:paraId="262EE261" w14:textId="2D200A01" w:rsidR="00226342" w:rsidRPr="00A813CD" w:rsidRDefault="00226342" w:rsidP="00226342">
      <w:pPr>
        <w:pStyle w:val="CGC2025Caption"/>
        <w:ind w:left="1440" w:hanging="1440"/>
      </w:pPr>
      <w:r w:rsidRPr="00A813CD">
        <w:lastRenderedPageBreak/>
        <w:t xml:space="preserve">Figure B-2 </w:t>
      </w:r>
      <w:bookmarkEnd w:id="201"/>
      <w:r w:rsidRPr="00A813CD">
        <w:tab/>
        <w:t>Proportion of the GST pool less than a state’s population share,</w:t>
      </w:r>
      <w:r w:rsidRPr="00A813CD">
        <w:br/>
        <w:t>2000–01 to 2025–26 (excludes no worse off payments)</w:t>
      </w:r>
    </w:p>
    <w:p w14:paraId="6FAF7954" w14:textId="77777777" w:rsidR="00226342" w:rsidRDefault="00226342" w:rsidP="00226342">
      <w:pPr>
        <w:tabs>
          <w:tab w:val="clear" w:pos="567"/>
        </w:tabs>
        <w:spacing w:before="0" w:after="160" w:line="259" w:lineRule="auto"/>
      </w:pPr>
      <w:r w:rsidRPr="000A1463">
        <w:t xml:space="preserve"> </w:t>
      </w:r>
      <w:r w:rsidRPr="000A1463" w:rsidDel="002D6692">
        <w:rPr>
          <w:noProof/>
        </w:rPr>
        <w:t xml:space="preserve"> </w:t>
      </w:r>
      <w:r>
        <w:rPr>
          <w:noProof/>
        </w:rPr>
        <w:drawing>
          <wp:inline distT="0" distB="0" distL="0" distR="0" wp14:anchorId="4220D70B" wp14:editId="00E6A2DB">
            <wp:extent cx="5652000" cy="3500500"/>
            <wp:effectExtent l="0" t="0" r="6350" b="5080"/>
            <wp:docPr id="123310459" name="Chart 1">
              <a:extLst xmlns:a="http://schemas.openxmlformats.org/drawingml/2006/main">
                <a:ext uri="{FF2B5EF4-FFF2-40B4-BE49-F238E27FC236}">
                  <a16:creationId xmlns:a16="http://schemas.microsoft.com/office/drawing/2014/main" id="{3EC13B33-CDEF-4F49-9427-DFE593DFD043}"/>
                </a:ext>
                <a:ext uri="{147F2762-F138-4A5C-976F-8EAC2B608ADB}">
                  <a16:predDERef xmlns:a16="http://schemas.microsoft.com/office/drawing/2014/main" pred="{B1086987-8C8A-4C27-957F-25CC0BEDCE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9CE8068" w14:textId="22A88709" w:rsidR="00226342" w:rsidRPr="00A813CD" w:rsidRDefault="00226342" w:rsidP="00226342">
      <w:pPr>
        <w:pStyle w:val="CGC2025TableNote"/>
        <w:ind w:left="560" w:hanging="447"/>
      </w:pPr>
      <w:r w:rsidRPr="00A813CD">
        <w:t>Note: this refers to GST distribution, which has been different from assessed relativities since the 2018 GST distribution legislation came into effect. It does not include no worse off payments.</w:t>
      </w:r>
      <w:r w:rsidRPr="00A813CD">
        <w:rPr>
          <w:highlight w:val="yellow"/>
        </w:rPr>
        <w:t xml:space="preserve"> </w:t>
      </w:r>
    </w:p>
    <w:p w14:paraId="71051C62" w14:textId="77777777" w:rsidR="006F7D38" w:rsidRPr="00A813CD" w:rsidRDefault="006F7D38" w:rsidP="001A181D">
      <w:pPr>
        <w:pStyle w:val="Heading2"/>
      </w:pPr>
      <w:r w:rsidRPr="00A813CD">
        <w:t>States with above-average GST needs</w:t>
      </w:r>
    </w:p>
    <w:p w14:paraId="6C1EC506" w14:textId="77777777" w:rsidR="006F7D38" w:rsidRPr="009F307B" w:rsidRDefault="006F7D38" w:rsidP="006F7D38">
      <w:r w:rsidRPr="00FC06C2">
        <w:t>In 2025–26, 5 states have above-average GST needs (a GST relativity above one): Victoria South Australia, Tasmania, the ACT and the Northern Territory.</w:t>
      </w:r>
      <w:r>
        <w:t xml:space="preserve"> Until </w:t>
      </w:r>
      <w:r w:rsidRPr="00FC06C2">
        <w:t>2025–26</w:t>
      </w:r>
      <w:r>
        <w:t>,</w:t>
      </w:r>
      <w:r w:rsidRPr="00FC06C2">
        <w:t xml:space="preserve"> Victoria</w:t>
      </w:r>
      <w:r>
        <w:t xml:space="preserve"> had not had below-average GST needs since the introduction of the GST in 2000. The other 4 </w:t>
      </w:r>
      <w:r w:rsidRPr="00FC06C2">
        <w:t xml:space="preserve">states have consistently had above-average GST needs since the introduction of the GST </w:t>
      </w:r>
      <w:r w:rsidRPr="009F307B">
        <w:t>(</w:t>
      </w:r>
      <w:r>
        <w:t xml:space="preserve">Figure B-1 </w:t>
      </w:r>
      <w:r w:rsidRPr="009F307B">
        <w:t>and</w:t>
      </w:r>
      <w:r>
        <w:t xml:space="preserve"> Table B-1</w:t>
      </w:r>
      <w:r w:rsidRPr="009F307B">
        <w:t>).</w:t>
      </w:r>
    </w:p>
    <w:p w14:paraId="737966E5" w14:textId="5BB646E3" w:rsidR="006F7D38" w:rsidRPr="00A813CD" w:rsidRDefault="00560C86" w:rsidP="0004054B">
      <w:pPr>
        <w:pStyle w:val="CGC2025Bullet1"/>
      </w:pPr>
      <w:r>
        <w:t xml:space="preserve">Previously, </w:t>
      </w:r>
      <w:r w:rsidR="006F7D38" w:rsidRPr="00A813CD">
        <w:t>Victoria</w:t>
      </w:r>
      <w:r>
        <w:t xml:space="preserve">’s GST </w:t>
      </w:r>
      <w:r w:rsidR="006F7D38" w:rsidRPr="00A813CD">
        <w:t xml:space="preserve">relativity </w:t>
      </w:r>
      <w:r>
        <w:t>ranged</w:t>
      </w:r>
      <w:r w:rsidR="006F7D38" w:rsidRPr="00A813CD">
        <w:t xml:space="preserve"> between 0.83641 and 0.9</w:t>
      </w:r>
      <w:r w:rsidR="00471F3E">
        <w:t>8670</w:t>
      </w:r>
      <w:r w:rsidR="006F7D38" w:rsidRPr="00A813CD">
        <w:t>. Its below-average GST relativity was largely driven by its compact size and the socio</w:t>
      </w:r>
      <w:r w:rsidR="00464E9D">
        <w:t>-</w:t>
      </w:r>
      <w:r w:rsidR="006F7D38" w:rsidRPr="00A813CD">
        <w:t xml:space="preserve">demographic composition of its population. In 2025-26, its GST relativity is above </w:t>
      </w:r>
      <w:r w:rsidR="006F7D38" w:rsidRPr="004C00B8">
        <w:t>one (1.06722). This largely</w:t>
      </w:r>
      <w:r w:rsidR="006F7D38" w:rsidRPr="00A813CD">
        <w:t xml:space="preserve"> reflects Victoria’s above-average expenses for COVID-19 health services and business support, the relative growth of investment needs for urban transport, and the relative decline in its mining revenue raising capacity compared to states with increased capacity due to strong growth in coal royalties.</w:t>
      </w:r>
    </w:p>
    <w:p w14:paraId="136D58CE" w14:textId="77777777" w:rsidR="006F7D38" w:rsidRPr="00A813CD" w:rsidRDefault="006F7D38" w:rsidP="0004054B">
      <w:pPr>
        <w:pStyle w:val="CGC2025Bullet1"/>
      </w:pPr>
      <w:r w:rsidRPr="00A813CD">
        <w:t>The Northern Territory has had a GST relativity of between 4.25816 and 5.66061. Its high GST needs have been driven largely by the high cost of service delivery to disadvantaged and remote populations, particularly First Nations populations. As a result, the Northern Territory consistently receives a much higher GST share (relative to its population) than other states.</w:t>
      </w:r>
    </w:p>
    <w:p w14:paraId="64F482D1" w14:textId="77777777" w:rsidR="006F7D38" w:rsidRPr="00A813CD" w:rsidRDefault="006F7D38" w:rsidP="0004054B">
      <w:pPr>
        <w:pStyle w:val="CGC2025Bullet1"/>
      </w:pPr>
      <w:r w:rsidRPr="00A813CD">
        <w:t>Tasmania has had a GST relativity of between 1.58088 and 1.96067. This has been driven largely by its below-average revenue raising capacity, particularly for mining and property sales. It also has high expense needs relating to many people living in regional areas.</w:t>
      </w:r>
    </w:p>
    <w:p w14:paraId="134B7DAC" w14:textId="77777777" w:rsidR="006F7D38" w:rsidRPr="00A813CD" w:rsidRDefault="006F7D38" w:rsidP="0004054B">
      <w:pPr>
        <w:pStyle w:val="CGC2025Bullet1"/>
      </w:pPr>
      <w:r w:rsidRPr="00A813CD">
        <w:lastRenderedPageBreak/>
        <w:t>South Australia has had a GST relativity of between 1.19971 and 1.47727. This has been driven largely by its below-average revenue raising capacity, particularly for mining and property sales. It also has high expense needs related to its socio</w:t>
      </w:r>
      <w:r w:rsidRPr="00A813CD">
        <w:noBreakHyphen/>
        <w:t xml:space="preserve">demographic composition. </w:t>
      </w:r>
    </w:p>
    <w:p w14:paraId="1C1EB008" w14:textId="6AEF597E" w:rsidR="007E6069" w:rsidRDefault="006F7D38" w:rsidP="00E550D5">
      <w:pPr>
        <w:pStyle w:val="CGC2025Bullet1"/>
      </w:pPr>
      <w:r w:rsidRPr="00A813CD">
        <w:t xml:space="preserve">The ACT has had a GST relativity of between 1.09250 and 1.27051. This has been driven largely by its below-average revenue raising capacity. It has no capacity to raise revenue from mining royalties and is unable to levy land tax or payroll tax on the Australian Government, which has a significant presence within the ACT. </w:t>
      </w:r>
    </w:p>
    <w:p w14:paraId="2754CECB" w14:textId="77777777" w:rsidR="00103A0D" w:rsidRPr="00A813CD" w:rsidRDefault="00103A0D" w:rsidP="00103A0D">
      <w:pPr>
        <w:pStyle w:val="Heading2"/>
      </w:pPr>
      <w:bookmarkStart w:id="202" w:name="_Hlk189728051"/>
      <w:r w:rsidRPr="00A813CD">
        <w:t>States with below-average GST needs</w:t>
      </w:r>
    </w:p>
    <w:p w14:paraId="7B8E004F" w14:textId="77777777" w:rsidR="00103A0D" w:rsidRPr="00A813CD" w:rsidRDefault="00103A0D" w:rsidP="00103A0D">
      <w:r w:rsidRPr="00A813CD">
        <w:t xml:space="preserve">In 2025–26, 3 states have below-average GST needs (a GST relativity below one). </w:t>
      </w:r>
    </w:p>
    <w:p w14:paraId="11AECA3E" w14:textId="7C90AC84" w:rsidR="00103A0D" w:rsidRPr="00A813CD" w:rsidRDefault="00103A0D" w:rsidP="00103A0D">
      <w:r w:rsidRPr="00A813CD">
        <w:t xml:space="preserve">New South Wales has consistently had below-average GST needs since 2000-01 </w:t>
      </w:r>
      <w:r w:rsidR="000055F1">
        <w:t>(Figure B</w:t>
      </w:r>
      <w:r w:rsidR="000055F1">
        <w:noBreakHyphen/>
        <w:t>2 and Table B</w:t>
      </w:r>
      <w:r w:rsidR="000055F1">
        <w:noBreakHyphen/>
        <w:t xml:space="preserve">1). </w:t>
      </w:r>
    </w:p>
    <w:p w14:paraId="79916398" w14:textId="77777777" w:rsidR="00103A0D" w:rsidRPr="00A813CD" w:rsidRDefault="00103A0D" w:rsidP="00103A0D">
      <w:pPr>
        <w:pStyle w:val="CGC2025Bullet1"/>
      </w:pPr>
      <w:r w:rsidRPr="00A813CD">
        <w:t>New South Wales has had a GST relativity of between 0.83468 and 0.97500. Its low GST relativity has been driven largely by its above-average capacity to raise revenue from property sales, land tax, and payroll tax. Below-average expenses (such as a relatively small proportion of the population living in regional or remote areas) have also contributed. In the mid-2000s a property market boom reduced New South Wales’ GST needs further over this period.</w:t>
      </w:r>
    </w:p>
    <w:p w14:paraId="59A6AB77" w14:textId="6A375E49" w:rsidR="00103A0D" w:rsidRPr="00A813CD" w:rsidRDefault="00103A0D" w:rsidP="00103A0D">
      <w:r w:rsidRPr="00A813CD">
        <w:t>Queensland and Western Australia have had a GST relativity above one in some years and below one in others</w:t>
      </w:r>
      <w:r w:rsidR="000055F1">
        <w:t xml:space="preserve"> (Figure B</w:t>
      </w:r>
      <w:r w:rsidR="000055F1">
        <w:noBreakHyphen/>
        <w:t>1, Figure B</w:t>
      </w:r>
      <w:r w:rsidR="000055F1">
        <w:noBreakHyphen/>
        <w:t>2 and Table B</w:t>
      </w:r>
      <w:r w:rsidR="000055F1">
        <w:noBreakHyphen/>
        <w:t xml:space="preserve">1). </w:t>
      </w:r>
      <w:r w:rsidRPr="00A813CD">
        <w:t xml:space="preserve"> </w:t>
      </w:r>
    </w:p>
    <w:p w14:paraId="6A0CC7C6" w14:textId="77777777" w:rsidR="00103A0D" w:rsidRPr="00A813CD" w:rsidRDefault="00103A0D" w:rsidP="00103A0D">
      <w:pPr>
        <w:pStyle w:val="CGC2025Bullet1"/>
      </w:pPr>
      <w:r w:rsidRPr="00A813CD">
        <w:t xml:space="preserve">While Queensland's GST relativity has ranged </w:t>
      </w:r>
      <w:r w:rsidRPr="000055F1">
        <w:t>from 0.84571 to</w:t>
      </w:r>
      <w:r w:rsidRPr="00A813CD">
        <w:t xml:space="preserve"> 1.18769, it has mostly remained above one. Slower property market growth than other states had reduced its revenue raising capacity relative to other states. It also had higher costs of delivering services due to a more dispersed population. From 2008–09, it had a GST relativity below one for 5 years. This was largely related to its increased relative revenue raising capacity from mining royalties. Queensland’s GST needs have been more volatile than other states, partly reflecting volatility in the mining sector and property sales, and the occurrence of natural disasters. </w:t>
      </w:r>
    </w:p>
    <w:p w14:paraId="78AD319A" w14:textId="65F38D6E" w:rsidR="00103A0D" w:rsidRDefault="00103A0D" w:rsidP="00E550D5">
      <w:pPr>
        <w:pStyle w:val="CGC2025Bullet1"/>
      </w:pPr>
      <w:r w:rsidRPr="00A813CD">
        <w:t xml:space="preserve">Western Australia’s GST relativity has ranged from 0.29999 to 1.03811. It has mostly been below one. This has been driven largely by higher-than-average capacity to raise mining royalties and the strength of its payroll tax base. In general, changes in Western Australia’s GST needs closely follow changes in iron ore royalties, which can be volatile but have generally increased over the past 2 decades. Beginning in 2004–05 and lasting for 3 years, it had a GST relativity above one. This was linked with the iron ore cycle, and also reflected the ongoing high expenditure needs relating to socio-demographic composition, such as a dispersed population and an above-average proportion of First Nations people. </w:t>
      </w:r>
      <w:bookmarkEnd w:id="202"/>
    </w:p>
    <w:p w14:paraId="3E20264F" w14:textId="77777777" w:rsidR="00B17883" w:rsidRDefault="00B17883">
      <w:pPr>
        <w:tabs>
          <w:tab w:val="clear" w:pos="567"/>
        </w:tabs>
        <w:spacing w:before="0" w:after="200" w:line="276" w:lineRule="auto"/>
        <w:rPr>
          <w:rFonts w:eastAsia="Times New Roman" w:cs="Open Sans"/>
          <w:b/>
          <w:bCs/>
          <w:color w:val="006991"/>
          <w:sz w:val="36"/>
          <w:szCs w:val="36"/>
        </w:rPr>
      </w:pPr>
      <w:r>
        <w:br w:type="page"/>
      </w:r>
    </w:p>
    <w:p w14:paraId="7D4BC9CC" w14:textId="01E4B5D4" w:rsidR="00C636FB" w:rsidRPr="00A813CD" w:rsidRDefault="00C636FB" w:rsidP="00593A31">
      <w:pPr>
        <w:pStyle w:val="Heading2"/>
      </w:pPr>
      <w:r w:rsidRPr="00A813CD">
        <w:lastRenderedPageBreak/>
        <w:t>GST relativities since 2000–01</w:t>
      </w:r>
      <w:bookmarkEnd w:id="3"/>
      <w:bookmarkEnd w:id="4"/>
      <w:bookmarkEnd w:id="5"/>
    </w:p>
    <w:p w14:paraId="5F89A0C0" w14:textId="77777777" w:rsidR="00C636FB" w:rsidRPr="00663629" w:rsidRDefault="00C636FB" w:rsidP="00C636FB">
      <w:r>
        <w:t>Table B-1 lists GST relativities since 2000–01. The relativities for the last 4 years reflect the 2018 GST distribution legislation (blended relativities and GST relativity floor).</w:t>
      </w:r>
    </w:p>
    <w:p w14:paraId="3DE8D984" w14:textId="0A160272" w:rsidR="00C636FB" w:rsidRDefault="00C636FB" w:rsidP="00593A31">
      <w:pPr>
        <w:pStyle w:val="CGC2025Caption"/>
      </w:pPr>
      <w:bookmarkStart w:id="203" w:name="Table_A_1"/>
      <w:r w:rsidRPr="000B4933">
        <w:t>Table B</w:t>
      </w:r>
      <w:r w:rsidRPr="000B4933">
        <w:noBreakHyphen/>
      </w:r>
      <w:r w:rsidR="00593A31">
        <w:t>1</w:t>
      </w:r>
      <w:r w:rsidRPr="000B4933">
        <w:t xml:space="preserve"> </w:t>
      </w:r>
      <w:bookmarkEnd w:id="203"/>
      <w:r w:rsidRPr="000B4933">
        <w:tab/>
        <w:t>GST relativities, 2000–01 to 2025–26</w:t>
      </w:r>
      <w:r w:rsidR="00FF71DA">
        <w:t xml:space="preserve"> </w:t>
      </w:r>
    </w:p>
    <w:tbl>
      <w:tblPr>
        <w:tblW w:w="8940" w:type="dxa"/>
        <w:tblLook w:val="04A0" w:firstRow="1" w:lastRow="0" w:firstColumn="1" w:lastColumn="0" w:noHBand="0" w:noVBand="1"/>
      </w:tblPr>
      <w:tblGrid>
        <w:gridCol w:w="1260"/>
        <w:gridCol w:w="960"/>
        <w:gridCol w:w="960"/>
        <w:gridCol w:w="960"/>
        <w:gridCol w:w="960"/>
        <w:gridCol w:w="960"/>
        <w:gridCol w:w="960"/>
        <w:gridCol w:w="960"/>
        <w:gridCol w:w="960"/>
      </w:tblGrid>
      <w:tr w:rsidR="003E1CE8" w:rsidRPr="003E1CE8" w14:paraId="15A75389" w14:textId="77777777" w:rsidTr="003E1CE8">
        <w:trPr>
          <w:trHeight w:val="552"/>
        </w:trPr>
        <w:tc>
          <w:tcPr>
            <w:tcW w:w="1260" w:type="dxa"/>
            <w:tcBorders>
              <w:top w:val="nil"/>
              <w:left w:val="nil"/>
              <w:bottom w:val="nil"/>
              <w:right w:val="nil"/>
            </w:tcBorders>
            <w:shd w:val="clear" w:color="000000" w:fill="006991"/>
            <w:vAlign w:val="center"/>
            <w:hideMark/>
          </w:tcPr>
          <w:p w14:paraId="1DC0E528" w14:textId="62754E80" w:rsidR="003E1CE8" w:rsidRPr="003E1CE8" w:rsidRDefault="003E1CE8" w:rsidP="003E1CE8">
            <w:pPr>
              <w:tabs>
                <w:tab w:val="clear" w:pos="567"/>
              </w:tabs>
              <w:spacing w:before="0" w:line="240" w:lineRule="auto"/>
              <w:rPr>
                <w:rFonts w:ascii="Open Sans Semibold" w:eastAsia="Times New Roman" w:hAnsi="Open Sans Semibold" w:cs="Open Sans Semibold"/>
                <w:color w:val="FFFFFF"/>
                <w:sz w:val="16"/>
                <w:szCs w:val="16"/>
                <w:lang w:eastAsia="en-AU"/>
              </w:rPr>
            </w:pPr>
            <w:r w:rsidRPr="003E1CE8">
              <w:rPr>
                <w:rFonts w:ascii="Open Sans Semibold" w:eastAsia="Times New Roman" w:hAnsi="Open Sans Semibold" w:cs="Open Sans Semibold"/>
                <w:color w:val="FFFFFF"/>
                <w:sz w:val="16"/>
                <w:szCs w:val="16"/>
                <w:lang w:eastAsia="en-AU"/>
              </w:rPr>
              <w:t>Financial</w:t>
            </w:r>
            <w:r w:rsidR="00713664">
              <w:rPr>
                <w:rFonts w:ascii="Open Sans Semibold" w:eastAsia="Times New Roman" w:hAnsi="Open Sans Semibold" w:cs="Open Sans Semibold"/>
                <w:color w:val="FFFFFF"/>
                <w:sz w:val="16"/>
                <w:szCs w:val="16"/>
                <w:lang w:eastAsia="en-AU"/>
              </w:rPr>
              <w:t xml:space="preserve"> </w:t>
            </w:r>
            <w:r w:rsidRPr="003E1CE8">
              <w:rPr>
                <w:rFonts w:ascii="Open Sans Semibold" w:eastAsia="Times New Roman" w:hAnsi="Open Sans Semibold" w:cs="Open Sans Semibold"/>
                <w:color w:val="FFFFFF"/>
                <w:sz w:val="16"/>
                <w:szCs w:val="16"/>
                <w:lang w:eastAsia="en-AU"/>
              </w:rPr>
              <w:t>Year</w:t>
            </w:r>
          </w:p>
        </w:tc>
        <w:tc>
          <w:tcPr>
            <w:tcW w:w="960" w:type="dxa"/>
            <w:tcBorders>
              <w:top w:val="nil"/>
              <w:left w:val="nil"/>
              <w:bottom w:val="nil"/>
              <w:right w:val="nil"/>
            </w:tcBorders>
            <w:shd w:val="clear" w:color="000000" w:fill="006991"/>
            <w:vAlign w:val="center"/>
            <w:hideMark/>
          </w:tcPr>
          <w:p w14:paraId="0C23F5F8" w14:textId="77777777" w:rsidR="003E1CE8" w:rsidRPr="003E1CE8" w:rsidRDefault="003E1CE8" w:rsidP="003E1CE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E1CE8">
              <w:rPr>
                <w:rFonts w:ascii="Open Sans Semibold" w:eastAsia="Times New Roman" w:hAnsi="Open Sans Semibold" w:cs="Open Sans Semibold"/>
                <w:color w:val="FFFFFF"/>
                <w:sz w:val="16"/>
                <w:szCs w:val="16"/>
                <w:lang w:eastAsia="en-AU"/>
              </w:rPr>
              <w:t>NSW</w:t>
            </w:r>
          </w:p>
        </w:tc>
        <w:tc>
          <w:tcPr>
            <w:tcW w:w="960" w:type="dxa"/>
            <w:tcBorders>
              <w:top w:val="nil"/>
              <w:left w:val="nil"/>
              <w:bottom w:val="nil"/>
              <w:right w:val="nil"/>
            </w:tcBorders>
            <w:shd w:val="clear" w:color="000000" w:fill="006991"/>
            <w:vAlign w:val="center"/>
            <w:hideMark/>
          </w:tcPr>
          <w:p w14:paraId="5A9FD4AD" w14:textId="77777777" w:rsidR="003E1CE8" w:rsidRPr="003E1CE8" w:rsidRDefault="003E1CE8" w:rsidP="003E1CE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E1CE8">
              <w:rPr>
                <w:rFonts w:ascii="Open Sans Semibold" w:eastAsia="Times New Roman" w:hAnsi="Open Sans Semibold" w:cs="Open Sans Semibold"/>
                <w:color w:val="FFFFFF"/>
                <w:sz w:val="16"/>
                <w:szCs w:val="16"/>
                <w:lang w:eastAsia="en-AU"/>
              </w:rPr>
              <w:t>Vic</w:t>
            </w:r>
          </w:p>
        </w:tc>
        <w:tc>
          <w:tcPr>
            <w:tcW w:w="960" w:type="dxa"/>
            <w:tcBorders>
              <w:top w:val="nil"/>
              <w:left w:val="nil"/>
              <w:bottom w:val="nil"/>
              <w:right w:val="nil"/>
            </w:tcBorders>
            <w:shd w:val="clear" w:color="000000" w:fill="006991"/>
            <w:vAlign w:val="center"/>
            <w:hideMark/>
          </w:tcPr>
          <w:p w14:paraId="40AEE9C8" w14:textId="77777777" w:rsidR="003E1CE8" w:rsidRPr="003E1CE8" w:rsidRDefault="003E1CE8" w:rsidP="003E1CE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E1CE8">
              <w:rPr>
                <w:rFonts w:ascii="Open Sans Semibold" w:eastAsia="Times New Roman" w:hAnsi="Open Sans Semibold" w:cs="Open Sans Semibold"/>
                <w:color w:val="FFFFFF"/>
                <w:sz w:val="16"/>
                <w:szCs w:val="16"/>
                <w:lang w:eastAsia="en-AU"/>
              </w:rPr>
              <w:t>Qld</w:t>
            </w:r>
          </w:p>
        </w:tc>
        <w:tc>
          <w:tcPr>
            <w:tcW w:w="960" w:type="dxa"/>
            <w:tcBorders>
              <w:top w:val="nil"/>
              <w:left w:val="nil"/>
              <w:bottom w:val="nil"/>
              <w:right w:val="nil"/>
            </w:tcBorders>
            <w:shd w:val="clear" w:color="000000" w:fill="006991"/>
            <w:vAlign w:val="center"/>
            <w:hideMark/>
          </w:tcPr>
          <w:p w14:paraId="114B7DF1" w14:textId="77777777" w:rsidR="003E1CE8" w:rsidRPr="003E1CE8" w:rsidRDefault="003E1CE8" w:rsidP="003E1CE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E1CE8">
              <w:rPr>
                <w:rFonts w:ascii="Open Sans Semibold" w:eastAsia="Times New Roman" w:hAnsi="Open Sans Semibold" w:cs="Open Sans Semibold"/>
                <w:color w:val="FFFFFF"/>
                <w:sz w:val="16"/>
                <w:szCs w:val="16"/>
                <w:lang w:eastAsia="en-AU"/>
              </w:rPr>
              <w:t>WA</w:t>
            </w:r>
          </w:p>
        </w:tc>
        <w:tc>
          <w:tcPr>
            <w:tcW w:w="960" w:type="dxa"/>
            <w:tcBorders>
              <w:top w:val="nil"/>
              <w:left w:val="nil"/>
              <w:bottom w:val="nil"/>
              <w:right w:val="nil"/>
            </w:tcBorders>
            <w:shd w:val="clear" w:color="000000" w:fill="006991"/>
            <w:vAlign w:val="center"/>
            <w:hideMark/>
          </w:tcPr>
          <w:p w14:paraId="182B49B0" w14:textId="77777777" w:rsidR="003E1CE8" w:rsidRPr="003E1CE8" w:rsidRDefault="003E1CE8" w:rsidP="003E1CE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E1CE8">
              <w:rPr>
                <w:rFonts w:ascii="Open Sans Semibold" w:eastAsia="Times New Roman" w:hAnsi="Open Sans Semibold" w:cs="Open Sans Semibold"/>
                <w:color w:val="FFFFFF"/>
                <w:sz w:val="16"/>
                <w:szCs w:val="16"/>
                <w:lang w:eastAsia="en-AU"/>
              </w:rPr>
              <w:t>SA</w:t>
            </w:r>
          </w:p>
        </w:tc>
        <w:tc>
          <w:tcPr>
            <w:tcW w:w="960" w:type="dxa"/>
            <w:tcBorders>
              <w:top w:val="nil"/>
              <w:left w:val="nil"/>
              <w:bottom w:val="nil"/>
              <w:right w:val="nil"/>
            </w:tcBorders>
            <w:shd w:val="clear" w:color="000000" w:fill="006991"/>
            <w:vAlign w:val="center"/>
            <w:hideMark/>
          </w:tcPr>
          <w:p w14:paraId="4FB6B52F" w14:textId="77777777" w:rsidR="003E1CE8" w:rsidRPr="003E1CE8" w:rsidRDefault="003E1CE8" w:rsidP="003E1CE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E1CE8">
              <w:rPr>
                <w:rFonts w:ascii="Open Sans Semibold" w:eastAsia="Times New Roman" w:hAnsi="Open Sans Semibold" w:cs="Open Sans Semibold"/>
                <w:color w:val="FFFFFF"/>
                <w:sz w:val="16"/>
                <w:szCs w:val="16"/>
                <w:lang w:eastAsia="en-AU"/>
              </w:rPr>
              <w:t>Tas</w:t>
            </w:r>
          </w:p>
        </w:tc>
        <w:tc>
          <w:tcPr>
            <w:tcW w:w="960" w:type="dxa"/>
            <w:tcBorders>
              <w:top w:val="nil"/>
              <w:left w:val="nil"/>
              <w:bottom w:val="nil"/>
              <w:right w:val="nil"/>
            </w:tcBorders>
            <w:shd w:val="clear" w:color="000000" w:fill="006991"/>
            <w:vAlign w:val="center"/>
            <w:hideMark/>
          </w:tcPr>
          <w:p w14:paraId="2F51BA85" w14:textId="77777777" w:rsidR="003E1CE8" w:rsidRPr="003E1CE8" w:rsidRDefault="003E1CE8" w:rsidP="003E1CE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E1CE8">
              <w:rPr>
                <w:rFonts w:ascii="Open Sans Semibold" w:eastAsia="Times New Roman" w:hAnsi="Open Sans Semibold" w:cs="Open Sans Semibold"/>
                <w:color w:val="FFFFFF"/>
                <w:sz w:val="16"/>
                <w:szCs w:val="16"/>
                <w:lang w:eastAsia="en-AU"/>
              </w:rPr>
              <w:t>ACT</w:t>
            </w:r>
          </w:p>
        </w:tc>
        <w:tc>
          <w:tcPr>
            <w:tcW w:w="960" w:type="dxa"/>
            <w:tcBorders>
              <w:top w:val="nil"/>
              <w:left w:val="nil"/>
              <w:bottom w:val="nil"/>
              <w:right w:val="nil"/>
            </w:tcBorders>
            <w:shd w:val="clear" w:color="000000" w:fill="006991"/>
            <w:vAlign w:val="center"/>
            <w:hideMark/>
          </w:tcPr>
          <w:p w14:paraId="6D6D501D" w14:textId="77777777" w:rsidR="003E1CE8" w:rsidRPr="003E1CE8" w:rsidRDefault="003E1CE8" w:rsidP="003E1CE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E1CE8">
              <w:rPr>
                <w:rFonts w:ascii="Open Sans Semibold" w:eastAsia="Times New Roman" w:hAnsi="Open Sans Semibold" w:cs="Open Sans Semibold"/>
                <w:color w:val="FFFFFF"/>
                <w:sz w:val="16"/>
                <w:szCs w:val="16"/>
                <w:lang w:eastAsia="en-AU"/>
              </w:rPr>
              <w:t>NT</w:t>
            </w:r>
          </w:p>
        </w:tc>
      </w:tr>
      <w:tr w:rsidR="003E1CE8" w:rsidRPr="003E1CE8" w14:paraId="22CBA2C4"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4F3C70EE"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2000-01</w:t>
            </w:r>
          </w:p>
        </w:tc>
        <w:tc>
          <w:tcPr>
            <w:tcW w:w="960" w:type="dxa"/>
            <w:tcBorders>
              <w:top w:val="single" w:sz="4" w:space="0" w:color="ADD6EA"/>
              <w:left w:val="nil"/>
              <w:bottom w:val="nil"/>
              <w:right w:val="nil"/>
            </w:tcBorders>
            <w:shd w:val="clear" w:color="000000" w:fill="FFFFFF"/>
            <w:vAlign w:val="bottom"/>
            <w:hideMark/>
          </w:tcPr>
          <w:p w14:paraId="5CC5433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0.88914</w:t>
            </w:r>
          </w:p>
        </w:tc>
        <w:tc>
          <w:tcPr>
            <w:tcW w:w="960" w:type="dxa"/>
            <w:tcBorders>
              <w:top w:val="single" w:sz="4" w:space="0" w:color="ADD6EA"/>
              <w:left w:val="nil"/>
              <w:bottom w:val="nil"/>
              <w:right w:val="nil"/>
            </w:tcBorders>
            <w:shd w:val="clear" w:color="000000" w:fill="FFFFFF"/>
            <w:vAlign w:val="bottom"/>
            <w:hideMark/>
          </w:tcPr>
          <w:p w14:paraId="16B045E9"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0.84510</w:t>
            </w:r>
          </w:p>
        </w:tc>
        <w:tc>
          <w:tcPr>
            <w:tcW w:w="960" w:type="dxa"/>
            <w:tcBorders>
              <w:top w:val="single" w:sz="4" w:space="0" w:color="ADD6EA"/>
              <w:left w:val="nil"/>
              <w:bottom w:val="nil"/>
              <w:right w:val="nil"/>
            </w:tcBorders>
            <w:shd w:val="clear" w:color="000000" w:fill="FFFFFF"/>
            <w:vAlign w:val="bottom"/>
            <w:hideMark/>
          </w:tcPr>
          <w:p w14:paraId="0376C694"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1.02507</w:t>
            </w:r>
          </w:p>
        </w:tc>
        <w:tc>
          <w:tcPr>
            <w:tcW w:w="960" w:type="dxa"/>
            <w:tcBorders>
              <w:top w:val="single" w:sz="4" w:space="0" w:color="ADD6EA"/>
              <w:left w:val="nil"/>
              <w:bottom w:val="nil"/>
              <w:right w:val="nil"/>
            </w:tcBorders>
            <w:shd w:val="clear" w:color="000000" w:fill="FFFFFF"/>
            <w:vAlign w:val="bottom"/>
            <w:hideMark/>
          </w:tcPr>
          <w:p w14:paraId="7EACC173"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0.98692</w:t>
            </w:r>
          </w:p>
        </w:tc>
        <w:tc>
          <w:tcPr>
            <w:tcW w:w="960" w:type="dxa"/>
            <w:tcBorders>
              <w:top w:val="single" w:sz="4" w:space="0" w:color="ADD6EA"/>
              <w:left w:val="nil"/>
              <w:bottom w:val="nil"/>
              <w:right w:val="nil"/>
            </w:tcBorders>
            <w:shd w:val="clear" w:color="000000" w:fill="FFFFFF"/>
            <w:vAlign w:val="bottom"/>
            <w:hideMark/>
          </w:tcPr>
          <w:p w14:paraId="448666F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1.20433</w:t>
            </w:r>
          </w:p>
        </w:tc>
        <w:tc>
          <w:tcPr>
            <w:tcW w:w="960" w:type="dxa"/>
            <w:tcBorders>
              <w:top w:val="single" w:sz="4" w:space="0" w:color="ADD6EA"/>
              <w:left w:val="nil"/>
              <w:bottom w:val="nil"/>
              <w:right w:val="nil"/>
            </w:tcBorders>
            <w:shd w:val="clear" w:color="000000" w:fill="FFFFFF"/>
            <w:vAlign w:val="bottom"/>
            <w:hideMark/>
          </w:tcPr>
          <w:p w14:paraId="7329EED2"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1.61016</w:t>
            </w:r>
          </w:p>
        </w:tc>
        <w:tc>
          <w:tcPr>
            <w:tcW w:w="960" w:type="dxa"/>
            <w:tcBorders>
              <w:top w:val="single" w:sz="4" w:space="0" w:color="ADD6EA"/>
              <w:left w:val="nil"/>
              <w:bottom w:val="nil"/>
              <w:right w:val="nil"/>
            </w:tcBorders>
            <w:shd w:val="clear" w:color="000000" w:fill="FFFFFF"/>
            <w:vAlign w:val="bottom"/>
            <w:hideMark/>
          </w:tcPr>
          <w:p w14:paraId="2ABBD23F"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1.17050</w:t>
            </w:r>
          </w:p>
        </w:tc>
        <w:tc>
          <w:tcPr>
            <w:tcW w:w="960" w:type="dxa"/>
            <w:tcBorders>
              <w:top w:val="single" w:sz="4" w:space="0" w:color="ADD6EA"/>
              <w:left w:val="nil"/>
              <w:bottom w:val="nil"/>
              <w:right w:val="nil"/>
            </w:tcBorders>
            <w:shd w:val="clear" w:color="000000" w:fill="FFFFFF"/>
            <w:vAlign w:val="bottom"/>
            <w:hideMark/>
          </w:tcPr>
          <w:p w14:paraId="027D7A5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4.79406</w:t>
            </w:r>
          </w:p>
        </w:tc>
      </w:tr>
      <w:tr w:rsidR="003E1CE8" w:rsidRPr="003E1CE8" w14:paraId="3C4F773A"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79300B66"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2001-02</w:t>
            </w:r>
          </w:p>
        </w:tc>
        <w:tc>
          <w:tcPr>
            <w:tcW w:w="960" w:type="dxa"/>
            <w:tcBorders>
              <w:top w:val="single" w:sz="4" w:space="0" w:color="ADD6EA"/>
              <w:left w:val="nil"/>
              <w:bottom w:val="nil"/>
              <w:right w:val="nil"/>
            </w:tcBorders>
            <w:shd w:val="clear" w:color="000000" w:fill="FFFFFF"/>
            <w:vAlign w:val="bottom"/>
            <w:hideMark/>
          </w:tcPr>
          <w:p w14:paraId="433242D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0.90228</w:t>
            </w:r>
          </w:p>
        </w:tc>
        <w:tc>
          <w:tcPr>
            <w:tcW w:w="960" w:type="dxa"/>
            <w:tcBorders>
              <w:top w:val="single" w:sz="4" w:space="0" w:color="ADD6EA"/>
              <w:left w:val="nil"/>
              <w:bottom w:val="nil"/>
              <w:right w:val="nil"/>
            </w:tcBorders>
            <w:shd w:val="clear" w:color="000000" w:fill="FFFFFF"/>
            <w:vAlign w:val="bottom"/>
            <w:hideMark/>
          </w:tcPr>
          <w:p w14:paraId="7A3BE708"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0.85168</w:t>
            </w:r>
          </w:p>
        </w:tc>
        <w:tc>
          <w:tcPr>
            <w:tcW w:w="960" w:type="dxa"/>
            <w:tcBorders>
              <w:top w:val="single" w:sz="4" w:space="0" w:color="ADD6EA"/>
              <w:left w:val="nil"/>
              <w:bottom w:val="nil"/>
              <w:right w:val="nil"/>
            </w:tcBorders>
            <w:shd w:val="clear" w:color="000000" w:fill="FFFFFF"/>
            <w:vAlign w:val="bottom"/>
            <w:hideMark/>
          </w:tcPr>
          <w:p w14:paraId="671B1A6F"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1.00625</w:t>
            </w:r>
          </w:p>
        </w:tc>
        <w:tc>
          <w:tcPr>
            <w:tcW w:w="960" w:type="dxa"/>
            <w:tcBorders>
              <w:top w:val="single" w:sz="4" w:space="0" w:color="ADD6EA"/>
              <w:left w:val="nil"/>
              <w:bottom w:val="nil"/>
              <w:right w:val="nil"/>
            </w:tcBorders>
            <w:shd w:val="clear" w:color="000000" w:fill="FFFFFF"/>
            <w:vAlign w:val="bottom"/>
            <w:hideMark/>
          </w:tcPr>
          <w:p w14:paraId="15D2105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0.97571</w:t>
            </w:r>
          </w:p>
        </w:tc>
        <w:tc>
          <w:tcPr>
            <w:tcW w:w="960" w:type="dxa"/>
            <w:tcBorders>
              <w:top w:val="single" w:sz="4" w:space="0" w:color="ADD6EA"/>
              <w:left w:val="nil"/>
              <w:bottom w:val="nil"/>
              <w:right w:val="nil"/>
            </w:tcBorders>
            <w:shd w:val="clear" w:color="000000" w:fill="FFFFFF"/>
            <w:vAlign w:val="bottom"/>
            <w:hideMark/>
          </w:tcPr>
          <w:p w14:paraId="36C957F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1.19971</w:t>
            </w:r>
          </w:p>
        </w:tc>
        <w:tc>
          <w:tcPr>
            <w:tcW w:w="960" w:type="dxa"/>
            <w:tcBorders>
              <w:top w:val="single" w:sz="4" w:space="0" w:color="ADD6EA"/>
              <w:left w:val="nil"/>
              <w:bottom w:val="nil"/>
              <w:right w:val="nil"/>
            </w:tcBorders>
            <w:shd w:val="clear" w:color="000000" w:fill="FFFFFF"/>
            <w:vAlign w:val="bottom"/>
            <w:hideMark/>
          </w:tcPr>
          <w:p w14:paraId="65402BF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1.60490</w:t>
            </w:r>
          </w:p>
        </w:tc>
        <w:tc>
          <w:tcPr>
            <w:tcW w:w="960" w:type="dxa"/>
            <w:tcBorders>
              <w:top w:val="single" w:sz="4" w:space="0" w:color="ADD6EA"/>
              <w:left w:val="nil"/>
              <w:bottom w:val="nil"/>
              <w:right w:val="nil"/>
            </w:tcBorders>
            <w:shd w:val="clear" w:color="000000" w:fill="FFFFFF"/>
            <w:vAlign w:val="bottom"/>
            <w:hideMark/>
          </w:tcPr>
          <w:p w14:paraId="69E48EE1"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1.21100</w:t>
            </w:r>
          </w:p>
        </w:tc>
        <w:tc>
          <w:tcPr>
            <w:tcW w:w="960" w:type="dxa"/>
            <w:tcBorders>
              <w:top w:val="single" w:sz="4" w:space="0" w:color="ADD6EA"/>
              <w:left w:val="nil"/>
              <w:bottom w:val="nil"/>
              <w:right w:val="nil"/>
            </w:tcBorders>
            <w:shd w:val="clear" w:color="000000" w:fill="FFFFFF"/>
            <w:vAlign w:val="bottom"/>
            <w:hideMark/>
          </w:tcPr>
          <w:p w14:paraId="004A4541"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4.61547</w:t>
            </w:r>
          </w:p>
        </w:tc>
      </w:tr>
      <w:tr w:rsidR="003E1CE8" w:rsidRPr="003E1CE8" w14:paraId="4D0F2ADE"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4F9DB0C8"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2002-03</w:t>
            </w:r>
          </w:p>
        </w:tc>
        <w:tc>
          <w:tcPr>
            <w:tcW w:w="960" w:type="dxa"/>
            <w:tcBorders>
              <w:top w:val="single" w:sz="4" w:space="0" w:color="ADD6EA"/>
              <w:left w:val="nil"/>
              <w:bottom w:val="nil"/>
              <w:right w:val="nil"/>
            </w:tcBorders>
            <w:shd w:val="clear" w:color="000000" w:fill="FFFFFF"/>
            <w:vAlign w:val="bottom"/>
            <w:hideMark/>
          </w:tcPr>
          <w:p w14:paraId="6F93C02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0.88419</w:t>
            </w:r>
          </w:p>
        </w:tc>
        <w:tc>
          <w:tcPr>
            <w:tcW w:w="960" w:type="dxa"/>
            <w:tcBorders>
              <w:top w:val="single" w:sz="4" w:space="0" w:color="ADD6EA"/>
              <w:left w:val="nil"/>
              <w:bottom w:val="nil"/>
              <w:right w:val="nil"/>
            </w:tcBorders>
            <w:shd w:val="clear" w:color="000000" w:fill="FFFFFF"/>
            <w:vAlign w:val="bottom"/>
            <w:hideMark/>
          </w:tcPr>
          <w:p w14:paraId="124037D2"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0.84227</w:t>
            </w:r>
          </w:p>
        </w:tc>
        <w:tc>
          <w:tcPr>
            <w:tcW w:w="960" w:type="dxa"/>
            <w:tcBorders>
              <w:top w:val="single" w:sz="4" w:space="0" w:color="ADD6EA"/>
              <w:left w:val="nil"/>
              <w:bottom w:val="nil"/>
              <w:right w:val="nil"/>
            </w:tcBorders>
            <w:shd w:val="clear" w:color="000000" w:fill="FFFFFF"/>
            <w:vAlign w:val="bottom"/>
            <w:hideMark/>
          </w:tcPr>
          <w:p w14:paraId="44AA330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1.01673</w:t>
            </w:r>
          </w:p>
        </w:tc>
        <w:tc>
          <w:tcPr>
            <w:tcW w:w="960" w:type="dxa"/>
            <w:tcBorders>
              <w:top w:val="single" w:sz="4" w:space="0" w:color="ADD6EA"/>
              <w:left w:val="nil"/>
              <w:bottom w:val="nil"/>
              <w:right w:val="nil"/>
            </w:tcBorders>
            <w:shd w:val="clear" w:color="000000" w:fill="FFFFFF"/>
            <w:vAlign w:val="bottom"/>
            <w:hideMark/>
          </w:tcPr>
          <w:p w14:paraId="507569AA"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0.97612</w:t>
            </w:r>
          </w:p>
        </w:tc>
        <w:tc>
          <w:tcPr>
            <w:tcW w:w="960" w:type="dxa"/>
            <w:tcBorders>
              <w:top w:val="single" w:sz="4" w:space="0" w:color="ADD6EA"/>
              <w:left w:val="nil"/>
              <w:bottom w:val="nil"/>
              <w:right w:val="nil"/>
            </w:tcBorders>
            <w:shd w:val="clear" w:color="000000" w:fill="FFFFFF"/>
            <w:vAlign w:val="bottom"/>
            <w:hideMark/>
          </w:tcPr>
          <w:p w14:paraId="436386D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1.21719</w:t>
            </w:r>
          </w:p>
        </w:tc>
        <w:tc>
          <w:tcPr>
            <w:tcW w:w="960" w:type="dxa"/>
            <w:tcBorders>
              <w:top w:val="single" w:sz="4" w:space="0" w:color="ADD6EA"/>
              <w:left w:val="nil"/>
              <w:bottom w:val="nil"/>
              <w:right w:val="nil"/>
            </w:tcBorders>
            <w:shd w:val="clear" w:color="000000" w:fill="FFFFFF"/>
            <w:vAlign w:val="bottom"/>
            <w:hideMark/>
          </w:tcPr>
          <w:p w14:paraId="5C387EA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1.68200</w:t>
            </w:r>
          </w:p>
        </w:tc>
        <w:tc>
          <w:tcPr>
            <w:tcW w:w="960" w:type="dxa"/>
            <w:tcBorders>
              <w:top w:val="single" w:sz="4" w:space="0" w:color="ADD6EA"/>
              <w:left w:val="nil"/>
              <w:bottom w:val="nil"/>
              <w:right w:val="nil"/>
            </w:tcBorders>
            <w:shd w:val="clear" w:color="000000" w:fill="FFFFFF"/>
            <w:vAlign w:val="bottom"/>
            <w:hideMark/>
          </w:tcPr>
          <w:p w14:paraId="7E60C93A"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1.22552</w:t>
            </w:r>
          </w:p>
        </w:tc>
        <w:tc>
          <w:tcPr>
            <w:tcW w:w="960" w:type="dxa"/>
            <w:tcBorders>
              <w:top w:val="single" w:sz="4" w:space="0" w:color="ADD6EA"/>
              <w:left w:val="nil"/>
              <w:bottom w:val="nil"/>
              <w:right w:val="nil"/>
            </w:tcBorders>
            <w:shd w:val="clear" w:color="000000" w:fill="FFFFFF"/>
            <w:vAlign w:val="bottom"/>
            <w:hideMark/>
          </w:tcPr>
          <w:p w14:paraId="6214A51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4.91642</w:t>
            </w:r>
          </w:p>
        </w:tc>
      </w:tr>
      <w:tr w:rsidR="003E1CE8" w:rsidRPr="003E1CE8" w14:paraId="477BB1D3"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59EC5E9D"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2003-04</w:t>
            </w:r>
          </w:p>
        </w:tc>
        <w:tc>
          <w:tcPr>
            <w:tcW w:w="960" w:type="dxa"/>
            <w:tcBorders>
              <w:top w:val="single" w:sz="4" w:space="0" w:color="ADD6EA"/>
              <w:left w:val="nil"/>
              <w:bottom w:val="nil"/>
              <w:right w:val="nil"/>
            </w:tcBorders>
            <w:shd w:val="clear" w:color="000000" w:fill="FFFFFF"/>
            <w:vAlign w:val="bottom"/>
            <w:hideMark/>
          </w:tcPr>
          <w:p w14:paraId="5BF69050"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0.86533</w:t>
            </w:r>
          </w:p>
        </w:tc>
        <w:tc>
          <w:tcPr>
            <w:tcW w:w="960" w:type="dxa"/>
            <w:tcBorders>
              <w:top w:val="single" w:sz="4" w:space="0" w:color="ADD6EA"/>
              <w:left w:val="nil"/>
              <w:bottom w:val="nil"/>
              <w:right w:val="nil"/>
            </w:tcBorders>
            <w:shd w:val="clear" w:color="000000" w:fill="FFFFFF"/>
            <w:vAlign w:val="bottom"/>
            <w:hideMark/>
          </w:tcPr>
          <w:p w14:paraId="1D0B40C1"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0.84243</w:t>
            </w:r>
          </w:p>
        </w:tc>
        <w:tc>
          <w:tcPr>
            <w:tcW w:w="960" w:type="dxa"/>
            <w:tcBorders>
              <w:top w:val="single" w:sz="4" w:space="0" w:color="ADD6EA"/>
              <w:left w:val="nil"/>
              <w:bottom w:val="nil"/>
              <w:right w:val="nil"/>
            </w:tcBorders>
            <w:shd w:val="clear" w:color="000000" w:fill="FFFFFF"/>
            <w:vAlign w:val="bottom"/>
            <w:hideMark/>
          </w:tcPr>
          <w:p w14:paraId="53BFF0F9"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1.02495</w:t>
            </w:r>
          </w:p>
        </w:tc>
        <w:tc>
          <w:tcPr>
            <w:tcW w:w="960" w:type="dxa"/>
            <w:tcBorders>
              <w:top w:val="single" w:sz="4" w:space="0" w:color="ADD6EA"/>
              <w:left w:val="nil"/>
              <w:bottom w:val="nil"/>
              <w:right w:val="nil"/>
            </w:tcBorders>
            <w:shd w:val="clear" w:color="000000" w:fill="FFFFFF"/>
            <w:vAlign w:val="bottom"/>
            <w:hideMark/>
          </w:tcPr>
          <w:p w14:paraId="058C5787"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0.96455</w:t>
            </w:r>
          </w:p>
        </w:tc>
        <w:tc>
          <w:tcPr>
            <w:tcW w:w="960" w:type="dxa"/>
            <w:tcBorders>
              <w:top w:val="single" w:sz="4" w:space="0" w:color="ADD6EA"/>
              <w:left w:val="nil"/>
              <w:bottom w:val="nil"/>
              <w:right w:val="nil"/>
            </w:tcBorders>
            <w:shd w:val="clear" w:color="000000" w:fill="FFFFFF"/>
            <w:vAlign w:val="bottom"/>
            <w:hideMark/>
          </w:tcPr>
          <w:p w14:paraId="74068C10"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1.23997</w:t>
            </w:r>
          </w:p>
        </w:tc>
        <w:tc>
          <w:tcPr>
            <w:tcW w:w="960" w:type="dxa"/>
            <w:tcBorders>
              <w:top w:val="single" w:sz="4" w:space="0" w:color="ADD6EA"/>
              <w:left w:val="nil"/>
              <w:bottom w:val="nil"/>
              <w:right w:val="nil"/>
            </w:tcBorders>
            <w:shd w:val="clear" w:color="000000" w:fill="FFFFFF"/>
            <w:vAlign w:val="bottom"/>
            <w:hideMark/>
          </w:tcPr>
          <w:p w14:paraId="3A384098"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1.75292</w:t>
            </w:r>
          </w:p>
        </w:tc>
        <w:tc>
          <w:tcPr>
            <w:tcW w:w="960" w:type="dxa"/>
            <w:tcBorders>
              <w:top w:val="single" w:sz="4" w:space="0" w:color="ADD6EA"/>
              <w:left w:val="nil"/>
              <w:bottom w:val="nil"/>
              <w:right w:val="nil"/>
            </w:tcBorders>
            <w:shd w:val="clear" w:color="000000" w:fill="FFFFFF"/>
            <w:vAlign w:val="bottom"/>
            <w:hideMark/>
          </w:tcPr>
          <w:p w14:paraId="1B12C79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1.23351</w:t>
            </w:r>
          </w:p>
        </w:tc>
        <w:tc>
          <w:tcPr>
            <w:tcW w:w="960" w:type="dxa"/>
            <w:tcBorders>
              <w:top w:val="single" w:sz="4" w:space="0" w:color="ADD6EA"/>
              <w:left w:val="nil"/>
              <w:bottom w:val="nil"/>
              <w:right w:val="nil"/>
            </w:tcBorders>
            <w:shd w:val="clear" w:color="000000" w:fill="FFFFFF"/>
            <w:vAlign w:val="bottom"/>
            <w:hideMark/>
          </w:tcPr>
          <w:p w14:paraId="3A7F7A18"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5.13490</w:t>
            </w:r>
          </w:p>
        </w:tc>
      </w:tr>
      <w:tr w:rsidR="003E1CE8" w:rsidRPr="003E1CE8" w14:paraId="1ACD67F4"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6F61D3F3"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2004-05</w:t>
            </w:r>
          </w:p>
        </w:tc>
        <w:tc>
          <w:tcPr>
            <w:tcW w:w="960" w:type="dxa"/>
            <w:tcBorders>
              <w:top w:val="single" w:sz="4" w:space="0" w:color="ADD6EA"/>
              <w:left w:val="nil"/>
              <w:bottom w:val="nil"/>
              <w:right w:val="nil"/>
            </w:tcBorders>
            <w:shd w:val="clear" w:color="000000" w:fill="FFFFFF"/>
            <w:vAlign w:val="bottom"/>
            <w:hideMark/>
          </w:tcPr>
          <w:p w14:paraId="170D0B7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0.83468</w:t>
            </w:r>
          </w:p>
        </w:tc>
        <w:tc>
          <w:tcPr>
            <w:tcW w:w="960" w:type="dxa"/>
            <w:tcBorders>
              <w:top w:val="single" w:sz="4" w:space="0" w:color="ADD6EA"/>
              <w:left w:val="nil"/>
              <w:bottom w:val="nil"/>
              <w:right w:val="nil"/>
            </w:tcBorders>
            <w:shd w:val="clear" w:color="000000" w:fill="FFFFFF"/>
            <w:vAlign w:val="bottom"/>
            <w:hideMark/>
          </w:tcPr>
          <w:p w14:paraId="6A7E77C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0.83641</w:t>
            </w:r>
          </w:p>
        </w:tc>
        <w:tc>
          <w:tcPr>
            <w:tcW w:w="960" w:type="dxa"/>
            <w:tcBorders>
              <w:top w:val="single" w:sz="4" w:space="0" w:color="ADD6EA"/>
              <w:left w:val="nil"/>
              <w:bottom w:val="nil"/>
              <w:right w:val="nil"/>
            </w:tcBorders>
            <w:shd w:val="clear" w:color="000000" w:fill="FFFFFF"/>
            <w:vAlign w:val="bottom"/>
            <w:hideMark/>
          </w:tcPr>
          <w:p w14:paraId="10C5DE12"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1.06994</w:t>
            </w:r>
          </w:p>
        </w:tc>
        <w:tc>
          <w:tcPr>
            <w:tcW w:w="960" w:type="dxa"/>
            <w:tcBorders>
              <w:top w:val="single" w:sz="4" w:space="0" w:color="ADD6EA"/>
              <w:left w:val="nil"/>
              <w:bottom w:val="nil"/>
              <w:right w:val="nil"/>
            </w:tcBorders>
            <w:shd w:val="clear" w:color="000000" w:fill="FFFFFF"/>
            <w:vAlign w:val="bottom"/>
            <w:hideMark/>
          </w:tcPr>
          <w:p w14:paraId="11E504A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1.03811</w:t>
            </w:r>
          </w:p>
        </w:tc>
        <w:tc>
          <w:tcPr>
            <w:tcW w:w="960" w:type="dxa"/>
            <w:tcBorders>
              <w:top w:val="single" w:sz="4" w:space="0" w:color="ADD6EA"/>
              <w:left w:val="nil"/>
              <w:bottom w:val="nil"/>
              <w:right w:val="nil"/>
            </w:tcBorders>
            <w:shd w:val="clear" w:color="000000" w:fill="FFFFFF"/>
            <w:vAlign w:val="bottom"/>
            <w:hideMark/>
          </w:tcPr>
          <w:p w14:paraId="19F113C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1.23041</w:t>
            </w:r>
          </w:p>
        </w:tc>
        <w:tc>
          <w:tcPr>
            <w:tcW w:w="960" w:type="dxa"/>
            <w:tcBorders>
              <w:top w:val="single" w:sz="4" w:space="0" w:color="ADD6EA"/>
              <w:left w:val="nil"/>
              <w:bottom w:val="nil"/>
              <w:right w:val="nil"/>
            </w:tcBorders>
            <w:shd w:val="clear" w:color="000000" w:fill="FFFFFF"/>
            <w:vAlign w:val="bottom"/>
            <w:hideMark/>
          </w:tcPr>
          <w:p w14:paraId="509166B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1.71466</w:t>
            </w:r>
          </w:p>
        </w:tc>
        <w:tc>
          <w:tcPr>
            <w:tcW w:w="960" w:type="dxa"/>
            <w:tcBorders>
              <w:top w:val="single" w:sz="4" w:space="0" w:color="ADD6EA"/>
              <w:left w:val="nil"/>
              <w:bottom w:val="nil"/>
              <w:right w:val="nil"/>
            </w:tcBorders>
            <w:shd w:val="clear" w:color="000000" w:fill="FFFFFF"/>
            <w:vAlign w:val="bottom"/>
            <w:hideMark/>
          </w:tcPr>
          <w:p w14:paraId="751EE3C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1.21407</w:t>
            </w:r>
          </w:p>
        </w:tc>
        <w:tc>
          <w:tcPr>
            <w:tcW w:w="960" w:type="dxa"/>
            <w:tcBorders>
              <w:top w:val="single" w:sz="4" w:space="0" w:color="ADD6EA"/>
              <w:left w:val="nil"/>
              <w:bottom w:val="nil"/>
              <w:right w:val="nil"/>
            </w:tcBorders>
            <w:shd w:val="clear" w:color="000000" w:fill="FFFFFF"/>
            <w:vAlign w:val="bottom"/>
            <w:hideMark/>
          </w:tcPr>
          <w:p w14:paraId="3D1647C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5.00304</w:t>
            </w:r>
          </w:p>
        </w:tc>
      </w:tr>
      <w:tr w:rsidR="003E1CE8" w:rsidRPr="003E1CE8" w14:paraId="206CDF86"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5519C55E"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2005-06</w:t>
            </w:r>
          </w:p>
        </w:tc>
        <w:tc>
          <w:tcPr>
            <w:tcW w:w="960" w:type="dxa"/>
            <w:tcBorders>
              <w:top w:val="single" w:sz="4" w:space="0" w:color="ADD6EA"/>
              <w:left w:val="nil"/>
              <w:bottom w:val="nil"/>
              <w:right w:val="nil"/>
            </w:tcBorders>
            <w:shd w:val="clear" w:color="000000" w:fill="FFFFFF"/>
            <w:vAlign w:val="bottom"/>
            <w:hideMark/>
          </w:tcPr>
          <w:p w14:paraId="58B59D29"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0.83571</w:t>
            </w:r>
          </w:p>
        </w:tc>
        <w:tc>
          <w:tcPr>
            <w:tcW w:w="960" w:type="dxa"/>
            <w:tcBorders>
              <w:top w:val="single" w:sz="4" w:space="0" w:color="ADD6EA"/>
              <w:left w:val="nil"/>
              <w:bottom w:val="nil"/>
              <w:right w:val="nil"/>
            </w:tcBorders>
            <w:shd w:val="clear" w:color="000000" w:fill="FFFFFF"/>
            <w:vAlign w:val="bottom"/>
            <w:hideMark/>
          </w:tcPr>
          <w:p w14:paraId="4A5B0AF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0.84900</w:t>
            </w:r>
          </w:p>
        </w:tc>
        <w:tc>
          <w:tcPr>
            <w:tcW w:w="960" w:type="dxa"/>
            <w:tcBorders>
              <w:top w:val="single" w:sz="4" w:space="0" w:color="ADD6EA"/>
              <w:left w:val="nil"/>
              <w:bottom w:val="nil"/>
              <w:right w:val="nil"/>
            </w:tcBorders>
            <w:shd w:val="clear" w:color="000000" w:fill="FFFFFF"/>
            <w:vAlign w:val="bottom"/>
            <w:hideMark/>
          </w:tcPr>
          <w:p w14:paraId="21C02369"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1.05700</w:t>
            </w:r>
          </w:p>
        </w:tc>
        <w:tc>
          <w:tcPr>
            <w:tcW w:w="960" w:type="dxa"/>
            <w:tcBorders>
              <w:top w:val="single" w:sz="4" w:space="0" w:color="ADD6EA"/>
              <w:left w:val="nil"/>
              <w:bottom w:val="nil"/>
              <w:right w:val="nil"/>
            </w:tcBorders>
            <w:shd w:val="clear" w:color="000000" w:fill="FFFFFF"/>
            <w:vAlign w:val="bottom"/>
            <w:hideMark/>
          </w:tcPr>
          <w:p w14:paraId="631B34C8"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1.03303</w:t>
            </w:r>
          </w:p>
        </w:tc>
        <w:tc>
          <w:tcPr>
            <w:tcW w:w="960" w:type="dxa"/>
            <w:tcBorders>
              <w:top w:val="single" w:sz="4" w:space="0" w:color="ADD6EA"/>
              <w:left w:val="nil"/>
              <w:bottom w:val="nil"/>
              <w:right w:val="nil"/>
            </w:tcBorders>
            <w:shd w:val="clear" w:color="000000" w:fill="FFFFFF"/>
            <w:vAlign w:val="bottom"/>
            <w:hideMark/>
          </w:tcPr>
          <w:p w14:paraId="25C4BAF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1.22712</w:t>
            </w:r>
          </w:p>
        </w:tc>
        <w:tc>
          <w:tcPr>
            <w:tcW w:w="960" w:type="dxa"/>
            <w:tcBorders>
              <w:top w:val="single" w:sz="4" w:space="0" w:color="ADD6EA"/>
              <w:left w:val="nil"/>
              <w:bottom w:val="nil"/>
              <w:right w:val="nil"/>
            </w:tcBorders>
            <w:shd w:val="clear" w:color="000000" w:fill="FFFFFF"/>
            <w:vAlign w:val="bottom"/>
            <w:hideMark/>
          </w:tcPr>
          <w:p w14:paraId="0746700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1.70370</w:t>
            </w:r>
          </w:p>
        </w:tc>
        <w:tc>
          <w:tcPr>
            <w:tcW w:w="960" w:type="dxa"/>
            <w:tcBorders>
              <w:top w:val="single" w:sz="4" w:space="0" w:color="ADD6EA"/>
              <w:left w:val="nil"/>
              <w:bottom w:val="nil"/>
              <w:right w:val="nil"/>
            </w:tcBorders>
            <w:shd w:val="clear" w:color="000000" w:fill="FFFFFF"/>
            <w:vAlign w:val="bottom"/>
            <w:hideMark/>
          </w:tcPr>
          <w:p w14:paraId="34456B08"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1.22837</w:t>
            </w:r>
          </w:p>
        </w:tc>
        <w:tc>
          <w:tcPr>
            <w:tcW w:w="960" w:type="dxa"/>
            <w:tcBorders>
              <w:top w:val="single" w:sz="4" w:space="0" w:color="ADD6EA"/>
              <w:left w:val="nil"/>
              <w:bottom w:val="nil"/>
              <w:right w:val="nil"/>
            </w:tcBorders>
            <w:shd w:val="clear" w:color="000000" w:fill="FFFFFF"/>
            <w:vAlign w:val="bottom"/>
            <w:hideMark/>
          </w:tcPr>
          <w:p w14:paraId="6627D03F"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5.00537</w:t>
            </w:r>
          </w:p>
        </w:tc>
      </w:tr>
      <w:tr w:rsidR="003E1CE8" w:rsidRPr="003E1CE8" w14:paraId="1E2DCF85"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0BC7DAF8"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2006-07</w:t>
            </w:r>
          </w:p>
        </w:tc>
        <w:tc>
          <w:tcPr>
            <w:tcW w:w="960" w:type="dxa"/>
            <w:tcBorders>
              <w:top w:val="single" w:sz="4" w:space="0" w:color="ADD6EA"/>
              <w:left w:val="nil"/>
              <w:bottom w:val="nil"/>
              <w:right w:val="nil"/>
            </w:tcBorders>
            <w:shd w:val="clear" w:color="000000" w:fill="FFFFFF"/>
            <w:vAlign w:val="bottom"/>
            <w:hideMark/>
          </w:tcPr>
          <w:p w14:paraId="0D2813E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0.84193</w:t>
            </w:r>
          </w:p>
        </w:tc>
        <w:tc>
          <w:tcPr>
            <w:tcW w:w="960" w:type="dxa"/>
            <w:tcBorders>
              <w:top w:val="single" w:sz="4" w:space="0" w:color="ADD6EA"/>
              <w:left w:val="nil"/>
              <w:bottom w:val="nil"/>
              <w:right w:val="nil"/>
            </w:tcBorders>
            <w:shd w:val="clear" w:color="000000" w:fill="FFFFFF"/>
            <w:vAlign w:val="bottom"/>
            <w:hideMark/>
          </w:tcPr>
          <w:p w14:paraId="5590DE3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0.87451</w:t>
            </w:r>
          </w:p>
        </w:tc>
        <w:tc>
          <w:tcPr>
            <w:tcW w:w="960" w:type="dxa"/>
            <w:tcBorders>
              <w:top w:val="single" w:sz="4" w:space="0" w:color="ADD6EA"/>
              <w:left w:val="nil"/>
              <w:bottom w:val="nil"/>
              <w:right w:val="nil"/>
            </w:tcBorders>
            <w:shd w:val="clear" w:color="000000" w:fill="FFFFFF"/>
            <w:vAlign w:val="bottom"/>
            <w:hideMark/>
          </w:tcPr>
          <w:p w14:paraId="31A98E2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1.03271</w:t>
            </w:r>
          </w:p>
        </w:tc>
        <w:tc>
          <w:tcPr>
            <w:tcW w:w="960" w:type="dxa"/>
            <w:tcBorders>
              <w:top w:val="single" w:sz="4" w:space="0" w:color="ADD6EA"/>
              <w:left w:val="nil"/>
              <w:bottom w:val="nil"/>
              <w:right w:val="nil"/>
            </w:tcBorders>
            <w:shd w:val="clear" w:color="000000" w:fill="FFFFFF"/>
            <w:vAlign w:val="bottom"/>
            <w:hideMark/>
          </w:tcPr>
          <w:p w14:paraId="50BFC53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1.00778</w:t>
            </w:r>
          </w:p>
        </w:tc>
        <w:tc>
          <w:tcPr>
            <w:tcW w:w="960" w:type="dxa"/>
            <w:tcBorders>
              <w:top w:val="single" w:sz="4" w:space="0" w:color="ADD6EA"/>
              <w:left w:val="nil"/>
              <w:bottom w:val="nil"/>
              <w:right w:val="nil"/>
            </w:tcBorders>
            <w:shd w:val="clear" w:color="000000" w:fill="FFFFFF"/>
            <w:vAlign w:val="bottom"/>
            <w:hideMark/>
          </w:tcPr>
          <w:p w14:paraId="67FD8E4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1.20839</w:t>
            </w:r>
          </w:p>
        </w:tc>
        <w:tc>
          <w:tcPr>
            <w:tcW w:w="960" w:type="dxa"/>
            <w:tcBorders>
              <w:top w:val="single" w:sz="4" w:space="0" w:color="ADD6EA"/>
              <w:left w:val="nil"/>
              <w:bottom w:val="nil"/>
              <w:right w:val="nil"/>
            </w:tcBorders>
            <w:shd w:val="clear" w:color="000000" w:fill="FFFFFF"/>
            <w:vAlign w:val="bottom"/>
            <w:hideMark/>
          </w:tcPr>
          <w:p w14:paraId="0548BFBF"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1.69599</w:t>
            </w:r>
          </w:p>
        </w:tc>
        <w:tc>
          <w:tcPr>
            <w:tcW w:w="960" w:type="dxa"/>
            <w:tcBorders>
              <w:top w:val="single" w:sz="4" w:space="0" w:color="ADD6EA"/>
              <w:left w:val="nil"/>
              <w:bottom w:val="nil"/>
              <w:right w:val="nil"/>
            </w:tcBorders>
            <w:shd w:val="clear" w:color="000000" w:fill="FFFFFF"/>
            <w:vAlign w:val="bottom"/>
            <w:hideMark/>
          </w:tcPr>
          <w:p w14:paraId="52F0B67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1.22918</w:t>
            </w:r>
          </w:p>
        </w:tc>
        <w:tc>
          <w:tcPr>
            <w:tcW w:w="960" w:type="dxa"/>
            <w:tcBorders>
              <w:top w:val="single" w:sz="4" w:space="0" w:color="ADD6EA"/>
              <w:left w:val="nil"/>
              <w:bottom w:val="nil"/>
              <w:right w:val="nil"/>
            </w:tcBorders>
            <w:shd w:val="clear" w:color="000000" w:fill="FFFFFF"/>
            <w:vAlign w:val="bottom"/>
            <w:hideMark/>
          </w:tcPr>
          <w:p w14:paraId="7794AFE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5.06502</w:t>
            </w:r>
          </w:p>
        </w:tc>
      </w:tr>
      <w:tr w:rsidR="003E1CE8" w:rsidRPr="003E1CE8" w14:paraId="5015A902"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5E7EF29D"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2007-08</w:t>
            </w:r>
          </w:p>
        </w:tc>
        <w:tc>
          <w:tcPr>
            <w:tcW w:w="960" w:type="dxa"/>
            <w:tcBorders>
              <w:top w:val="single" w:sz="4" w:space="0" w:color="ADD6EA"/>
              <w:left w:val="nil"/>
              <w:bottom w:val="nil"/>
              <w:right w:val="nil"/>
            </w:tcBorders>
            <w:shd w:val="clear" w:color="000000" w:fill="FFFFFF"/>
            <w:vAlign w:val="bottom"/>
            <w:hideMark/>
          </w:tcPr>
          <w:p w14:paraId="472E4DF2"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0.86380</w:t>
            </w:r>
          </w:p>
        </w:tc>
        <w:tc>
          <w:tcPr>
            <w:tcW w:w="960" w:type="dxa"/>
            <w:tcBorders>
              <w:top w:val="single" w:sz="4" w:space="0" w:color="ADD6EA"/>
              <w:left w:val="nil"/>
              <w:bottom w:val="nil"/>
              <w:right w:val="nil"/>
            </w:tcBorders>
            <w:shd w:val="clear" w:color="000000" w:fill="FFFFFF"/>
            <w:vAlign w:val="bottom"/>
            <w:hideMark/>
          </w:tcPr>
          <w:p w14:paraId="56711FB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0.88206</w:t>
            </w:r>
          </w:p>
        </w:tc>
        <w:tc>
          <w:tcPr>
            <w:tcW w:w="960" w:type="dxa"/>
            <w:tcBorders>
              <w:top w:val="single" w:sz="4" w:space="0" w:color="ADD6EA"/>
              <w:left w:val="nil"/>
              <w:bottom w:val="nil"/>
              <w:right w:val="nil"/>
            </w:tcBorders>
            <w:shd w:val="clear" w:color="000000" w:fill="FFFFFF"/>
            <w:vAlign w:val="bottom"/>
            <w:hideMark/>
          </w:tcPr>
          <w:p w14:paraId="4CDBAC44"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1.01143</w:t>
            </w:r>
          </w:p>
        </w:tc>
        <w:tc>
          <w:tcPr>
            <w:tcW w:w="960" w:type="dxa"/>
            <w:tcBorders>
              <w:top w:val="single" w:sz="4" w:space="0" w:color="ADD6EA"/>
              <w:left w:val="nil"/>
              <w:bottom w:val="nil"/>
              <w:right w:val="nil"/>
            </w:tcBorders>
            <w:shd w:val="clear" w:color="000000" w:fill="FFFFFF"/>
            <w:vAlign w:val="bottom"/>
            <w:hideMark/>
          </w:tcPr>
          <w:p w14:paraId="226C8A4A"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0.93616</w:t>
            </w:r>
          </w:p>
        </w:tc>
        <w:tc>
          <w:tcPr>
            <w:tcW w:w="960" w:type="dxa"/>
            <w:tcBorders>
              <w:top w:val="single" w:sz="4" w:space="0" w:color="ADD6EA"/>
              <w:left w:val="nil"/>
              <w:bottom w:val="nil"/>
              <w:right w:val="nil"/>
            </w:tcBorders>
            <w:shd w:val="clear" w:color="000000" w:fill="FFFFFF"/>
            <w:vAlign w:val="bottom"/>
            <w:hideMark/>
          </w:tcPr>
          <w:p w14:paraId="39020DB4"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1.23141</w:t>
            </w:r>
          </w:p>
        </w:tc>
        <w:tc>
          <w:tcPr>
            <w:tcW w:w="960" w:type="dxa"/>
            <w:tcBorders>
              <w:top w:val="single" w:sz="4" w:space="0" w:color="ADD6EA"/>
              <w:left w:val="nil"/>
              <w:bottom w:val="nil"/>
              <w:right w:val="nil"/>
            </w:tcBorders>
            <w:shd w:val="clear" w:color="000000" w:fill="FFFFFF"/>
            <w:vAlign w:val="bottom"/>
            <w:hideMark/>
          </w:tcPr>
          <w:p w14:paraId="1ED47D8C"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1.68662</w:t>
            </w:r>
          </w:p>
        </w:tc>
        <w:tc>
          <w:tcPr>
            <w:tcW w:w="960" w:type="dxa"/>
            <w:tcBorders>
              <w:top w:val="single" w:sz="4" w:space="0" w:color="ADD6EA"/>
              <w:left w:val="nil"/>
              <w:bottom w:val="nil"/>
              <w:right w:val="nil"/>
            </w:tcBorders>
            <w:shd w:val="clear" w:color="000000" w:fill="FFFFFF"/>
            <w:vAlign w:val="bottom"/>
            <w:hideMark/>
          </w:tcPr>
          <w:p w14:paraId="58E11E74"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1.24724</w:t>
            </w:r>
          </w:p>
        </w:tc>
        <w:tc>
          <w:tcPr>
            <w:tcW w:w="960" w:type="dxa"/>
            <w:tcBorders>
              <w:top w:val="single" w:sz="4" w:space="0" w:color="ADD6EA"/>
              <w:left w:val="nil"/>
              <w:bottom w:val="nil"/>
              <w:right w:val="nil"/>
            </w:tcBorders>
            <w:shd w:val="clear" w:color="000000" w:fill="FFFFFF"/>
            <w:vAlign w:val="bottom"/>
            <w:hideMark/>
          </w:tcPr>
          <w:p w14:paraId="4F5A23A1"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5.09597</w:t>
            </w:r>
          </w:p>
        </w:tc>
      </w:tr>
      <w:tr w:rsidR="003E1CE8" w:rsidRPr="003E1CE8" w14:paraId="165A70E4"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6A01A38A"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2008-09</w:t>
            </w:r>
          </w:p>
        </w:tc>
        <w:tc>
          <w:tcPr>
            <w:tcW w:w="960" w:type="dxa"/>
            <w:tcBorders>
              <w:top w:val="single" w:sz="4" w:space="0" w:color="ADD6EA"/>
              <w:left w:val="nil"/>
              <w:bottom w:val="nil"/>
              <w:right w:val="nil"/>
            </w:tcBorders>
            <w:shd w:val="clear" w:color="000000" w:fill="FFFFFF"/>
            <w:vAlign w:val="bottom"/>
            <w:hideMark/>
          </w:tcPr>
          <w:p w14:paraId="5BEBE1F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0.88743</w:t>
            </w:r>
          </w:p>
        </w:tc>
        <w:tc>
          <w:tcPr>
            <w:tcW w:w="960" w:type="dxa"/>
            <w:tcBorders>
              <w:top w:val="single" w:sz="4" w:space="0" w:color="ADD6EA"/>
              <w:left w:val="nil"/>
              <w:bottom w:val="nil"/>
              <w:right w:val="nil"/>
            </w:tcBorders>
            <w:shd w:val="clear" w:color="000000" w:fill="FFFFFF"/>
            <w:vAlign w:val="bottom"/>
            <w:hideMark/>
          </w:tcPr>
          <w:p w14:paraId="03488BB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0.91347</w:t>
            </w:r>
          </w:p>
        </w:tc>
        <w:tc>
          <w:tcPr>
            <w:tcW w:w="960" w:type="dxa"/>
            <w:tcBorders>
              <w:top w:val="single" w:sz="4" w:space="0" w:color="ADD6EA"/>
              <w:left w:val="nil"/>
              <w:bottom w:val="nil"/>
              <w:right w:val="nil"/>
            </w:tcBorders>
            <w:shd w:val="clear" w:color="000000" w:fill="FFFFFF"/>
            <w:vAlign w:val="bottom"/>
            <w:hideMark/>
          </w:tcPr>
          <w:p w14:paraId="11257E52"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0.96196</w:t>
            </w:r>
          </w:p>
        </w:tc>
        <w:tc>
          <w:tcPr>
            <w:tcW w:w="960" w:type="dxa"/>
            <w:tcBorders>
              <w:top w:val="single" w:sz="4" w:space="0" w:color="ADD6EA"/>
              <w:left w:val="nil"/>
              <w:bottom w:val="nil"/>
              <w:right w:val="nil"/>
            </w:tcBorders>
            <w:shd w:val="clear" w:color="000000" w:fill="FFFFFF"/>
            <w:vAlign w:val="bottom"/>
            <w:hideMark/>
          </w:tcPr>
          <w:p w14:paraId="666BCD28"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0.85797</w:t>
            </w:r>
          </w:p>
        </w:tc>
        <w:tc>
          <w:tcPr>
            <w:tcW w:w="960" w:type="dxa"/>
            <w:tcBorders>
              <w:top w:val="single" w:sz="4" w:space="0" w:color="ADD6EA"/>
              <w:left w:val="nil"/>
              <w:bottom w:val="nil"/>
              <w:right w:val="nil"/>
            </w:tcBorders>
            <w:shd w:val="clear" w:color="000000" w:fill="FFFFFF"/>
            <w:vAlign w:val="bottom"/>
            <w:hideMark/>
          </w:tcPr>
          <w:p w14:paraId="50AA5F4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1.23192</w:t>
            </w:r>
          </w:p>
        </w:tc>
        <w:tc>
          <w:tcPr>
            <w:tcW w:w="960" w:type="dxa"/>
            <w:tcBorders>
              <w:top w:val="single" w:sz="4" w:space="0" w:color="ADD6EA"/>
              <w:left w:val="nil"/>
              <w:bottom w:val="nil"/>
              <w:right w:val="nil"/>
            </w:tcBorders>
            <w:shd w:val="clear" w:color="000000" w:fill="FFFFFF"/>
            <w:vAlign w:val="bottom"/>
            <w:hideMark/>
          </w:tcPr>
          <w:p w14:paraId="33172321"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1.66348</w:t>
            </w:r>
          </w:p>
        </w:tc>
        <w:tc>
          <w:tcPr>
            <w:tcW w:w="960" w:type="dxa"/>
            <w:tcBorders>
              <w:top w:val="single" w:sz="4" w:space="0" w:color="ADD6EA"/>
              <w:left w:val="nil"/>
              <w:bottom w:val="nil"/>
              <w:right w:val="nil"/>
            </w:tcBorders>
            <w:shd w:val="clear" w:color="000000" w:fill="FFFFFF"/>
            <w:vAlign w:val="bottom"/>
            <w:hideMark/>
          </w:tcPr>
          <w:p w14:paraId="19AB8321"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1.25603</w:t>
            </w:r>
          </w:p>
        </w:tc>
        <w:tc>
          <w:tcPr>
            <w:tcW w:w="960" w:type="dxa"/>
            <w:tcBorders>
              <w:top w:val="single" w:sz="4" w:space="0" w:color="ADD6EA"/>
              <w:left w:val="nil"/>
              <w:bottom w:val="nil"/>
              <w:right w:val="nil"/>
            </w:tcBorders>
            <w:shd w:val="clear" w:color="000000" w:fill="FFFFFF"/>
            <w:vAlign w:val="bottom"/>
            <w:hideMark/>
          </w:tcPr>
          <w:p w14:paraId="63D2502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5.25758</w:t>
            </w:r>
          </w:p>
        </w:tc>
      </w:tr>
      <w:tr w:rsidR="003E1CE8" w:rsidRPr="003E1CE8" w14:paraId="085D42A5"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26A9AA8E"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2009-10</w:t>
            </w:r>
          </w:p>
        </w:tc>
        <w:tc>
          <w:tcPr>
            <w:tcW w:w="960" w:type="dxa"/>
            <w:tcBorders>
              <w:top w:val="single" w:sz="4" w:space="0" w:color="ADD6EA"/>
              <w:left w:val="nil"/>
              <w:bottom w:val="nil"/>
              <w:right w:val="nil"/>
            </w:tcBorders>
            <w:shd w:val="clear" w:color="000000" w:fill="FFFFFF"/>
            <w:vAlign w:val="bottom"/>
            <w:hideMark/>
          </w:tcPr>
          <w:p w14:paraId="5600C740"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0.93186</w:t>
            </w:r>
          </w:p>
        </w:tc>
        <w:tc>
          <w:tcPr>
            <w:tcW w:w="960" w:type="dxa"/>
            <w:tcBorders>
              <w:top w:val="single" w:sz="4" w:space="0" w:color="ADD6EA"/>
              <w:left w:val="nil"/>
              <w:bottom w:val="nil"/>
              <w:right w:val="nil"/>
            </w:tcBorders>
            <w:shd w:val="clear" w:color="000000" w:fill="FFFFFF"/>
            <w:vAlign w:val="bottom"/>
            <w:hideMark/>
          </w:tcPr>
          <w:p w14:paraId="76E8CEE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0.91875</w:t>
            </w:r>
          </w:p>
        </w:tc>
        <w:tc>
          <w:tcPr>
            <w:tcW w:w="960" w:type="dxa"/>
            <w:tcBorders>
              <w:top w:val="single" w:sz="4" w:space="0" w:color="ADD6EA"/>
              <w:left w:val="nil"/>
              <w:bottom w:val="nil"/>
              <w:right w:val="nil"/>
            </w:tcBorders>
            <w:shd w:val="clear" w:color="000000" w:fill="FFFFFF"/>
            <w:vAlign w:val="bottom"/>
            <w:hideMark/>
          </w:tcPr>
          <w:p w14:paraId="5C560F91"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0.91556</w:t>
            </w:r>
          </w:p>
        </w:tc>
        <w:tc>
          <w:tcPr>
            <w:tcW w:w="960" w:type="dxa"/>
            <w:tcBorders>
              <w:top w:val="single" w:sz="4" w:space="0" w:color="ADD6EA"/>
              <w:left w:val="nil"/>
              <w:bottom w:val="nil"/>
              <w:right w:val="nil"/>
            </w:tcBorders>
            <w:shd w:val="clear" w:color="000000" w:fill="FFFFFF"/>
            <w:vAlign w:val="bottom"/>
            <w:hideMark/>
          </w:tcPr>
          <w:p w14:paraId="6CA00890"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0.78485</w:t>
            </w:r>
          </w:p>
        </w:tc>
        <w:tc>
          <w:tcPr>
            <w:tcW w:w="960" w:type="dxa"/>
            <w:tcBorders>
              <w:top w:val="single" w:sz="4" w:space="0" w:color="ADD6EA"/>
              <w:left w:val="nil"/>
              <w:bottom w:val="nil"/>
              <w:right w:val="nil"/>
            </w:tcBorders>
            <w:shd w:val="clear" w:color="000000" w:fill="FFFFFF"/>
            <w:vAlign w:val="bottom"/>
            <w:hideMark/>
          </w:tcPr>
          <w:p w14:paraId="527562D0"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1.24724</w:t>
            </w:r>
          </w:p>
        </w:tc>
        <w:tc>
          <w:tcPr>
            <w:tcW w:w="960" w:type="dxa"/>
            <w:tcBorders>
              <w:top w:val="single" w:sz="4" w:space="0" w:color="ADD6EA"/>
              <w:left w:val="nil"/>
              <w:bottom w:val="nil"/>
              <w:right w:val="nil"/>
            </w:tcBorders>
            <w:shd w:val="clear" w:color="000000" w:fill="FFFFFF"/>
            <w:vAlign w:val="bottom"/>
            <w:hideMark/>
          </w:tcPr>
          <w:p w14:paraId="7C5CB1F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1.62040</w:t>
            </w:r>
          </w:p>
        </w:tc>
        <w:tc>
          <w:tcPr>
            <w:tcW w:w="960" w:type="dxa"/>
            <w:tcBorders>
              <w:top w:val="single" w:sz="4" w:space="0" w:color="ADD6EA"/>
              <w:left w:val="nil"/>
              <w:bottom w:val="nil"/>
              <w:right w:val="nil"/>
            </w:tcBorders>
            <w:shd w:val="clear" w:color="000000" w:fill="FFFFFF"/>
            <w:vAlign w:val="bottom"/>
            <w:hideMark/>
          </w:tcPr>
          <w:p w14:paraId="0B24E40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1.27051</w:t>
            </w:r>
          </w:p>
        </w:tc>
        <w:tc>
          <w:tcPr>
            <w:tcW w:w="960" w:type="dxa"/>
            <w:tcBorders>
              <w:top w:val="single" w:sz="4" w:space="0" w:color="ADD6EA"/>
              <w:left w:val="nil"/>
              <w:bottom w:val="nil"/>
              <w:right w:val="nil"/>
            </w:tcBorders>
            <w:shd w:val="clear" w:color="000000" w:fill="FFFFFF"/>
            <w:vAlign w:val="bottom"/>
            <w:hideMark/>
          </w:tcPr>
          <w:p w14:paraId="214C54C8"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5.25073</w:t>
            </w:r>
          </w:p>
        </w:tc>
      </w:tr>
      <w:tr w:rsidR="003E1CE8" w:rsidRPr="003E1CE8" w14:paraId="74472F4C"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7CD25A14"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2010-11</w:t>
            </w:r>
          </w:p>
        </w:tc>
        <w:tc>
          <w:tcPr>
            <w:tcW w:w="960" w:type="dxa"/>
            <w:tcBorders>
              <w:top w:val="single" w:sz="4" w:space="0" w:color="ADD6EA"/>
              <w:left w:val="nil"/>
              <w:bottom w:val="nil"/>
              <w:right w:val="nil"/>
            </w:tcBorders>
            <w:shd w:val="clear" w:color="000000" w:fill="FFFFFF"/>
            <w:vAlign w:val="bottom"/>
            <w:hideMark/>
          </w:tcPr>
          <w:p w14:paraId="2CD69C90"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0.95205</w:t>
            </w:r>
          </w:p>
        </w:tc>
        <w:tc>
          <w:tcPr>
            <w:tcW w:w="960" w:type="dxa"/>
            <w:tcBorders>
              <w:top w:val="single" w:sz="4" w:space="0" w:color="ADD6EA"/>
              <w:left w:val="nil"/>
              <w:bottom w:val="nil"/>
              <w:right w:val="nil"/>
            </w:tcBorders>
            <w:shd w:val="clear" w:color="000000" w:fill="FFFFFF"/>
            <w:vAlign w:val="bottom"/>
            <w:hideMark/>
          </w:tcPr>
          <w:p w14:paraId="40411E59"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0.93995</w:t>
            </w:r>
          </w:p>
        </w:tc>
        <w:tc>
          <w:tcPr>
            <w:tcW w:w="960" w:type="dxa"/>
            <w:tcBorders>
              <w:top w:val="single" w:sz="4" w:space="0" w:color="ADD6EA"/>
              <w:left w:val="nil"/>
              <w:bottom w:val="nil"/>
              <w:right w:val="nil"/>
            </w:tcBorders>
            <w:shd w:val="clear" w:color="000000" w:fill="FFFFFF"/>
            <w:vAlign w:val="bottom"/>
            <w:hideMark/>
          </w:tcPr>
          <w:p w14:paraId="1D36149A"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0.91322</w:t>
            </w:r>
          </w:p>
        </w:tc>
        <w:tc>
          <w:tcPr>
            <w:tcW w:w="960" w:type="dxa"/>
            <w:tcBorders>
              <w:top w:val="single" w:sz="4" w:space="0" w:color="ADD6EA"/>
              <w:left w:val="nil"/>
              <w:bottom w:val="nil"/>
              <w:right w:val="nil"/>
            </w:tcBorders>
            <w:shd w:val="clear" w:color="000000" w:fill="FFFFFF"/>
            <w:vAlign w:val="bottom"/>
            <w:hideMark/>
          </w:tcPr>
          <w:p w14:paraId="3EC10A5F"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0.68298</w:t>
            </w:r>
          </w:p>
        </w:tc>
        <w:tc>
          <w:tcPr>
            <w:tcW w:w="960" w:type="dxa"/>
            <w:tcBorders>
              <w:top w:val="single" w:sz="4" w:space="0" w:color="ADD6EA"/>
              <w:left w:val="nil"/>
              <w:bottom w:val="nil"/>
              <w:right w:val="nil"/>
            </w:tcBorders>
            <w:shd w:val="clear" w:color="000000" w:fill="FFFFFF"/>
            <w:vAlign w:val="bottom"/>
            <w:hideMark/>
          </w:tcPr>
          <w:p w14:paraId="0EB7C1B8"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1.28497</w:t>
            </w:r>
          </w:p>
        </w:tc>
        <w:tc>
          <w:tcPr>
            <w:tcW w:w="960" w:type="dxa"/>
            <w:tcBorders>
              <w:top w:val="single" w:sz="4" w:space="0" w:color="ADD6EA"/>
              <w:left w:val="nil"/>
              <w:bottom w:val="nil"/>
              <w:right w:val="nil"/>
            </w:tcBorders>
            <w:shd w:val="clear" w:color="000000" w:fill="FFFFFF"/>
            <w:vAlign w:val="bottom"/>
            <w:hideMark/>
          </w:tcPr>
          <w:p w14:paraId="3A8F7634"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1.62091</w:t>
            </w:r>
          </w:p>
        </w:tc>
        <w:tc>
          <w:tcPr>
            <w:tcW w:w="960" w:type="dxa"/>
            <w:tcBorders>
              <w:top w:val="single" w:sz="4" w:space="0" w:color="ADD6EA"/>
              <w:left w:val="nil"/>
              <w:bottom w:val="nil"/>
              <w:right w:val="nil"/>
            </w:tcBorders>
            <w:shd w:val="clear" w:color="000000" w:fill="FFFFFF"/>
            <w:vAlign w:val="bottom"/>
            <w:hideMark/>
          </w:tcPr>
          <w:p w14:paraId="2CB671DF"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1.15295</w:t>
            </w:r>
          </w:p>
        </w:tc>
        <w:tc>
          <w:tcPr>
            <w:tcW w:w="960" w:type="dxa"/>
            <w:tcBorders>
              <w:top w:val="single" w:sz="4" w:space="0" w:color="ADD6EA"/>
              <w:left w:val="nil"/>
              <w:bottom w:val="nil"/>
              <w:right w:val="nil"/>
            </w:tcBorders>
            <w:shd w:val="clear" w:color="000000" w:fill="FFFFFF"/>
            <w:vAlign w:val="bottom"/>
            <w:hideMark/>
          </w:tcPr>
          <w:p w14:paraId="6E3B4EB4"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5.07383</w:t>
            </w:r>
          </w:p>
        </w:tc>
      </w:tr>
      <w:tr w:rsidR="003E1CE8" w:rsidRPr="003E1CE8" w14:paraId="002A078D"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69EE63A1"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2011-12</w:t>
            </w:r>
          </w:p>
        </w:tc>
        <w:tc>
          <w:tcPr>
            <w:tcW w:w="960" w:type="dxa"/>
            <w:tcBorders>
              <w:top w:val="single" w:sz="4" w:space="0" w:color="ADD6EA"/>
              <w:left w:val="nil"/>
              <w:bottom w:val="nil"/>
              <w:right w:val="nil"/>
            </w:tcBorders>
            <w:shd w:val="clear" w:color="000000" w:fill="FFFFFF"/>
            <w:vAlign w:val="bottom"/>
            <w:hideMark/>
          </w:tcPr>
          <w:p w14:paraId="7970FC6A"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0.95776</w:t>
            </w:r>
          </w:p>
        </w:tc>
        <w:tc>
          <w:tcPr>
            <w:tcW w:w="960" w:type="dxa"/>
            <w:tcBorders>
              <w:top w:val="single" w:sz="4" w:space="0" w:color="ADD6EA"/>
              <w:left w:val="nil"/>
              <w:bottom w:val="nil"/>
              <w:right w:val="nil"/>
            </w:tcBorders>
            <w:shd w:val="clear" w:color="000000" w:fill="FFFFFF"/>
            <w:vAlign w:val="bottom"/>
            <w:hideMark/>
          </w:tcPr>
          <w:p w14:paraId="7E90620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0.90476</w:t>
            </w:r>
          </w:p>
        </w:tc>
        <w:tc>
          <w:tcPr>
            <w:tcW w:w="960" w:type="dxa"/>
            <w:tcBorders>
              <w:top w:val="single" w:sz="4" w:space="0" w:color="ADD6EA"/>
              <w:left w:val="nil"/>
              <w:bottom w:val="nil"/>
              <w:right w:val="nil"/>
            </w:tcBorders>
            <w:shd w:val="clear" w:color="000000" w:fill="FFFFFF"/>
            <w:vAlign w:val="bottom"/>
            <w:hideMark/>
          </w:tcPr>
          <w:p w14:paraId="040E43C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0.92861</w:t>
            </w:r>
          </w:p>
        </w:tc>
        <w:tc>
          <w:tcPr>
            <w:tcW w:w="960" w:type="dxa"/>
            <w:tcBorders>
              <w:top w:val="single" w:sz="4" w:space="0" w:color="ADD6EA"/>
              <w:left w:val="nil"/>
              <w:bottom w:val="nil"/>
              <w:right w:val="nil"/>
            </w:tcBorders>
            <w:shd w:val="clear" w:color="000000" w:fill="FFFFFF"/>
            <w:vAlign w:val="bottom"/>
            <w:hideMark/>
          </w:tcPr>
          <w:p w14:paraId="324BB011"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0.71729</w:t>
            </w:r>
          </w:p>
        </w:tc>
        <w:tc>
          <w:tcPr>
            <w:tcW w:w="960" w:type="dxa"/>
            <w:tcBorders>
              <w:top w:val="single" w:sz="4" w:space="0" w:color="ADD6EA"/>
              <w:left w:val="nil"/>
              <w:bottom w:val="nil"/>
              <w:right w:val="nil"/>
            </w:tcBorders>
            <w:shd w:val="clear" w:color="000000" w:fill="FFFFFF"/>
            <w:vAlign w:val="bottom"/>
            <w:hideMark/>
          </w:tcPr>
          <w:p w14:paraId="1CAE568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1.27070</w:t>
            </w:r>
          </w:p>
        </w:tc>
        <w:tc>
          <w:tcPr>
            <w:tcW w:w="960" w:type="dxa"/>
            <w:tcBorders>
              <w:top w:val="single" w:sz="4" w:space="0" w:color="ADD6EA"/>
              <w:left w:val="nil"/>
              <w:bottom w:val="nil"/>
              <w:right w:val="nil"/>
            </w:tcBorders>
            <w:shd w:val="clear" w:color="000000" w:fill="FFFFFF"/>
            <w:vAlign w:val="bottom"/>
            <w:hideMark/>
          </w:tcPr>
          <w:p w14:paraId="673AC838"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1.59942</w:t>
            </w:r>
          </w:p>
        </w:tc>
        <w:tc>
          <w:tcPr>
            <w:tcW w:w="960" w:type="dxa"/>
            <w:tcBorders>
              <w:top w:val="single" w:sz="4" w:space="0" w:color="ADD6EA"/>
              <w:left w:val="nil"/>
              <w:bottom w:val="nil"/>
              <w:right w:val="nil"/>
            </w:tcBorders>
            <w:shd w:val="clear" w:color="000000" w:fill="FFFFFF"/>
            <w:vAlign w:val="bottom"/>
            <w:hideMark/>
          </w:tcPr>
          <w:p w14:paraId="551FEF40"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1.11647</w:t>
            </w:r>
          </w:p>
        </w:tc>
        <w:tc>
          <w:tcPr>
            <w:tcW w:w="960" w:type="dxa"/>
            <w:tcBorders>
              <w:top w:val="single" w:sz="4" w:space="0" w:color="ADD6EA"/>
              <w:left w:val="nil"/>
              <w:bottom w:val="nil"/>
              <w:right w:val="nil"/>
            </w:tcBorders>
            <w:shd w:val="clear" w:color="000000" w:fill="FFFFFF"/>
            <w:vAlign w:val="bottom"/>
            <w:hideMark/>
          </w:tcPr>
          <w:p w14:paraId="452A3B19"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5.35708</w:t>
            </w:r>
          </w:p>
        </w:tc>
      </w:tr>
      <w:tr w:rsidR="003E1CE8" w:rsidRPr="003E1CE8" w14:paraId="434682D7"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67705B0D"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2012-13</w:t>
            </w:r>
          </w:p>
        </w:tc>
        <w:tc>
          <w:tcPr>
            <w:tcW w:w="960" w:type="dxa"/>
            <w:tcBorders>
              <w:top w:val="single" w:sz="4" w:space="0" w:color="ADD6EA"/>
              <w:left w:val="nil"/>
              <w:bottom w:val="nil"/>
              <w:right w:val="nil"/>
            </w:tcBorders>
            <w:shd w:val="clear" w:color="000000" w:fill="FFFFFF"/>
            <w:vAlign w:val="bottom"/>
            <w:hideMark/>
          </w:tcPr>
          <w:p w14:paraId="5C61EFB8"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0.95312</w:t>
            </w:r>
          </w:p>
        </w:tc>
        <w:tc>
          <w:tcPr>
            <w:tcW w:w="960" w:type="dxa"/>
            <w:tcBorders>
              <w:top w:val="single" w:sz="4" w:space="0" w:color="ADD6EA"/>
              <w:left w:val="nil"/>
              <w:bottom w:val="nil"/>
              <w:right w:val="nil"/>
            </w:tcBorders>
            <w:shd w:val="clear" w:color="000000" w:fill="FFFFFF"/>
            <w:vAlign w:val="bottom"/>
            <w:hideMark/>
          </w:tcPr>
          <w:p w14:paraId="3436409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0.92106</w:t>
            </w:r>
          </w:p>
        </w:tc>
        <w:tc>
          <w:tcPr>
            <w:tcW w:w="960" w:type="dxa"/>
            <w:tcBorders>
              <w:top w:val="single" w:sz="4" w:space="0" w:color="ADD6EA"/>
              <w:left w:val="nil"/>
              <w:bottom w:val="nil"/>
              <w:right w:val="nil"/>
            </w:tcBorders>
            <w:shd w:val="clear" w:color="000000" w:fill="FFFFFF"/>
            <w:vAlign w:val="bottom"/>
            <w:hideMark/>
          </w:tcPr>
          <w:p w14:paraId="20586CB2"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0.98477</w:t>
            </w:r>
          </w:p>
        </w:tc>
        <w:tc>
          <w:tcPr>
            <w:tcW w:w="960" w:type="dxa"/>
            <w:tcBorders>
              <w:top w:val="single" w:sz="4" w:space="0" w:color="ADD6EA"/>
              <w:left w:val="nil"/>
              <w:bottom w:val="nil"/>
              <w:right w:val="nil"/>
            </w:tcBorders>
            <w:shd w:val="clear" w:color="000000" w:fill="FFFFFF"/>
            <w:vAlign w:val="bottom"/>
            <w:hideMark/>
          </w:tcPr>
          <w:p w14:paraId="7B4EB6F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0.55105</w:t>
            </w:r>
          </w:p>
        </w:tc>
        <w:tc>
          <w:tcPr>
            <w:tcW w:w="960" w:type="dxa"/>
            <w:tcBorders>
              <w:top w:val="single" w:sz="4" w:space="0" w:color="ADD6EA"/>
              <w:left w:val="nil"/>
              <w:bottom w:val="nil"/>
              <w:right w:val="nil"/>
            </w:tcBorders>
            <w:shd w:val="clear" w:color="000000" w:fill="FFFFFF"/>
            <w:vAlign w:val="bottom"/>
            <w:hideMark/>
          </w:tcPr>
          <w:p w14:paraId="15CDF474"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1.28472</w:t>
            </w:r>
          </w:p>
        </w:tc>
        <w:tc>
          <w:tcPr>
            <w:tcW w:w="960" w:type="dxa"/>
            <w:tcBorders>
              <w:top w:val="single" w:sz="4" w:space="0" w:color="ADD6EA"/>
              <w:left w:val="nil"/>
              <w:bottom w:val="nil"/>
              <w:right w:val="nil"/>
            </w:tcBorders>
            <w:shd w:val="clear" w:color="000000" w:fill="FFFFFF"/>
            <w:vAlign w:val="bottom"/>
            <w:hideMark/>
          </w:tcPr>
          <w:p w14:paraId="1927CE00"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1.58088</w:t>
            </w:r>
          </w:p>
        </w:tc>
        <w:tc>
          <w:tcPr>
            <w:tcW w:w="960" w:type="dxa"/>
            <w:tcBorders>
              <w:top w:val="single" w:sz="4" w:space="0" w:color="ADD6EA"/>
              <w:left w:val="nil"/>
              <w:bottom w:val="nil"/>
              <w:right w:val="nil"/>
            </w:tcBorders>
            <w:shd w:val="clear" w:color="000000" w:fill="FFFFFF"/>
            <w:vAlign w:val="bottom"/>
            <w:hideMark/>
          </w:tcPr>
          <w:p w14:paraId="271690E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1.19757</w:t>
            </w:r>
          </w:p>
        </w:tc>
        <w:tc>
          <w:tcPr>
            <w:tcW w:w="960" w:type="dxa"/>
            <w:tcBorders>
              <w:top w:val="single" w:sz="4" w:space="0" w:color="ADD6EA"/>
              <w:left w:val="nil"/>
              <w:bottom w:val="nil"/>
              <w:right w:val="nil"/>
            </w:tcBorders>
            <w:shd w:val="clear" w:color="000000" w:fill="FFFFFF"/>
            <w:vAlign w:val="bottom"/>
            <w:hideMark/>
          </w:tcPr>
          <w:p w14:paraId="27C17231"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5.52818</w:t>
            </w:r>
          </w:p>
        </w:tc>
      </w:tr>
      <w:tr w:rsidR="003E1CE8" w:rsidRPr="003E1CE8" w14:paraId="4994F164"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03163F10"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2013-14</w:t>
            </w:r>
          </w:p>
        </w:tc>
        <w:tc>
          <w:tcPr>
            <w:tcW w:w="960" w:type="dxa"/>
            <w:tcBorders>
              <w:top w:val="single" w:sz="4" w:space="0" w:color="ADD6EA"/>
              <w:left w:val="nil"/>
              <w:bottom w:val="nil"/>
              <w:right w:val="nil"/>
            </w:tcBorders>
            <w:shd w:val="clear" w:color="000000" w:fill="FFFFFF"/>
            <w:vAlign w:val="bottom"/>
            <w:hideMark/>
          </w:tcPr>
          <w:p w14:paraId="077DEAD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0.96576</w:t>
            </w:r>
          </w:p>
        </w:tc>
        <w:tc>
          <w:tcPr>
            <w:tcW w:w="960" w:type="dxa"/>
            <w:tcBorders>
              <w:top w:val="single" w:sz="4" w:space="0" w:color="ADD6EA"/>
              <w:left w:val="nil"/>
              <w:bottom w:val="nil"/>
              <w:right w:val="nil"/>
            </w:tcBorders>
            <w:shd w:val="clear" w:color="000000" w:fill="FFFFFF"/>
            <w:vAlign w:val="bottom"/>
            <w:hideMark/>
          </w:tcPr>
          <w:p w14:paraId="04A6B2B2"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0.90398</w:t>
            </w:r>
          </w:p>
        </w:tc>
        <w:tc>
          <w:tcPr>
            <w:tcW w:w="960" w:type="dxa"/>
            <w:tcBorders>
              <w:top w:val="single" w:sz="4" w:space="0" w:color="ADD6EA"/>
              <w:left w:val="nil"/>
              <w:bottom w:val="nil"/>
              <w:right w:val="nil"/>
            </w:tcBorders>
            <w:shd w:val="clear" w:color="000000" w:fill="FFFFFF"/>
            <w:vAlign w:val="bottom"/>
            <w:hideMark/>
          </w:tcPr>
          <w:p w14:paraId="0A21FB73"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1.05624</w:t>
            </w:r>
          </w:p>
        </w:tc>
        <w:tc>
          <w:tcPr>
            <w:tcW w:w="960" w:type="dxa"/>
            <w:tcBorders>
              <w:top w:val="single" w:sz="4" w:space="0" w:color="ADD6EA"/>
              <w:left w:val="nil"/>
              <w:bottom w:val="nil"/>
              <w:right w:val="nil"/>
            </w:tcBorders>
            <w:shd w:val="clear" w:color="000000" w:fill="FFFFFF"/>
            <w:vAlign w:val="bottom"/>
            <w:hideMark/>
          </w:tcPr>
          <w:p w14:paraId="54B8161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0.44581</w:t>
            </w:r>
          </w:p>
        </w:tc>
        <w:tc>
          <w:tcPr>
            <w:tcW w:w="960" w:type="dxa"/>
            <w:tcBorders>
              <w:top w:val="single" w:sz="4" w:space="0" w:color="ADD6EA"/>
              <w:left w:val="nil"/>
              <w:bottom w:val="nil"/>
              <w:right w:val="nil"/>
            </w:tcBorders>
            <w:shd w:val="clear" w:color="000000" w:fill="FFFFFF"/>
            <w:vAlign w:val="bottom"/>
            <w:hideMark/>
          </w:tcPr>
          <w:p w14:paraId="3535375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1.26167</w:t>
            </w:r>
          </w:p>
        </w:tc>
        <w:tc>
          <w:tcPr>
            <w:tcW w:w="960" w:type="dxa"/>
            <w:tcBorders>
              <w:top w:val="single" w:sz="4" w:space="0" w:color="ADD6EA"/>
              <w:left w:val="nil"/>
              <w:bottom w:val="nil"/>
              <w:right w:val="nil"/>
            </w:tcBorders>
            <w:shd w:val="clear" w:color="000000" w:fill="FFFFFF"/>
            <w:vAlign w:val="bottom"/>
            <w:hideMark/>
          </w:tcPr>
          <w:p w14:paraId="55989C82"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1.61454</w:t>
            </w:r>
          </w:p>
        </w:tc>
        <w:tc>
          <w:tcPr>
            <w:tcW w:w="960" w:type="dxa"/>
            <w:tcBorders>
              <w:top w:val="single" w:sz="4" w:space="0" w:color="ADD6EA"/>
              <w:left w:val="nil"/>
              <w:bottom w:val="nil"/>
              <w:right w:val="nil"/>
            </w:tcBorders>
            <w:shd w:val="clear" w:color="000000" w:fill="FFFFFF"/>
            <w:vAlign w:val="bottom"/>
            <w:hideMark/>
          </w:tcPr>
          <w:p w14:paraId="5AB8FEE4"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1.22083</w:t>
            </w:r>
          </w:p>
        </w:tc>
        <w:tc>
          <w:tcPr>
            <w:tcW w:w="960" w:type="dxa"/>
            <w:tcBorders>
              <w:top w:val="single" w:sz="4" w:space="0" w:color="ADD6EA"/>
              <w:left w:val="nil"/>
              <w:bottom w:val="nil"/>
              <w:right w:val="nil"/>
            </w:tcBorders>
            <w:shd w:val="clear" w:color="000000" w:fill="FFFFFF"/>
            <w:vAlign w:val="bottom"/>
            <w:hideMark/>
          </w:tcPr>
          <w:p w14:paraId="06175E9A"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5.31414</w:t>
            </w:r>
          </w:p>
        </w:tc>
      </w:tr>
      <w:tr w:rsidR="003E1CE8" w:rsidRPr="003E1CE8" w14:paraId="43DF3688"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71FD730D"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2014-15</w:t>
            </w:r>
          </w:p>
        </w:tc>
        <w:tc>
          <w:tcPr>
            <w:tcW w:w="960" w:type="dxa"/>
            <w:tcBorders>
              <w:top w:val="single" w:sz="4" w:space="0" w:color="ADD6EA"/>
              <w:left w:val="nil"/>
              <w:bottom w:val="nil"/>
              <w:right w:val="nil"/>
            </w:tcBorders>
            <w:shd w:val="clear" w:color="000000" w:fill="FFFFFF"/>
            <w:vAlign w:val="bottom"/>
            <w:hideMark/>
          </w:tcPr>
          <w:p w14:paraId="23339EE1"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0.97500</w:t>
            </w:r>
          </w:p>
        </w:tc>
        <w:tc>
          <w:tcPr>
            <w:tcW w:w="960" w:type="dxa"/>
            <w:tcBorders>
              <w:top w:val="single" w:sz="4" w:space="0" w:color="ADD6EA"/>
              <w:left w:val="nil"/>
              <w:bottom w:val="nil"/>
              <w:right w:val="nil"/>
            </w:tcBorders>
            <w:shd w:val="clear" w:color="000000" w:fill="FFFFFF"/>
            <w:vAlign w:val="bottom"/>
            <w:hideMark/>
          </w:tcPr>
          <w:p w14:paraId="0E62D99C"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0.88282</w:t>
            </w:r>
          </w:p>
        </w:tc>
        <w:tc>
          <w:tcPr>
            <w:tcW w:w="960" w:type="dxa"/>
            <w:tcBorders>
              <w:top w:val="single" w:sz="4" w:space="0" w:color="ADD6EA"/>
              <w:left w:val="nil"/>
              <w:bottom w:val="nil"/>
              <w:right w:val="nil"/>
            </w:tcBorders>
            <w:shd w:val="clear" w:color="000000" w:fill="FFFFFF"/>
            <w:vAlign w:val="bottom"/>
            <w:hideMark/>
          </w:tcPr>
          <w:p w14:paraId="0142EE2C"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1.07876</w:t>
            </w:r>
          </w:p>
        </w:tc>
        <w:tc>
          <w:tcPr>
            <w:tcW w:w="960" w:type="dxa"/>
            <w:tcBorders>
              <w:top w:val="single" w:sz="4" w:space="0" w:color="ADD6EA"/>
              <w:left w:val="nil"/>
              <w:bottom w:val="nil"/>
              <w:right w:val="nil"/>
            </w:tcBorders>
            <w:shd w:val="clear" w:color="000000" w:fill="FFFFFF"/>
            <w:vAlign w:val="bottom"/>
            <w:hideMark/>
          </w:tcPr>
          <w:p w14:paraId="7FB7BFCF"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0.37627</w:t>
            </w:r>
          </w:p>
        </w:tc>
        <w:tc>
          <w:tcPr>
            <w:tcW w:w="960" w:type="dxa"/>
            <w:tcBorders>
              <w:top w:val="single" w:sz="4" w:space="0" w:color="ADD6EA"/>
              <w:left w:val="nil"/>
              <w:bottom w:val="nil"/>
              <w:right w:val="nil"/>
            </w:tcBorders>
            <w:shd w:val="clear" w:color="000000" w:fill="FFFFFF"/>
            <w:vAlign w:val="bottom"/>
            <w:hideMark/>
          </w:tcPr>
          <w:p w14:paraId="47466063"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1.28803</w:t>
            </w:r>
          </w:p>
        </w:tc>
        <w:tc>
          <w:tcPr>
            <w:tcW w:w="960" w:type="dxa"/>
            <w:tcBorders>
              <w:top w:val="single" w:sz="4" w:space="0" w:color="ADD6EA"/>
              <w:left w:val="nil"/>
              <w:bottom w:val="nil"/>
              <w:right w:val="nil"/>
            </w:tcBorders>
            <w:shd w:val="clear" w:color="000000" w:fill="FFFFFF"/>
            <w:vAlign w:val="bottom"/>
            <w:hideMark/>
          </w:tcPr>
          <w:p w14:paraId="71EC8277"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1.63485</w:t>
            </w:r>
          </w:p>
        </w:tc>
        <w:tc>
          <w:tcPr>
            <w:tcW w:w="960" w:type="dxa"/>
            <w:tcBorders>
              <w:top w:val="single" w:sz="4" w:space="0" w:color="ADD6EA"/>
              <w:left w:val="nil"/>
              <w:bottom w:val="nil"/>
              <w:right w:val="nil"/>
            </w:tcBorders>
            <w:shd w:val="clear" w:color="000000" w:fill="FFFFFF"/>
            <w:vAlign w:val="bottom"/>
            <w:hideMark/>
          </w:tcPr>
          <w:p w14:paraId="1955FA88"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1.23600</w:t>
            </w:r>
          </w:p>
        </w:tc>
        <w:tc>
          <w:tcPr>
            <w:tcW w:w="960" w:type="dxa"/>
            <w:tcBorders>
              <w:top w:val="single" w:sz="4" w:space="0" w:color="ADD6EA"/>
              <w:left w:val="nil"/>
              <w:bottom w:val="nil"/>
              <w:right w:val="nil"/>
            </w:tcBorders>
            <w:shd w:val="clear" w:color="000000" w:fill="FFFFFF"/>
            <w:vAlign w:val="bottom"/>
            <w:hideMark/>
          </w:tcPr>
          <w:p w14:paraId="1278EB1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5.66061</w:t>
            </w:r>
          </w:p>
        </w:tc>
      </w:tr>
      <w:tr w:rsidR="003E1CE8" w:rsidRPr="003E1CE8" w14:paraId="7B44A1C7"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653BD832"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2015-16</w:t>
            </w:r>
          </w:p>
        </w:tc>
        <w:tc>
          <w:tcPr>
            <w:tcW w:w="960" w:type="dxa"/>
            <w:tcBorders>
              <w:top w:val="single" w:sz="4" w:space="0" w:color="ADD6EA"/>
              <w:left w:val="nil"/>
              <w:bottom w:val="nil"/>
              <w:right w:val="nil"/>
            </w:tcBorders>
            <w:shd w:val="clear" w:color="000000" w:fill="FFFFFF"/>
            <w:vAlign w:val="bottom"/>
            <w:hideMark/>
          </w:tcPr>
          <w:p w14:paraId="43E1D95F"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0.94737</w:t>
            </w:r>
          </w:p>
        </w:tc>
        <w:tc>
          <w:tcPr>
            <w:tcW w:w="960" w:type="dxa"/>
            <w:tcBorders>
              <w:top w:val="single" w:sz="4" w:space="0" w:color="ADD6EA"/>
              <w:left w:val="nil"/>
              <w:bottom w:val="nil"/>
              <w:right w:val="nil"/>
            </w:tcBorders>
            <w:shd w:val="clear" w:color="000000" w:fill="FFFFFF"/>
            <w:vAlign w:val="bottom"/>
            <w:hideMark/>
          </w:tcPr>
          <w:p w14:paraId="4A5CD7D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0.89254</w:t>
            </w:r>
          </w:p>
        </w:tc>
        <w:tc>
          <w:tcPr>
            <w:tcW w:w="960" w:type="dxa"/>
            <w:tcBorders>
              <w:top w:val="single" w:sz="4" w:space="0" w:color="ADD6EA"/>
              <w:left w:val="nil"/>
              <w:bottom w:val="nil"/>
              <w:right w:val="nil"/>
            </w:tcBorders>
            <w:shd w:val="clear" w:color="000000" w:fill="FFFFFF"/>
            <w:vAlign w:val="bottom"/>
            <w:hideMark/>
          </w:tcPr>
          <w:p w14:paraId="66D24EF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1.12753</w:t>
            </w:r>
          </w:p>
        </w:tc>
        <w:tc>
          <w:tcPr>
            <w:tcW w:w="960" w:type="dxa"/>
            <w:tcBorders>
              <w:top w:val="single" w:sz="4" w:space="0" w:color="ADD6EA"/>
              <w:left w:val="nil"/>
              <w:bottom w:val="nil"/>
              <w:right w:val="nil"/>
            </w:tcBorders>
            <w:shd w:val="clear" w:color="000000" w:fill="FFFFFF"/>
            <w:vAlign w:val="bottom"/>
            <w:hideMark/>
          </w:tcPr>
          <w:p w14:paraId="2D2D3CF8"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0.29999</w:t>
            </w:r>
          </w:p>
        </w:tc>
        <w:tc>
          <w:tcPr>
            <w:tcW w:w="960" w:type="dxa"/>
            <w:tcBorders>
              <w:top w:val="single" w:sz="4" w:space="0" w:color="ADD6EA"/>
              <w:left w:val="nil"/>
              <w:bottom w:val="nil"/>
              <w:right w:val="nil"/>
            </w:tcBorders>
            <w:shd w:val="clear" w:color="000000" w:fill="FFFFFF"/>
            <w:vAlign w:val="bottom"/>
            <w:hideMark/>
          </w:tcPr>
          <w:p w14:paraId="3B88AFA4"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1.35883</w:t>
            </w:r>
          </w:p>
        </w:tc>
        <w:tc>
          <w:tcPr>
            <w:tcW w:w="960" w:type="dxa"/>
            <w:tcBorders>
              <w:top w:val="single" w:sz="4" w:space="0" w:color="ADD6EA"/>
              <w:left w:val="nil"/>
              <w:bottom w:val="nil"/>
              <w:right w:val="nil"/>
            </w:tcBorders>
            <w:shd w:val="clear" w:color="000000" w:fill="FFFFFF"/>
            <w:vAlign w:val="bottom"/>
            <w:hideMark/>
          </w:tcPr>
          <w:p w14:paraId="05C6ED3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1.81906</w:t>
            </w:r>
          </w:p>
        </w:tc>
        <w:tc>
          <w:tcPr>
            <w:tcW w:w="960" w:type="dxa"/>
            <w:tcBorders>
              <w:top w:val="single" w:sz="4" w:space="0" w:color="ADD6EA"/>
              <w:left w:val="nil"/>
              <w:bottom w:val="nil"/>
              <w:right w:val="nil"/>
            </w:tcBorders>
            <w:shd w:val="clear" w:color="000000" w:fill="FFFFFF"/>
            <w:vAlign w:val="bottom"/>
            <w:hideMark/>
          </w:tcPr>
          <w:p w14:paraId="3B87FBA7"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1.10012</w:t>
            </w:r>
          </w:p>
        </w:tc>
        <w:tc>
          <w:tcPr>
            <w:tcW w:w="960" w:type="dxa"/>
            <w:tcBorders>
              <w:top w:val="single" w:sz="4" w:space="0" w:color="ADD6EA"/>
              <w:left w:val="nil"/>
              <w:bottom w:val="nil"/>
              <w:right w:val="nil"/>
            </w:tcBorders>
            <w:shd w:val="clear" w:color="000000" w:fill="FFFFFF"/>
            <w:vAlign w:val="bottom"/>
            <w:hideMark/>
          </w:tcPr>
          <w:p w14:paraId="6ACDFBE0"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5.57053</w:t>
            </w:r>
          </w:p>
        </w:tc>
      </w:tr>
      <w:tr w:rsidR="003E1CE8" w:rsidRPr="003E1CE8" w14:paraId="57FF7777"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12FF5498"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2016-17</w:t>
            </w:r>
          </w:p>
        </w:tc>
        <w:tc>
          <w:tcPr>
            <w:tcW w:w="960" w:type="dxa"/>
            <w:tcBorders>
              <w:top w:val="single" w:sz="4" w:space="0" w:color="ADD6EA"/>
              <w:left w:val="nil"/>
              <w:bottom w:val="nil"/>
              <w:right w:val="nil"/>
            </w:tcBorders>
            <w:shd w:val="clear" w:color="000000" w:fill="FFFFFF"/>
            <w:vAlign w:val="bottom"/>
            <w:hideMark/>
          </w:tcPr>
          <w:p w14:paraId="685D041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0.90464</w:t>
            </w:r>
          </w:p>
        </w:tc>
        <w:tc>
          <w:tcPr>
            <w:tcW w:w="960" w:type="dxa"/>
            <w:tcBorders>
              <w:top w:val="single" w:sz="4" w:space="0" w:color="ADD6EA"/>
              <w:left w:val="nil"/>
              <w:bottom w:val="nil"/>
              <w:right w:val="nil"/>
            </w:tcBorders>
            <w:shd w:val="clear" w:color="000000" w:fill="FFFFFF"/>
            <w:vAlign w:val="bottom"/>
            <w:hideMark/>
          </w:tcPr>
          <w:p w14:paraId="5372BB0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0.90967</w:t>
            </w:r>
          </w:p>
        </w:tc>
        <w:tc>
          <w:tcPr>
            <w:tcW w:w="960" w:type="dxa"/>
            <w:tcBorders>
              <w:top w:val="single" w:sz="4" w:space="0" w:color="ADD6EA"/>
              <w:left w:val="nil"/>
              <w:bottom w:val="nil"/>
              <w:right w:val="nil"/>
            </w:tcBorders>
            <w:shd w:val="clear" w:color="000000" w:fill="FFFFFF"/>
            <w:vAlign w:val="bottom"/>
            <w:hideMark/>
          </w:tcPr>
          <w:p w14:paraId="737DB8C2"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1.17109</w:t>
            </w:r>
          </w:p>
        </w:tc>
        <w:tc>
          <w:tcPr>
            <w:tcW w:w="960" w:type="dxa"/>
            <w:tcBorders>
              <w:top w:val="single" w:sz="4" w:space="0" w:color="ADD6EA"/>
              <w:left w:val="nil"/>
              <w:bottom w:val="nil"/>
              <w:right w:val="nil"/>
            </w:tcBorders>
            <w:shd w:val="clear" w:color="000000" w:fill="FFFFFF"/>
            <w:vAlign w:val="bottom"/>
            <w:hideMark/>
          </w:tcPr>
          <w:p w14:paraId="3925D3A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0.30330</w:t>
            </w:r>
          </w:p>
        </w:tc>
        <w:tc>
          <w:tcPr>
            <w:tcW w:w="960" w:type="dxa"/>
            <w:tcBorders>
              <w:top w:val="single" w:sz="4" w:space="0" w:color="ADD6EA"/>
              <w:left w:val="nil"/>
              <w:bottom w:val="nil"/>
              <w:right w:val="nil"/>
            </w:tcBorders>
            <w:shd w:val="clear" w:color="000000" w:fill="FFFFFF"/>
            <w:vAlign w:val="bottom"/>
            <w:hideMark/>
          </w:tcPr>
          <w:p w14:paraId="7B366E9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1.41695</w:t>
            </w:r>
          </w:p>
        </w:tc>
        <w:tc>
          <w:tcPr>
            <w:tcW w:w="960" w:type="dxa"/>
            <w:tcBorders>
              <w:top w:val="single" w:sz="4" w:space="0" w:color="ADD6EA"/>
              <w:left w:val="nil"/>
              <w:bottom w:val="nil"/>
              <w:right w:val="nil"/>
            </w:tcBorders>
            <w:shd w:val="clear" w:color="000000" w:fill="FFFFFF"/>
            <w:vAlign w:val="bottom"/>
            <w:hideMark/>
          </w:tcPr>
          <w:p w14:paraId="723D490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1.77693</w:t>
            </w:r>
          </w:p>
        </w:tc>
        <w:tc>
          <w:tcPr>
            <w:tcW w:w="960" w:type="dxa"/>
            <w:tcBorders>
              <w:top w:val="single" w:sz="4" w:space="0" w:color="ADD6EA"/>
              <w:left w:val="nil"/>
              <w:bottom w:val="nil"/>
              <w:right w:val="nil"/>
            </w:tcBorders>
            <w:shd w:val="clear" w:color="000000" w:fill="FFFFFF"/>
            <w:vAlign w:val="bottom"/>
            <w:hideMark/>
          </w:tcPr>
          <w:p w14:paraId="342892E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1.15648</w:t>
            </w:r>
          </w:p>
        </w:tc>
        <w:tc>
          <w:tcPr>
            <w:tcW w:w="960" w:type="dxa"/>
            <w:tcBorders>
              <w:top w:val="single" w:sz="4" w:space="0" w:color="ADD6EA"/>
              <w:left w:val="nil"/>
              <w:bottom w:val="nil"/>
              <w:right w:val="nil"/>
            </w:tcBorders>
            <w:shd w:val="clear" w:color="000000" w:fill="FFFFFF"/>
            <w:vAlign w:val="bottom"/>
            <w:hideMark/>
          </w:tcPr>
          <w:p w14:paraId="1398624A"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5.28450</w:t>
            </w:r>
          </w:p>
        </w:tc>
      </w:tr>
      <w:tr w:rsidR="003E1CE8" w:rsidRPr="003E1CE8" w14:paraId="4281314B"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7E96EE1D"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2017-18</w:t>
            </w:r>
          </w:p>
        </w:tc>
        <w:tc>
          <w:tcPr>
            <w:tcW w:w="960" w:type="dxa"/>
            <w:tcBorders>
              <w:top w:val="single" w:sz="4" w:space="0" w:color="ADD6EA"/>
              <w:left w:val="nil"/>
              <w:bottom w:val="nil"/>
              <w:right w:val="nil"/>
            </w:tcBorders>
            <w:shd w:val="clear" w:color="000000" w:fill="FFFFFF"/>
            <w:vAlign w:val="bottom"/>
            <w:hideMark/>
          </w:tcPr>
          <w:p w14:paraId="7F39BF39"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0.87672</w:t>
            </w:r>
          </w:p>
        </w:tc>
        <w:tc>
          <w:tcPr>
            <w:tcW w:w="960" w:type="dxa"/>
            <w:tcBorders>
              <w:top w:val="single" w:sz="4" w:space="0" w:color="ADD6EA"/>
              <w:left w:val="nil"/>
              <w:bottom w:val="nil"/>
              <w:right w:val="nil"/>
            </w:tcBorders>
            <w:shd w:val="clear" w:color="000000" w:fill="FFFFFF"/>
            <w:vAlign w:val="bottom"/>
            <w:hideMark/>
          </w:tcPr>
          <w:p w14:paraId="6569F51A"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0.93239</w:t>
            </w:r>
          </w:p>
        </w:tc>
        <w:tc>
          <w:tcPr>
            <w:tcW w:w="960" w:type="dxa"/>
            <w:tcBorders>
              <w:top w:val="single" w:sz="4" w:space="0" w:color="ADD6EA"/>
              <w:left w:val="nil"/>
              <w:bottom w:val="nil"/>
              <w:right w:val="nil"/>
            </w:tcBorders>
            <w:shd w:val="clear" w:color="000000" w:fill="FFFFFF"/>
            <w:vAlign w:val="bottom"/>
            <w:hideMark/>
          </w:tcPr>
          <w:p w14:paraId="2CECC8FA"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1.18769</w:t>
            </w:r>
          </w:p>
        </w:tc>
        <w:tc>
          <w:tcPr>
            <w:tcW w:w="960" w:type="dxa"/>
            <w:tcBorders>
              <w:top w:val="single" w:sz="4" w:space="0" w:color="ADD6EA"/>
              <w:left w:val="nil"/>
              <w:bottom w:val="nil"/>
              <w:right w:val="nil"/>
            </w:tcBorders>
            <w:shd w:val="clear" w:color="000000" w:fill="FFFFFF"/>
            <w:vAlign w:val="bottom"/>
            <w:hideMark/>
          </w:tcPr>
          <w:p w14:paraId="12E6F331"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0.34434</w:t>
            </w:r>
          </w:p>
        </w:tc>
        <w:tc>
          <w:tcPr>
            <w:tcW w:w="960" w:type="dxa"/>
            <w:tcBorders>
              <w:top w:val="single" w:sz="4" w:space="0" w:color="ADD6EA"/>
              <w:left w:val="nil"/>
              <w:bottom w:val="nil"/>
              <w:right w:val="nil"/>
            </w:tcBorders>
            <w:shd w:val="clear" w:color="000000" w:fill="FFFFFF"/>
            <w:vAlign w:val="bottom"/>
            <w:hideMark/>
          </w:tcPr>
          <w:p w14:paraId="410C6682"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1.43997</w:t>
            </w:r>
          </w:p>
        </w:tc>
        <w:tc>
          <w:tcPr>
            <w:tcW w:w="960" w:type="dxa"/>
            <w:tcBorders>
              <w:top w:val="single" w:sz="4" w:space="0" w:color="ADD6EA"/>
              <w:left w:val="nil"/>
              <w:bottom w:val="nil"/>
              <w:right w:val="nil"/>
            </w:tcBorders>
            <w:shd w:val="clear" w:color="000000" w:fill="FFFFFF"/>
            <w:vAlign w:val="bottom"/>
            <w:hideMark/>
          </w:tcPr>
          <w:p w14:paraId="13C55C8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1.80477</w:t>
            </w:r>
          </w:p>
        </w:tc>
        <w:tc>
          <w:tcPr>
            <w:tcW w:w="960" w:type="dxa"/>
            <w:tcBorders>
              <w:top w:val="single" w:sz="4" w:space="0" w:color="ADD6EA"/>
              <w:left w:val="nil"/>
              <w:bottom w:val="nil"/>
              <w:right w:val="nil"/>
            </w:tcBorders>
            <w:shd w:val="clear" w:color="000000" w:fill="FFFFFF"/>
            <w:vAlign w:val="bottom"/>
            <w:hideMark/>
          </w:tcPr>
          <w:p w14:paraId="157C401A"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1.19496</w:t>
            </w:r>
          </w:p>
        </w:tc>
        <w:tc>
          <w:tcPr>
            <w:tcW w:w="960" w:type="dxa"/>
            <w:tcBorders>
              <w:top w:val="single" w:sz="4" w:space="0" w:color="ADD6EA"/>
              <w:left w:val="nil"/>
              <w:bottom w:val="nil"/>
              <w:right w:val="nil"/>
            </w:tcBorders>
            <w:shd w:val="clear" w:color="000000" w:fill="FFFFFF"/>
            <w:vAlign w:val="bottom"/>
            <w:hideMark/>
          </w:tcPr>
          <w:p w14:paraId="5AB3E5BC"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4.66024</w:t>
            </w:r>
          </w:p>
        </w:tc>
      </w:tr>
      <w:tr w:rsidR="003E1CE8" w:rsidRPr="003E1CE8" w14:paraId="662BC6A1"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714CD579"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2018-19</w:t>
            </w:r>
          </w:p>
        </w:tc>
        <w:tc>
          <w:tcPr>
            <w:tcW w:w="960" w:type="dxa"/>
            <w:tcBorders>
              <w:top w:val="single" w:sz="4" w:space="0" w:color="ADD6EA"/>
              <w:left w:val="nil"/>
              <w:bottom w:val="nil"/>
              <w:right w:val="nil"/>
            </w:tcBorders>
            <w:shd w:val="clear" w:color="000000" w:fill="FFFFFF"/>
            <w:vAlign w:val="bottom"/>
            <w:hideMark/>
          </w:tcPr>
          <w:p w14:paraId="2BA66AE2"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0.85517</w:t>
            </w:r>
          </w:p>
        </w:tc>
        <w:tc>
          <w:tcPr>
            <w:tcW w:w="960" w:type="dxa"/>
            <w:tcBorders>
              <w:top w:val="single" w:sz="4" w:space="0" w:color="ADD6EA"/>
              <w:left w:val="nil"/>
              <w:bottom w:val="nil"/>
              <w:right w:val="nil"/>
            </w:tcBorders>
            <w:shd w:val="clear" w:color="000000" w:fill="FFFFFF"/>
            <w:vAlign w:val="bottom"/>
            <w:hideMark/>
          </w:tcPr>
          <w:p w14:paraId="2A5F378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0.98670</w:t>
            </w:r>
          </w:p>
        </w:tc>
        <w:tc>
          <w:tcPr>
            <w:tcW w:w="960" w:type="dxa"/>
            <w:tcBorders>
              <w:top w:val="single" w:sz="4" w:space="0" w:color="ADD6EA"/>
              <w:left w:val="nil"/>
              <w:bottom w:val="nil"/>
              <w:right w:val="nil"/>
            </w:tcBorders>
            <w:shd w:val="clear" w:color="000000" w:fill="FFFFFF"/>
            <w:vAlign w:val="bottom"/>
            <w:hideMark/>
          </w:tcPr>
          <w:p w14:paraId="21E2A85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1.09584</w:t>
            </w:r>
          </w:p>
        </w:tc>
        <w:tc>
          <w:tcPr>
            <w:tcW w:w="960" w:type="dxa"/>
            <w:tcBorders>
              <w:top w:val="single" w:sz="4" w:space="0" w:color="ADD6EA"/>
              <w:left w:val="nil"/>
              <w:bottom w:val="nil"/>
              <w:right w:val="nil"/>
            </w:tcBorders>
            <w:shd w:val="clear" w:color="000000" w:fill="FFFFFF"/>
            <w:vAlign w:val="bottom"/>
            <w:hideMark/>
          </w:tcPr>
          <w:p w14:paraId="0F61BB99"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0.47287</w:t>
            </w:r>
          </w:p>
        </w:tc>
        <w:tc>
          <w:tcPr>
            <w:tcW w:w="960" w:type="dxa"/>
            <w:tcBorders>
              <w:top w:val="single" w:sz="4" w:space="0" w:color="ADD6EA"/>
              <w:left w:val="nil"/>
              <w:bottom w:val="nil"/>
              <w:right w:val="nil"/>
            </w:tcBorders>
            <w:shd w:val="clear" w:color="000000" w:fill="FFFFFF"/>
            <w:vAlign w:val="bottom"/>
            <w:hideMark/>
          </w:tcPr>
          <w:p w14:paraId="33669ED2"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1.47727</w:t>
            </w:r>
          </w:p>
        </w:tc>
        <w:tc>
          <w:tcPr>
            <w:tcW w:w="960" w:type="dxa"/>
            <w:tcBorders>
              <w:top w:val="single" w:sz="4" w:space="0" w:color="ADD6EA"/>
              <w:left w:val="nil"/>
              <w:bottom w:val="nil"/>
              <w:right w:val="nil"/>
            </w:tcBorders>
            <w:shd w:val="clear" w:color="000000" w:fill="FFFFFF"/>
            <w:vAlign w:val="bottom"/>
            <w:hideMark/>
          </w:tcPr>
          <w:p w14:paraId="02E7A7A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1.76706</w:t>
            </w:r>
          </w:p>
        </w:tc>
        <w:tc>
          <w:tcPr>
            <w:tcW w:w="960" w:type="dxa"/>
            <w:tcBorders>
              <w:top w:val="single" w:sz="4" w:space="0" w:color="ADD6EA"/>
              <w:left w:val="nil"/>
              <w:bottom w:val="nil"/>
              <w:right w:val="nil"/>
            </w:tcBorders>
            <w:shd w:val="clear" w:color="000000" w:fill="FFFFFF"/>
            <w:vAlign w:val="bottom"/>
            <w:hideMark/>
          </w:tcPr>
          <w:p w14:paraId="0C17381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1.18070</w:t>
            </w:r>
          </w:p>
        </w:tc>
        <w:tc>
          <w:tcPr>
            <w:tcW w:w="960" w:type="dxa"/>
            <w:tcBorders>
              <w:top w:val="single" w:sz="4" w:space="0" w:color="ADD6EA"/>
              <w:left w:val="nil"/>
              <w:bottom w:val="nil"/>
              <w:right w:val="nil"/>
            </w:tcBorders>
            <w:shd w:val="clear" w:color="000000" w:fill="FFFFFF"/>
            <w:vAlign w:val="bottom"/>
            <w:hideMark/>
          </w:tcPr>
          <w:p w14:paraId="71D07BD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4.25816</w:t>
            </w:r>
          </w:p>
        </w:tc>
      </w:tr>
      <w:tr w:rsidR="003E1CE8" w:rsidRPr="003E1CE8" w14:paraId="1F2C854F"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386FEFD2"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2019-20</w:t>
            </w:r>
          </w:p>
        </w:tc>
        <w:tc>
          <w:tcPr>
            <w:tcW w:w="960" w:type="dxa"/>
            <w:tcBorders>
              <w:top w:val="single" w:sz="4" w:space="0" w:color="ADD6EA"/>
              <w:left w:val="nil"/>
              <w:bottom w:val="nil"/>
              <w:right w:val="nil"/>
            </w:tcBorders>
            <w:shd w:val="clear" w:color="000000" w:fill="FFFFFF"/>
            <w:vAlign w:val="bottom"/>
            <w:hideMark/>
          </w:tcPr>
          <w:p w14:paraId="39502341"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0.87013</w:t>
            </w:r>
          </w:p>
        </w:tc>
        <w:tc>
          <w:tcPr>
            <w:tcW w:w="960" w:type="dxa"/>
            <w:tcBorders>
              <w:top w:val="single" w:sz="4" w:space="0" w:color="ADD6EA"/>
              <w:left w:val="nil"/>
              <w:bottom w:val="nil"/>
              <w:right w:val="nil"/>
            </w:tcBorders>
            <w:shd w:val="clear" w:color="000000" w:fill="FFFFFF"/>
            <w:vAlign w:val="bottom"/>
            <w:hideMark/>
          </w:tcPr>
          <w:p w14:paraId="526557E4"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0.98273</w:t>
            </w:r>
          </w:p>
        </w:tc>
        <w:tc>
          <w:tcPr>
            <w:tcW w:w="960" w:type="dxa"/>
            <w:tcBorders>
              <w:top w:val="single" w:sz="4" w:space="0" w:color="ADD6EA"/>
              <w:left w:val="nil"/>
              <w:bottom w:val="nil"/>
              <w:right w:val="nil"/>
            </w:tcBorders>
            <w:shd w:val="clear" w:color="000000" w:fill="FFFFFF"/>
            <w:vAlign w:val="bottom"/>
            <w:hideMark/>
          </w:tcPr>
          <w:p w14:paraId="14E9B98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1.05370</w:t>
            </w:r>
          </w:p>
        </w:tc>
        <w:tc>
          <w:tcPr>
            <w:tcW w:w="960" w:type="dxa"/>
            <w:tcBorders>
              <w:top w:val="single" w:sz="4" w:space="0" w:color="ADD6EA"/>
              <w:left w:val="nil"/>
              <w:bottom w:val="nil"/>
              <w:right w:val="nil"/>
            </w:tcBorders>
            <w:shd w:val="clear" w:color="000000" w:fill="FFFFFF"/>
            <w:vAlign w:val="bottom"/>
            <w:hideMark/>
          </w:tcPr>
          <w:p w14:paraId="657EE82C"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0.51842</w:t>
            </w:r>
          </w:p>
        </w:tc>
        <w:tc>
          <w:tcPr>
            <w:tcW w:w="960" w:type="dxa"/>
            <w:tcBorders>
              <w:top w:val="single" w:sz="4" w:space="0" w:color="ADD6EA"/>
              <w:left w:val="nil"/>
              <w:bottom w:val="nil"/>
              <w:right w:val="nil"/>
            </w:tcBorders>
            <w:shd w:val="clear" w:color="000000" w:fill="FFFFFF"/>
            <w:vAlign w:val="bottom"/>
            <w:hideMark/>
          </w:tcPr>
          <w:p w14:paraId="509DDD6A"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1.46552</w:t>
            </w:r>
          </w:p>
        </w:tc>
        <w:tc>
          <w:tcPr>
            <w:tcW w:w="960" w:type="dxa"/>
            <w:tcBorders>
              <w:top w:val="single" w:sz="4" w:space="0" w:color="ADD6EA"/>
              <w:left w:val="nil"/>
              <w:bottom w:val="nil"/>
              <w:right w:val="nil"/>
            </w:tcBorders>
            <w:shd w:val="clear" w:color="000000" w:fill="FFFFFF"/>
            <w:vAlign w:val="bottom"/>
            <w:hideMark/>
          </w:tcPr>
          <w:p w14:paraId="534407E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1.75576</w:t>
            </w:r>
          </w:p>
        </w:tc>
        <w:tc>
          <w:tcPr>
            <w:tcW w:w="960" w:type="dxa"/>
            <w:tcBorders>
              <w:top w:val="single" w:sz="4" w:space="0" w:color="ADD6EA"/>
              <w:left w:val="nil"/>
              <w:bottom w:val="nil"/>
              <w:right w:val="nil"/>
            </w:tcBorders>
            <w:shd w:val="clear" w:color="000000" w:fill="FFFFFF"/>
            <w:vAlign w:val="bottom"/>
            <w:hideMark/>
          </w:tcPr>
          <w:p w14:paraId="73EFB49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1.23759</w:t>
            </w:r>
          </w:p>
        </w:tc>
        <w:tc>
          <w:tcPr>
            <w:tcW w:w="960" w:type="dxa"/>
            <w:tcBorders>
              <w:top w:val="single" w:sz="4" w:space="0" w:color="ADD6EA"/>
              <w:left w:val="nil"/>
              <w:bottom w:val="nil"/>
              <w:right w:val="nil"/>
            </w:tcBorders>
            <w:shd w:val="clear" w:color="000000" w:fill="FFFFFF"/>
            <w:vAlign w:val="bottom"/>
            <w:hideMark/>
          </w:tcPr>
          <w:p w14:paraId="4DF08509"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4.26735</w:t>
            </w:r>
          </w:p>
        </w:tc>
      </w:tr>
      <w:tr w:rsidR="003E1CE8" w:rsidRPr="003E1CE8" w14:paraId="4F219E92"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0A02F5C7"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2020-21</w:t>
            </w:r>
          </w:p>
        </w:tc>
        <w:tc>
          <w:tcPr>
            <w:tcW w:w="960" w:type="dxa"/>
            <w:tcBorders>
              <w:top w:val="single" w:sz="4" w:space="0" w:color="ADD6EA"/>
              <w:left w:val="nil"/>
              <w:bottom w:val="nil"/>
              <w:right w:val="nil"/>
            </w:tcBorders>
            <w:shd w:val="clear" w:color="000000" w:fill="FFFFFF"/>
            <w:vAlign w:val="bottom"/>
            <w:hideMark/>
          </w:tcPr>
          <w:p w14:paraId="2E9B911C"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0.91808</w:t>
            </w:r>
          </w:p>
        </w:tc>
        <w:tc>
          <w:tcPr>
            <w:tcW w:w="960" w:type="dxa"/>
            <w:tcBorders>
              <w:top w:val="single" w:sz="4" w:space="0" w:color="ADD6EA"/>
              <w:left w:val="nil"/>
              <w:bottom w:val="nil"/>
              <w:right w:val="nil"/>
            </w:tcBorders>
            <w:shd w:val="clear" w:color="000000" w:fill="FFFFFF"/>
            <w:vAlign w:val="bottom"/>
            <w:hideMark/>
          </w:tcPr>
          <w:p w14:paraId="211AB36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0.95992</w:t>
            </w:r>
          </w:p>
        </w:tc>
        <w:tc>
          <w:tcPr>
            <w:tcW w:w="960" w:type="dxa"/>
            <w:tcBorders>
              <w:top w:val="single" w:sz="4" w:space="0" w:color="ADD6EA"/>
              <w:left w:val="nil"/>
              <w:bottom w:val="nil"/>
              <w:right w:val="nil"/>
            </w:tcBorders>
            <w:shd w:val="clear" w:color="000000" w:fill="FFFFFF"/>
            <w:vAlign w:val="bottom"/>
            <w:hideMark/>
          </w:tcPr>
          <w:p w14:paraId="1860E377"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1.04907</w:t>
            </w:r>
          </w:p>
        </w:tc>
        <w:tc>
          <w:tcPr>
            <w:tcW w:w="960" w:type="dxa"/>
            <w:tcBorders>
              <w:top w:val="single" w:sz="4" w:space="0" w:color="ADD6EA"/>
              <w:left w:val="nil"/>
              <w:bottom w:val="nil"/>
              <w:right w:val="nil"/>
            </w:tcBorders>
            <w:shd w:val="clear" w:color="000000" w:fill="FFFFFF"/>
            <w:vAlign w:val="bottom"/>
            <w:hideMark/>
          </w:tcPr>
          <w:p w14:paraId="5803016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0.44970</w:t>
            </w:r>
          </w:p>
        </w:tc>
        <w:tc>
          <w:tcPr>
            <w:tcW w:w="960" w:type="dxa"/>
            <w:tcBorders>
              <w:top w:val="single" w:sz="4" w:space="0" w:color="ADD6EA"/>
              <w:left w:val="nil"/>
              <w:bottom w:val="nil"/>
              <w:right w:val="nil"/>
            </w:tcBorders>
            <w:shd w:val="clear" w:color="000000" w:fill="FFFFFF"/>
            <w:vAlign w:val="bottom"/>
            <w:hideMark/>
          </w:tcPr>
          <w:p w14:paraId="065AB17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1.35765</w:t>
            </w:r>
          </w:p>
        </w:tc>
        <w:tc>
          <w:tcPr>
            <w:tcW w:w="960" w:type="dxa"/>
            <w:tcBorders>
              <w:top w:val="single" w:sz="4" w:space="0" w:color="ADD6EA"/>
              <w:left w:val="nil"/>
              <w:bottom w:val="nil"/>
              <w:right w:val="nil"/>
            </w:tcBorders>
            <w:shd w:val="clear" w:color="000000" w:fill="FFFFFF"/>
            <w:vAlign w:val="bottom"/>
            <w:hideMark/>
          </w:tcPr>
          <w:p w14:paraId="60567679"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1.89742</w:t>
            </w:r>
          </w:p>
        </w:tc>
        <w:tc>
          <w:tcPr>
            <w:tcW w:w="960" w:type="dxa"/>
            <w:tcBorders>
              <w:top w:val="single" w:sz="4" w:space="0" w:color="ADD6EA"/>
              <w:left w:val="nil"/>
              <w:bottom w:val="nil"/>
              <w:right w:val="nil"/>
            </w:tcBorders>
            <w:shd w:val="clear" w:color="000000" w:fill="FFFFFF"/>
            <w:vAlign w:val="bottom"/>
            <w:hideMark/>
          </w:tcPr>
          <w:p w14:paraId="700BD6CC"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1.15112</w:t>
            </w:r>
          </w:p>
        </w:tc>
        <w:tc>
          <w:tcPr>
            <w:tcW w:w="960" w:type="dxa"/>
            <w:tcBorders>
              <w:top w:val="single" w:sz="4" w:space="0" w:color="ADD6EA"/>
              <w:left w:val="nil"/>
              <w:bottom w:val="nil"/>
              <w:right w:val="nil"/>
            </w:tcBorders>
            <w:shd w:val="clear" w:color="000000" w:fill="FFFFFF"/>
            <w:vAlign w:val="bottom"/>
            <w:hideMark/>
          </w:tcPr>
          <w:p w14:paraId="113C3DF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4.76893</w:t>
            </w:r>
          </w:p>
        </w:tc>
      </w:tr>
      <w:tr w:rsidR="003E1CE8" w:rsidRPr="003E1CE8" w14:paraId="581DFE32"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57CD1437"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2021-22</w:t>
            </w:r>
          </w:p>
        </w:tc>
        <w:tc>
          <w:tcPr>
            <w:tcW w:w="960" w:type="dxa"/>
            <w:tcBorders>
              <w:top w:val="single" w:sz="4" w:space="0" w:color="ADD6EA"/>
              <w:left w:val="nil"/>
              <w:bottom w:val="nil"/>
              <w:right w:val="nil"/>
            </w:tcBorders>
            <w:shd w:val="clear" w:color="000000" w:fill="FFFFFF"/>
            <w:vAlign w:val="bottom"/>
            <w:hideMark/>
          </w:tcPr>
          <w:p w14:paraId="718D5F43"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0.95617</w:t>
            </w:r>
          </w:p>
        </w:tc>
        <w:tc>
          <w:tcPr>
            <w:tcW w:w="960" w:type="dxa"/>
            <w:tcBorders>
              <w:top w:val="single" w:sz="4" w:space="0" w:color="ADD6EA"/>
              <w:left w:val="nil"/>
              <w:bottom w:val="nil"/>
              <w:right w:val="nil"/>
            </w:tcBorders>
            <w:shd w:val="clear" w:color="000000" w:fill="FFFFFF"/>
            <w:vAlign w:val="bottom"/>
            <w:hideMark/>
          </w:tcPr>
          <w:p w14:paraId="578C9303"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0.92335</w:t>
            </w:r>
          </w:p>
        </w:tc>
        <w:tc>
          <w:tcPr>
            <w:tcW w:w="960" w:type="dxa"/>
            <w:tcBorders>
              <w:top w:val="single" w:sz="4" w:space="0" w:color="ADD6EA"/>
              <w:left w:val="nil"/>
              <w:bottom w:val="nil"/>
              <w:right w:val="nil"/>
            </w:tcBorders>
            <w:shd w:val="clear" w:color="000000" w:fill="FFFFFF"/>
            <w:vAlign w:val="bottom"/>
            <w:hideMark/>
          </w:tcPr>
          <w:p w14:paraId="46F0B5BA"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1.05918</w:t>
            </w:r>
          </w:p>
        </w:tc>
        <w:tc>
          <w:tcPr>
            <w:tcW w:w="960" w:type="dxa"/>
            <w:tcBorders>
              <w:top w:val="single" w:sz="4" w:space="0" w:color="ADD6EA"/>
              <w:left w:val="nil"/>
              <w:bottom w:val="nil"/>
              <w:right w:val="nil"/>
            </w:tcBorders>
            <w:shd w:val="clear" w:color="000000" w:fill="FFFFFF"/>
            <w:vAlign w:val="bottom"/>
            <w:hideMark/>
          </w:tcPr>
          <w:p w14:paraId="1B788008"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0.41967</w:t>
            </w:r>
          </w:p>
        </w:tc>
        <w:tc>
          <w:tcPr>
            <w:tcW w:w="960" w:type="dxa"/>
            <w:tcBorders>
              <w:top w:val="single" w:sz="4" w:space="0" w:color="ADD6EA"/>
              <w:left w:val="nil"/>
              <w:bottom w:val="nil"/>
              <w:right w:val="nil"/>
            </w:tcBorders>
            <w:shd w:val="clear" w:color="000000" w:fill="FFFFFF"/>
            <w:vAlign w:val="bottom"/>
            <w:hideMark/>
          </w:tcPr>
          <w:p w14:paraId="78D4761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1.34719</w:t>
            </w:r>
          </w:p>
        </w:tc>
        <w:tc>
          <w:tcPr>
            <w:tcW w:w="960" w:type="dxa"/>
            <w:tcBorders>
              <w:top w:val="single" w:sz="4" w:space="0" w:color="ADD6EA"/>
              <w:left w:val="nil"/>
              <w:bottom w:val="nil"/>
              <w:right w:val="nil"/>
            </w:tcBorders>
            <w:shd w:val="clear" w:color="000000" w:fill="FFFFFF"/>
            <w:vAlign w:val="bottom"/>
            <w:hideMark/>
          </w:tcPr>
          <w:p w14:paraId="09C4341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1.96067</w:t>
            </w:r>
          </w:p>
        </w:tc>
        <w:tc>
          <w:tcPr>
            <w:tcW w:w="960" w:type="dxa"/>
            <w:tcBorders>
              <w:top w:val="single" w:sz="4" w:space="0" w:color="ADD6EA"/>
              <w:left w:val="nil"/>
              <w:bottom w:val="nil"/>
              <w:right w:val="nil"/>
            </w:tcBorders>
            <w:shd w:val="clear" w:color="000000" w:fill="FFFFFF"/>
            <w:vAlign w:val="bottom"/>
            <w:hideMark/>
          </w:tcPr>
          <w:p w14:paraId="471026DC"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1.16266</w:t>
            </w:r>
          </w:p>
        </w:tc>
        <w:tc>
          <w:tcPr>
            <w:tcW w:w="960" w:type="dxa"/>
            <w:tcBorders>
              <w:top w:val="single" w:sz="4" w:space="0" w:color="ADD6EA"/>
              <w:left w:val="nil"/>
              <w:bottom w:val="nil"/>
              <w:right w:val="nil"/>
            </w:tcBorders>
            <w:shd w:val="clear" w:color="000000" w:fill="FFFFFF"/>
            <w:vAlign w:val="bottom"/>
            <w:hideMark/>
          </w:tcPr>
          <w:p w14:paraId="51AF9618"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4.79985</w:t>
            </w:r>
          </w:p>
        </w:tc>
      </w:tr>
      <w:tr w:rsidR="003E1CE8" w:rsidRPr="003E1CE8" w14:paraId="58ABF99B"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11AD9816"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2022-23</w:t>
            </w:r>
          </w:p>
        </w:tc>
        <w:tc>
          <w:tcPr>
            <w:tcW w:w="960" w:type="dxa"/>
            <w:tcBorders>
              <w:top w:val="single" w:sz="4" w:space="0" w:color="ADD6EA"/>
              <w:left w:val="nil"/>
              <w:bottom w:val="nil"/>
              <w:right w:val="nil"/>
            </w:tcBorders>
            <w:shd w:val="clear" w:color="000000" w:fill="FFFFFF"/>
            <w:vAlign w:val="bottom"/>
            <w:hideMark/>
          </w:tcPr>
          <w:p w14:paraId="4BB04840"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0.95065</w:t>
            </w:r>
          </w:p>
        </w:tc>
        <w:tc>
          <w:tcPr>
            <w:tcW w:w="960" w:type="dxa"/>
            <w:tcBorders>
              <w:top w:val="single" w:sz="4" w:space="0" w:color="ADD6EA"/>
              <w:left w:val="nil"/>
              <w:bottom w:val="nil"/>
              <w:right w:val="nil"/>
            </w:tcBorders>
            <w:shd w:val="clear" w:color="000000" w:fill="FFFFFF"/>
            <w:vAlign w:val="bottom"/>
            <w:hideMark/>
          </w:tcPr>
          <w:p w14:paraId="44D0AB4C"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0.85861</w:t>
            </w:r>
          </w:p>
        </w:tc>
        <w:tc>
          <w:tcPr>
            <w:tcW w:w="960" w:type="dxa"/>
            <w:tcBorders>
              <w:top w:val="single" w:sz="4" w:space="0" w:color="ADD6EA"/>
              <w:left w:val="nil"/>
              <w:bottom w:val="nil"/>
              <w:right w:val="nil"/>
            </w:tcBorders>
            <w:shd w:val="clear" w:color="000000" w:fill="FFFFFF"/>
            <w:vAlign w:val="bottom"/>
            <w:hideMark/>
          </w:tcPr>
          <w:p w14:paraId="1448599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1.03377</w:t>
            </w:r>
          </w:p>
        </w:tc>
        <w:tc>
          <w:tcPr>
            <w:tcW w:w="960" w:type="dxa"/>
            <w:tcBorders>
              <w:top w:val="single" w:sz="4" w:space="0" w:color="ADD6EA"/>
              <w:left w:val="nil"/>
              <w:bottom w:val="nil"/>
              <w:right w:val="nil"/>
            </w:tcBorders>
            <w:shd w:val="clear" w:color="000000" w:fill="FFFFFF"/>
            <w:vAlign w:val="bottom"/>
            <w:hideMark/>
          </w:tcPr>
          <w:p w14:paraId="36A23E5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0.70000</w:t>
            </w:r>
          </w:p>
        </w:tc>
        <w:tc>
          <w:tcPr>
            <w:tcW w:w="960" w:type="dxa"/>
            <w:tcBorders>
              <w:top w:val="single" w:sz="4" w:space="0" w:color="ADD6EA"/>
              <w:left w:val="nil"/>
              <w:bottom w:val="nil"/>
              <w:right w:val="nil"/>
            </w:tcBorders>
            <w:shd w:val="clear" w:color="000000" w:fill="FFFFFF"/>
            <w:vAlign w:val="bottom"/>
            <w:hideMark/>
          </w:tcPr>
          <w:p w14:paraId="093F5253"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1.28411</w:t>
            </w:r>
          </w:p>
        </w:tc>
        <w:tc>
          <w:tcPr>
            <w:tcW w:w="960" w:type="dxa"/>
            <w:tcBorders>
              <w:top w:val="single" w:sz="4" w:space="0" w:color="ADD6EA"/>
              <w:left w:val="nil"/>
              <w:bottom w:val="nil"/>
              <w:right w:val="nil"/>
            </w:tcBorders>
            <w:shd w:val="clear" w:color="000000" w:fill="FFFFFF"/>
            <w:vAlign w:val="bottom"/>
            <w:hideMark/>
          </w:tcPr>
          <w:p w14:paraId="5D45FA24"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1.85360</w:t>
            </w:r>
          </w:p>
        </w:tc>
        <w:tc>
          <w:tcPr>
            <w:tcW w:w="960" w:type="dxa"/>
            <w:tcBorders>
              <w:top w:val="single" w:sz="4" w:space="0" w:color="ADD6EA"/>
              <w:left w:val="nil"/>
              <w:bottom w:val="nil"/>
              <w:right w:val="nil"/>
            </w:tcBorders>
            <w:shd w:val="clear" w:color="000000" w:fill="FFFFFF"/>
            <w:vAlign w:val="bottom"/>
            <w:hideMark/>
          </w:tcPr>
          <w:p w14:paraId="609A1590"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1.09250</w:t>
            </w:r>
          </w:p>
        </w:tc>
        <w:tc>
          <w:tcPr>
            <w:tcW w:w="960" w:type="dxa"/>
            <w:tcBorders>
              <w:top w:val="single" w:sz="4" w:space="0" w:color="ADD6EA"/>
              <w:left w:val="nil"/>
              <w:bottom w:val="nil"/>
              <w:right w:val="nil"/>
            </w:tcBorders>
            <w:shd w:val="clear" w:color="000000" w:fill="FFFFFF"/>
            <w:vAlign w:val="bottom"/>
            <w:hideMark/>
          </w:tcPr>
          <w:p w14:paraId="123A1107"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4.86988</w:t>
            </w:r>
          </w:p>
        </w:tc>
      </w:tr>
      <w:tr w:rsidR="003E1CE8" w:rsidRPr="003E1CE8" w14:paraId="74CDA9EB" w14:textId="77777777" w:rsidTr="003E1CE8">
        <w:trPr>
          <w:trHeight w:val="319"/>
        </w:trPr>
        <w:tc>
          <w:tcPr>
            <w:tcW w:w="1260" w:type="dxa"/>
            <w:tcBorders>
              <w:top w:val="single" w:sz="4" w:space="0" w:color="ADD6EA"/>
              <w:left w:val="nil"/>
              <w:bottom w:val="nil"/>
              <w:right w:val="nil"/>
            </w:tcBorders>
            <w:shd w:val="clear" w:color="000000" w:fill="FFFFFF"/>
            <w:vAlign w:val="bottom"/>
            <w:hideMark/>
          </w:tcPr>
          <w:p w14:paraId="589394C3"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2023-24</w:t>
            </w:r>
          </w:p>
        </w:tc>
        <w:tc>
          <w:tcPr>
            <w:tcW w:w="960" w:type="dxa"/>
            <w:tcBorders>
              <w:top w:val="single" w:sz="4" w:space="0" w:color="ADD6EA"/>
              <w:left w:val="nil"/>
              <w:bottom w:val="nil"/>
              <w:right w:val="nil"/>
            </w:tcBorders>
            <w:shd w:val="clear" w:color="000000" w:fill="FFFFFF"/>
            <w:vAlign w:val="bottom"/>
            <w:hideMark/>
          </w:tcPr>
          <w:p w14:paraId="30BED46F"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0.92350</w:t>
            </w:r>
          </w:p>
        </w:tc>
        <w:tc>
          <w:tcPr>
            <w:tcW w:w="960" w:type="dxa"/>
            <w:tcBorders>
              <w:top w:val="single" w:sz="4" w:space="0" w:color="ADD6EA"/>
              <w:left w:val="nil"/>
              <w:bottom w:val="nil"/>
              <w:right w:val="nil"/>
            </w:tcBorders>
            <w:shd w:val="clear" w:color="000000" w:fill="FFFFFF"/>
            <w:vAlign w:val="bottom"/>
            <w:hideMark/>
          </w:tcPr>
          <w:p w14:paraId="23E866C4"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0.85169</w:t>
            </w:r>
          </w:p>
        </w:tc>
        <w:tc>
          <w:tcPr>
            <w:tcW w:w="960" w:type="dxa"/>
            <w:tcBorders>
              <w:top w:val="single" w:sz="4" w:space="0" w:color="ADD6EA"/>
              <w:left w:val="nil"/>
              <w:bottom w:val="nil"/>
              <w:right w:val="nil"/>
            </w:tcBorders>
            <w:shd w:val="clear" w:color="000000" w:fill="FFFFFF"/>
            <w:vAlign w:val="bottom"/>
            <w:hideMark/>
          </w:tcPr>
          <w:p w14:paraId="25BB28C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1.03118</w:t>
            </w:r>
          </w:p>
        </w:tc>
        <w:tc>
          <w:tcPr>
            <w:tcW w:w="960" w:type="dxa"/>
            <w:tcBorders>
              <w:top w:val="single" w:sz="4" w:space="0" w:color="ADD6EA"/>
              <w:left w:val="nil"/>
              <w:bottom w:val="nil"/>
              <w:right w:val="nil"/>
            </w:tcBorders>
            <w:shd w:val="clear" w:color="000000" w:fill="FFFFFF"/>
            <w:vAlign w:val="bottom"/>
            <w:hideMark/>
          </w:tcPr>
          <w:p w14:paraId="1817F6E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0.70000</w:t>
            </w:r>
          </w:p>
        </w:tc>
        <w:tc>
          <w:tcPr>
            <w:tcW w:w="960" w:type="dxa"/>
            <w:tcBorders>
              <w:top w:val="single" w:sz="4" w:space="0" w:color="ADD6EA"/>
              <w:left w:val="nil"/>
              <w:bottom w:val="nil"/>
              <w:right w:val="nil"/>
            </w:tcBorders>
            <w:shd w:val="clear" w:color="000000" w:fill="FFFFFF"/>
            <w:vAlign w:val="bottom"/>
            <w:hideMark/>
          </w:tcPr>
          <w:p w14:paraId="6A6857A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1.39463</w:t>
            </w:r>
          </w:p>
        </w:tc>
        <w:tc>
          <w:tcPr>
            <w:tcW w:w="960" w:type="dxa"/>
            <w:tcBorders>
              <w:top w:val="single" w:sz="4" w:space="0" w:color="ADD6EA"/>
              <w:left w:val="nil"/>
              <w:bottom w:val="nil"/>
              <w:right w:val="nil"/>
            </w:tcBorders>
            <w:shd w:val="clear" w:color="000000" w:fill="FFFFFF"/>
            <w:vAlign w:val="bottom"/>
            <w:hideMark/>
          </w:tcPr>
          <w:p w14:paraId="3FF8A4E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1.79080</w:t>
            </w:r>
          </w:p>
        </w:tc>
        <w:tc>
          <w:tcPr>
            <w:tcW w:w="960" w:type="dxa"/>
            <w:tcBorders>
              <w:top w:val="single" w:sz="4" w:space="0" w:color="ADD6EA"/>
              <w:left w:val="nil"/>
              <w:bottom w:val="nil"/>
              <w:right w:val="nil"/>
            </w:tcBorders>
            <w:shd w:val="clear" w:color="000000" w:fill="FFFFFF"/>
            <w:vAlign w:val="bottom"/>
            <w:hideMark/>
          </w:tcPr>
          <w:p w14:paraId="40DADA9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1.19540</w:t>
            </w:r>
          </w:p>
        </w:tc>
        <w:tc>
          <w:tcPr>
            <w:tcW w:w="960" w:type="dxa"/>
            <w:tcBorders>
              <w:top w:val="single" w:sz="4" w:space="0" w:color="ADD6EA"/>
              <w:left w:val="nil"/>
              <w:bottom w:val="nil"/>
              <w:right w:val="nil"/>
            </w:tcBorders>
            <w:shd w:val="clear" w:color="000000" w:fill="FFFFFF"/>
            <w:vAlign w:val="bottom"/>
            <w:hideMark/>
          </w:tcPr>
          <w:p w14:paraId="270137FD"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4.98725</w:t>
            </w:r>
          </w:p>
        </w:tc>
      </w:tr>
      <w:tr w:rsidR="003E1CE8" w:rsidRPr="003E1CE8" w14:paraId="49C02287" w14:textId="77777777" w:rsidTr="003C03DC">
        <w:trPr>
          <w:trHeight w:val="319"/>
        </w:trPr>
        <w:tc>
          <w:tcPr>
            <w:tcW w:w="1260" w:type="dxa"/>
            <w:tcBorders>
              <w:top w:val="single" w:sz="4" w:space="0" w:color="ADD6EA"/>
              <w:left w:val="nil"/>
              <w:bottom w:val="single" w:sz="4" w:space="0" w:color="ADD6EA"/>
              <w:right w:val="nil"/>
            </w:tcBorders>
            <w:shd w:val="clear" w:color="000000" w:fill="FFFFFF"/>
            <w:vAlign w:val="bottom"/>
            <w:hideMark/>
          </w:tcPr>
          <w:p w14:paraId="10FC8161"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2024-25</w:t>
            </w:r>
          </w:p>
        </w:tc>
        <w:tc>
          <w:tcPr>
            <w:tcW w:w="960" w:type="dxa"/>
            <w:tcBorders>
              <w:top w:val="single" w:sz="4" w:space="0" w:color="ADD6EA"/>
              <w:left w:val="nil"/>
              <w:bottom w:val="single" w:sz="4" w:space="0" w:color="ADD6EA"/>
              <w:right w:val="nil"/>
            </w:tcBorders>
            <w:shd w:val="clear" w:color="000000" w:fill="FFFFFF"/>
            <w:vAlign w:val="bottom"/>
            <w:hideMark/>
          </w:tcPr>
          <w:p w14:paraId="41FC140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0.86736</w:t>
            </w:r>
          </w:p>
        </w:tc>
        <w:tc>
          <w:tcPr>
            <w:tcW w:w="960" w:type="dxa"/>
            <w:tcBorders>
              <w:top w:val="single" w:sz="4" w:space="0" w:color="ADD6EA"/>
              <w:left w:val="nil"/>
              <w:bottom w:val="single" w:sz="4" w:space="0" w:color="ADD6EA"/>
              <w:right w:val="nil"/>
            </w:tcBorders>
            <w:shd w:val="clear" w:color="000000" w:fill="FFFFFF"/>
            <w:vAlign w:val="bottom"/>
            <w:hideMark/>
          </w:tcPr>
          <w:p w14:paraId="7E98DCFA"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0.96502</w:t>
            </w:r>
          </w:p>
        </w:tc>
        <w:tc>
          <w:tcPr>
            <w:tcW w:w="960" w:type="dxa"/>
            <w:tcBorders>
              <w:top w:val="single" w:sz="4" w:space="0" w:color="ADD6EA"/>
              <w:left w:val="nil"/>
              <w:bottom w:val="single" w:sz="4" w:space="0" w:color="ADD6EA"/>
              <w:right w:val="nil"/>
            </w:tcBorders>
            <w:shd w:val="clear" w:color="000000" w:fill="FFFFFF"/>
            <w:vAlign w:val="bottom"/>
            <w:hideMark/>
          </w:tcPr>
          <w:p w14:paraId="496268D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0.95232</w:t>
            </w:r>
          </w:p>
        </w:tc>
        <w:tc>
          <w:tcPr>
            <w:tcW w:w="960" w:type="dxa"/>
            <w:tcBorders>
              <w:top w:val="single" w:sz="4" w:space="0" w:color="ADD6EA"/>
              <w:left w:val="nil"/>
              <w:bottom w:val="single" w:sz="4" w:space="0" w:color="ADD6EA"/>
              <w:right w:val="nil"/>
            </w:tcBorders>
            <w:shd w:val="clear" w:color="000000" w:fill="FFFFFF"/>
            <w:vAlign w:val="bottom"/>
            <w:hideMark/>
          </w:tcPr>
          <w:p w14:paraId="5F5DE4D6"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0.75000</w:t>
            </w:r>
          </w:p>
        </w:tc>
        <w:tc>
          <w:tcPr>
            <w:tcW w:w="960" w:type="dxa"/>
            <w:tcBorders>
              <w:top w:val="single" w:sz="4" w:space="0" w:color="ADD6EA"/>
              <w:left w:val="nil"/>
              <w:bottom w:val="single" w:sz="4" w:space="0" w:color="ADD6EA"/>
              <w:right w:val="nil"/>
            </w:tcBorders>
            <w:shd w:val="clear" w:color="000000" w:fill="FFFFFF"/>
            <w:vAlign w:val="bottom"/>
            <w:hideMark/>
          </w:tcPr>
          <w:p w14:paraId="3020DDEE"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1.40312</w:t>
            </w:r>
          </w:p>
        </w:tc>
        <w:tc>
          <w:tcPr>
            <w:tcW w:w="960" w:type="dxa"/>
            <w:tcBorders>
              <w:top w:val="single" w:sz="4" w:space="0" w:color="ADD6EA"/>
              <w:left w:val="nil"/>
              <w:bottom w:val="single" w:sz="4" w:space="0" w:color="ADD6EA"/>
              <w:right w:val="nil"/>
            </w:tcBorders>
            <w:shd w:val="clear" w:color="000000" w:fill="FFFFFF"/>
            <w:vAlign w:val="bottom"/>
            <w:hideMark/>
          </w:tcPr>
          <w:p w14:paraId="77EEB46C"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1.82832</w:t>
            </w:r>
          </w:p>
        </w:tc>
        <w:tc>
          <w:tcPr>
            <w:tcW w:w="960" w:type="dxa"/>
            <w:tcBorders>
              <w:top w:val="single" w:sz="4" w:space="0" w:color="ADD6EA"/>
              <w:left w:val="nil"/>
              <w:bottom w:val="single" w:sz="4" w:space="0" w:color="ADD6EA"/>
              <w:right w:val="nil"/>
            </w:tcBorders>
            <w:shd w:val="clear" w:color="000000" w:fill="FFFFFF"/>
            <w:vAlign w:val="bottom"/>
            <w:hideMark/>
          </w:tcPr>
          <w:p w14:paraId="1B8C7F9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1.20419</w:t>
            </w:r>
          </w:p>
        </w:tc>
        <w:tc>
          <w:tcPr>
            <w:tcW w:w="960" w:type="dxa"/>
            <w:tcBorders>
              <w:top w:val="single" w:sz="4" w:space="0" w:color="ADD6EA"/>
              <w:left w:val="nil"/>
              <w:bottom w:val="single" w:sz="4" w:space="0" w:color="ADD6EA"/>
              <w:right w:val="nil"/>
            </w:tcBorders>
            <w:shd w:val="clear" w:color="000000" w:fill="FFFFFF"/>
            <w:vAlign w:val="bottom"/>
            <w:hideMark/>
          </w:tcPr>
          <w:p w14:paraId="780743C7"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5.06681</w:t>
            </w:r>
          </w:p>
        </w:tc>
      </w:tr>
      <w:tr w:rsidR="003E1CE8" w:rsidRPr="003E1CE8" w14:paraId="0B843A4F" w14:textId="77777777" w:rsidTr="003C03DC">
        <w:trPr>
          <w:trHeight w:val="319"/>
        </w:trPr>
        <w:tc>
          <w:tcPr>
            <w:tcW w:w="1260" w:type="dxa"/>
            <w:tcBorders>
              <w:top w:val="single" w:sz="4" w:space="0" w:color="ADD6EA"/>
              <w:left w:val="nil"/>
              <w:bottom w:val="single" w:sz="4" w:space="0" w:color="ADD6EA"/>
              <w:right w:val="nil"/>
            </w:tcBorders>
            <w:shd w:val="clear" w:color="000000" w:fill="FFFFFF"/>
            <w:vAlign w:val="bottom"/>
            <w:hideMark/>
          </w:tcPr>
          <w:p w14:paraId="6AF96AFC" w14:textId="77777777" w:rsidR="003E1CE8" w:rsidRPr="003E1CE8" w:rsidRDefault="003E1CE8" w:rsidP="003E1CE8">
            <w:pPr>
              <w:tabs>
                <w:tab w:val="clear" w:pos="567"/>
              </w:tabs>
              <w:spacing w:before="0" w:line="240" w:lineRule="auto"/>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2025-26</w:t>
            </w:r>
          </w:p>
        </w:tc>
        <w:tc>
          <w:tcPr>
            <w:tcW w:w="960" w:type="dxa"/>
            <w:tcBorders>
              <w:top w:val="single" w:sz="4" w:space="0" w:color="ADD6EA"/>
              <w:left w:val="nil"/>
              <w:bottom w:val="single" w:sz="4" w:space="0" w:color="ADD6EA"/>
              <w:right w:val="nil"/>
            </w:tcBorders>
            <w:shd w:val="clear" w:color="000000" w:fill="FFFFFF"/>
            <w:vAlign w:val="bottom"/>
            <w:hideMark/>
          </w:tcPr>
          <w:p w14:paraId="7D8A2C7F"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0.86034</w:t>
            </w:r>
          </w:p>
        </w:tc>
        <w:tc>
          <w:tcPr>
            <w:tcW w:w="960" w:type="dxa"/>
            <w:tcBorders>
              <w:top w:val="single" w:sz="4" w:space="0" w:color="ADD6EA"/>
              <w:left w:val="nil"/>
              <w:bottom w:val="single" w:sz="4" w:space="0" w:color="ADD6EA"/>
              <w:right w:val="nil"/>
            </w:tcBorders>
            <w:shd w:val="clear" w:color="000000" w:fill="FFFFFF"/>
            <w:vAlign w:val="bottom"/>
            <w:hideMark/>
          </w:tcPr>
          <w:p w14:paraId="38D9F428"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1.06722</w:t>
            </w:r>
          </w:p>
        </w:tc>
        <w:tc>
          <w:tcPr>
            <w:tcW w:w="960" w:type="dxa"/>
            <w:tcBorders>
              <w:top w:val="single" w:sz="4" w:space="0" w:color="ADD6EA"/>
              <w:left w:val="nil"/>
              <w:bottom w:val="single" w:sz="4" w:space="0" w:color="ADD6EA"/>
              <w:right w:val="nil"/>
            </w:tcBorders>
            <w:shd w:val="clear" w:color="000000" w:fill="FFFFFF"/>
            <w:vAlign w:val="bottom"/>
            <w:hideMark/>
          </w:tcPr>
          <w:p w14:paraId="1C786B4A"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0.84571</w:t>
            </w:r>
          </w:p>
        </w:tc>
        <w:tc>
          <w:tcPr>
            <w:tcW w:w="960" w:type="dxa"/>
            <w:tcBorders>
              <w:top w:val="single" w:sz="4" w:space="0" w:color="ADD6EA"/>
              <w:left w:val="nil"/>
              <w:bottom w:val="single" w:sz="4" w:space="0" w:color="ADD6EA"/>
              <w:right w:val="nil"/>
            </w:tcBorders>
            <w:shd w:val="clear" w:color="000000" w:fill="FFFFFF"/>
            <w:vAlign w:val="bottom"/>
            <w:hideMark/>
          </w:tcPr>
          <w:p w14:paraId="52B8B7AB"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0.75000</w:t>
            </w:r>
          </w:p>
        </w:tc>
        <w:tc>
          <w:tcPr>
            <w:tcW w:w="960" w:type="dxa"/>
            <w:tcBorders>
              <w:top w:val="single" w:sz="4" w:space="0" w:color="ADD6EA"/>
              <w:left w:val="nil"/>
              <w:bottom w:val="single" w:sz="4" w:space="0" w:color="ADD6EA"/>
              <w:right w:val="nil"/>
            </w:tcBorders>
            <w:shd w:val="clear" w:color="000000" w:fill="FFFFFF"/>
            <w:vAlign w:val="bottom"/>
            <w:hideMark/>
          </w:tcPr>
          <w:p w14:paraId="136B0765"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1.38876</w:t>
            </w:r>
          </w:p>
        </w:tc>
        <w:tc>
          <w:tcPr>
            <w:tcW w:w="960" w:type="dxa"/>
            <w:tcBorders>
              <w:top w:val="single" w:sz="4" w:space="0" w:color="ADD6EA"/>
              <w:left w:val="nil"/>
              <w:bottom w:val="single" w:sz="4" w:space="0" w:color="ADD6EA"/>
              <w:right w:val="nil"/>
            </w:tcBorders>
            <w:shd w:val="clear" w:color="000000" w:fill="FFFFFF"/>
            <w:vAlign w:val="bottom"/>
            <w:hideMark/>
          </w:tcPr>
          <w:p w14:paraId="0C07733A"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1.84053</w:t>
            </w:r>
          </w:p>
        </w:tc>
        <w:tc>
          <w:tcPr>
            <w:tcW w:w="960" w:type="dxa"/>
            <w:tcBorders>
              <w:top w:val="single" w:sz="4" w:space="0" w:color="ADD6EA"/>
              <w:left w:val="nil"/>
              <w:bottom w:val="single" w:sz="4" w:space="0" w:color="ADD6EA"/>
              <w:right w:val="nil"/>
            </w:tcBorders>
            <w:shd w:val="clear" w:color="000000" w:fill="FFFFFF"/>
            <w:vAlign w:val="bottom"/>
            <w:hideMark/>
          </w:tcPr>
          <w:p w14:paraId="14DC4121"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1.17223</w:t>
            </w:r>
          </w:p>
        </w:tc>
        <w:tc>
          <w:tcPr>
            <w:tcW w:w="960" w:type="dxa"/>
            <w:tcBorders>
              <w:top w:val="single" w:sz="4" w:space="0" w:color="ADD6EA"/>
              <w:left w:val="nil"/>
              <w:bottom w:val="single" w:sz="4" w:space="0" w:color="ADD6EA"/>
              <w:right w:val="nil"/>
            </w:tcBorders>
            <w:shd w:val="clear" w:color="000000" w:fill="FFFFFF"/>
            <w:vAlign w:val="bottom"/>
            <w:hideMark/>
          </w:tcPr>
          <w:p w14:paraId="60BB4649" w14:textId="77777777" w:rsidR="003E1CE8" w:rsidRPr="003E1CE8" w:rsidRDefault="003E1CE8" w:rsidP="003E1CE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E1CE8">
              <w:rPr>
                <w:rFonts w:ascii="Open Sans Light" w:eastAsia="Times New Roman" w:hAnsi="Open Sans Light" w:cs="Open Sans Light"/>
                <w:color w:val="000000"/>
                <w:sz w:val="16"/>
                <w:szCs w:val="16"/>
                <w:lang w:eastAsia="en-AU"/>
              </w:rPr>
              <w:t>5.15112</w:t>
            </w:r>
          </w:p>
        </w:tc>
      </w:tr>
    </w:tbl>
    <w:p w14:paraId="1757D757" w14:textId="7344CB13" w:rsidR="00386456" w:rsidRPr="000B4933" w:rsidRDefault="00386456" w:rsidP="00386456">
      <w:pPr>
        <w:pStyle w:val="CGC2025TableNote"/>
        <w:ind w:left="560" w:hanging="447"/>
      </w:pPr>
      <w:bookmarkStart w:id="204" w:name="_Hlk189728305"/>
      <w:r w:rsidRPr="000B4933">
        <w:t xml:space="preserve">Note: Prior to 2009–10, the Commission was asked to provide relativities to distribute a pool of GST revenue and Health Care Grants. The relativities shown are those applicable for distributing a GST only pool. </w:t>
      </w:r>
    </w:p>
    <w:p w14:paraId="5C59C054" w14:textId="5D872917" w:rsidR="00C636FB" w:rsidRPr="00E550D5" w:rsidRDefault="00386456" w:rsidP="00EA42CF">
      <w:pPr>
        <w:pStyle w:val="CGC2025TableNote"/>
        <w:ind w:left="560" w:hanging="447"/>
      </w:pPr>
      <w:r>
        <w:tab/>
      </w:r>
      <w:r w:rsidRPr="000B4933">
        <w:t>A relativity floor of 0.7 in 2021</w:t>
      </w:r>
      <w:r w:rsidR="004C0263">
        <w:t>–</w:t>
      </w:r>
      <w:r w:rsidRPr="000B4933">
        <w:t>22 was funded from outside of the pool and is not reflected in the numbers in this table. Under the 2018 GST distribution legislation the GST relativity floor has been funded from within the GST pool: a floor of 0.7 in 2022</w:t>
      </w:r>
      <w:r w:rsidR="004C0263">
        <w:t>–</w:t>
      </w:r>
      <w:r w:rsidRPr="000B4933">
        <w:t>23 and 2023-24 and 0.75 from 2024</w:t>
      </w:r>
      <w:r w:rsidR="004C0263">
        <w:t>–</w:t>
      </w:r>
      <w:r w:rsidRPr="000B4933">
        <w:t>25. Under the transitional arrangements in the 2018 legislation, blending of assessed and standard state relativities has occurred since 2021</w:t>
      </w:r>
      <w:r w:rsidR="004C0263">
        <w:t>–</w:t>
      </w:r>
      <w:r w:rsidRPr="000B4933">
        <w:t>22 and will be replaced by standard state relativities from 2026</w:t>
      </w:r>
      <w:r w:rsidR="004C0263">
        <w:t>–</w:t>
      </w:r>
      <w:r w:rsidRPr="000B4933">
        <w:t xml:space="preserve">27. </w:t>
      </w:r>
      <w:bookmarkEnd w:id="204"/>
    </w:p>
    <w:sectPr w:rsidR="00C636FB" w:rsidRPr="00E550D5" w:rsidSect="00742FFB">
      <w:headerReference w:type="default" r:id="rId44"/>
      <w:footerReference w:type="default" r:id="rId45"/>
      <w:headerReference w:type="first" r:id="rId46"/>
      <w:footerReference w:type="first" r:id="rId47"/>
      <w:pgSz w:w="11906" w:h="16838" w:code="9"/>
      <w:pgMar w:top="1247" w:right="1440" w:bottom="1247" w:left="1440" w:header="720" w:footer="22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AA8975" w14:textId="77777777" w:rsidR="004621AC" w:rsidRDefault="004621AC" w:rsidP="00027AB4">
      <w:r>
        <w:separator/>
      </w:r>
    </w:p>
    <w:p w14:paraId="00682EB1" w14:textId="77777777" w:rsidR="004621AC" w:rsidRDefault="004621AC" w:rsidP="00027AB4"/>
  </w:endnote>
  <w:endnote w:type="continuationSeparator" w:id="0">
    <w:p w14:paraId="59B66A8D" w14:textId="77777777" w:rsidR="004621AC" w:rsidRDefault="004621AC" w:rsidP="00027AB4">
      <w:r>
        <w:continuationSeparator/>
      </w:r>
    </w:p>
    <w:p w14:paraId="46227F02" w14:textId="77777777" w:rsidR="004621AC" w:rsidRDefault="004621AC" w:rsidP="00027AB4"/>
  </w:endnote>
  <w:endnote w:type="continuationNotice" w:id="1">
    <w:p w14:paraId="2F544F98" w14:textId="77777777" w:rsidR="004621AC" w:rsidRDefault="004621AC" w:rsidP="00027AB4"/>
    <w:p w14:paraId="507E522F" w14:textId="77777777" w:rsidR="004621AC" w:rsidRDefault="004621AC" w:rsidP="00027A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Light">
    <w:panose1 w:val="020B0306030504020204"/>
    <w:charset w:val="00"/>
    <w:family w:val="swiss"/>
    <w:pitch w:val="variable"/>
    <w:sig w:usb0="E00002EF" w:usb1="4000205B" w:usb2="00000028" w:usb3="00000000" w:csb0="0000019F" w:csb1="00000000"/>
  </w:font>
  <w:font w:name="Work Sans">
    <w:altName w:val="Calibri"/>
    <w:charset w:val="00"/>
    <w:family w:val="auto"/>
    <w:pitch w:val="variable"/>
    <w:sig w:usb0="A00000FF" w:usb1="5000E07B" w:usb2="00000000" w:usb3="00000000" w:csb0="0000019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ontserrat Semi Bold">
    <w:panose1 w:val="00000700000000000000"/>
    <w:charset w:val="00"/>
    <w:family w:val="modern"/>
    <w:notTrueType/>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Montserrat Ultra Light">
    <w:panose1 w:val="00000300000000000000"/>
    <w:charset w:val="00"/>
    <w:family w:val="modern"/>
    <w:notTrueType/>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Open Sans Semibold">
    <w:altName w:val="Segoe UI"/>
    <w:panose1 w:val="020B0706030804020204"/>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Work Sans SemiBold">
    <w:charset w:val="00"/>
    <w:family w:val="auto"/>
    <w:pitch w:val="variable"/>
    <w:sig w:usb0="A00000FF" w:usb1="5000E07B" w:usb2="00000000" w:usb3="00000000" w:csb0="00000193"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7432877"/>
      <w:docPartObj>
        <w:docPartGallery w:val="Page Numbers (Bottom of Page)"/>
        <w:docPartUnique/>
      </w:docPartObj>
    </w:sdtPr>
    <w:sdtEndPr>
      <w:rPr>
        <w:rFonts w:ascii="Work Sans" w:hAnsi="Work Sans"/>
        <w:b w:val="0"/>
        <w:bCs/>
        <w:noProof/>
        <w:color w:val="auto"/>
        <w:sz w:val="14"/>
        <w:szCs w:val="14"/>
      </w:rPr>
    </w:sdtEndPr>
    <w:sdtContent>
      <w:p w14:paraId="3953B89C" w14:textId="1030EDE6" w:rsidR="005B6E0B" w:rsidRPr="009D31D6" w:rsidRDefault="009D31D6">
        <w:pPr>
          <w:pStyle w:val="Footer"/>
          <w:rPr>
            <w:rFonts w:ascii="Work Sans" w:hAnsi="Work Sans"/>
            <w:b w:val="0"/>
            <w:bCs/>
            <w:color w:val="auto"/>
            <w:sz w:val="14"/>
            <w:szCs w:val="14"/>
          </w:rPr>
        </w:pPr>
        <w:r w:rsidRPr="00E70B96">
          <w:rPr>
            <w:rFonts w:ascii="Open Sans Semibold" w:hAnsi="Open Sans Semibold" w:cs="Open Sans Semibold"/>
            <w:b w:val="0"/>
            <w:bCs/>
            <w:color w:val="006991"/>
            <w:sz w:val="14"/>
            <w:szCs w:val="14"/>
          </w:rPr>
          <w:t>Commonwealth Grants Commission</w:t>
        </w:r>
        <w:r w:rsidRPr="00E70B96">
          <w:rPr>
            <w:rFonts w:ascii="Work Sans" w:hAnsi="Work Sans"/>
            <w:b w:val="0"/>
            <w:bCs/>
            <w:color w:val="auto"/>
            <w:sz w:val="14"/>
            <w:szCs w:val="14"/>
          </w:rPr>
          <w:t xml:space="preserve"> </w:t>
        </w:r>
        <w:r>
          <w:rPr>
            <w:rFonts w:ascii="Open Sans" w:hAnsi="Open Sans" w:cs="Open Sans"/>
            <w:b w:val="0"/>
            <w:bCs/>
            <w:color w:val="auto"/>
            <w:sz w:val="14"/>
            <w:szCs w:val="14"/>
          </w:rPr>
          <w:t>GST Relativities 2025–26</w:t>
        </w:r>
        <w:r>
          <w:rPr>
            <w:rFonts w:ascii="Open Sans" w:hAnsi="Open Sans" w:cs="Open Sans"/>
            <w:b w:val="0"/>
            <w:bCs/>
            <w:color w:val="auto"/>
            <w:sz w:val="14"/>
            <w:szCs w:val="14"/>
          </w:rPr>
          <w:tab/>
        </w:r>
        <w:r>
          <w:rPr>
            <w:rFonts w:ascii="Open Sans" w:hAnsi="Open Sans" w:cs="Open Sans"/>
            <w:b w:val="0"/>
            <w:bCs/>
            <w:color w:val="auto"/>
            <w:sz w:val="14"/>
            <w:szCs w:val="14"/>
          </w:rPr>
          <w:tab/>
        </w:r>
        <w:r w:rsidR="005B6E0B" w:rsidRPr="009D31D6">
          <w:rPr>
            <w:rFonts w:ascii="Work Sans" w:hAnsi="Work Sans"/>
            <w:b w:val="0"/>
            <w:bCs/>
            <w:color w:val="auto"/>
            <w:sz w:val="14"/>
            <w:szCs w:val="14"/>
          </w:rPr>
          <w:fldChar w:fldCharType="begin"/>
        </w:r>
        <w:r w:rsidR="005B6E0B" w:rsidRPr="009D31D6">
          <w:rPr>
            <w:rFonts w:ascii="Work Sans" w:hAnsi="Work Sans"/>
            <w:b w:val="0"/>
            <w:bCs/>
            <w:color w:val="auto"/>
            <w:sz w:val="14"/>
            <w:szCs w:val="14"/>
          </w:rPr>
          <w:instrText xml:space="preserve"> PAGE   \* MERGEFORMAT </w:instrText>
        </w:r>
        <w:r w:rsidR="005B6E0B" w:rsidRPr="009D31D6">
          <w:rPr>
            <w:rFonts w:ascii="Work Sans" w:hAnsi="Work Sans"/>
            <w:b w:val="0"/>
            <w:bCs/>
            <w:color w:val="auto"/>
            <w:sz w:val="14"/>
            <w:szCs w:val="14"/>
          </w:rPr>
          <w:fldChar w:fldCharType="separate"/>
        </w:r>
        <w:r w:rsidR="005B6E0B" w:rsidRPr="009D31D6">
          <w:rPr>
            <w:rFonts w:ascii="Work Sans" w:hAnsi="Work Sans"/>
            <w:b w:val="0"/>
            <w:bCs/>
            <w:noProof/>
            <w:color w:val="auto"/>
            <w:sz w:val="14"/>
            <w:szCs w:val="14"/>
          </w:rPr>
          <w:t>2</w:t>
        </w:r>
        <w:r w:rsidR="005B6E0B" w:rsidRPr="009D31D6">
          <w:rPr>
            <w:rFonts w:ascii="Work Sans" w:hAnsi="Work Sans"/>
            <w:b w:val="0"/>
            <w:bCs/>
            <w:noProof/>
            <w:color w:val="auto"/>
            <w:sz w:val="14"/>
            <w:szCs w:val="14"/>
          </w:rPr>
          <w:fldChar w:fldCharType="end"/>
        </w:r>
      </w:p>
    </w:sdtContent>
  </w:sdt>
  <w:p w14:paraId="2742424A" w14:textId="77777777" w:rsidR="00C66676" w:rsidRDefault="00C66676" w:rsidP="00027AB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94BBE" w14:textId="1DAE8887" w:rsidR="00BA2181" w:rsidRDefault="002225BF">
    <w:pPr>
      <w:pStyle w:val="Footer"/>
    </w:pPr>
    <w:r>
      <w:rPr>
        <w:noProof/>
      </w:rPr>
      <mc:AlternateContent>
        <mc:Choice Requires="wps">
          <w:drawing>
            <wp:anchor distT="0" distB="0" distL="114300" distR="114300" simplePos="0" relativeHeight="251658241" behindDoc="0" locked="0" layoutInCell="1" allowOverlap="1" wp14:anchorId="01E576DD" wp14:editId="4F45F2F3">
              <wp:simplePos x="0" y="0"/>
              <wp:positionH relativeFrom="margin">
                <wp:posOffset>152400</wp:posOffset>
              </wp:positionH>
              <wp:positionV relativeFrom="paragraph">
                <wp:posOffset>-3542602</wp:posOffset>
              </wp:positionV>
              <wp:extent cx="5444490" cy="2381250"/>
              <wp:effectExtent l="0" t="0" r="0" b="0"/>
              <wp:wrapNone/>
              <wp:docPr id="37" name="Text Box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4490" cy="2381250"/>
                      </a:xfrm>
                      <a:prstGeom prst="rect">
                        <a:avLst/>
                      </a:prstGeom>
                      <a:noFill/>
                      <a:ln w="6350">
                        <a:noFill/>
                      </a:ln>
                    </wps:spPr>
                    <wps:txbx>
                      <w:txbxContent>
                        <w:p w14:paraId="728DF12F" w14:textId="77777777" w:rsidR="007120AE" w:rsidRDefault="007120AE" w:rsidP="007120AE">
                          <w:pPr>
                            <w:spacing w:before="0" w:line="240" w:lineRule="auto"/>
                            <w:jc w:val="center"/>
                            <w:rPr>
                              <w:rFonts w:cs="Open Sans Semibold"/>
                              <w:bCs/>
                              <w:color w:val="FFFFFF"/>
                              <w:sz w:val="56"/>
                              <w:szCs w:val="56"/>
                            </w:rPr>
                          </w:pPr>
                        </w:p>
                        <w:p w14:paraId="6F09B338" w14:textId="77777777" w:rsidR="00544C1B" w:rsidRPr="006C19B1" w:rsidRDefault="00544C1B" w:rsidP="007120AE">
                          <w:pPr>
                            <w:spacing w:before="0" w:line="240" w:lineRule="auto"/>
                            <w:jc w:val="center"/>
                            <w:rPr>
                              <w:rFonts w:cs="Open Sans Semibold"/>
                              <w:bCs/>
                              <w:color w:val="FFFFFF"/>
                              <w:sz w:val="32"/>
                              <w:szCs w:val="32"/>
                            </w:rPr>
                          </w:pPr>
                        </w:p>
                        <w:p w14:paraId="4A6A967A" w14:textId="3A874476" w:rsidR="007120AE" w:rsidRPr="006C19B1" w:rsidRDefault="00596562" w:rsidP="007120AE">
                          <w:pPr>
                            <w:spacing w:before="0" w:line="240" w:lineRule="auto"/>
                            <w:jc w:val="center"/>
                            <w:rPr>
                              <w:rFonts w:cs="Open Sans Semibold"/>
                              <w:bCs/>
                              <w:color w:val="FFFFFF"/>
                              <w:sz w:val="32"/>
                              <w:szCs w:val="32"/>
                            </w:rPr>
                          </w:pPr>
                          <w:r>
                            <w:rPr>
                              <w:rFonts w:cs="Open Sans Semibold"/>
                              <w:bCs/>
                              <w:color w:val="FFFFFF"/>
                              <w:sz w:val="32"/>
                              <w:szCs w:val="32"/>
                            </w:rPr>
                            <w:t>March</w:t>
                          </w:r>
                          <w:r w:rsidR="007120AE" w:rsidRPr="006C19B1">
                            <w:rPr>
                              <w:rFonts w:cs="Open Sans Semibold"/>
                              <w:bCs/>
                              <w:color w:val="FFFFFF"/>
                              <w:sz w:val="32"/>
                              <w:szCs w:val="32"/>
                            </w:rPr>
                            <w:t xml:space="preserve"> 202</w:t>
                          </w:r>
                          <w:r w:rsidR="0071239A">
                            <w:rPr>
                              <w:rFonts w:cs="Open Sans Semibold"/>
                              <w:bCs/>
                              <w:color w:val="FFFFFF"/>
                              <w:sz w:val="32"/>
                              <w:szCs w:val="3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E576DD" id="_x0000_t202" coordsize="21600,21600" o:spt="202" path="m,l,21600r21600,l21600,xe">
              <v:stroke joinstyle="miter"/>
              <v:path gradientshapeok="t" o:connecttype="rect"/>
            </v:shapetype>
            <v:shape id="Text Box 37" o:spid="_x0000_s1049" type="#_x0000_t202" alt="&quot;&quot;" style="position:absolute;left:0;text-align:left;margin-left:12pt;margin-top:-278.95pt;width:428.7pt;height:187.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" filled="f" stroked="f" strokeweight=".5pt">
              <v:textbox>
                <w:txbxContent>
                  <w:p w14:paraId="728DF12F" w14:textId="77777777" w:rsidR="007120AE" w:rsidRDefault="007120AE" w:rsidP="007120AE">
                    <w:pPr>
                      <w:spacing w:before="0" w:line="240" w:lineRule="auto"/>
                      <w:jc w:val="center"/>
                      <w:rPr>
                        <w:rFonts w:cs="Open Sans Semibold"/>
                        <w:bCs/>
                        <w:color w:val="FFFFFF"/>
                        <w:sz w:val="56"/>
                        <w:szCs w:val="56"/>
                      </w:rPr>
                    </w:pPr>
                  </w:p>
                  <w:p w14:paraId="6F09B338" w14:textId="77777777" w:rsidR="00544C1B" w:rsidRPr="006C19B1" w:rsidRDefault="00544C1B" w:rsidP="007120AE">
                    <w:pPr>
                      <w:spacing w:before="0" w:line="240" w:lineRule="auto"/>
                      <w:jc w:val="center"/>
                      <w:rPr>
                        <w:rFonts w:cs="Open Sans Semibold"/>
                        <w:bCs/>
                        <w:color w:val="FFFFFF"/>
                        <w:sz w:val="32"/>
                        <w:szCs w:val="32"/>
                      </w:rPr>
                    </w:pPr>
                  </w:p>
                  <w:p w14:paraId="4A6A967A" w14:textId="3A874476" w:rsidR="007120AE" w:rsidRPr="006C19B1" w:rsidRDefault="00596562" w:rsidP="007120AE">
                    <w:pPr>
                      <w:spacing w:before="0" w:line="240" w:lineRule="auto"/>
                      <w:jc w:val="center"/>
                      <w:rPr>
                        <w:rFonts w:cs="Open Sans Semibold"/>
                        <w:bCs/>
                        <w:color w:val="FFFFFF"/>
                        <w:sz w:val="32"/>
                        <w:szCs w:val="32"/>
                      </w:rPr>
                    </w:pPr>
                    <w:r>
                      <w:rPr>
                        <w:rFonts w:cs="Open Sans Semibold"/>
                        <w:bCs/>
                        <w:color w:val="FFFFFF"/>
                        <w:sz w:val="32"/>
                        <w:szCs w:val="32"/>
                      </w:rPr>
                      <w:t>March</w:t>
                    </w:r>
                    <w:r w:rsidR="007120AE" w:rsidRPr="006C19B1">
                      <w:rPr>
                        <w:rFonts w:cs="Open Sans Semibold"/>
                        <w:bCs/>
                        <w:color w:val="FFFFFF"/>
                        <w:sz w:val="32"/>
                        <w:szCs w:val="32"/>
                      </w:rPr>
                      <w:t xml:space="preserve"> 202</w:t>
                    </w:r>
                    <w:r w:rsidR="0071239A">
                      <w:rPr>
                        <w:rFonts w:cs="Open Sans Semibold"/>
                        <w:bCs/>
                        <w:color w:val="FFFFFF"/>
                        <w:sz w:val="32"/>
                        <w:szCs w:val="32"/>
                      </w:rPr>
                      <w:t>5</w:t>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CD270B" w14:textId="77777777" w:rsidR="004621AC" w:rsidRPr="00741AE5" w:rsidRDefault="004621AC" w:rsidP="00027AB4">
      <w:pPr>
        <w:rPr>
          <w:color w:val="ADD6EA"/>
        </w:rPr>
      </w:pPr>
      <w:r w:rsidRPr="00741AE5">
        <w:rPr>
          <w:color w:val="ADD6EA"/>
        </w:rPr>
        <w:separator/>
      </w:r>
    </w:p>
  </w:footnote>
  <w:footnote w:type="continuationSeparator" w:id="0">
    <w:p w14:paraId="2D80E699" w14:textId="77777777" w:rsidR="004621AC" w:rsidRDefault="004621AC" w:rsidP="00027AB4">
      <w:r>
        <w:continuationSeparator/>
      </w:r>
    </w:p>
    <w:p w14:paraId="451B3401" w14:textId="77777777" w:rsidR="004621AC" w:rsidRDefault="004621AC" w:rsidP="00027AB4"/>
  </w:footnote>
  <w:footnote w:type="continuationNotice" w:id="1">
    <w:p w14:paraId="7F42DF6E" w14:textId="77777777" w:rsidR="004621AC" w:rsidRDefault="004621AC" w:rsidP="00027AB4"/>
    <w:p w14:paraId="43828C47" w14:textId="77777777" w:rsidR="004621AC" w:rsidRDefault="004621AC" w:rsidP="00027AB4"/>
  </w:footnote>
  <w:footnote w:id="2">
    <w:p w14:paraId="4BB94A49" w14:textId="77777777" w:rsidR="004A4FD0" w:rsidRDefault="004A4FD0" w:rsidP="004A4FD0">
      <w:pPr>
        <w:pStyle w:val="FootnoteText"/>
      </w:pPr>
      <w:r>
        <w:rPr>
          <w:rStyle w:val="FootnoteReference"/>
        </w:rPr>
        <w:footnoteRef/>
      </w:r>
      <w:r>
        <w:t xml:space="preserve"> </w:t>
      </w:r>
      <w:r>
        <w:rPr>
          <w:i/>
          <w:iCs/>
        </w:rPr>
        <w:t>Treasury Laws Amendment (Making Sure Every State and Territory Gets Their Fair Share of the GST) Act 2018 (</w:t>
      </w:r>
      <w:r w:rsidRPr="00231884">
        <w:t>Cth</w:t>
      </w:r>
      <w:r>
        <w:rPr>
          <w:i/>
          <w:iCs/>
        </w:rPr>
        <w:t>).</w:t>
      </w:r>
    </w:p>
  </w:footnote>
  <w:footnote w:id="3">
    <w:p w14:paraId="7CAC05D4" w14:textId="02B6DB56" w:rsidR="00FF5D8B" w:rsidRDefault="00FF5D8B" w:rsidP="00FF5D8B">
      <w:pPr>
        <w:pStyle w:val="FootnoteText"/>
        <w:ind w:left="112" w:hanging="112"/>
      </w:pPr>
      <w:r>
        <w:rPr>
          <w:rStyle w:val="FootnoteReference"/>
        </w:rPr>
        <w:footnoteRef/>
      </w:r>
      <w:r>
        <w:t xml:space="preserve"> </w:t>
      </w:r>
      <w:r w:rsidR="0056021A" w:rsidRPr="00867E19">
        <w:t>Commonwealth</w:t>
      </w:r>
      <w:r w:rsidR="00CF5A06" w:rsidRPr="00867E19">
        <w:t xml:space="preserve"> </w:t>
      </w:r>
      <w:r w:rsidR="000F7F94" w:rsidRPr="00867E19">
        <w:rPr>
          <w:szCs w:val="14"/>
        </w:rPr>
        <w:t xml:space="preserve">Treasury, </w:t>
      </w:r>
      <w:hyperlink r:id="rId1" w:anchor=":~:text=This%20Agreement%20will%20assist%20states,providing%20untied%20payments%20to%20states." w:history="1">
        <w:r w:rsidR="00D075D8" w:rsidRPr="00867E19">
          <w:rPr>
            <w:rStyle w:val="Hyperlink"/>
            <w:szCs w:val="14"/>
          </w:rPr>
          <w:t>Extension of the GST No Worse Off Guarantee</w:t>
        </w:r>
      </w:hyperlink>
      <w:r w:rsidR="00127E4B" w:rsidRPr="00867E19">
        <w:rPr>
          <w:szCs w:val="14"/>
        </w:rPr>
        <w:t xml:space="preserve">, </w:t>
      </w:r>
      <w:r w:rsidR="006B1784" w:rsidRPr="00867E19">
        <w:rPr>
          <w:szCs w:val="14"/>
        </w:rPr>
        <w:t>Federal Financial Relations,</w:t>
      </w:r>
      <w:r w:rsidR="001B5264" w:rsidRPr="00867E19">
        <w:rPr>
          <w:szCs w:val="14"/>
        </w:rPr>
        <w:t xml:space="preserve"> 2024, accessed </w:t>
      </w:r>
      <w:r w:rsidR="0098541B" w:rsidRPr="00867E19">
        <w:rPr>
          <w:szCs w:val="14"/>
        </w:rPr>
        <w:t>4 February 2025.</w:t>
      </w:r>
      <w:r w:rsidR="006B1784">
        <w:rPr>
          <w:szCs w:val="14"/>
        </w:rPr>
        <w:t xml:space="preserve"> </w:t>
      </w:r>
    </w:p>
  </w:footnote>
  <w:footnote w:id="4">
    <w:p w14:paraId="40B0061F" w14:textId="7E98B42A" w:rsidR="003878AE" w:rsidRDefault="003878AE">
      <w:pPr>
        <w:pStyle w:val="FootnoteText"/>
      </w:pPr>
      <w:r>
        <w:rPr>
          <w:rStyle w:val="FootnoteReference"/>
        </w:rPr>
        <w:footnoteRef/>
      </w:r>
      <w:r>
        <w:t xml:space="preserve"> The </w:t>
      </w:r>
      <w:r w:rsidR="00F8111D">
        <w:t>202</w:t>
      </w:r>
      <w:r w:rsidR="00367430">
        <w:t>5–26</w:t>
      </w:r>
      <w:r w:rsidR="00F8111D">
        <w:t xml:space="preserve"> Final Budget Outcome</w:t>
      </w:r>
      <w:r w:rsidR="00D812BB">
        <w:t xml:space="preserve"> would </w:t>
      </w:r>
      <w:r w:rsidR="00464FCB">
        <w:t xml:space="preserve">be expected to be published around September </w:t>
      </w:r>
      <w:r w:rsidR="00EE5E29">
        <w:t>20</w:t>
      </w:r>
      <w:r w:rsidR="00F14B3F">
        <w:t>26.</w:t>
      </w:r>
    </w:p>
  </w:footnote>
  <w:footnote w:id="5">
    <w:p w14:paraId="6E074F5E" w14:textId="77777777" w:rsidR="00F01B70" w:rsidRDefault="00F01B70" w:rsidP="00F01B70">
      <w:pPr>
        <w:pStyle w:val="FootnoteText"/>
      </w:pPr>
      <w:r w:rsidRPr="00FD2225">
        <w:rPr>
          <w:rStyle w:val="FootnoteReference"/>
        </w:rPr>
        <w:footnoteRef/>
      </w:r>
      <w:r w:rsidRPr="00FD2225">
        <w:t xml:space="preserve"> This refers to the ‘application year’ population, which is the year for which the recommended GST relativities will be used to distribute the GST pool.</w:t>
      </w:r>
      <w:r>
        <w:t xml:space="preserve"> </w:t>
      </w:r>
    </w:p>
  </w:footnote>
  <w:footnote w:id="6">
    <w:p w14:paraId="246258F2" w14:textId="093F5D1A" w:rsidR="00214044" w:rsidRPr="00F87F65" w:rsidRDefault="00214044" w:rsidP="00214044">
      <w:pPr>
        <w:pStyle w:val="FootnoteText"/>
        <w:rPr>
          <w:rStyle w:val="FootnoteReference"/>
          <w:sz w:val="14"/>
          <w:szCs w:val="16"/>
          <w:vertAlign w:val="baseline"/>
        </w:rPr>
      </w:pPr>
      <w:r w:rsidRPr="00F87F65">
        <w:rPr>
          <w:rStyle w:val="FootnoteReference"/>
        </w:rPr>
        <w:footnoteRef/>
      </w:r>
      <w:r w:rsidRPr="00F87F65">
        <w:rPr>
          <w:rStyle w:val="FootnoteReference"/>
          <w:sz w:val="14"/>
          <w:szCs w:val="16"/>
          <w:vertAlign w:val="baseline"/>
        </w:rPr>
        <w:t xml:space="preserve"> The GST pool consists of revenue from the GST plus a top</w:t>
      </w:r>
      <w:r w:rsidRPr="00F87F65">
        <w:rPr>
          <w:rStyle w:val="FootnoteReference"/>
          <w:sz w:val="14"/>
          <w:szCs w:val="16"/>
          <w:vertAlign w:val="baseline"/>
        </w:rPr>
        <w:noBreakHyphen/>
        <w:t>up payment from the Commonwealt</w:t>
      </w:r>
      <w:r w:rsidRPr="0051294A">
        <w:rPr>
          <w:rStyle w:val="FootnoteReference"/>
          <w:sz w:val="14"/>
          <w:szCs w:val="16"/>
          <w:vertAlign w:val="baseline"/>
        </w:rPr>
        <w:t>h. See</w:t>
      </w:r>
      <w:r w:rsidR="00776AD4">
        <w:t> </w:t>
      </w:r>
      <w:r w:rsidRPr="0051294A">
        <w:rPr>
          <w:rStyle w:val="FootnoteReference"/>
          <w:sz w:val="14"/>
          <w:szCs w:val="16"/>
          <w:vertAlign w:val="baseline"/>
        </w:rPr>
        <w:t>T</w:t>
      </w:r>
      <w:r w:rsidRPr="0051294A">
        <w:t>reasury,</w:t>
      </w:r>
      <w:r w:rsidR="00776AD4">
        <w:t> </w:t>
      </w:r>
      <w:hyperlink r:id="rId2" w:history="1">
        <w:r w:rsidRPr="0051294A">
          <w:rPr>
            <w:rStyle w:val="Hyperlink"/>
          </w:rPr>
          <w:t>Mid</w:t>
        </w:r>
        <w:r w:rsidR="00776AD4">
          <w:rPr>
            <w:rStyle w:val="Hyperlink"/>
          </w:rPr>
          <w:noBreakHyphen/>
        </w:r>
        <w:r w:rsidRPr="0051294A">
          <w:rPr>
            <w:rStyle w:val="Hyperlink"/>
          </w:rPr>
          <w:t>Year</w:t>
        </w:r>
        <w:r w:rsidR="00776AD4">
          <w:rPr>
            <w:rStyle w:val="Hyperlink"/>
          </w:rPr>
          <w:t> </w:t>
        </w:r>
        <w:r w:rsidRPr="0051294A">
          <w:rPr>
            <w:rStyle w:val="Hyperlink"/>
          </w:rPr>
          <w:t>Economic and Fiscal Outlook 2024–25</w:t>
        </w:r>
      </w:hyperlink>
      <w:r w:rsidRPr="0051294A">
        <w:t xml:space="preserve">, Australian Government, </w:t>
      </w:r>
      <w:r w:rsidRPr="0051294A">
        <w:rPr>
          <w:rStyle w:val="FootnoteReference"/>
          <w:sz w:val="14"/>
          <w:szCs w:val="16"/>
          <w:vertAlign w:val="baseline"/>
        </w:rPr>
        <w:t>2024, A</w:t>
      </w:r>
      <w:r w:rsidRPr="0051294A">
        <w:t>ppendix C</w:t>
      </w:r>
      <w:r w:rsidRPr="0051294A">
        <w:rPr>
          <w:rStyle w:val="FootnoteReference"/>
          <w:sz w:val="14"/>
          <w:szCs w:val="16"/>
          <w:vertAlign w:val="baseline"/>
        </w:rPr>
        <w:t>, Table C.7.</w:t>
      </w:r>
    </w:p>
  </w:footnote>
  <w:footnote w:id="7">
    <w:p w14:paraId="6A62225B" w14:textId="77777777" w:rsidR="00B351EC" w:rsidRDefault="00B351EC" w:rsidP="00B351EC">
      <w:pPr>
        <w:pStyle w:val="FootnoteText"/>
      </w:pPr>
      <w:r w:rsidRPr="00F11D43">
        <w:rPr>
          <w:rStyle w:val="FootnoteReference"/>
        </w:rPr>
        <w:footnoteRef/>
      </w:r>
      <w:r w:rsidRPr="00F11D43">
        <w:t xml:space="preserve"> The Commission only makes this type of adjustment for its actual per capita assessment</w:t>
      </w:r>
      <w:r>
        <w:t xml:space="preserve"> of natural disaster expenses</w:t>
      </w:r>
      <w:r w:rsidRPr="00F11D43">
        <w:t>.</w:t>
      </w:r>
    </w:p>
  </w:footnote>
  <w:footnote w:id="8">
    <w:p w14:paraId="763A4C88" w14:textId="77777777" w:rsidR="00575BE9" w:rsidRDefault="00575BE9" w:rsidP="00575BE9">
      <w:pPr>
        <w:pStyle w:val="FootnoteText"/>
      </w:pPr>
      <w:r>
        <w:rPr>
          <w:rStyle w:val="FootnoteReference"/>
        </w:rPr>
        <w:footnoteRef/>
      </w:r>
      <w:r>
        <w:t xml:space="preserve"> See Attachment A for further details on the calculation of the relativities.</w:t>
      </w:r>
    </w:p>
  </w:footnote>
  <w:footnote w:id="9">
    <w:p w14:paraId="4AA541FA" w14:textId="77777777" w:rsidR="00FC0FA2" w:rsidRDefault="00FC0FA2" w:rsidP="00FC0FA2">
      <w:pPr>
        <w:pStyle w:val="FootnoteText"/>
      </w:pPr>
      <w:r>
        <w:rPr>
          <w:rStyle w:val="FootnoteReference"/>
        </w:rPr>
        <w:footnoteRef/>
      </w:r>
      <w:r>
        <w:t xml:space="preserve"> </w:t>
      </w:r>
      <w:r w:rsidRPr="00054691">
        <w:rPr>
          <w:szCs w:val="14"/>
        </w:rPr>
        <w:t>In 202</w:t>
      </w:r>
      <w:r>
        <w:rPr>
          <w:szCs w:val="14"/>
        </w:rPr>
        <w:t>4</w:t>
      </w:r>
      <w:r w:rsidRPr="00054691">
        <w:rPr>
          <w:szCs w:val="14"/>
        </w:rPr>
        <w:t xml:space="preserve"> the assessment years were 2020–</w:t>
      </w:r>
      <w:r w:rsidRPr="00054691">
        <w:rPr>
          <w:rFonts w:ascii="Arial" w:hAnsi="Arial" w:hint="eastAsia"/>
          <w:szCs w:val="14"/>
          <w:rtl/>
        </w:rPr>
        <w:t>‍</w:t>
      </w:r>
      <w:r w:rsidRPr="00054691">
        <w:rPr>
          <w:szCs w:val="14"/>
        </w:rPr>
        <w:t>21</w:t>
      </w:r>
      <w:r>
        <w:rPr>
          <w:szCs w:val="14"/>
        </w:rPr>
        <w:t>,</w:t>
      </w:r>
      <w:r w:rsidRPr="00054691">
        <w:rPr>
          <w:szCs w:val="14"/>
        </w:rPr>
        <w:t xml:space="preserve"> 2021–</w:t>
      </w:r>
      <w:r w:rsidRPr="00054691">
        <w:rPr>
          <w:rFonts w:ascii="Arial" w:hAnsi="Arial" w:hint="eastAsia"/>
          <w:szCs w:val="14"/>
          <w:rtl/>
        </w:rPr>
        <w:t>‍</w:t>
      </w:r>
      <w:r w:rsidRPr="00054691">
        <w:rPr>
          <w:szCs w:val="14"/>
        </w:rPr>
        <w:t>22</w:t>
      </w:r>
      <w:r>
        <w:rPr>
          <w:szCs w:val="14"/>
        </w:rPr>
        <w:t xml:space="preserve"> and 2022–23</w:t>
      </w:r>
      <w:r w:rsidRPr="00054691">
        <w:rPr>
          <w:szCs w:val="14"/>
        </w:rPr>
        <w:t xml:space="preserve">. </w:t>
      </w:r>
      <w:r>
        <w:rPr>
          <w:szCs w:val="14"/>
        </w:rPr>
        <w:t>In 2025</w:t>
      </w:r>
      <w:r>
        <w:t xml:space="preserve"> the assessment years were 2021–22, 2022–23 and 2023–24.</w:t>
      </w:r>
    </w:p>
  </w:footnote>
  <w:footnote w:id="10">
    <w:p w14:paraId="21F817B7" w14:textId="1C5630A8" w:rsidR="002D440A" w:rsidRPr="005A0A7C" w:rsidRDefault="002D440A" w:rsidP="002D440A">
      <w:pPr>
        <w:pStyle w:val="FootnoteText"/>
        <w:rPr>
          <w:rStyle w:val="FootnoteReference"/>
        </w:rPr>
      </w:pPr>
      <w:r w:rsidRPr="00BC67E0">
        <w:rPr>
          <w:rStyle w:val="FootnoteReference"/>
        </w:rPr>
        <w:footnoteRef/>
      </w:r>
      <w:r w:rsidRPr="00BC67E0">
        <w:rPr>
          <w:rStyle w:val="FootnoteReference"/>
        </w:rPr>
        <w:t xml:space="preserve"> </w:t>
      </w:r>
      <w:r w:rsidRPr="00F87F65">
        <w:t>The terms used in the paragraph are defined in the glossary</w:t>
      </w:r>
      <w:r w:rsidR="00805A27">
        <w:t>,</w:t>
      </w:r>
      <w:r w:rsidRPr="00F87F65">
        <w:t xml:space="preserve"> which is available </w:t>
      </w:r>
      <w:r>
        <w:t xml:space="preserve">on the CGC website: </w:t>
      </w:r>
      <w:hyperlink r:id="rId3" w:history="1">
        <w:r w:rsidRPr="00BD7DE4">
          <w:rPr>
            <w:rStyle w:val="Hyperlink"/>
          </w:rPr>
          <w:t>www.cgc.gov.au/publications/glossary</w:t>
        </w:r>
      </w:hyperlink>
      <w:r>
        <w:t>.</w:t>
      </w:r>
    </w:p>
  </w:footnote>
  <w:footnote w:id="11">
    <w:p w14:paraId="0A98409A" w14:textId="77777777" w:rsidR="00082E98" w:rsidRDefault="00082E98" w:rsidP="00082E98">
      <w:pPr>
        <w:pStyle w:val="Footer1"/>
        <w:ind w:left="98" w:hanging="98"/>
      </w:pPr>
      <w:r w:rsidRPr="004B3CA7">
        <w:rPr>
          <w:vertAlign w:val="superscript"/>
        </w:rPr>
        <w:footnoteRef/>
      </w:r>
      <w:r>
        <w:t xml:space="preserve"> </w:t>
      </w:r>
      <w:r w:rsidRPr="004C7A5E">
        <w:t xml:space="preserve">For more information on the </w:t>
      </w:r>
      <w:r>
        <w:t>GST distribution legislation</w:t>
      </w:r>
      <w:r w:rsidRPr="004C7A5E">
        <w:t xml:space="preserve"> see Commonwealth Grants Commission (CGC), </w:t>
      </w:r>
      <w:hyperlink r:id="rId4" w:tgtFrame="_blank" w:tooltip="https://www.cgc.gov.au/publications/occasional-paper-4-new-arrangements-distributing-gst" w:history="1">
        <w:r w:rsidRPr="00CE1C94">
          <w:rPr>
            <w:color w:val="4F81BD" w:themeColor="accent1"/>
            <w:u w:val="single"/>
          </w:rPr>
          <w:t>Occasional Paper No.4: New arrangements for distributing GST</w:t>
        </w:r>
      </w:hyperlink>
      <w:r w:rsidRPr="004C7A5E">
        <w:t>, CGC, Australian Government, 2023.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661E1" w14:textId="7D4B7162" w:rsidR="007120AE" w:rsidRDefault="007120AE" w:rsidP="007120AE">
    <w:pPr>
      <w:tabs>
        <w:tab w:val="clear" w:pos="567"/>
      </w:tabs>
      <w:spacing w:before="0" w:line="240" w:lineRule="auto"/>
      <w:jc w:val="center"/>
    </w:pPr>
  </w:p>
  <w:p w14:paraId="03BBDAF5" w14:textId="77777777" w:rsidR="00B57C0C" w:rsidRDefault="00B57C0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5CE47" w14:textId="1605C2FC" w:rsidR="007120AE" w:rsidRDefault="00D0358C" w:rsidP="003E0A3A">
    <w:pPr>
      <w:tabs>
        <w:tab w:val="clear" w:pos="567"/>
      </w:tabs>
      <w:spacing w:before="0" w:line="240" w:lineRule="auto"/>
    </w:pPr>
    <w:r>
      <w:rPr>
        <w:noProof/>
      </w:rPr>
      <w:drawing>
        <wp:anchor distT="0" distB="0" distL="114300" distR="114300" simplePos="0" relativeHeight="251658243" behindDoc="1" locked="0" layoutInCell="1" allowOverlap="1" wp14:anchorId="7615F763" wp14:editId="6864C7F2">
          <wp:simplePos x="0" y="0"/>
          <wp:positionH relativeFrom="margin">
            <wp:posOffset>-977030</wp:posOffset>
          </wp:positionH>
          <wp:positionV relativeFrom="paragraph">
            <wp:posOffset>-513568</wp:posOffset>
          </wp:positionV>
          <wp:extent cx="7725600" cy="10922400"/>
          <wp:effectExtent l="0" t="0" r="8890" b="0"/>
          <wp:wrapNone/>
          <wp:docPr id="1714585994" name="Picture 1714585994" descr="A picture containing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fish&#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25600" cy="10922400"/>
                  </a:xfrm>
                  <a:prstGeom prst="rect">
                    <a:avLst/>
                  </a:prstGeom>
                </pic:spPr>
              </pic:pic>
            </a:graphicData>
          </a:graphic>
          <wp14:sizeRelH relativeFrom="margin">
            <wp14:pctWidth>0</wp14:pctWidth>
          </wp14:sizeRelH>
          <wp14:sizeRelV relativeFrom="margin">
            <wp14:pctHeight>0</wp14:pctHeight>
          </wp14:sizeRelV>
        </wp:anchor>
      </w:drawing>
    </w:r>
    <w:r w:rsidR="000D4206">
      <w:rPr>
        <w:noProof/>
      </w:rPr>
      <mc:AlternateContent>
        <mc:Choice Requires="wps">
          <w:drawing>
            <wp:anchor distT="0" distB="0" distL="114300" distR="114300" simplePos="0" relativeHeight="251658242" behindDoc="0" locked="0" layoutInCell="1" allowOverlap="1" wp14:anchorId="29A34CEE" wp14:editId="663B3CBA">
              <wp:simplePos x="0" y="0"/>
              <wp:positionH relativeFrom="margin">
                <wp:align>right</wp:align>
              </wp:positionH>
              <wp:positionV relativeFrom="paragraph">
                <wp:posOffset>1666875</wp:posOffset>
              </wp:positionV>
              <wp:extent cx="5730240" cy="3326765"/>
              <wp:effectExtent l="0" t="0" r="0" b="6985"/>
              <wp:wrapNone/>
              <wp:docPr id="10" name="Text Box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0240" cy="3326765"/>
                      </a:xfrm>
                      <a:prstGeom prst="rect">
                        <a:avLst/>
                      </a:prstGeom>
                      <a:noFill/>
                      <a:ln w="6350">
                        <a:noFill/>
                      </a:ln>
                    </wps:spPr>
                    <wps:txbx>
                      <w:txbxContent>
                        <w:p w14:paraId="597EEF62" w14:textId="77777777" w:rsidR="000D4206" w:rsidRDefault="000D4206" w:rsidP="000D4206">
                          <w:pPr>
                            <w:spacing w:before="0" w:line="240" w:lineRule="auto"/>
                            <w:jc w:val="center"/>
                            <w:rPr>
                              <w:rFonts w:cs="Open Sans Semibold"/>
                              <w:b/>
                              <w:color w:val="FFFFFF"/>
                              <w:sz w:val="72"/>
                              <w:szCs w:val="72"/>
                            </w:rPr>
                          </w:pPr>
                        </w:p>
                        <w:p w14:paraId="75B26128" w14:textId="77777777" w:rsidR="000D4206" w:rsidRDefault="000D4206" w:rsidP="000D4206">
                          <w:pPr>
                            <w:spacing w:before="0" w:line="240" w:lineRule="auto"/>
                            <w:jc w:val="center"/>
                            <w:rPr>
                              <w:rFonts w:cs="Open Sans Semibold"/>
                              <w:b/>
                              <w:color w:val="FFFFFF"/>
                              <w:sz w:val="72"/>
                              <w:szCs w:val="72"/>
                            </w:rPr>
                          </w:pPr>
                        </w:p>
                        <w:p w14:paraId="57464493" w14:textId="6B5A7E82" w:rsidR="000D4206" w:rsidRPr="00772FA8" w:rsidRDefault="00A21C80" w:rsidP="000D4206">
                          <w:pPr>
                            <w:spacing w:before="0" w:line="240" w:lineRule="auto"/>
                            <w:jc w:val="center"/>
                            <w:rPr>
                              <w:rFonts w:cs="Open Sans Semibold"/>
                              <w:b/>
                              <w:color w:val="FFFFFF"/>
                              <w:sz w:val="64"/>
                              <w:szCs w:val="64"/>
                            </w:rPr>
                          </w:pPr>
                          <w:r w:rsidRPr="00772FA8">
                            <w:rPr>
                              <w:rFonts w:cs="Open Sans Semibold"/>
                              <w:b/>
                              <w:color w:val="FFFFFF"/>
                              <w:sz w:val="64"/>
                              <w:szCs w:val="64"/>
                            </w:rPr>
                            <w:t>GST Relativities</w:t>
                          </w:r>
                          <w:r w:rsidR="00342F74" w:rsidRPr="00772FA8">
                            <w:rPr>
                              <w:rFonts w:cs="Open Sans Semibold"/>
                              <w:b/>
                              <w:color w:val="FFFFFF"/>
                              <w:sz w:val="64"/>
                              <w:szCs w:val="64"/>
                            </w:rPr>
                            <w:t xml:space="preserve"> </w:t>
                          </w:r>
                          <w:r w:rsidR="000D4206" w:rsidRPr="00772FA8">
                            <w:rPr>
                              <w:rFonts w:cs="Open Sans Semibold"/>
                              <w:b/>
                              <w:color w:val="FFFFFF"/>
                              <w:sz w:val="64"/>
                              <w:szCs w:val="64"/>
                            </w:rPr>
                            <w:t>2025</w:t>
                          </w:r>
                          <w:r w:rsidR="001E53AA">
                            <w:rPr>
                              <w:rFonts w:cs="Open Sans Semibold"/>
                              <w:b/>
                              <w:color w:val="FFFFFF"/>
                              <w:sz w:val="64"/>
                              <w:szCs w:val="64"/>
                            </w:rPr>
                            <w:t>–</w:t>
                          </w:r>
                          <w:r w:rsidRPr="00772FA8">
                            <w:rPr>
                              <w:rFonts w:cs="Open Sans Semibold"/>
                              <w:b/>
                              <w:color w:val="FFFFFF"/>
                              <w:sz w:val="64"/>
                              <w:szCs w:val="64"/>
                            </w:rPr>
                            <w:t>26</w:t>
                          </w:r>
                          <w:r w:rsidR="000D4206" w:rsidRPr="00772FA8">
                            <w:rPr>
                              <w:rFonts w:cs="Open Sans Semibold"/>
                              <w:b/>
                              <w:color w:val="FFFFFF"/>
                              <w:sz w:val="64"/>
                              <w:szCs w:val="64"/>
                            </w:rPr>
                            <w:t xml:space="preserve"> </w:t>
                          </w:r>
                          <w:r w:rsidR="000D4206" w:rsidRPr="00772FA8">
                            <w:rPr>
                              <w:rFonts w:cs="Open Sans Semibold"/>
                              <w:b/>
                              <w:color w:val="FFFFFF"/>
                              <w:sz w:val="64"/>
                              <w:szCs w:val="64"/>
                            </w:rPr>
                            <w:br/>
                          </w:r>
                        </w:p>
                        <w:p w14:paraId="3DC19DC9" w14:textId="77777777" w:rsidR="000D4206" w:rsidRPr="00F7761F" w:rsidRDefault="000D4206" w:rsidP="000D4206">
                          <w:pPr>
                            <w:spacing w:before="0" w:line="240" w:lineRule="auto"/>
                            <w:jc w:val="center"/>
                            <w:rPr>
                              <w:rFonts w:cs="Open Sans Semibold"/>
                              <w:b/>
                              <w:color w:val="FFFFFF"/>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A34CEE" id="_x0000_t202" coordsize="21600,21600" o:spt="202" path="m,l,21600r21600,l21600,xe">
              <v:stroke joinstyle="miter"/>
              <v:path gradientshapeok="t" o:connecttype="rect"/>
            </v:shapetype>
            <v:shape id="Text Box 10" o:spid="_x0000_s1047" type="#_x0000_t202" alt="&quot;&quot;" style="position:absolute;margin-left:400pt;margin-top:131.25pt;width:451.2pt;height:261.95pt;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" filled="f" stroked="f" strokeweight=".5pt">
              <v:textbox>
                <w:txbxContent>
                  <w:p w14:paraId="597EEF62" w14:textId="77777777" w:rsidR="000D4206" w:rsidRDefault="000D4206" w:rsidP="000D4206">
                    <w:pPr>
                      <w:spacing w:before="0" w:line="240" w:lineRule="auto"/>
                      <w:jc w:val="center"/>
                      <w:rPr>
                        <w:rFonts w:cs="Open Sans Semibold"/>
                        <w:b/>
                        <w:color w:val="FFFFFF"/>
                        <w:sz w:val="72"/>
                        <w:szCs w:val="72"/>
                      </w:rPr>
                    </w:pPr>
                  </w:p>
                  <w:p w14:paraId="75B26128" w14:textId="77777777" w:rsidR="000D4206" w:rsidRDefault="000D4206" w:rsidP="000D4206">
                    <w:pPr>
                      <w:spacing w:before="0" w:line="240" w:lineRule="auto"/>
                      <w:jc w:val="center"/>
                      <w:rPr>
                        <w:rFonts w:cs="Open Sans Semibold"/>
                        <w:b/>
                        <w:color w:val="FFFFFF"/>
                        <w:sz w:val="72"/>
                        <w:szCs w:val="72"/>
                      </w:rPr>
                    </w:pPr>
                  </w:p>
                  <w:p w14:paraId="57464493" w14:textId="6B5A7E82" w:rsidR="000D4206" w:rsidRPr="00772FA8" w:rsidRDefault="00A21C80" w:rsidP="000D4206">
                    <w:pPr>
                      <w:spacing w:before="0" w:line="240" w:lineRule="auto"/>
                      <w:jc w:val="center"/>
                      <w:rPr>
                        <w:rFonts w:cs="Open Sans Semibold"/>
                        <w:b/>
                        <w:color w:val="FFFFFF"/>
                        <w:sz w:val="64"/>
                        <w:szCs w:val="64"/>
                      </w:rPr>
                    </w:pPr>
                    <w:r w:rsidRPr="00772FA8">
                      <w:rPr>
                        <w:rFonts w:cs="Open Sans Semibold"/>
                        <w:b/>
                        <w:color w:val="FFFFFF"/>
                        <w:sz w:val="64"/>
                        <w:szCs w:val="64"/>
                      </w:rPr>
                      <w:t>GST Relativities</w:t>
                    </w:r>
                    <w:r w:rsidR="00342F74" w:rsidRPr="00772FA8">
                      <w:rPr>
                        <w:rFonts w:cs="Open Sans Semibold"/>
                        <w:b/>
                        <w:color w:val="FFFFFF"/>
                        <w:sz w:val="64"/>
                        <w:szCs w:val="64"/>
                      </w:rPr>
                      <w:t xml:space="preserve"> </w:t>
                    </w:r>
                    <w:r w:rsidR="000D4206" w:rsidRPr="00772FA8">
                      <w:rPr>
                        <w:rFonts w:cs="Open Sans Semibold"/>
                        <w:b/>
                        <w:color w:val="FFFFFF"/>
                        <w:sz w:val="64"/>
                        <w:szCs w:val="64"/>
                      </w:rPr>
                      <w:t>2025</w:t>
                    </w:r>
                    <w:r w:rsidR="001E53AA">
                      <w:rPr>
                        <w:rFonts w:cs="Open Sans Semibold"/>
                        <w:b/>
                        <w:color w:val="FFFFFF"/>
                        <w:sz w:val="64"/>
                        <w:szCs w:val="64"/>
                      </w:rPr>
                      <w:t>–</w:t>
                    </w:r>
                    <w:r w:rsidRPr="00772FA8">
                      <w:rPr>
                        <w:rFonts w:cs="Open Sans Semibold"/>
                        <w:b/>
                        <w:color w:val="FFFFFF"/>
                        <w:sz w:val="64"/>
                        <w:szCs w:val="64"/>
                      </w:rPr>
                      <w:t>26</w:t>
                    </w:r>
                    <w:r w:rsidR="000D4206" w:rsidRPr="00772FA8">
                      <w:rPr>
                        <w:rFonts w:cs="Open Sans Semibold"/>
                        <w:b/>
                        <w:color w:val="FFFFFF"/>
                        <w:sz w:val="64"/>
                        <w:szCs w:val="64"/>
                      </w:rPr>
                      <w:t xml:space="preserve"> </w:t>
                    </w:r>
                    <w:r w:rsidR="000D4206" w:rsidRPr="00772FA8">
                      <w:rPr>
                        <w:rFonts w:cs="Open Sans Semibold"/>
                        <w:b/>
                        <w:color w:val="FFFFFF"/>
                        <w:sz w:val="64"/>
                        <w:szCs w:val="64"/>
                      </w:rPr>
                      <w:br/>
                    </w:r>
                  </w:p>
                  <w:p w14:paraId="3DC19DC9" w14:textId="77777777" w:rsidR="000D4206" w:rsidRPr="00F7761F" w:rsidRDefault="000D4206" w:rsidP="000D4206">
                    <w:pPr>
                      <w:spacing w:before="0" w:line="240" w:lineRule="auto"/>
                      <w:jc w:val="center"/>
                      <w:rPr>
                        <w:rFonts w:cs="Open Sans Semibold"/>
                        <w:b/>
                        <w:color w:val="FFFFFF"/>
                        <w:sz w:val="72"/>
                        <w:szCs w:val="72"/>
                      </w:rPr>
                    </w:pPr>
                  </w:p>
                </w:txbxContent>
              </v:textbox>
              <w10:wrap anchorx="margin"/>
            </v:shape>
          </w:pict>
        </mc:Fallback>
      </mc:AlternateContent>
    </w:r>
    <w:r w:rsidR="007120AE">
      <w:rPr>
        <w:noProof/>
      </w:rPr>
      <mc:AlternateContent>
        <mc:Choice Requires="wps">
          <w:drawing>
            <wp:anchor distT="0" distB="0" distL="114300" distR="114300" simplePos="0" relativeHeight="251658240" behindDoc="0" locked="0" layoutInCell="1" allowOverlap="1" wp14:anchorId="7D3D10BF" wp14:editId="0E36159C">
              <wp:simplePos x="0" y="0"/>
              <wp:positionH relativeFrom="margin">
                <wp:align>right</wp:align>
              </wp:positionH>
              <wp:positionV relativeFrom="paragraph">
                <wp:posOffset>1320800</wp:posOffset>
              </wp:positionV>
              <wp:extent cx="5730240" cy="3326765"/>
              <wp:effectExtent l="0" t="0" r="0" b="6985"/>
              <wp:wrapNone/>
              <wp:docPr id="36" name="Text Box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0240" cy="3326765"/>
                      </a:xfrm>
                      <a:prstGeom prst="rect">
                        <a:avLst/>
                      </a:prstGeom>
                      <a:noFill/>
                      <a:ln w="6350">
                        <a:noFill/>
                      </a:ln>
                    </wps:spPr>
                    <wps:txbx>
                      <w:txbxContent>
                        <w:p w14:paraId="742B8DE2" w14:textId="77777777" w:rsidR="00E21414" w:rsidRDefault="00E21414" w:rsidP="007120AE">
                          <w:pPr>
                            <w:spacing w:before="0" w:line="240" w:lineRule="auto"/>
                            <w:jc w:val="center"/>
                            <w:rPr>
                              <w:rFonts w:cs="Open Sans Semibold"/>
                              <w:b/>
                              <w:color w:val="FFFFFF"/>
                              <w:sz w:val="72"/>
                              <w:szCs w:val="72"/>
                            </w:rPr>
                          </w:pPr>
                        </w:p>
                        <w:p w14:paraId="1DB546BF" w14:textId="77777777" w:rsidR="006437A7" w:rsidRDefault="006437A7" w:rsidP="007120AE">
                          <w:pPr>
                            <w:spacing w:before="0" w:line="240" w:lineRule="auto"/>
                            <w:jc w:val="center"/>
                            <w:rPr>
                              <w:rFonts w:cs="Open Sans Semibold"/>
                              <w:b/>
                              <w:color w:val="FFFFFF"/>
                              <w:sz w:val="72"/>
                              <w:szCs w:val="72"/>
                            </w:rPr>
                          </w:pPr>
                        </w:p>
                        <w:p w14:paraId="737F7FDE" w14:textId="77777777" w:rsidR="002D48FD" w:rsidRDefault="002D48FD" w:rsidP="007120AE">
                          <w:pPr>
                            <w:spacing w:before="0" w:line="240" w:lineRule="auto"/>
                            <w:jc w:val="center"/>
                            <w:rPr>
                              <w:rFonts w:cs="Open Sans Semibold"/>
                              <w:b/>
                              <w:color w:val="FFFFFF"/>
                              <w:sz w:val="72"/>
                              <w:szCs w:val="72"/>
                            </w:rPr>
                          </w:pPr>
                        </w:p>
                        <w:p w14:paraId="675CC5AF" w14:textId="77777777" w:rsidR="002D48FD" w:rsidRDefault="002D48FD" w:rsidP="007120AE">
                          <w:pPr>
                            <w:spacing w:before="0" w:line="240" w:lineRule="auto"/>
                            <w:jc w:val="center"/>
                            <w:rPr>
                              <w:rFonts w:cs="Open Sans Semibold"/>
                              <w:b/>
                              <w:color w:val="FFFFFF"/>
                              <w:sz w:val="72"/>
                              <w:szCs w:val="72"/>
                            </w:rPr>
                          </w:pPr>
                        </w:p>
                        <w:p w14:paraId="6A75CDFB" w14:textId="77777777" w:rsidR="002D48FD" w:rsidRDefault="002D48FD" w:rsidP="007120AE">
                          <w:pPr>
                            <w:spacing w:before="0" w:line="240" w:lineRule="auto"/>
                            <w:jc w:val="center"/>
                            <w:rPr>
                              <w:rFonts w:cs="Open Sans Semibold"/>
                              <w:b/>
                              <w:color w:val="FFFFFF"/>
                              <w:sz w:val="72"/>
                              <w:szCs w:val="72"/>
                            </w:rPr>
                          </w:pPr>
                        </w:p>
                        <w:p w14:paraId="7F9E3CE9" w14:textId="77777777" w:rsidR="002D48FD" w:rsidRDefault="002D48FD" w:rsidP="007120AE">
                          <w:pPr>
                            <w:spacing w:before="0" w:line="240" w:lineRule="auto"/>
                            <w:jc w:val="center"/>
                            <w:rPr>
                              <w:rFonts w:cs="Open Sans Semibold"/>
                              <w:b/>
                              <w:color w:val="FFFFFF"/>
                              <w:sz w:val="72"/>
                              <w:szCs w:val="72"/>
                            </w:rPr>
                          </w:pPr>
                        </w:p>
                        <w:p w14:paraId="63B79F1C" w14:textId="77777777" w:rsidR="002D48FD" w:rsidRDefault="002D48FD" w:rsidP="007120AE">
                          <w:pPr>
                            <w:spacing w:before="0" w:line="240" w:lineRule="auto"/>
                            <w:jc w:val="center"/>
                            <w:rPr>
                              <w:rFonts w:cs="Open Sans Semibold"/>
                              <w:b/>
                              <w:color w:val="FFFFFF"/>
                              <w:sz w:val="72"/>
                              <w:szCs w:val="72"/>
                            </w:rPr>
                          </w:pPr>
                        </w:p>
                        <w:p w14:paraId="783F1062" w14:textId="7493C348" w:rsidR="007120AE" w:rsidRPr="00F7761F" w:rsidRDefault="007120AE" w:rsidP="007120AE">
                          <w:pPr>
                            <w:spacing w:before="0" w:line="240" w:lineRule="auto"/>
                            <w:jc w:val="center"/>
                            <w:rPr>
                              <w:rFonts w:cs="Open Sans Semibold"/>
                              <w:b/>
                              <w:color w:val="FFFFFF"/>
                              <w:sz w:val="72"/>
                              <w:szCs w:val="72"/>
                            </w:rPr>
                          </w:pPr>
                          <w:r>
                            <w:rPr>
                              <w:rFonts w:cs="Open Sans Semibold"/>
                              <w:b/>
                              <w:color w:val="FFFFFF"/>
                              <w:sz w:val="72"/>
                              <w:szCs w:val="72"/>
                            </w:rPr>
                            <w:t>2025 Methodology Review</w:t>
                          </w:r>
                          <w:r w:rsidRPr="00F7761F">
                            <w:rPr>
                              <w:rFonts w:cs="Open Sans Semibold"/>
                              <w:b/>
                              <w:color w:val="FFFFFF"/>
                              <w:sz w:val="72"/>
                              <w:szCs w:val="72"/>
                            </w:rPr>
                            <w:br/>
                          </w:r>
                        </w:p>
                        <w:p w14:paraId="26647265" w14:textId="2B08F535" w:rsidR="007120AE" w:rsidRPr="00F7761F" w:rsidRDefault="007120AE" w:rsidP="007120AE">
                          <w:pPr>
                            <w:spacing w:before="0" w:line="240" w:lineRule="auto"/>
                            <w:jc w:val="center"/>
                            <w:rPr>
                              <w:rFonts w:cs="Open Sans Semibold"/>
                              <w:b/>
                              <w:color w:val="FFFFFF"/>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D10BF" id="Text Box 36" o:spid="_x0000_s1048" type="#_x0000_t202" alt="&quot;&quot;" style="position:absolute;margin-left:400pt;margin-top:104pt;width:451.2pt;height:261.9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" filled="f" stroked="f" strokeweight=".5pt">
              <v:textbox>
                <w:txbxContent>
                  <w:p w14:paraId="742B8DE2" w14:textId="77777777" w:rsidR="00E21414" w:rsidRDefault="00E21414" w:rsidP="007120AE">
                    <w:pPr>
                      <w:spacing w:before="0" w:line="240" w:lineRule="auto"/>
                      <w:jc w:val="center"/>
                      <w:rPr>
                        <w:rFonts w:cs="Open Sans Semibold"/>
                        <w:b/>
                        <w:color w:val="FFFFFF"/>
                        <w:sz w:val="72"/>
                        <w:szCs w:val="72"/>
                      </w:rPr>
                    </w:pPr>
                  </w:p>
                  <w:p w14:paraId="1DB546BF" w14:textId="77777777" w:rsidR="006437A7" w:rsidRDefault="006437A7" w:rsidP="007120AE">
                    <w:pPr>
                      <w:spacing w:before="0" w:line="240" w:lineRule="auto"/>
                      <w:jc w:val="center"/>
                      <w:rPr>
                        <w:rFonts w:cs="Open Sans Semibold"/>
                        <w:b/>
                        <w:color w:val="FFFFFF"/>
                        <w:sz w:val="72"/>
                        <w:szCs w:val="72"/>
                      </w:rPr>
                    </w:pPr>
                  </w:p>
                  <w:p w14:paraId="737F7FDE" w14:textId="77777777" w:rsidR="002D48FD" w:rsidRDefault="002D48FD" w:rsidP="007120AE">
                    <w:pPr>
                      <w:spacing w:before="0" w:line="240" w:lineRule="auto"/>
                      <w:jc w:val="center"/>
                      <w:rPr>
                        <w:rFonts w:cs="Open Sans Semibold"/>
                        <w:b/>
                        <w:color w:val="FFFFFF"/>
                        <w:sz w:val="72"/>
                        <w:szCs w:val="72"/>
                      </w:rPr>
                    </w:pPr>
                  </w:p>
                  <w:p w14:paraId="675CC5AF" w14:textId="77777777" w:rsidR="002D48FD" w:rsidRDefault="002D48FD" w:rsidP="007120AE">
                    <w:pPr>
                      <w:spacing w:before="0" w:line="240" w:lineRule="auto"/>
                      <w:jc w:val="center"/>
                      <w:rPr>
                        <w:rFonts w:cs="Open Sans Semibold"/>
                        <w:b/>
                        <w:color w:val="FFFFFF"/>
                        <w:sz w:val="72"/>
                        <w:szCs w:val="72"/>
                      </w:rPr>
                    </w:pPr>
                  </w:p>
                  <w:p w14:paraId="6A75CDFB" w14:textId="77777777" w:rsidR="002D48FD" w:rsidRDefault="002D48FD" w:rsidP="007120AE">
                    <w:pPr>
                      <w:spacing w:before="0" w:line="240" w:lineRule="auto"/>
                      <w:jc w:val="center"/>
                      <w:rPr>
                        <w:rFonts w:cs="Open Sans Semibold"/>
                        <w:b/>
                        <w:color w:val="FFFFFF"/>
                        <w:sz w:val="72"/>
                        <w:szCs w:val="72"/>
                      </w:rPr>
                    </w:pPr>
                  </w:p>
                  <w:p w14:paraId="7F9E3CE9" w14:textId="77777777" w:rsidR="002D48FD" w:rsidRDefault="002D48FD" w:rsidP="007120AE">
                    <w:pPr>
                      <w:spacing w:before="0" w:line="240" w:lineRule="auto"/>
                      <w:jc w:val="center"/>
                      <w:rPr>
                        <w:rFonts w:cs="Open Sans Semibold"/>
                        <w:b/>
                        <w:color w:val="FFFFFF"/>
                        <w:sz w:val="72"/>
                        <w:szCs w:val="72"/>
                      </w:rPr>
                    </w:pPr>
                  </w:p>
                  <w:p w14:paraId="63B79F1C" w14:textId="77777777" w:rsidR="002D48FD" w:rsidRDefault="002D48FD" w:rsidP="007120AE">
                    <w:pPr>
                      <w:spacing w:before="0" w:line="240" w:lineRule="auto"/>
                      <w:jc w:val="center"/>
                      <w:rPr>
                        <w:rFonts w:cs="Open Sans Semibold"/>
                        <w:b/>
                        <w:color w:val="FFFFFF"/>
                        <w:sz w:val="72"/>
                        <w:szCs w:val="72"/>
                      </w:rPr>
                    </w:pPr>
                  </w:p>
                  <w:p w14:paraId="783F1062" w14:textId="7493C348" w:rsidR="007120AE" w:rsidRPr="00F7761F" w:rsidRDefault="007120AE" w:rsidP="007120AE">
                    <w:pPr>
                      <w:spacing w:before="0" w:line="240" w:lineRule="auto"/>
                      <w:jc w:val="center"/>
                      <w:rPr>
                        <w:rFonts w:cs="Open Sans Semibold"/>
                        <w:b/>
                        <w:color w:val="FFFFFF"/>
                        <w:sz w:val="72"/>
                        <w:szCs w:val="72"/>
                      </w:rPr>
                    </w:pPr>
                    <w:r>
                      <w:rPr>
                        <w:rFonts w:cs="Open Sans Semibold"/>
                        <w:b/>
                        <w:color w:val="FFFFFF"/>
                        <w:sz w:val="72"/>
                        <w:szCs w:val="72"/>
                      </w:rPr>
                      <w:t>2025 Methodology Review</w:t>
                    </w:r>
                    <w:r w:rsidRPr="00F7761F">
                      <w:rPr>
                        <w:rFonts w:cs="Open Sans Semibold"/>
                        <w:b/>
                        <w:color w:val="FFFFFF"/>
                        <w:sz w:val="72"/>
                        <w:szCs w:val="72"/>
                      </w:rPr>
                      <w:br/>
                    </w:r>
                  </w:p>
                  <w:p w14:paraId="26647265" w14:textId="2B08F535" w:rsidR="007120AE" w:rsidRPr="00F7761F" w:rsidRDefault="007120AE" w:rsidP="007120AE">
                    <w:pPr>
                      <w:spacing w:before="0" w:line="240" w:lineRule="auto"/>
                      <w:jc w:val="center"/>
                      <w:rPr>
                        <w:rFonts w:cs="Open Sans Semibold"/>
                        <w:b/>
                        <w:color w:val="FFFFFF"/>
                        <w:sz w:val="72"/>
                        <w:szCs w:val="72"/>
                      </w:rPr>
                    </w:pPr>
                  </w:p>
                </w:txbxContent>
              </v:textbox>
              <w10:wrap anchorx="margin"/>
            </v:shape>
          </w:pict>
        </mc:Fallback>
      </mc:AlternateContent>
    </w:r>
    <w:r w:rsidR="000D23BC" w:rsidRPr="000D23BC">
      <w:rPr>
        <w:noProo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5161D"/>
    <w:multiLevelType w:val="hybridMultilevel"/>
    <w:tmpl w:val="D9CAB28C"/>
    <w:lvl w:ilvl="0" w:tplc="2B7CBD9E">
      <w:start w:val="1"/>
      <w:numFmt w:val="lowerRoman"/>
      <w:pStyle w:val="CGCBullet3"/>
      <w:lvlText w:val="%1"/>
      <w:lvlJc w:val="left"/>
      <w:pPr>
        <w:ind w:left="6314" w:hanging="360"/>
      </w:pPr>
      <w:rPr>
        <w:rFonts w:hint="default"/>
      </w:rPr>
    </w:lvl>
    <w:lvl w:ilvl="1" w:tplc="0C090019" w:tentative="1">
      <w:start w:val="1"/>
      <w:numFmt w:val="lowerLetter"/>
      <w:lvlText w:val="%2."/>
      <w:lvlJc w:val="left"/>
      <w:pPr>
        <w:ind w:left="7034" w:hanging="360"/>
      </w:pPr>
    </w:lvl>
    <w:lvl w:ilvl="2" w:tplc="0C09001B" w:tentative="1">
      <w:start w:val="1"/>
      <w:numFmt w:val="lowerRoman"/>
      <w:lvlText w:val="%3."/>
      <w:lvlJc w:val="right"/>
      <w:pPr>
        <w:ind w:left="7754" w:hanging="180"/>
      </w:pPr>
    </w:lvl>
    <w:lvl w:ilvl="3" w:tplc="0C09000F" w:tentative="1">
      <w:start w:val="1"/>
      <w:numFmt w:val="decimal"/>
      <w:lvlText w:val="%4."/>
      <w:lvlJc w:val="left"/>
      <w:pPr>
        <w:ind w:left="8474" w:hanging="360"/>
      </w:pPr>
    </w:lvl>
    <w:lvl w:ilvl="4" w:tplc="0C090019" w:tentative="1">
      <w:start w:val="1"/>
      <w:numFmt w:val="lowerLetter"/>
      <w:lvlText w:val="%5."/>
      <w:lvlJc w:val="left"/>
      <w:pPr>
        <w:ind w:left="9194" w:hanging="360"/>
      </w:pPr>
    </w:lvl>
    <w:lvl w:ilvl="5" w:tplc="0C09001B" w:tentative="1">
      <w:start w:val="1"/>
      <w:numFmt w:val="lowerRoman"/>
      <w:lvlText w:val="%6."/>
      <w:lvlJc w:val="right"/>
      <w:pPr>
        <w:ind w:left="9914" w:hanging="180"/>
      </w:pPr>
    </w:lvl>
    <w:lvl w:ilvl="6" w:tplc="0C09000F" w:tentative="1">
      <w:start w:val="1"/>
      <w:numFmt w:val="decimal"/>
      <w:lvlText w:val="%7."/>
      <w:lvlJc w:val="left"/>
      <w:pPr>
        <w:ind w:left="10634" w:hanging="360"/>
      </w:pPr>
    </w:lvl>
    <w:lvl w:ilvl="7" w:tplc="0C090019" w:tentative="1">
      <w:start w:val="1"/>
      <w:numFmt w:val="lowerLetter"/>
      <w:lvlText w:val="%8."/>
      <w:lvlJc w:val="left"/>
      <w:pPr>
        <w:ind w:left="11354" w:hanging="360"/>
      </w:pPr>
    </w:lvl>
    <w:lvl w:ilvl="8" w:tplc="0C09001B" w:tentative="1">
      <w:start w:val="1"/>
      <w:numFmt w:val="lowerRoman"/>
      <w:lvlText w:val="%9."/>
      <w:lvlJc w:val="right"/>
      <w:pPr>
        <w:ind w:left="12074" w:hanging="180"/>
      </w:pPr>
    </w:lvl>
  </w:abstractNum>
  <w:abstractNum w:abstractNumId="1" w15:restartNumberingAfterBreak="0">
    <w:nsid w:val="129C22C1"/>
    <w:multiLevelType w:val="hybridMultilevel"/>
    <w:tmpl w:val="3ADC9DE4"/>
    <w:lvl w:ilvl="0" w:tplc="44F83F14">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2" w15:restartNumberingAfterBreak="0">
    <w:nsid w:val="153D7BB4"/>
    <w:multiLevelType w:val="multilevel"/>
    <w:tmpl w:val="254084B6"/>
    <w:lvl w:ilvl="0">
      <w:start w:val="1"/>
      <w:numFmt w:val="decimal"/>
      <w:suff w:val="space"/>
      <w:lvlText w:val="Chapter %1"/>
      <w:lvlJc w:val="left"/>
      <w:pPr>
        <w:ind w:left="0" w:firstLine="0"/>
      </w:pPr>
      <w:rPr>
        <w:rFonts w:hint="default"/>
      </w:rPr>
    </w:lvl>
    <w:lvl w:ilvl="1">
      <w:start w:val="1"/>
      <w:numFmt w:val="decimal"/>
      <w:pStyle w:val="CGCNumberedPara"/>
      <w:lvlText w:val="%2"/>
      <w:lvlJc w:val="left"/>
      <w:pPr>
        <w:tabs>
          <w:tab w:val="num" w:pos="567"/>
        </w:tabs>
        <w:ind w:left="567" w:hanging="567"/>
      </w:pPr>
      <w:rPr>
        <w:rFonts w:hint="default"/>
        <w:sz w:val="20"/>
        <w:szCs w:val="20"/>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 w15:restartNumberingAfterBreak="0">
    <w:nsid w:val="158B39F6"/>
    <w:multiLevelType w:val="hybridMultilevel"/>
    <w:tmpl w:val="6C16198C"/>
    <w:lvl w:ilvl="0" w:tplc="76180956">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4" w15:restartNumberingAfterBreak="0">
    <w:nsid w:val="15BF05D3"/>
    <w:multiLevelType w:val="hybridMultilevel"/>
    <w:tmpl w:val="970C0F1A"/>
    <w:lvl w:ilvl="0" w:tplc="034498D4">
      <w:start w:val="1"/>
      <w:numFmt w:val="bullet"/>
      <w:pStyle w:val="CGCBullet2"/>
      <w:lvlText w:val=""/>
      <w:lvlJc w:val="left"/>
      <w:pPr>
        <w:ind w:left="1211" w:hanging="360"/>
      </w:pPr>
      <w:rPr>
        <w:rFonts w:ascii="Symbol" w:hAnsi="Symbol" w:hint="default"/>
        <w:b/>
        <w:color w:val="63646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7E71B9C"/>
    <w:multiLevelType w:val="hybridMultilevel"/>
    <w:tmpl w:val="7110E312"/>
    <w:lvl w:ilvl="0" w:tplc="DB96A0AC">
      <w:start w:val="1"/>
      <w:numFmt w:val="bullet"/>
      <w:pStyle w:val="CGC2025Bullet1"/>
      <w:lvlText w:val=""/>
      <w:lvlJc w:val="left"/>
      <w:pPr>
        <w:ind w:left="927" w:hanging="360"/>
      </w:pPr>
      <w:rPr>
        <w:rFonts w:ascii="Symbol" w:hAnsi="Symbol" w:hint="default"/>
        <w:color w:val="636466"/>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05E6C07"/>
    <w:multiLevelType w:val="hybridMultilevel"/>
    <w:tmpl w:val="8CD2E256"/>
    <w:lvl w:ilvl="0" w:tplc="8FC05704">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7" w15:restartNumberingAfterBreak="0">
    <w:nsid w:val="22AF3A2E"/>
    <w:multiLevelType w:val="multilevel"/>
    <w:tmpl w:val="CA8C0118"/>
    <w:lvl w:ilvl="0">
      <w:start w:val="1"/>
      <w:numFmt w:val="none"/>
      <w:lvlText w:val="%1."/>
      <w:lvlJc w:val="left"/>
      <w:pPr>
        <w:tabs>
          <w:tab w:val="num" w:pos="0"/>
        </w:tabs>
        <w:ind w:left="0" w:firstLine="0"/>
      </w:pPr>
      <w:rPr>
        <w:rFonts w:hint="default"/>
      </w:rPr>
    </w:lvl>
    <w:lvl w:ilvl="1">
      <w:start w:val="1"/>
      <w:numFmt w:val="none"/>
      <w:lvlText w:val="%2"/>
      <w:lvlJc w:val="left"/>
      <w:pPr>
        <w:tabs>
          <w:tab w:val="num" w:pos="720"/>
        </w:tabs>
        <w:ind w:left="720" w:firstLine="0"/>
      </w:pPr>
      <w:rPr>
        <w:rFonts w:hint="default"/>
      </w:rPr>
    </w:lvl>
    <w:lvl w:ilvl="2">
      <w:start w:val="1"/>
      <w:numFmt w:val="none"/>
      <w:lvlText w:val="%3"/>
      <w:lvlJc w:val="left"/>
      <w:pPr>
        <w:tabs>
          <w:tab w:val="num" w:pos="0"/>
        </w:tabs>
        <w:ind w:left="0" w:firstLine="0"/>
      </w:pPr>
      <w:rPr>
        <w:rFonts w:hint="default"/>
      </w:rPr>
    </w:lvl>
    <w:lvl w:ilvl="3">
      <w:start w:val="1"/>
      <w:numFmt w:val="none"/>
      <w:lvlText w:val="%4)"/>
      <w:lvlJc w:val="left"/>
      <w:pPr>
        <w:tabs>
          <w:tab w:val="num" w:pos="2160"/>
        </w:tabs>
        <w:ind w:left="2160" w:firstLine="0"/>
      </w:pPr>
      <w:rPr>
        <w:rFonts w:hint="default"/>
      </w:rPr>
    </w:lvl>
    <w:lvl w:ilvl="4">
      <w:start w:val="1"/>
      <w:numFmt w:val="none"/>
      <w:lvlText w:val="(%5)"/>
      <w:lvlJc w:val="left"/>
      <w:pPr>
        <w:tabs>
          <w:tab w:val="num" w:pos="288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pStyle w:val="Heading8"/>
      <w:lvlText w:val="(%8)"/>
      <w:lvlJc w:val="left"/>
      <w:pPr>
        <w:tabs>
          <w:tab w:val="num" w:pos="5400"/>
        </w:tabs>
        <w:ind w:left="5040" w:firstLine="0"/>
      </w:pPr>
      <w:rPr>
        <w:rFonts w:hint="default"/>
      </w:rPr>
    </w:lvl>
    <w:lvl w:ilvl="8">
      <w:start w:val="1"/>
      <w:numFmt w:val="lowerRoman"/>
      <w:pStyle w:val="Heading9"/>
      <w:lvlText w:val="(%9)"/>
      <w:lvlJc w:val="left"/>
      <w:pPr>
        <w:tabs>
          <w:tab w:val="num" w:pos="6120"/>
        </w:tabs>
        <w:ind w:left="5760" w:firstLine="0"/>
      </w:pPr>
      <w:rPr>
        <w:rFonts w:hint="default"/>
      </w:rPr>
    </w:lvl>
  </w:abstractNum>
  <w:abstractNum w:abstractNumId="8" w15:restartNumberingAfterBreak="0">
    <w:nsid w:val="27423FCC"/>
    <w:multiLevelType w:val="hybridMultilevel"/>
    <w:tmpl w:val="D1BEE9D8"/>
    <w:lvl w:ilvl="0" w:tplc="C97E6ABA">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9" w15:restartNumberingAfterBreak="0">
    <w:nsid w:val="2C8A637F"/>
    <w:multiLevelType w:val="hybridMultilevel"/>
    <w:tmpl w:val="E2F6ADC4"/>
    <w:lvl w:ilvl="0" w:tplc="BF2462A0">
      <w:start w:val="1"/>
      <w:numFmt w:val="decimal"/>
      <w:pStyle w:val="CGC2025Questionsnumbers2"/>
      <w:lvlText w:val="Q%1."/>
      <w:lvlJc w:val="left"/>
      <w:pPr>
        <w:ind w:left="720" w:hanging="360"/>
      </w:pPr>
      <w:rPr>
        <w:rFonts w:hint="default"/>
        <w:b w:val="0"/>
        <w:i w:val="0"/>
        <w:caps w:val="0"/>
        <w:strike w:val="0"/>
        <w:dstrike w:val="0"/>
        <w:vanish w:val="0"/>
        <w:color w:val="000000" w:themeColor="text1"/>
        <w:sz w:val="2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F0471FB"/>
    <w:multiLevelType w:val="hybridMultilevel"/>
    <w:tmpl w:val="9BDE3D58"/>
    <w:lvl w:ilvl="0" w:tplc="9D86C538">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11" w15:restartNumberingAfterBreak="0">
    <w:nsid w:val="305A2F29"/>
    <w:multiLevelType w:val="hybridMultilevel"/>
    <w:tmpl w:val="AF086F92"/>
    <w:lvl w:ilvl="0" w:tplc="A61AAA14">
      <w:start w:val="1"/>
      <w:numFmt w:val="decimal"/>
      <w:pStyle w:val="CGCParaNumber"/>
      <w:lvlText w:val="%1"/>
      <w:lvlJc w:val="left"/>
      <w:pPr>
        <w:ind w:left="720" w:hanging="360"/>
      </w:pPr>
      <w:rPr>
        <w:rFonts w:ascii="Open Sans Light" w:hAnsi="Open Sans Light" w:hint="default"/>
        <w:b w:val="0"/>
        <w:i w:val="0"/>
        <w:caps w:val="0"/>
        <w:strike w:val="0"/>
        <w:dstrike w:val="0"/>
        <w:vanish w:val="0"/>
        <w:color w:val="000000" w:themeColor="text1"/>
        <w:sz w:val="20"/>
        <w:vertAlign w:val="baseline"/>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32439C0"/>
    <w:multiLevelType w:val="hybridMultilevel"/>
    <w:tmpl w:val="69CC2860"/>
    <w:lvl w:ilvl="0" w:tplc="D4C8AA64">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13" w15:restartNumberingAfterBreak="0">
    <w:nsid w:val="366628D9"/>
    <w:multiLevelType w:val="hybridMultilevel"/>
    <w:tmpl w:val="B90EE678"/>
    <w:lvl w:ilvl="0" w:tplc="76867A7E">
      <w:start w:val="1"/>
      <w:numFmt w:val="lowerLetter"/>
      <w:lvlText w:val="(%1)"/>
      <w:lvlJc w:val="left"/>
      <w:pPr>
        <w:ind w:left="473" w:hanging="360"/>
      </w:pPr>
      <w:rPr>
        <w:rFonts w:hint="default"/>
      </w:rPr>
    </w:lvl>
    <w:lvl w:ilvl="1" w:tplc="0C090019">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14" w15:restartNumberingAfterBreak="0">
    <w:nsid w:val="3B795797"/>
    <w:multiLevelType w:val="hybridMultilevel"/>
    <w:tmpl w:val="A21CA4CE"/>
    <w:lvl w:ilvl="0" w:tplc="659CADE4">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15" w15:restartNumberingAfterBreak="0">
    <w:nsid w:val="427660D6"/>
    <w:multiLevelType w:val="hybridMultilevel"/>
    <w:tmpl w:val="9702922A"/>
    <w:lvl w:ilvl="0" w:tplc="8C7C00C4">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16" w15:restartNumberingAfterBreak="0">
    <w:nsid w:val="47B52DA0"/>
    <w:multiLevelType w:val="multilevel"/>
    <w:tmpl w:val="A310237C"/>
    <w:styleLink w:val="CGCConsultQuestion"/>
    <w:lvl w:ilvl="0">
      <w:start w:val="1"/>
      <w:numFmt w:val="decimal"/>
      <w:lvlText w:val="Q%1."/>
      <w:lvlJc w:val="left"/>
      <w:pPr>
        <w:ind w:left="454" w:hanging="454"/>
      </w:pPr>
      <w:rPr>
        <w:rFonts w:ascii="Work Sans" w:hAnsi="Work Sans" w:hint="default"/>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4C983792"/>
    <w:multiLevelType w:val="hybridMultilevel"/>
    <w:tmpl w:val="08921DA4"/>
    <w:lvl w:ilvl="0" w:tplc="9FC498FA">
      <w:start w:val="1"/>
      <w:numFmt w:val="bullet"/>
      <w:pStyle w:val="ListBullet"/>
      <w:lvlText w:val=""/>
      <w:lvlJc w:val="left"/>
      <w:pPr>
        <w:ind w:left="425" w:hanging="283"/>
      </w:pPr>
      <w:rPr>
        <w:rFonts w:ascii="Symbol" w:hAnsi="Symbol" w:hint="default"/>
        <w:color w:val="auto"/>
        <w:sz w:val="14"/>
        <w:szCs w:val="14"/>
      </w:rPr>
    </w:lvl>
    <w:lvl w:ilvl="1" w:tplc="A9745DB0">
      <w:start w:val="1"/>
      <w:numFmt w:val="bullet"/>
      <w:lvlText w:val="●"/>
      <w:lvlJc w:val="left"/>
      <w:rPr>
        <w:rFonts w:ascii="Arial" w:hAnsi="Arial" w:hint="default"/>
        <w:color w:val="A29062"/>
        <w:sz w:val="16"/>
      </w:rPr>
    </w:lvl>
    <w:lvl w:ilvl="2" w:tplc="9C7CAFC6">
      <w:start w:val="1"/>
      <w:numFmt w:val="bullet"/>
      <w:lvlText w:val="●"/>
      <w:lvlJc w:val="left"/>
      <w:rPr>
        <w:rFonts w:ascii="Arial" w:hAnsi="Arial" w:hint="default"/>
        <w:color w:val="A29062"/>
        <w:sz w:val="16"/>
      </w:rPr>
    </w:lvl>
    <w:lvl w:ilvl="3" w:tplc="D5C0CA04">
      <w:start w:val="1"/>
      <w:numFmt w:val="bullet"/>
      <w:lvlText w:val="●"/>
      <w:lvlJc w:val="left"/>
      <w:rPr>
        <w:rFonts w:ascii="Arial" w:hAnsi="Arial" w:hint="default"/>
        <w:color w:val="A29062"/>
        <w:sz w:val="16"/>
      </w:rPr>
    </w:lvl>
    <w:lvl w:ilvl="4" w:tplc="7B341962">
      <w:start w:val="1"/>
      <w:numFmt w:val="bullet"/>
      <w:lvlText w:val="●"/>
      <w:lvlJc w:val="left"/>
      <w:rPr>
        <w:rFonts w:ascii="Arial" w:hAnsi="Arial" w:hint="default"/>
        <w:color w:val="A29062"/>
        <w:sz w:val="16"/>
      </w:rPr>
    </w:lvl>
    <w:lvl w:ilvl="5" w:tplc="23AE4486">
      <w:start w:val="1"/>
      <w:numFmt w:val="bullet"/>
      <w:lvlText w:val="●"/>
      <w:lvlJc w:val="left"/>
      <w:rPr>
        <w:rFonts w:ascii="Arial" w:hAnsi="Arial" w:hint="default"/>
        <w:color w:val="A29062"/>
        <w:sz w:val="16"/>
      </w:rPr>
    </w:lvl>
    <w:lvl w:ilvl="6" w:tplc="5D5E3762">
      <w:start w:val="1"/>
      <w:numFmt w:val="bullet"/>
      <w:lvlText w:val="●"/>
      <w:lvlJc w:val="left"/>
      <w:rPr>
        <w:rFonts w:ascii="Arial" w:hAnsi="Arial" w:hint="default"/>
        <w:color w:val="A29062"/>
        <w:sz w:val="16"/>
      </w:rPr>
    </w:lvl>
    <w:lvl w:ilvl="7" w:tplc="2B188FA2">
      <w:start w:val="1"/>
      <w:numFmt w:val="bullet"/>
      <w:lvlText w:val="●"/>
      <w:lvlJc w:val="left"/>
      <w:rPr>
        <w:rFonts w:ascii="Arial" w:hAnsi="Arial" w:hint="default"/>
        <w:color w:val="A29062"/>
        <w:sz w:val="16"/>
      </w:rPr>
    </w:lvl>
    <w:lvl w:ilvl="8" w:tplc="DD407036">
      <w:start w:val="1"/>
      <w:numFmt w:val="bullet"/>
      <w:lvlText w:val="●"/>
      <w:lvlJc w:val="left"/>
      <w:rPr>
        <w:rFonts w:ascii="Arial" w:hAnsi="Arial" w:hint="default"/>
        <w:color w:val="A29062"/>
        <w:sz w:val="16"/>
      </w:rPr>
    </w:lvl>
  </w:abstractNum>
  <w:abstractNum w:abstractNumId="18" w15:restartNumberingAfterBreak="0">
    <w:nsid w:val="4E1E2A55"/>
    <w:multiLevelType w:val="multilevel"/>
    <w:tmpl w:val="8C78535C"/>
    <w:lvl w:ilvl="0">
      <w:start w:val="1"/>
      <w:numFmt w:val="decimal"/>
      <w:pStyle w:val="CGC2025QuestionNumbers"/>
      <w:lvlText w:val="Q%1."/>
      <w:lvlJc w:val="left"/>
      <w:pPr>
        <w:ind w:left="454" w:hanging="454"/>
      </w:pPr>
      <w:rPr>
        <w:rFonts w:ascii="Work Sans" w:hAnsi="Work Sans" w:hint="default"/>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572B424C"/>
    <w:multiLevelType w:val="hybridMultilevel"/>
    <w:tmpl w:val="17683A60"/>
    <w:lvl w:ilvl="0" w:tplc="AA680968">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20" w15:restartNumberingAfterBreak="0">
    <w:nsid w:val="58B72E15"/>
    <w:multiLevelType w:val="hybridMultilevel"/>
    <w:tmpl w:val="0C8C9AEC"/>
    <w:lvl w:ilvl="0" w:tplc="03763BD0">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21" w15:restartNumberingAfterBreak="0">
    <w:nsid w:val="61D03FBB"/>
    <w:multiLevelType w:val="hybridMultilevel"/>
    <w:tmpl w:val="5F62B970"/>
    <w:lvl w:ilvl="0" w:tplc="FFFFFFFF">
      <w:start w:val="1"/>
      <w:numFmt w:val="lowerLetter"/>
      <w:lvlText w:val="(%1)"/>
      <w:lvlJc w:val="left"/>
      <w:pPr>
        <w:ind w:left="473" w:hanging="360"/>
      </w:pPr>
      <w:rPr>
        <w:rFonts w:hint="default"/>
      </w:rPr>
    </w:lvl>
    <w:lvl w:ilvl="1" w:tplc="FFFFFFFF" w:tentative="1">
      <w:start w:val="1"/>
      <w:numFmt w:val="lowerLetter"/>
      <w:lvlText w:val="%2."/>
      <w:lvlJc w:val="left"/>
      <w:pPr>
        <w:ind w:left="1193" w:hanging="360"/>
      </w:pPr>
    </w:lvl>
    <w:lvl w:ilvl="2" w:tplc="FFFFFFFF" w:tentative="1">
      <w:start w:val="1"/>
      <w:numFmt w:val="lowerRoman"/>
      <w:lvlText w:val="%3."/>
      <w:lvlJc w:val="right"/>
      <w:pPr>
        <w:ind w:left="1913" w:hanging="180"/>
      </w:pPr>
    </w:lvl>
    <w:lvl w:ilvl="3" w:tplc="FFFFFFFF" w:tentative="1">
      <w:start w:val="1"/>
      <w:numFmt w:val="decimal"/>
      <w:lvlText w:val="%4."/>
      <w:lvlJc w:val="left"/>
      <w:pPr>
        <w:ind w:left="2633" w:hanging="360"/>
      </w:pPr>
    </w:lvl>
    <w:lvl w:ilvl="4" w:tplc="FFFFFFFF" w:tentative="1">
      <w:start w:val="1"/>
      <w:numFmt w:val="lowerLetter"/>
      <w:lvlText w:val="%5."/>
      <w:lvlJc w:val="left"/>
      <w:pPr>
        <w:ind w:left="3353" w:hanging="360"/>
      </w:pPr>
    </w:lvl>
    <w:lvl w:ilvl="5" w:tplc="FFFFFFFF" w:tentative="1">
      <w:start w:val="1"/>
      <w:numFmt w:val="lowerRoman"/>
      <w:lvlText w:val="%6."/>
      <w:lvlJc w:val="right"/>
      <w:pPr>
        <w:ind w:left="4073" w:hanging="180"/>
      </w:pPr>
    </w:lvl>
    <w:lvl w:ilvl="6" w:tplc="FFFFFFFF" w:tentative="1">
      <w:start w:val="1"/>
      <w:numFmt w:val="decimal"/>
      <w:lvlText w:val="%7."/>
      <w:lvlJc w:val="left"/>
      <w:pPr>
        <w:ind w:left="4793" w:hanging="360"/>
      </w:pPr>
    </w:lvl>
    <w:lvl w:ilvl="7" w:tplc="FFFFFFFF" w:tentative="1">
      <w:start w:val="1"/>
      <w:numFmt w:val="lowerLetter"/>
      <w:lvlText w:val="%8."/>
      <w:lvlJc w:val="left"/>
      <w:pPr>
        <w:ind w:left="5513" w:hanging="360"/>
      </w:pPr>
    </w:lvl>
    <w:lvl w:ilvl="8" w:tplc="FFFFFFFF" w:tentative="1">
      <w:start w:val="1"/>
      <w:numFmt w:val="lowerRoman"/>
      <w:lvlText w:val="%9."/>
      <w:lvlJc w:val="right"/>
      <w:pPr>
        <w:ind w:left="6233" w:hanging="180"/>
      </w:pPr>
    </w:lvl>
  </w:abstractNum>
  <w:abstractNum w:abstractNumId="22" w15:restartNumberingAfterBreak="0">
    <w:nsid w:val="627C6A46"/>
    <w:multiLevelType w:val="multilevel"/>
    <w:tmpl w:val="27206854"/>
    <w:lvl w:ilvl="0">
      <w:start w:val="1"/>
      <w:numFmt w:val="decimal"/>
      <w:pStyle w:val="BodyCopyWorkSans10"/>
      <w:lvlText w:val="Q%1."/>
      <w:lvlJc w:val="left"/>
      <w:pPr>
        <w:ind w:left="454" w:hanging="454"/>
      </w:pPr>
      <w:rPr>
        <w:rFonts w:ascii="Work Sans" w:hAnsi="Work Sans" w:hint="default"/>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65DD13D0"/>
    <w:multiLevelType w:val="hybridMultilevel"/>
    <w:tmpl w:val="F30C992A"/>
    <w:lvl w:ilvl="0" w:tplc="914822E4">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24" w15:restartNumberingAfterBreak="0">
    <w:nsid w:val="66B56961"/>
    <w:multiLevelType w:val="hybridMultilevel"/>
    <w:tmpl w:val="4BB6122E"/>
    <w:lvl w:ilvl="0" w:tplc="8A0205E8">
      <w:start w:val="1"/>
      <w:numFmt w:val="bullet"/>
      <w:pStyle w:val="CGCQuoteBullet"/>
      <w:lvlText w:val=""/>
      <w:lvlJc w:val="left"/>
      <w:pPr>
        <w:ind w:left="1741" w:hanging="360"/>
      </w:pPr>
      <w:rPr>
        <w:rFonts w:ascii="Symbol" w:hAnsi="Symbol" w:hint="default"/>
        <w:color w:val="5CA5C2"/>
      </w:rPr>
    </w:lvl>
    <w:lvl w:ilvl="1" w:tplc="0C090003" w:tentative="1">
      <w:start w:val="1"/>
      <w:numFmt w:val="bullet"/>
      <w:lvlText w:val="o"/>
      <w:lvlJc w:val="left"/>
      <w:pPr>
        <w:ind w:left="2461" w:hanging="360"/>
      </w:pPr>
      <w:rPr>
        <w:rFonts w:ascii="Courier New" w:hAnsi="Courier New" w:cs="Courier New" w:hint="default"/>
      </w:rPr>
    </w:lvl>
    <w:lvl w:ilvl="2" w:tplc="0C090005" w:tentative="1">
      <w:start w:val="1"/>
      <w:numFmt w:val="bullet"/>
      <w:lvlText w:val=""/>
      <w:lvlJc w:val="left"/>
      <w:pPr>
        <w:ind w:left="3181" w:hanging="360"/>
      </w:pPr>
      <w:rPr>
        <w:rFonts w:ascii="Wingdings" w:hAnsi="Wingdings" w:hint="default"/>
      </w:rPr>
    </w:lvl>
    <w:lvl w:ilvl="3" w:tplc="0C090001" w:tentative="1">
      <w:start w:val="1"/>
      <w:numFmt w:val="bullet"/>
      <w:lvlText w:val=""/>
      <w:lvlJc w:val="left"/>
      <w:pPr>
        <w:ind w:left="3901" w:hanging="360"/>
      </w:pPr>
      <w:rPr>
        <w:rFonts w:ascii="Symbol" w:hAnsi="Symbol" w:hint="default"/>
      </w:rPr>
    </w:lvl>
    <w:lvl w:ilvl="4" w:tplc="0C090003" w:tentative="1">
      <w:start w:val="1"/>
      <w:numFmt w:val="bullet"/>
      <w:lvlText w:val="o"/>
      <w:lvlJc w:val="left"/>
      <w:pPr>
        <w:ind w:left="4621" w:hanging="360"/>
      </w:pPr>
      <w:rPr>
        <w:rFonts w:ascii="Courier New" w:hAnsi="Courier New" w:cs="Courier New" w:hint="default"/>
      </w:rPr>
    </w:lvl>
    <w:lvl w:ilvl="5" w:tplc="0C090005" w:tentative="1">
      <w:start w:val="1"/>
      <w:numFmt w:val="bullet"/>
      <w:lvlText w:val=""/>
      <w:lvlJc w:val="left"/>
      <w:pPr>
        <w:ind w:left="5341" w:hanging="360"/>
      </w:pPr>
      <w:rPr>
        <w:rFonts w:ascii="Wingdings" w:hAnsi="Wingdings" w:hint="default"/>
      </w:rPr>
    </w:lvl>
    <w:lvl w:ilvl="6" w:tplc="0C090001" w:tentative="1">
      <w:start w:val="1"/>
      <w:numFmt w:val="bullet"/>
      <w:lvlText w:val=""/>
      <w:lvlJc w:val="left"/>
      <w:pPr>
        <w:ind w:left="6061" w:hanging="360"/>
      </w:pPr>
      <w:rPr>
        <w:rFonts w:ascii="Symbol" w:hAnsi="Symbol" w:hint="default"/>
      </w:rPr>
    </w:lvl>
    <w:lvl w:ilvl="7" w:tplc="0C090003" w:tentative="1">
      <w:start w:val="1"/>
      <w:numFmt w:val="bullet"/>
      <w:lvlText w:val="o"/>
      <w:lvlJc w:val="left"/>
      <w:pPr>
        <w:ind w:left="6781" w:hanging="360"/>
      </w:pPr>
      <w:rPr>
        <w:rFonts w:ascii="Courier New" w:hAnsi="Courier New" w:cs="Courier New" w:hint="default"/>
      </w:rPr>
    </w:lvl>
    <w:lvl w:ilvl="8" w:tplc="0C090005" w:tentative="1">
      <w:start w:val="1"/>
      <w:numFmt w:val="bullet"/>
      <w:lvlText w:val=""/>
      <w:lvlJc w:val="left"/>
      <w:pPr>
        <w:ind w:left="7501" w:hanging="360"/>
      </w:pPr>
      <w:rPr>
        <w:rFonts w:ascii="Wingdings" w:hAnsi="Wingdings" w:hint="default"/>
      </w:rPr>
    </w:lvl>
  </w:abstractNum>
  <w:abstractNum w:abstractNumId="25" w15:restartNumberingAfterBreak="0">
    <w:nsid w:val="6D517EA6"/>
    <w:multiLevelType w:val="multilevel"/>
    <w:tmpl w:val="8CEE0058"/>
    <w:lvl w:ilvl="0">
      <w:start w:val="1"/>
      <w:numFmt w:val="bullet"/>
      <w:pStyle w:val="CGCBulletlist"/>
      <w:lvlText w:val=""/>
      <w:lvlJc w:val="left"/>
      <w:pPr>
        <w:tabs>
          <w:tab w:val="num" w:pos="927"/>
        </w:tabs>
        <w:ind w:left="927" w:hanging="360"/>
      </w:pPr>
      <w:rPr>
        <w:rFonts w:ascii="Symbol" w:hAnsi="Symbol" w:hint="default"/>
      </w:rPr>
    </w:lvl>
    <w:lvl w:ilvl="1">
      <w:start w:val="1"/>
      <w:numFmt w:val="lowerLetter"/>
      <w:lvlText w:val="%2)"/>
      <w:lvlJc w:val="left"/>
      <w:pPr>
        <w:tabs>
          <w:tab w:val="num" w:pos="1593"/>
        </w:tabs>
        <w:ind w:left="1593" w:hanging="360"/>
      </w:pPr>
      <w:rPr>
        <w:rFonts w:hint="default"/>
      </w:rPr>
    </w:lvl>
    <w:lvl w:ilvl="2">
      <w:start w:val="1"/>
      <w:numFmt w:val="lowerRoman"/>
      <w:lvlText w:val="%3)"/>
      <w:lvlJc w:val="left"/>
      <w:pPr>
        <w:tabs>
          <w:tab w:val="num" w:pos="1953"/>
        </w:tabs>
        <w:ind w:left="1953" w:hanging="360"/>
      </w:pPr>
      <w:rPr>
        <w:rFonts w:hint="default"/>
      </w:rPr>
    </w:lvl>
    <w:lvl w:ilvl="3">
      <w:start w:val="1"/>
      <w:numFmt w:val="decimal"/>
      <w:lvlText w:val="(%4)"/>
      <w:lvlJc w:val="left"/>
      <w:pPr>
        <w:tabs>
          <w:tab w:val="num" w:pos="2313"/>
        </w:tabs>
        <w:ind w:left="2313" w:hanging="360"/>
      </w:pPr>
      <w:rPr>
        <w:rFonts w:hint="default"/>
      </w:rPr>
    </w:lvl>
    <w:lvl w:ilvl="4">
      <w:start w:val="1"/>
      <w:numFmt w:val="lowerLetter"/>
      <w:lvlText w:val="(%5)"/>
      <w:lvlJc w:val="left"/>
      <w:pPr>
        <w:tabs>
          <w:tab w:val="num" w:pos="2673"/>
        </w:tabs>
        <w:ind w:left="2673" w:hanging="360"/>
      </w:pPr>
      <w:rPr>
        <w:rFonts w:hint="default"/>
      </w:rPr>
    </w:lvl>
    <w:lvl w:ilvl="5">
      <w:start w:val="1"/>
      <w:numFmt w:val="lowerRoman"/>
      <w:lvlText w:val="(%6)"/>
      <w:lvlJc w:val="left"/>
      <w:pPr>
        <w:tabs>
          <w:tab w:val="num" w:pos="3033"/>
        </w:tabs>
        <w:ind w:left="3033" w:hanging="360"/>
      </w:pPr>
      <w:rPr>
        <w:rFonts w:hint="default"/>
      </w:rPr>
    </w:lvl>
    <w:lvl w:ilvl="6">
      <w:start w:val="1"/>
      <w:numFmt w:val="decimal"/>
      <w:lvlText w:val="%7."/>
      <w:lvlJc w:val="left"/>
      <w:pPr>
        <w:tabs>
          <w:tab w:val="num" w:pos="3393"/>
        </w:tabs>
        <w:ind w:left="3393" w:hanging="360"/>
      </w:pPr>
      <w:rPr>
        <w:rFonts w:hint="default"/>
      </w:rPr>
    </w:lvl>
    <w:lvl w:ilvl="7">
      <w:start w:val="1"/>
      <w:numFmt w:val="lowerLetter"/>
      <w:lvlText w:val="%8."/>
      <w:lvlJc w:val="left"/>
      <w:pPr>
        <w:tabs>
          <w:tab w:val="num" w:pos="3753"/>
        </w:tabs>
        <w:ind w:left="3753" w:hanging="360"/>
      </w:pPr>
      <w:rPr>
        <w:rFonts w:hint="default"/>
      </w:rPr>
    </w:lvl>
    <w:lvl w:ilvl="8">
      <w:start w:val="1"/>
      <w:numFmt w:val="lowerRoman"/>
      <w:lvlText w:val="%9."/>
      <w:lvlJc w:val="left"/>
      <w:pPr>
        <w:tabs>
          <w:tab w:val="num" w:pos="4113"/>
        </w:tabs>
        <w:ind w:left="4113" w:hanging="360"/>
      </w:pPr>
      <w:rPr>
        <w:rFonts w:hint="default"/>
      </w:rPr>
    </w:lvl>
  </w:abstractNum>
  <w:abstractNum w:abstractNumId="26" w15:restartNumberingAfterBreak="0">
    <w:nsid w:val="7028066F"/>
    <w:multiLevelType w:val="hybridMultilevel"/>
    <w:tmpl w:val="2C0E5D5A"/>
    <w:lvl w:ilvl="0" w:tplc="1B86278A">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27" w15:restartNumberingAfterBreak="0">
    <w:nsid w:val="726E2F5D"/>
    <w:multiLevelType w:val="hybridMultilevel"/>
    <w:tmpl w:val="D69C9848"/>
    <w:lvl w:ilvl="0" w:tplc="89D8A176">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28" w15:restartNumberingAfterBreak="0">
    <w:nsid w:val="74D554F9"/>
    <w:multiLevelType w:val="hybridMultilevel"/>
    <w:tmpl w:val="E2F6BCEA"/>
    <w:lvl w:ilvl="0" w:tplc="65920C2E">
      <w:start w:val="1"/>
      <w:numFmt w:val="bullet"/>
      <w:pStyle w:val="BulletPoints"/>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77D62F87"/>
    <w:multiLevelType w:val="hybridMultilevel"/>
    <w:tmpl w:val="E332B1EE"/>
    <w:lvl w:ilvl="0" w:tplc="7898E74C">
      <w:start w:val="1"/>
      <w:numFmt w:val="bullet"/>
      <w:pStyle w:val="CGCSubbulletlist"/>
      <w:lvlText w:val=""/>
      <w:lvlJc w:val="left"/>
      <w:pPr>
        <w:tabs>
          <w:tab w:val="num" w:pos="927"/>
        </w:tabs>
        <w:ind w:left="1134" w:firstLine="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854084D"/>
    <w:multiLevelType w:val="hybridMultilevel"/>
    <w:tmpl w:val="01F45D76"/>
    <w:lvl w:ilvl="0" w:tplc="76867A7E">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31" w15:restartNumberingAfterBreak="0">
    <w:nsid w:val="788973E9"/>
    <w:multiLevelType w:val="hybridMultilevel"/>
    <w:tmpl w:val="324E4AEA"/>
    <w:lvl w:ilvl="0" w:tplc="5D9469D2">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num w:numId="1" w16cid:durableId="1649357354">
    <w:abstractNumId w:val="7"/>
  </w:num>
  <w:num w:numId="2" w16cid:durableId="1003897054">
    <w:abstractNumId w:val="29"/>
  </w:num>
  <w:num w:numId="3" w16cid:durableId="1334529044">
    <w:abstractNumId w:val="5"/>
  </w:num>
  <w:num w:numId="4" w16cid:durableId="1514761234">
    <w:abstractNumId w:val="4"/>
  </w:num>
  <w:num w:numId="5" w16cid:durableId="920797300">
    <w:abstractNumId w:val="0"/>
  </w:num>
  <w:num w:numId="6" w16cid:durableId="1807814447">
    <w:abstractNumId w:val="24"/>
  </w:num>
  <w:num w:numId="7" w16cid:durableId="801770153">
    <w:abstractNumId w:val="11"/>
  </w:num>
  <w:num w:numId="8" w16cid:durableId="1737627722">
    <w:abstractNumId w:val="25"/>
  </w:num>
  <w:num w:numId="9" w16cid:durableId="176697617">
    <w:abstractNumId w:val="2"/>
  </w:num>
  <w:num w:numId="10" w16cid:durableId="1408111535">
    <w:abstractNumId w:val="16"/>
  </w:num>
  <w:num w:numId="11" w16cid:durableId="2080126907">
    <w:abstractNumId w:val="18"/>
  </w:num>
  <w:num w:numId="12" w16cid:durableId="58332428">
    <w:abstractNumId w:val="9"/>
  </w:num>
  <w:num w:numId="13" w16cid:durableId="522092457">
    <w:abstractNumId w:val="22"/>
  </w:num>
  <w:num w:numId="14" w16cid:durableId="367995155">
    <w:abstractNumId w:val="17"/>
  </w:num>
  <w:num w:numId="15" w16cid:durableId="545072451">
    <w:abstractNumId w:val="28"/>
  </w:num>
  <w:num w:numId="16" w16cid:durableId="714740009">
    <w:abstractNumId w:val="20"/>
  </w:num>
  <w:num w:numId="17" w16cid:durableId="841090906">
    <w:abstractNumId w:val="21"/>
  </w:num>
  <w:num w:numId="18" w16cid:durableId="433520961">
    <w:abstractNumId w:val="6"/>
  </w:num>
  <w:num w:numId="19" w16cid:durableId="1025250957">
    <w:abstractNumId w:val="10"/>
  </w:num>
  <w:num w:numId="20" w16cid:durableId="2102096117">
    <w:abstractNumId w:val="23"/>
  </w:num>
  <w:num w:numId="21" w16cid:durableId="986127389">
    <w:abstractNumId w:val="15"/>
  </w:num>
  <w:num w:numId="22" w16cid:durableId="937493206">
    <w:abstractNumId w:val="12"/>
  </w:num>
  <w:num w:numId="23" w16cid:durableId="380791402">
    <w:abstractNumId w:val="14"/>
  </w:num>
  <w:num w:numId="24" w16cid:durableId="1295678826">
    <w:abstractNumId w:val="31"/>
  </w:num>
  <w:num w:numId="25" w16cid:durableId="226304913">
    <w:abstractNumId w:val="3"/>
  </w:num>
  <w:num w:numId="26" w16cid:durableId="1352949635">
    <w:abstractNumId w:val="8"/>
  </w:num>
  <w:num w:numId="27" w16cid:durableId="287323958">
    <w:abstractNumId w:val="27"/>
  </w:num>
  <w:num w:numId="28" w16cid:durableId="1640842244">
    <w:abstractNumId w:val="1"/>
  </w:num>
  <w:num w:numId="29" w16cid:durableId="1009024612">
    <w:abstractNumId w:val="26"/>
  </w:num>
  <w:num w:numId="30" w16cid:durableId="1519394813">
    <w:abstractNumId w:val="19"/>
  </w:num>
  <w:num w:numId="31" w16cid:durableId="2116706565">
    <w:abstractNumId w:val="13"/>
  </w:num>
  <w:num w:numId="32" w16cid:durableId="1919246138">
    <w:abstractNumId w:val="3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57"/>
  <w:drawingGridVerticalSpacing w:val="57"/>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7980"/>
    <w:rsid w:val="000001E9"/>
    <w:rsid w:val="00000218"/>
    <w:rsid w:val="00000227"/>
    <w:rsid w:val="00000AB2"/>
    <w:rsid w:val="00000BFA"/>
    <w:rsid w:val="00000C9F"/>
    <w:rsid w:val="00000D1E"/>
    <w:rsid w:val="00000FC9"/>
    <w:rsid w:val="00001078"/>
    <w:rsid w:val="000011D7"/>
    <w:rsid w:val="000014B9"/>
    <w:rsid w:val="000014F2"/>
    <w:rsid w:val="00001882"/>
    <w:rsid w:val="000019C0"/>
    <w:rsid w:val="00001D6F"/>
    <w:rsid w:val="00001DA2"/>
    <w:rsid w:val="00001E8B"/>
    <w:rsid w:val="00001F43"/>
    <w:rsid w:val="00002144"/>
    <w:rsid w:val="0000224D"/>
    <w:rsid w:val="00002356"/>
    <w:rsid w:val="0000249B"/>
    <w:rsid w:val="00002561"/>
    <w:rsid w:val="000025E6"/>
    <w:rsid w:val="00002923"/>
    <w:rsid w:val="00002B1C"/>
    <w:rsid w:val="00002F26"/>
    <w:rsid w:val="00002F86"/>
    <w:rsid w:val="0000308B"/>
    <w:rsid w:val="000030F8"/>
    <w:rsid w:val="000031C6"/>
    <w:rsid w:val="00003267"/>
    <w:rsid w:val="000032B9"/>
    <w:rsid w:val="000035AC"/>
    <w:rsid w:val="000036D8"/>
    <w:rsid w:val="00003730"/>
    <w:rsid w:val="00003C9F"/>
    <w:rsid w:val="00003E77"/>
    <w:rsid w:val="00003F28"/>
    <w:rsid w:val="00003F8E"/>
    <w:rsid w:val="000042F1"/>
    <w:rsid w:val="000043F9"/>
    <w:rsid w:val="000046FB"/>
    <w:rsid w:val="00004719"/>
    <w:rsid w:val="0000485A"/>
    <w:rsid w:val="00004C67"/>
    <w:rsid w:val="00004EED"/>
    <w:rsid w:val="00004F5B"/>
    <w:rsid w:val="0000502A"/>
    <w:rsid w:val="00005041"/>
    <w:rsid w:val="000053F8"/>
    <w:rsid w:val="0000549D"/>
    <w:rsid w:val="000055F1"/>
    <w:rsid w:val="0000567C"/>
    <w:rsid w:val="00005EEE"/>
    <w:rsid w:val="0000607F"/>
    <w:rsid w:val="0000618C"/>
    <w:rsid w:val="00006208"/>
    <w:rsid w:val="0000648D"/>
    <w:rsid w:val="00006922"/>
    <w:rsid w:val="00006A21"/>
    <w:rsid w:val="00006AFD"/>
    <w:rsid w:val="00006B4F"/>
    <w:rsid w:val="00006C9A"/>
    <w:rsid w:val="00006DA1"/>
    <w:rsid w:val="00006E30"/>
    <w:rsid w:val="00006F3D"/>
    <w:rsid w:val="00007899"/>
    <w:rsid w:val="000078A0"/>
    <w:rsid w:val="00007A11"/>
    <w:rsid w:val="00007A39"/>
    <w:rsid w:val="00007AB8"/>
    <w:rsid w:val="00007BFD"/>
    <w:rsid w:val="00007E33"/>
    <w:rsid w:val="00007E8D"/>
    <w:rsid w:val="00007FC3"/>
    <w:rsid w:val="00007FD5"/>
    <w:rsid w:val="00010053"/>
    <w:rsid w:val="00010256"/>
    <w:rsid w:val="000105A1"/>
    <w:rsid w:val="0001070C"/>
    <w:rsid w:val="00010711"/>
    <w:rsid w:val="00010794"/>
    <w:rsid w:val="000109A4"/>
    <w:rsid w:val="00010B75"/>
    <w:rsid w:val="00010B7A"/>
    <w:rsid w:val="00010CBA"/>
    <w:rsid w:val="00010CEC"/>
    <w:rsid w:val="00010D88"/>
    <w:rsid w:val="00010F5B"/>
    <w:rsid w:val="0001112B"/>
    <w:rsid w:val="000118BB"/>
    <w:rsid w:val="00011BB3"/>
    <w:rsid w:val="00011C53"/>
    <w:rsid w:val="00011C73"/>
    <w:rsid w:val="00011D1A"/>
    <w:rsid w:val="00011DA8"/>
    <w:rsid w:val="00011F7D"/>
    <w:rsid w:val="000120A6"/>
    <w:rsid w:val="0001218F"/>
    <w:rsid w:val="00012AB3"/>
    <w:rsid w:val="00012AC0"/>
    <w:rsid w:val="00012B03"/>
    <w:rsid w:val="00012B5E"/>
    <w:rsid w:val="00012B67"/>
    <w:rsid w:val="00012C74"/>
    <w:rsid w:val="00012CD5"/>
    <w:rsid w:val="0001327F"/>
    <w:rsid w:val="00013B63"/>
    <w:rsid w:val="00013B73"/>
    <w:rsid w:val="000140A4"/>
    <w:rsid w:val="000141E3"/>
    <w:rsid w:val="00014686"/>
    <w:rsid w:val="00014864"/>
    <w:rsid w:val="000148C5"/>
    <w:rsid w:val="0001491F"/>
    <w:rsid w:val="00014A8F"/>
    <w:rsid w:val="00014A92"/>
    <w:rsid w:val="00014CB0"/>
    <w:rsid w:val="00015068"/>
    <w:rsid w:val="000150BF"/>
    <w:rsid w:val="00015283"/>
    <w:rsid w:val="000152A9"/>
    <w:rsid w:val="00015500"/>
    <w:rsid w:val="000156AE"/>
    <w:rsid w:val="000156B2"/>
    <w:rsid w:val="00015818"/>
    <w:rsid w:val="00015832"/>
    <w:rsid w:val="000159F3"/>
    <w:rsid w:val="00015A97"/>
    <w:rsid w:val="00015C57"/>
    <w:rsid w:val="00015C5B"/>
    <w:rsid w:val="00015D0B"/>
    <w:rsid w:val="00015E24"/>
    <w:rsid w:val="00015F19"/>
    <w:rsid w:val="000162E7"/>
    <w:rsid w:val="00016592"/>
    <w:rsid w:val="000168E8"/>
    <w:rsid w:val="0001698B"/>
    <w:rsid w:val="000169B7"/>
    <w:rsid w:val="000169F7"/>
    <w:rsid w:val="00016A7B"/>
    <w:rsid w:val="00016AC5"/>
    <w:rsid w:val="00016C62"/>
    <w:rsid w:val="00016D45"/>
    <w:rsid w:val="00016E54"/>
    <w:rsid w:val="00016FE0"/>
    <w:rsid w:val="00016FE9"/>
    <w:rsid w:val="0001702F"/>
    <w:rsid w:val="000171AA"/>
    <w:rsid w:val="0001734A"/>
    <w:rsid w:val="00017640"/>
    <w:rsid w:val="000176D7"/>
    <w:rsid w:val="0001770B"/>
    <w:rsid w:val="000178EF"/>
    <w:rsid w:val="00017E19"/>
    <w:rsid w:val="00017E5B"/>
    <w:rsid w:val="00017E79"/>
    <w:rsid w:val="00017EB6"/>
    <w:rsid w:val="00020022"/>
    <w:rsid w:val="0002041C"/>
    <w:rsid w:val="0002049D"/>
    <w:rsid w:val="000204C9"/>
    <w:rsid w:val="00020623"/>
    <w:rsid w:val="00020799"/>
    <w:rsid w:val="00020BBE"/>
    <w:rsid w:val="00020D21"/>
    <w:rsid w:val="00020DE8"/>
    <w:rsid w:val="00020EA3"/>
    <w:rsid w:val="00020FC2"/>
    <w:rsid w:val="00021053"/>
    <w:rsid w:val="0002134B"/>
    <w:rsid w:val="00021528"/>
    <w:rsid w:val="0002154A"/>
    <w:rsid w:val="00021727"/>
    <w:rsid w:val="00021827"/>
    <w:rsid w:val="00021C7A"/>
    <w:rsid w:val="00021E88"/>
    <w:rsid w:val="00021FCB"/>
    <w:rsid w:val="00022179"/>
    <w:rsid w:val="00022392"/>
    <w:rsid w:val="0002240C"/>
    <w:rsid w:val="00022422"/>
    <w:rsid w:val="00022611"/>
    <w:rsid w:val="00022C1B"/>
    <w:rsid w:val="00022CE0"/>
    <w:rsid w:val="00022EA9"/>
    <w:rsid w:val="00023068"/>
    <w:rsid w:val="00023137"/>
    <w:rsid w:val="00023212"/>
    <w:rsid w:val="000233A8"/>
    <w:rsid w:val="0002366E"/>
    <w:rsid w:val="0002387D"/>
    <w:rsid w:val="000238B5"/>
    <w:rsid w:val="00023AE6"/>
    <w:rsid w:val="00023B03"/>
    <w:rsid w:val="00023BDB"/>
    <w:rsid w:val="00023C38"/>
    <w:rsid w:val="00023F90"/>
    <w:rsid w:val="00024069"/>
    <w:rsid w:val="0002407E"/>
    <w:rsid w:val="000246BA"/>
    <w:rsid w:val="000246EB"/>
    <w:rsid w:val="000246F6"/>
    <w:rsid w:val="00024745"/>
    <w:rsid w:val="00024A34"/>
    <w:rsid w:val="00024A4B"/>
    <w:rsid w:val="00024CD0"/>
    <w:rsid w:val="00024D5F"/>
    <w:rsid w:val="00025184"/>
    <w:rsid w:val="000251CC"/>
    <w:rsid w:val="00025242"/>
    <w:rsid w:val="00025500"/>
    <w:rsid w:val="000255E9"/>
    <w:rsid w:val="000255EA"/>
    <w:rsid w:val="000256A4"/>
    <w:rsid w:val="000257D0"/>
    <w:rsid w:val="0002585D"/>
    <w:rsid w:val="00025861"/>
    <w:rsid w:val="00025B1F"/>
    <w:rsid w:val="00025CB3"/>
    <w:rsid w:val="00025D17"/>
    <w:rsid w:val="00025E94"/>
    <w:rsid w:val="00025F53"/>
    <w:rsid w:val="00026260"/>
    <w:rsid w:val="000265A4"/>
    <w:rsid w:val="00026896"/>
    <w:rsid w:val="000268E0"/>
    <w:rsid w:val="00026A1A"/>
    <w:rsid w:val="00026AD6"/>
    <w:rsid w:val="00026E43"/>
    <w:rsid w:val="00026E62"/>
    <w:rsid w:val="00026E7B"/>
    <w:rsid w:val="00027109"/>
    <w:rsid w:val="000273C6"/>
    <w:rsid w:val="0002746A"/>
    <w:rsid w:val="000274F7"/>
    <w:rsid w:val="00027557"/>
    <w:rsid w:val="00027662"/>
    <w:rsid w:val="00027AB4"/>
    <w:rsid w:val="00027ABE"/>
    <w:rsid w:val="000300BF"/>
    <w:rsid w:val="000301B5"/>
    <w:rsid w:val="00030205"/>
    <w:rsid w:val="00030493"/>
    <w:rsid w:val="000304C6"/>
    <w:rsid w:val="00030516"/>
    <w:rsid w:val="0003051B"/>
    <w:rsid w:val="00030595"/>
    <w:rsid w:val="00030629"/>
    <w:rsid w:val="00030782"/>
    <w:rsid w:val="00030E66"/>
    <w:rsid w:val="00030F15"/>
    <w:rsid w:val="00031246"/>
    <w:rsid w:val="0003140A"/>
    <w:rsid w:val="0003144D"/>
    <w:rsid w:val="000315AA"/>
    <w:rsid w:val="00031648"/>
    <w:rsid w:val="0003193D"/>
    <w:rsid w:val="00031AFE"/>
    <w:rsid w:val="00031B76"/>
    <w:rsid w:val="00031CF4"/>
    <w:rsid w:val="00031D6D"/>
    <w:rsid w:val="00031F44"/>
    <w:rsid w:val="00032105"/>
    <w:rsid w:val="00032318"/>
    <w:rsid w:val="0003251C"/>
    <w:rsid w:val="00032544"/>
    <w:rsid w:val="00032580"/>
    <w:rsid w:val="000326F5"/>
    <w:rsid w:val="000327F7"/>
    <w:rsid w:val="00032856"/>
    <w:rsid w:val="000328A8"/>
    <w:rsid w:val="0003292A"/>
    <w:rsid w:val="00032D4B"/>
    <w:rsid w:val="00032F41"/>
    <w:rsid w:val="00033347"/>
    <w:rsid w:val="000335BE"/>
    <w:rsid w:val="000338C9"/>
    <w:rsid w:val="00033A71"/>
    <w:rsid w:val="00033C0D"/>
    <w:rsid w:val="0003409C"/>
    <w:rsid w:val="000340E8"/>
    <w:rsid w:val="000341BD"/>
    <w:rsid w:val="00034622"/>
    <w:rsid w:val="00034770"/>
    <w:rsid w:val="00034825"/>
    <w:rsid w:val="00034916"/>
    <w:rsid w:val="00034D92"/>
    <w:rsid w:val="00034DBB"/>
    <w:rsid w:val="00034F08"/>
    <w:rsid w:val="00034F65"/>
    <w:rsid w:val="000355D9"/>
    <w:rsid w:val="0003568A"/>
    <w:rsid w:val="00035831"/>
    <w:rsid w:val="00035ABA"/>
    <w:rsid w:val="000360DE"/>
    <w:rsid w:val="00036223"/>
    <w:rsid w:val="000363C5"/>
    <w:rsid w:val="000364E9"/>
    <w:rsid w:val="00036504"/>
    <w:rsid w:val="000365BC"/>
    <w:rsid w:val="00036A3B"/>
    <w:rsid w:val="00036C51"/>
    <w:rsid w:val="00036C69"/>
    <w:rsid w:val="00036D26"/>
    <w:rsid w:val="00036E98"/>
    <w:rsid w:val="00036F1C"/>
    <w:rsid w:val="000370C8"/>
    <w:rsid w:val="00037224"/>
    <w:rsid w:val="000372BA"/>
    <w:rsid w:val="0003734A"/>
    <w:rsid w:val="0003751E"/>
    <w:rsid w:val="000375B9"/>
    <w:rsid w:val="000375E1"/>
    <w:rsid w:val="000375FF"/>
    <w:rsid w:val="000378F7"/>
    <w:rsid w:val="00037926"/>
    <w:rsid w:val="00037C0A"/>
    <w:rsid w:val="00040135"/>
    <w:rsid w:val="0004054B"/>
    <w:rsid w:val="00040571"/>
    <w:rsid w:val="00040601"/>
    <w:rsid w:val="0004083C"/>
    <w:rsid w:val="00040B60"/>
    <w:rsid w:val="00040B6F"/>
    <w:rsid w:val="00040BDE"/>
    <w:rsid w:val="00040C7D"/>
    <w:rsid w:val="00040CCA"/>
    <w:rsid w:val="00040D48"/>
    <w:rsid w:val="000410C8"/>
    <w:rsid w:val="0004123E"/>
    <w:rsid w:val="00041257"/>
    <w:rsid w:val="00041299"/>
    <w:rsid w:val="000414B2"/>
    <w:rsid w:val="00041748"/>
    <w:rsid w:val="00041DAD"/>
    <w:rsid w:val="00041E1B"/>
    <w:rsid w:val="00041E84"/>
    <w:rsid w:val="00042036"/>
    <w:rsid w:val="00042252"/>
    <w:rsid w:val="0004233B"/>
    <w:rsid w:val="000424EA"/>
    <w:rsid w:val="0004258C"/>
    <w:rsid w:val="00042D20"/>
    <w:rsid w:val="00043011"/>
    <w:rsid w:val="00043070"/>
    <w:rsid w:val="00043585"/>
    <w:rsid w:val="000435CC"/>
    <w:rsid w:val="000435F2"/>
    <w:rsid w:val="0004363B"/>
    <w:rsid w:val="000437A7"/>
    <w:rsid w:val="000437E4"/>
    <w:rsid w:val="00043B5D"/>
    <w:rsid w:val="00043C27"/>
    <w:rsid w:val="00043C63"/>
    <w:rsid w:val="00043CFE"/>
    <w:rsid w:val="000442AA"/>
    <w:rsid w:val="00044479"/>
    <w:rsid w:val="00044548"/>
    <w:rsid w:val="0004456B"/>
    <w:rsid w:val="000447C7"/>
    <w:rsid w:val="00044801"/>
    <w:rsid w:val="00044B69"/>
    <w:rsid w:val="0004517B"/>
    <w:rsid w:val="000451DA"/>
    <w:rsid w:val="00045264"/>
    <w:rsid w:val="00045677"/>
    <w:rsid w:val="0004569D"/>
    <w:rsid w:val="00045938"/>
    <w:rsid w:val="00045AAD"/>
    <w:rsid w:val="00045B8F"/>
    <w:rsid w:val="00045C0E"/>
    <w:rsid w:val="00045C11"/>
    <w:rsid w:val="00045DFF"/>
    <w:rsid w:val="00045F4E"/>
    <w:rsid w:val="00045F80"/>
    <w:rsid w:val="00045F82"/>
    <w:rsid w:val="00045FF7"/>
    <w:rsid w:val="00046397"/>
    <w:rsid w:val="000465BD"/>
    <w:rsid w:val="00046859"/>
    <w:rsid w:val="00046B06"/>
    <w:rsid w:val="00046B95"/>
    <w:rsid w:val="00046DD9"/>
    <w:rsid w:val="000470A2"/>
    <w:rsid w:val="0004715D"/>
    <w:rsid w:val="00047374"/>
    <w:rsid w:val="00047690"/>
    <w:rsid w:val="000476E0"/>
    <w:rsid w:val="00047856"/>
    <w:rsid w:val="00047951"/>
    <w:rsid w:val="00047AB0"/>
    <w:rsid w:val="00047BDA"/>
    <w:rsid w:val="00047DF1"/>
    <w:rsid w:val="00047E5A"/>
    <w:rsid w:val="0005017B"/>
    <w:rsid w:val="0005043D"/>
    <w:rsid w:val="000506D4"/>
    <w:rsid w:val="000508D3"/>
    <w:rsid w:val="00050BDC"/>
    <w:rsid w:val="00051114"/>
    <w:rsid w:val="00051640"/>
    <w:rsid w:val="000518E1"/>
    <w:rsid w:val="000518ED"/>
    <w:rsid w:val="00051A7E"/>
    <w:rsid w:val="00051AFE"/>
    <w:rsid w:val="00051B92"/>
    <w:rsid w:val="00051C3F"/>
    <w:rsid w:val="00051EF3"/>
    <w:rsid w:val="00051F3C"/>
    <w:rsid w:val="00052200"/>
    <w:rsid w:val="000525F5"/>
    <w:rsid w:val="00052A1C"/>
    <w:rsid w:val="00052DA0"/>
    <w:rsid w:val="00053076"/>
    <w:rsid w:val="00053086"/>
    <w:rsid w:val="00053480"/>
    <w:rsid w:val="00053512"/>
    <w:rsid w:val="00053525"/>
    <w:rsid w:val="00053581"/>
    <w:rsid w:val="0005377C"/>
    <w:rsid w:val="0005381C"/>
    <w:rsid w:val="000538A0"/>
    <w:rsid w:val="00053A7F"/>
    <w:rsid w:val="00053A88"/>
    <w:rsid w:val="00053B10"/>
    <w:rsid w:val="00053C36"/>
    <w:rsid w:val="00053F80"/>
    <w:rsid w:val="00054010"/>
    <w:rsid w:val="000540CC"/>
    <w:rsid w:val="0005410D"/>
    <w:rsid w:val="000542E7"/>
    <w:rsid w:val="00054309"/>
    <w:rsid w:val="00054311"/>
    <w:rsid w:val="0005450F"/>
    <w:rsid w:val="0005451C"/>
    <w:rsid w:val="000546F6"/>
    <w:rsid w:val="00054B2A"/>
    <w:rsid w:val="00054C7F"/>
    <w:rsid w:val="00054E0E"/>
    <w:rsid w:val="000554BF"/>
    <w:rsid w:val="000555AB"/>
    <w:rsid w:val="000555DB"/>
    <w:rsid w:val="00055600"/>
    <w:rsid w:val="00055A2D"/>
    <w:rsid w:val="00055A51"/>
    <w:rsid w:val="00055ACB"/>
    <w:rsid w:val="00055B88"/>
    <w:rsid w:val="00055D8A"/>
    <w:rsid w:val="00056371"/>
    <w:rsid w:val="00056373"/>
    <w:rsid w:val="000563A0"/>
    <w:rsid w:val="000569CD"/>
    <w:rsid w:val="00056A85"/>
    <w:rsid w:val="00056E89"/>
    <w:rsid w:val="00056ED9"/>
    <w:rsid w:val="000573F3"/>
    <w:rsid w:val="00057762"/>
    <w:rsid w:val="00057AED"/>
    <w:rsid w:val="00057C3A"/>
    <w:rsid w:val="00057D13"/>
    <w:rsid w:val="00060006"/>
    <w:rsid w:val="0006029A"/>
    <w:rsid w:val="00060304"/>
    <w:rsid w:val="00060346"/>
    <w:rsid w:val="000604C7"/>
    <w:rsid w:val="0006050F"/>
    <w:rsid w:val="000607C2"/>
    <w:rsid w:val="00060948"/>
    <w:rsid w:val="00060A36"/>
    <w:rsid w:val="00060A59"/>
    <w:rsid w:val="00060CA5"/>
    <w:rsid w:val="0006104A"/>
    <w:rsid w:val="00061111"/>
    <w:rsid w:val="000611F5"/>
    <w:rsid w:val="00061233"/>
    <w:rsid w:val="00061535"/>
    <w:rsid w:val="00061573"/>
    <w:rsid w:val="0006177C"/>
    <w:rsid w:val="00061933"/>
    <w:rsid w:val="00061993"/>
    <w:rsid w:val="00061B09"/>
    <w:rsid w:val="00061B4E"/>
    <w:rsid w:val="00061B8C"/>
    <w:rsid w:val="00062038"/>
    <w:rsid w:val="00062183"/>
    <w:rsid w:val="0006223E"/>
    <w:rsid w:val="000622B2"/>
    <w:rsid w:val="000622B6"/>
    <w:rsid w:val="00062330"/>
    <w:rsid w:val="000624BB"/>
    <w:rsid w:val="000626C1"/>
    <w:rsid w:val="000629D0"/>
    <w:rsid w:val="00062A6F"/>
    <w:rsid w:val="00062C57"/>
    <w:rsid w:val="00062D2F"/>
    <w:rsid w:val="00062D47"/>
    <w:rsid w:val="00062EE9"/>
    <w:rsid w:val="000633E8"/>
    <w:rsid w:val="00063437"/>
    <w:rsid w:val="0006366E"/>
    <w:rsid w:val="00063A80"/>
    <w:rsid w:val="00063A91"/>
    <w:rsid w:val="00063C31"/>
    <w:rsid w:val="00063CFC"/>
    <w:rsid w:val="000641EB"/>
    <w:rsid w:val="00064299"/>
    <w:rsid w:val="00064323"/>
    <w:rsid w:val="00064557"/>
    <w:rsid w:val="000646E4"/>
    <w:rsid w:val="00064823"/>
    <w:rsid w:val="000648E8"/>
    <w:rsid w:val="00064B6A"/>
    <w:rsid w:val="00064CE5"/>
    <w:rsid w:val="00064F56"/>
    <w:rsid w:val="0006519E"/>
    <w:rsid w:val="000651D2"/>
    <w:rsid w:val="000653F5"/>
    <w:rsid w:val="000656B7"/>
    <w:rsid w:val="000656EC"/>
    <w:rsid w:val="000657A7"/>
    <w:rsid w:val="00065BF3"/>
    <w:rsid w:val="000662F5"/>
    <w:rsid w:val="000665AB"/>
    <w:rsid w:val="00066651"/>
    <w:rsid w:val="00066ADF"/>
    <w:rsid w:val="00066C63"/>
    <w:rsid w:val="00066D82"/>
    <w:rsid w:val="00066E63"/>
    <w:rsid w:val="00066F8C"/>
    <w:rsid w:val="00066FC9"/>
    <w:rsid w:val="00067197"/>
    <w:rsid w:val="000679BC"/>
    <w:rsid w:val="00067C9F"/>
    <w:rsid w:val="00067DD3"/>
    <w:rsid w:val="0007018A"/>
    <w:rsid w:val="000702C3"/>
    <w:rsid w:val="00070AE7"/>
    <w:rsid w:val="00070B45"/>
    <w:rsid w:val="00070C4F"/>
    <w:rsid w:val="00070E95"/>
    <w:rsid w:val="00070EA5"/>
    <w:rsid w:val="00070FD5"/>
    <w:rsid w:val="0007102B"/>
    <w:rsid w:val="00071119"/>
    <w:rsid w:val="00071178"/>
    <w:rsid w:val="0007117D"/>
    <w:rsid w:val="000711C0"/>
    <w:rsid w:val="0007138C"/>
    <w:rsid w:val="000714BD"/>
    <w:rsid w:val="0007176E"/>
    <w:rsid w:val="0007185D"/>
    <w:rsid w:val="00071BAB"/>
    <w:rsid w:val="00071EF7"/>
    <w:rsid w:val="00071F1E"/>
    <w:rsid w:val="00071FBF"/>
    <w:rsid w:val="00072137"/>
    <w:rsid w:val="00072373"/>
    <w:rsid w:val="000725A6"/>
    <w:rsid w:val="00072B16"/>
    <w:rsid w:val="00072CBE"/>
    <w:rsid w:val="000730C4"/>
    <w:rsid w:val="0007310A"/>
    <w:rsid w:val="000731C5"/>
    <w:rsid w:val="0007335C"/>
    <w:rsid w:val="000733D6"/>
    <w:rsid w:val="000734B9"/>
    <w:rsid w:val="000735C1"/>
    <w:rsid w:val="0007360C"/>
    <w:rsid w:val="0007382C"/>
    <w:rsid w:val="0007387A"/>
    <w:rsid w:val="000738EB"/>
    <w:rsid w:val="00073944"/>
    <w:rsid w:val="00073A8A"/>
    <w:rsid w:val="00073BF5"/>
    <w:rsid w:val="00073D9D"/>
    <w:rsid w:val="00073E21"/>
    <w:rsid w:val="00073E85"/>
    <w:rsid w:val="00073E92"/>
    <w:rsid w:val="00075051"/>
    <w:rsid w:val="000750E2"/>
    <w:rsid w:val="0007514D"/>
    <w:rsid w:val="000753BA"/>
    <w:rsid w:val="00075593"/>
    <w:rsid w:val="000755CA"/>
    <w:rsid w:val="00075752"/>
    <w:rsid w:val="0007582F"/>
    <w:rsid w:val="00075A7C"/>
    <w:rsid w:val="00075D3E"/>
    <w:rsid w:val="00076282"/>
    <w:rsid w:val="00076434"/>
    <w:rsid w:val="0007679C"/>
    <w:rsid w:val="00076832"/>
    <w:rsid w:val="00076841"/>
    <w:rsid w:val="00076C95"/>
    <w:rsid w:val="00076DA5"/>
    <w:rsid w:val="000772B1"/>
    <w:rsid w:val="000773FA"/>
    <w:rsid w:val="00077469"/>
    <w:rsid w:val="00077653"/>
    <w:rsid w:val="00077898"/>
    <w:rsid w:val="000779DC"/>
    <w:rsid w:val="00077AAF"/>
    <w:rsid w:val="00077ADE"/>
    <w:rsid w:val="00077CF0"/>
    <w:rsid w:val="00077EBF"/>
    <w:rsid w:val="000801CA"/>
    <w:rsid w:val="00080439"/>
    <w:rsid w:val="00080895"/>
    <w:rsid w:val="00080A78"/>
    <w:rsid w:val="00080BB8"/>
    <w:rsid w:val="00080BD6"/>
    <w:rsid w:val="00080E53"/>
    <w:rsid w:val="00081112"/>
    <w:rsid w:val="0008121D"/>
    <w:rsid w:val="0008124E"/>
    <w:rsid w:val="000812ED"/>
    <w:rsid w:val="000813F8"/>
    <w:rsid w:val="0008159F"/>
    <w:rsid w:val="00081636"/>
    <w:rsid w:val="00081696"/>
    <w:rsid w:val="000816E0"/>
    <w:rsid w:val="00081905"/>
    <w:rsid w:val="000819A8"/>
    <w:rsid w:val="00081A71"/>
    <w:rsid w:val="00081C63"/>
    <w:rsid w:val="00081E45"/>
    <w:rsid w:val="00081F57"/>
    <w:rsid w:val="00081F67"/>
    <w:rsid w:val="00081FAD"/>
    <w:rsid w:val="0008208B"/>
    <w:rsid w:val="00082090"/>
    <w:rsid w:val="00082291"/>
    <w:rsid w:val="00082356"/>
    <w:rsid w:val="00082388"/>
    <w:rsid w:val="00082469"/>
    <w:rsid w:val="00082535"/>
    <w:rsid w:val="00082971"/>
    <w:rsid w:val="00082D7D"/>
    <w:rsid w:val="00082DEF"/>
    <w:rsid w:val="00082E96"/>
    <w:rsid w:val="00082E98"/>
    <w:rsid w:val="00083022"/>
    <w:rsid w:val="000830B6"/>
    <w:rsid w:val="000831D9"/>
    <w:rsid w:val="00083837"/>
    <w:rsid w:val="00083842"/>
    <w:rsid w:val="00083901"/>
    <w:rsid w:val="000839BB"/>
    <w:rsid w:val="00083AF5"/>
    <w:rsid w:val="00083B06"/>
    <w:rsid w:val="00083B1B"/>
    <w:rsid w:val="00083C0D"/>
    <w:rsid w:val="00083C3F"/>
    <w:rsid w:val="000840C3"/>
    <w:rsid w:val="00084494"/>
    <w:rsid w:val="0008456B"/>
    <w:rsid w:val="000847BF"/>
    <w:rsid w:val="000847CB"/>
    <w:rsid w:val="00084BB3"/>
    <w:rsid w:val="00084EE0"/>
    <w:rsid w:val="00084F08"/>
    <w:rsid w:val="0008520C"/>
    <w:rsid w:val="000855F4"/>
    <w:rsid w:val="00085729"/>
    <w:rsid w:val="000858EC"/>
    <w:rsid w:val="00085D0E"/>
    <w:rsid w:val="00085D3B"/>
    <w:rsid w:val="00085EA1"/>
    <w:rsid w:val="00086045"/>
    <w:rsid w:val="000861D9"/>
    <w:rsid w:val="00086455"/>
    <w:rsid w:val="0008677E"/>
    <w:rsid w:val="000867DC"/>
    <w:rsid w:val="0008686D"/>
    <w:rsid w:val="000869E1"/>
    <w:rsid w:val="000869F6"/>
    <w:rsid w:val="00086A5C"/>
    <w:rsid w:val="00086B04"/>
    <w:rsid w:val="00086C42"/>
    <w:rsid w:val="00086E69"/>
    <w:rsid w:val="00086EBC"/>
    <w:rsid w:val="00086FCB"/>
    <w:rsid w:val="0008779D"/>
    <w:rsid w:val="00087F7D"/>
    <w:rsid w:val="00087FC4"/>
    <w:rsid w:val="0009003A"/>
    <w:rsid w:val="000901EC"/>
    <w:rsid w:val="00090362"/>
    <w:rsid w:val="00090439"/>
    <w:rsid w:val="000906F6"/>
    <w:rsid w:val="00090C07"/>
    <w:rsid w:val="00090CD0"/>
    <w:rsid w:val="00090D8A"/>
    <w:rsid w:val="00090DBA"/>
    <w:rsid w:val="00090F31"/>
    <w:rsid w:val="000910DA"/>
    <w:rsid w:val="00091AD2"/>
    <w:rsid w:val="00091C4F"/>
    <w:rsid w:val="00091D6E"/>
    <w:rsid w:val="00091F16"/>
    <w:rsid w:val="00091FC0"/>
    <w:rsid w:val="00092411"/>
    <w:rsid w:val="000925D1"/>
    <w:rsid w:val="000928AF"/>
    <w:rsid w:val="00092BD3"/>
    <w:rsid w:val="00092C9F"/>
    <w:rsid w:val="00092CA1"/>
    <w:rsid w:val="00092F74"/>
    <w:rsid w:val="00093003"/>
    <w:rsid w:val="00093188"/>
    <w:rsid w:val="00093603"/>
    <w:rsid w:val="00093673"/>
    <w:rsid w:val="00093796"/>
    <w:rsid w:val="00093910"/>
    <w:rsid w:val="000939CA"/>
    <w:rsid w:val="00093BB5"/>
    <w:rsid w:val="00093E22"/>
    <w:rsid w:val="00093FAB"/>
    <w:rsid w:val="00094010"/>
    <w:rsid w:val="000940BD"/>
    <w:rsid w:val="0009418F"/>
    <w:rsid w:val="000943A8"/>
    <w:rsid w:val="0009440B"/>
    <w:rsid w:val="000944FD"/>
    <w:rsid w:val="00094531"/>
    <w:rsid w:val="00094676"/>
    <w:rsid w:val="00094A25"/>
    <w:rsid w:val="00094B1E"/>
    <w:rsid w:val="00094EA7"/>
    <w:rsid w:val="00094F56"/>
    <w:rsid w:val="000950A8"/>
    <w:rsid w:val="000952B7"/>
    <w:rsid w:val="0009531C"/>
    <w:rsid w:val="00095380"/>
    <w:rsid w:val="000953D3"/>
    <w:rsid w:val="00095610"/>
    <w:rsid w:val="0009567D"/>
    <w:rsid w:val="0009569E"/>
    <w:rsid w:val="00095F73"/>
    <w:rsid w:val="00096207"/>
    <w:rsid w:val="000962BD"/>
    <w:rsid w:val="0009650F"/>
    <w:rsid w:val="00096609"/>
    <w:rsid w:val="00096616"/>
    <w:rsid w:val="00096896"/>
    <w:rsid w:val="00096A17"/>
    <w:rsid w:val="00096C06"/>
    <w:rsid w:val="00096C31"/>
    <w:rsid w:val="00096CF1"/>
    <w:rsid w:val="00096E12"/>
    <w:rsid w:val="00096E4E"/>
    <w:rsid w:val="000970BA"/>
    <w:rsid w:val="00097119"/>
    <w:rsid w:val="00097192"/>
    <w:rsid w:val="00097304"/>
    <w:rsid w:val="00097502"/>
    <w:rsid w:val="00097626"/>
    <w:rsid w:val="00097681"/>
    <w:rsid w:val="00097790"/>
    <w:rsid w:val="000977B1"/>
    <w:rsid w:val="0009784F"/>
    <w:rsid w:val="00097CF0"/>
    <w:rsid w:val="00097D3A"/>
    <w:rsid w:val="00097D78"/>
    <w:rsid w:val="00097F09"/>
    <w:rsid w:val="00097F21"/>
    <w:rsid w:val="000A011D"/>
    <w:rsid w:val="000A0205"/>
    <w:rsid w:val="000A04DB"/>
    <w:rsid w:val="000A07C9"/>
    <w:rsid w:val="000A09ED"/>
    <w:rsid w:val="000A0A07"/>
    <w:rsid w:val="000A0C33"/>
    <w:rsid w:val="000A0D6E"/>
    <w:rsid w:val="000A0D9F"/>
    <w:rsid w:val="000A10BF"/>
    <w:rsid w:val="000A15FF"/>
    <w:rsid w:val="000A17C5"/>
    <w:rsid w:val="000A17F1"/>
    <w:rsid w:val="000A1B09"/>
    <w:rsid w:val="000A1DED"/>
    <w:rsid w:val="000A20D0"/>
    <w:rsid w:val="000A2395"/>
    <w:rsid w:val="000A2606"/>
    <w:rsid w:val="000A2E24"/>
    <w:rsid w:val="000A3130"/>
    <w:rsid w:val="000A31F3"/>
    <w:rsid w:val="000A32DD"/>
    <w:rsid w:val="000A336C"/>
    <w:rsid w:val="000A346F"/>
    <w:rsid w:val="000A3874"/>
    <w:rsid w:val="000A3898"/>
    <w:rsid w:val="000A3AC7"/>
    <w:rsid w:val="000A3C2F"/>
    <w:rsid w:val="000A3C46"/>
    <w:rsid w:val="000A3DA9"/>
    <w:rsid w:val="000A4201"/>
    <w:rsid w:val="000A4232"/>
    <w:rsid w:val="000A428C"/>
    <w:rsid w:val="000A4645"/>
    <w:rsid w:val="000A4681"/>
    <w:rsid w:val="000A487A"/>
    <w:rsid w:val="000A4BE5"/>
    <w:rsid w:val="000A52A1"/>
    <w:rsid w:val="000A539A"/>
    <w:rsid w:val="000A56BC"/>
    <w:rsid w:val="000A5824"/>
    <w:rsid w:val="000A5C30"/>
    <w:rsid w:val="000A5C43"/>
    <w:rsid w:val="000A5D80"/>
    <w:rsid w:val="000A5DB9"/>
    <w:rsid w:val="000A5E3E"/>
    <w:rsid w:val="000A61D9"/>
    <w:rsid w:val="000A61DA"/>
    <w:rsid w:val="000A626D"/>
    <w:rsid w:val="000A633D"/>
    <w:rsid w:val="000A6389"/>
    <w:rsid w:val="000A6392"/>
    <w:rsid w:val="000A646A"/>
    <w:rsid w:val="000A688F"/>
    <w:rsid w:val="000A6922"/>
    <w:rsid w:val="000A6AFE"/>
    <w:rsid w:val="000A6D6A"/>
    <w:rsid w:val="000A6E21"/>
    <w:rsid w:val="000A73AF"/>
    <w:rsid w:val="000A74C3"/>
    <w:rsid w:val="000A756F"/>
    <w:rsid w:val="000A79DE"/>
    <w:rsid w:val="000A7A5D"/>
    <w:rsid w:val="000A7AA9"/>
    <w:rsid w:val="000A7C5E"/>
    <w:rsid w:val="000A7CD1"/>
    <w:rsid w:val="000A7E55"/>
    <w:rsid w:val="000A7E96"/>
    <w:rsid w:val="000B0145"/>
    <w:rsid w:val="000B0391"/>
    <w:rsid w:val="000B05C5"/>
    <w:rsid w:val="000B081E"/>
    <w:rsid w:val="000B08F0"/>
    <w:rsid w:val="000B0920"/>
    <w:rsid w:val="000B0A33"/>
    <w:rsid w:val="000B0ACA"/>
    <w:rsid w:val="000B0D24"/>
    <w:rsid w:val="000B0D9E"/>
    <w:rsid w:val="000B0DE2"/>
    <w:rsid w:val="000B1440"/>
    <w:rsid w:val="000B16CB"/>
    <w:rsid w:val="000B173E"/>
    <w:rsid w:val="000B17D3"/>
    <w:rsid w:val="000B18BA"/>
    <w:rsid w:val="000B1905"/>
    <w:rsid w:val="000B1926"/>
    <w:rsid w:val="000B1DF4"/>
    <w:rsid w:val="000B2042"/>
    <w:rsid w:val="000B210C"/>
    <w:rsid w:val="000B2374"/>
    <w:rsid w:val="000B2490"/>
    <w:rsid w:val="000B2607"/>
    <w:rsid w:val="000B286B"/>
    <w:rsid w:val="000B2942"/>
    <w:rsid w:val="000B2944"/>
    <w:rsid w:val="000B2979"/>
    <w:rsid w:val="000B29D4"/>
    <w:rsid w:val="000B2AF2"/>
    <w:rsid w:val="000B2CFB"/>
    <w:rsid w:val="000B2DCD"/>
    <w:rsid w:val="000B2DFA"/>
    <w:rsid w:val="000B2E2A"/>
    <w:rsid w:val="000B2F0F"/>
    <w:rsid w:val="000B3097"/>
    <w:rsid w:val="000B319E"/>
    <w:rsid w:val="000B31D5"/>
    <w:rsid w:val="000B3495"/>
    <w:rsid w:val="000B3557"/>
    <w:rsid w:val="000B3623"/>
    <w:rsid w:val="000B37E6"/>
    <w:rsid w:val="000B3BB2"/>
    <w:rsid w:val="000B3DC4"/>
    <w:rsid w:val="000B3E3D"/>
    <w:rsid w:val="000B3F0A"/>
    <w:rsid w:val="000B3F3E"/>
    <w:rsid w:val="000B4179"/>
    <w:rsid w:val="000B42A9"/>
    <w:rsid w:val="000B442C"/>
    <w:rsid w:val="000B4935"/>
    <w:rsid w:val="000B4AE6"/>
    <w:rsid w:val="000B4EDC"/>
    <w:rsid w:val="000B4FDE"/>
    <w:rsid w:val="000B5042"/>
    <w:rsid w:val="000B51B1"/>
    <w:rsid w:val="000B5227"/>
    <w:rsid w:val="000B526A"/>
    <w:rsid w:val="000B52EB"/>
    <w:rsid w:val="000B5360"/>
    <w:rsid w:val="000B53BA"/>
    <w:rsid w:val="000B53C0"/>
    <w:rsid w:val="000B53FD"/>
    <w:rsid w:val="000B5518"/>
    <w:rsid w:val="000B56FE"/>
    <w:rsid w:val="000B5744"/>
    <w:rsid w:val="000B58D4"/>
    <w:rsid w:val="000B5B02"/>
    <w:rsid w:val="000B5B36"/>
    <w:rsid w:val="000B5C2F"/>
    <w:rsid w:val="000B6052"/>
    <w:rsid w:val="000B61DE"/>
    <w:rsid w:val="000B64E3"/>
    <w:rsid w:val="000B6532"/>
    <w:rsid w:val="000B6816"/>
    <w:rsid w:val="000B6890"/>
    <w:rsid w:val="000B689B"/>
    <w:rsid w:val="000B6F96"/>
    <w:rsid w:val="000B7136"/>
    <w:rsid w:val="000B7246"/>
    <w:rsid w:val="000B735D"/>
    <w:rsid w:val="000B73C6"/>
    <w:rsid w:val="000B73EF"/>
    <w:rsid w:val="000B7596"/>
    <w:rsid w:val="000B75F8"/>
    <w:rsid w:val="000B7685"/>
    <w:rsid w:val="000B7C30"/>
    <w:rsid w:val="000B7CB8"/>
    <w:rsid w:val="000B7DC3"/>
    <w:rsid w:val="000B7F93"/>
    <w:rsid w:val="000C0090"/>
    <w:rsid w:val="000C06A4"/>
    <w:rsid w:val="000C0BBD"/>
    <w:rsid w:val="000C0F3A"/>
    <w:rsid w:val="000C0FAC"/>
    <w:rsid w:val="000C1231"/>
    <w:rsid w:val="000C1575"/>
    <w:rsid w:val="000C1A73"/>
    <w:rsid w:val="000C1F18"/>
    <w:rsid w:val="000C20A8"/>
    <w:rsid w:val="000C2987"/>
    <w:rsid w:val="000C2A66"/>
    <w:rsid w:val="000C2E97"/>
    <w:rsid w:val="000C2EA9"/>
    <w:rsid w:val="000C32BB"/>
    <w:rsid w:val="000C352A"/>
    <w:rsid w:val="000C354C"/>
    <w:rsid w:val="000C3927"/>
    <w:rsid w:val="000C3AB8"/>
    <w:rsid w:val="000C3B22"/>
    <w:rsid w:val="000C3C28"/>
    <w:rsid w:val="000C3C42"/>
    <w:rsid w:val="000C3C9D"/>
    <w:rsid w:val="000C4063"/>
    <w:rsid w:val="000C415C"/>
    <w:rsid w:val="000C42DA"/>
    <w:rsid w:val="000C4809"/>
    <w:rsid w:val="000C4AB7"/>
    <w:rsid w:val="000C4BB7"/>
    <w:rsid w:val="000C4DFC"/>
    <w:rsid w:val="000C50B3"/>
    <w:rsid w:val="000C5349"/>
    <w:rsid w:val="000C53E9"/>
    <w:rsid w:val="000C5486"/>
    <w:rsid w:val="000C5677"/>
    <w:rsid w:val="000C5FCA"/>
    <w:rsid w:val="000C604F"/>
    <w:rsid w:val="000C61C9"/>
    <w:rsid w:val="000C63AB"/>
    <w:rsid w:val="000C648E"/>
    <w:rsid w:val="000C67AB"/>
    <w:rsid w:val="000C6936"/>
    <w:rsid w:val="000C6E9F"/>
    <w:rsid w:val="000C7169"/>
    <w:rsid w:val="000C7232"/>
    <w:rsid w:val="000C73EF"/>
    <w:rsid w:val="000C76AB"/>
    <w:rsid w:val="000C76F8"/>
    <w:rsid w:val="000C776D"/>
    <w:rsid w:val="000C7806"/>
    <w:rsid w:val="000C782D"/>
    <w:rsid w:val="000C7AAD"/>
    <w:rsid w:val="000C7AE7"/>
    <w:rsid w:val="000C7F62"/>
    <w:rsid w:val="000D01AA"/>
    <w:rsid w:val="000D0482"/>
    <w:rsid w:val="000D0570"/>
    <w:rsid w:val="000D08D2"/>
    <w:rsid w:val="000D09A1"/>
    <w:rsid w:val="000D0A89"/>
    <w:rsid w:val="000D0ACF"/>
    <w:rsid w:val="000D0B77"/>
    <w:rsid w:val="000D0BB6"/>
    <w:rsid w:val="000D0C1C"/>
    <w:rsid w:val="000D0C8D"/>
    <w:rsid w:val="000D0D5D"/>
    <w:rsid w:val="000D0F4C"/>
    <w:rsid w:val="000D114E"/>
    <w:rsid w:val="000D128C"/>
    <w:rsid w:val="000D1354"/>
    <w:rsid w:val="000D13EF"/>
    <w:rsid w:val="000D149C"/>
    <w:rsid w:val="000D15A0"/>
    <w:rsid w:val="000D18F6"/>
    <w:rsid w:val="000D1A01"/>
    <w:rsid w:val="000D1DEA"/>
    <w:rsid w:val="000D1EA8"/>
    <w:rsid w:val="000D1F45"/>
    <w:rsid w:val="000D2081"/>
    <w:rsid w:val="000D2088"/>
    <w:rsid w:val="000D224A"/>
    <w:rsid w:val="000D2311"/>
    <w:rsid w:val="000D23BC"/>
    <w:rsid w:val="000D27D6"/>
    <w:rsid w:val="000D27F5"/>
    <w:rsid w:val="000D2879"/>
    <w:rsid w:val="000D28EE"/>
    <w:rsid w:val="000D2916"/>
    <w:rsid w:val="000D2A3D"/>
    <w:rsid w:val="000D2A5E"/>
    <w:rsid w:val="000D2A8F"/>
    <w:rsid w:val="000D2D5C"/>
    <w:rsid w:val="000D3182"/>
    <w:rsid w:val="000D3378"/>
    <w:rsid w:val="000D3531"/>
    <w:rsid w:val="000D355C"/>
    <w:rsid w:val="000D3645"/>
    <w:rsid w:val="000D366D"/>
    <w:rsid w:val="000D375A"/>
    <w:rsid w:val="000D37BF"/>
    <w:rsid w:val="000D37C2"/>
    <w:rsid w:val="000D37E7"/>
    <w:rsid w:val="000D3B7D"/>
    <w:rsid w:val="000D3BC1"/>
    <w:rsid w:val="000D3CC1"/>
    <w:rsid w:val="000D4063"/>
    <w:rsid w:val="000D4101"/>
    <w:rsid w:val="000D4178"/>
    <w:rsid w:val="000D41C2"/>
    <w:rsid w:val="000D41CA"/>
    <w:rsid w:val="000D4206"/>
    <w:rsid w:val="000D4342"/>
    <w:rsid w:val="000D4352"/>
    <w:rsid w:val="000D4379"/>
    <w:rsid w:val="000D43B8"/>
    <w:rsid w:val="000D4457"/>
    <w:rsid w:val="000D462C"/>
    <w:rsid w:val="000D470D"/>
    <w:rsid w:val="000D48FF"/>
    <w:rsid w:val="000D4A6A"/>
    <w:rsid w:val="000D4AAA"/>
    <w:rsid w:val="000D4F75"/>
    <w:rsid w:val="000D521C"/>
    <w:rsid w:val="000D533D"/>
    <w:rsid w:val="000D535B"/>
    <w:rsid w:val="000D5667"/>
    <w:rsid w:val="000D571F"/>
    <w:rsid w:val="000D57A8"/>
    <w:rsid w:val="000D5C58"/>
    <w:rsid w:val="000D5EF7"/>
    <w:rsid w:val="000D6533"/>
    <w:rsid w:val="000D65F5"/>
    <w:rsid w:val="000D66F5"/>
    <w:rsid w:val="000D6892"/>
    <w:rsid w:val="000D693E"/>
    <w:rsid w:val="000D6B5E"/>
    <w:rsid w:val="000D6C93"/>
    <w:rsid w:val="000D6CE7"/>
    <w:rsid w:val="000D6D30"/>
    <w:rsid w:val="000D6E30"/>
    <w:rsid w:val="000D70AE"/>
    <w:rsid w:val="000D70D7"/>
    <w:rsid w:val="000D72F7"/>
    <w:rsid w:val="000D763B"/>
    <w:rsid w:val="000D772C"/>
    <w:rsid w:val="000D784B"/>
    <w:rsid w:val="000D7C54"/>
    <w:rsid w:val="000D7E36"/>
    <w:rsid w:val="000D7E97"/>
    <w:rsid w:val="000E0210"/>
    <w:rsid w:val="000E065F"/>
    <w:rsid w:val="000E0BE6"/>
    <w:rsid w:val="000E1007"/>
    <w:rsid w:val="000E1307"/>
    <w:rsid w:val="000E1350"/>
    <w:rsid w:val="000E1757"/>
    <w:rsid w:val="000E1767"/>
    <w:rsid w:val="000E17A7"/>
    <w:rsid w:val="000E1858"/>
    <w:rsid w:val="000E1940"/>
    <w:rsid w:val="000E1979"/>
    <w:rsid w:val="000E1A53"/>
    <w:rsid w:val="000E1B78"/>
    <w:rsid w:val="000E1C6F"/>
    <w:rsid w:val="000E1D27"/>
    <w:rsid w:val="000E2084"/>
    <w:rsid w:val="000E20EE"/>
    <w:rsid w:val="000E2118"/>
    <w:rsid w:val="000E2268"/>
    <w:rsid w:val="000E26C1"/>
    <w:rsid w:val="000E2AC6"/>
    <w:rsid w:val="000E2C69"/>
    <w:rsid w:val="000E2CF8"/>
    <w:rsid w:val="000E3109"/>
    <w:rsid w:val="000E311B"/>
    <w:rsid w:val="000E32DA"/>
    <w:rsid w:val="000E34E4"/>
    <w:rsid w:val="000E3592"/>
    <w:rsid w:val="000E35A0"/>
    <w:rsid w:val="000E3766"/>
    <w:rsid w:val="000E3868"/>
    <w:rsid w:val="000E38BA"/>
    <w:rsid w:val="000E38F9"/>
    <w:rsid w:val="000E3914"/>
    <w:rsid w:val="000E396B"/>
    <w:rsid w:val="000E3BE1"/>
    <w:rsid w:val="000E3D68"/>
    <w:rsid w:val="000E3E15"/>
    <w:rsid w:val="000E41D5"/>
    <w:rsid w:val="000E423E"/>
    <w:rsid w:val="000E46C2"/>
    <w:rsid w:val="000E47B0"/>
    <w:rsid w:val="000E49C6"/>
    <w:rsid w:val="000E4EBC"/>
    <w:rsid w:val="000E4FF4"/>
    <w:rsid w:val="000E5031"/>
    <w:rsid w:val="000E5125"/>
    <w:rsid w:val="000E51AE"/>
    <w:rsid w:val="000E5201"/>
    <w:rsid w:val="000E5404"/>
    <w:rsid w:val="000E5899"/>
    <w:rsid w:val="000E5972"/>
    <w:rsid w:val="000E5C21"/>
    <w:rsid w:val="000E5EBB"/>
    <w:rsid w:val="000E6391"/>
    <w:rsid w:val="000E63B0"/>
    <w:rsid w:val="000E653B"/>
    <w:rsid w:val="000E6774"/>
    <w:rsid w:val="000E6AA5"/>
    <w:rsid w:val="000E7041"/>
    <w:rsid w:val="000E7180"/>
    <w:rsid w:val="000E7220"/>
    <w:rsid w:val="000E76A4"/>
    <w:rsid w:val="000E795F"/>
    <w:rsid w:val="000E798E"/>
    <w:rsid w:val="000E7BAB"/>
    <w:rsid w:val="000E7D26"/>
    <w:rsid w:val="000E7DB2"/>
    <w:rsid w:val="000E7F56"/>
    <w:rsid w:val="000F00BC"/>
    <w:rsid w:val="000F0293"/>
    <w:rsid w:val="000F03DA"/>
    <w:rsid w:val="000F0401"/>
    <w:rsid w:val="000F04FD"/>
    <w:rsid w:val="000F0674"/>
    <w:rsid w:val="000F07A6"/>
    <w:rsid w:val="000F0879"/>
    <w:rsid w:val="000F0AC1"/>
    <w:rsid w:val="000F0B55"/>
    <w:rsid w:val="000F0F57"/>
    <w:rsid w:val="000F1111"/>
    <w:rsid w:val="000F11C8"/>
    <w:rsid w:val="000F1305"/>
    <w:rsid w:val="000F14B9"/>
    <w:rsid w:val="000F164F"/>
    <w:rsid w:val="000F182F"/>
    <w:rsid w:val="000F18F1"/>
    <w:rsid w:val="000F1981"/>
    <w:rsid w:val="000F19C5"/>
    <w:rsid w:val="000F1CDA"/>
    <w:rsid w:val="000F1EE5"/>
    <w:rsid w:val="000F1FBC"/>
    <w:rsid w:val="000F232B"/>
    <w:rsid w:val="000F28B5"/>
    <w:rsid w:val="000F29CF"/>
    <w:rsid w:val="000F29FF"/>
    <w:rsid w:val="000F2BDE"/>
    <w:rsid w:val="000F2C8C"/>
    <w:rsid w:val="000F2F0E"/>
    <w:rsid w:val="000F2F8D"/>
    <w:rsid w:val="000F3120"/>
    <w:rsid w:val="000F3314"/>
    <w:rsid w:val="000F3412"/>
    <w:rsid w:val="000F350C"/>
    <w:rsid w:val="000F3632"/>
    <w:rsid w:val="000F38A4"/>
    <w:rsid w:val="000F38CE"/>
    <w:rsid w:val="000F3CBF"/>
    <w:rsid w:val="000F414B"/>
    <w:rsid w:val="000F44AD"/>
    <w:rsid w:val="000F4860"/>
    <w:rsid w:val="000F4B28"/>
    <w:rsid w:val="000F4CBD"/>
    <w:rsid w:val="000F4DCF"/>
    <w:rsid w:val="000F5142"/>
    <w:rsid w:val="000F5200"/>
    <w:rsid w:val="000F568D"/>
    <w:rsid w:val="000F58BC"/>
    <w:rsid w:val="000F594C"/>
    <w:rsid w:val="000F5B16"/>
    <w:rsid w:val="000F5CC8"/>
    <w:rsid w:val="000F5E36"/>
    <w:rsid w:val="000F5F7F"/>
    <w:rsid w:val="000F637C"/>
    <w:rsid w:val="000F649F"/>
    <w:rsid w:val="000F6700"/>
    <w:rsid w:val="000F6903"/>
    <w:rsid w:val="000F6AB6"/>
    <w:rsid w:val="000F6FBD"/>
    <w:rsid w:val="000F7137"/>
    <w:rsid w:val="000F73CE"/>
    <w:rsid w:val="000F7631"/>
    <w:rsid w:val="000F7694"/>
    <w:rsid w:val="000F76B6"/>
    <w:rsid w:val="000F7787"/>
    <w:rsid w:val="000F7A0D"/>
    <w:rsid w:val="000F7A2D"/>
    <w:rsid w:val="000F7A3C"/>
    <w:rsid w:val="000F7ADE"/>
    <w:rsid w:val="000F7C3E"/>
    <w:rsid w:val="000F7F5B"/>
    <w:rsid w:val="000F7F94"/>
    <w:rsid w:val="000F7FFD"/>
    <w:rsid w:val="00100173"/>
    <w:rsid w:val="00100266"/>
    <w:rsid w:val="001002D2"/>
    <w:rsid w:val="00100409"/>
    <w:rsid w:val="00100583"/>
    <w:rsid w:val="0010076D"/>
    <w:rsid w:val="00100D01"/>
    <w:rsid w:val="00100E6F"/>
    <w:rsid w:val="00100FA4"/>
    <w:rsid w:val="00101194"/>
    <w:rsid w:val="001013EE"/>
    <w:rsid w:val="0010158F"/>
    <w:rsid w:val="0010173F"/>
    <w:rsid w:val="001017E3"/>
    <w:rsid w:val="00101C90"/>
    <w:rsid w:val="00101CB0"/>
    <w:rsid w:val="00101F87"/>
    <w:rsid w:val="00102135"/>
    <w:rsid w:val="0010214A"/>
    <w:rsid w:val="001021D7"/>
    <w:rsid w:val="00102335"/>
    <w:rsid w:val="00102AFD"/>
    <w:rsid w:val="00102B29"/>
    <w:rsid w:val="00102BE0"/>
    <w:rsid w:val="00102C6F"/>
    <w:rsid w:val="00102DDB"/>
    <w:rsid w:val="00102F76"/>
    <w:rsid w:val="00102FEB"/>
    <w:rsid w:val="0010320A"/>
    <w:rsid w:val="00103339"/>
    <w:rsid w:val="001033A9"/>
    <w:rsid w:val="0010343C"/>
    <w:rsid w:val="001034C7"/>
    <w:rsid w:val="001034E3"/>
    <w:rsid w:val="0010365C"/>
    <w:rsid w:val="001039C2"/>
    <w:rsid w:val="00103A0D"/>
    <w:rsid w:val="00103B00"/>
    <w:rsid w:val="00103C7F"/>
    <w:rsid w:val="00103CBC"/>
    <w:rsid w:val="00103D50"/>
    <w:rsid w:val="00103DFF"/>
    <w:rsid w:val="00103F1C"/>
    <w:rsid w:val="00104019"/>
    <w:rsid w:val="001040AD"/>
    <w:rsid w:val="0010422B"/>
    <w:rsid w:val="001046AD"/>
    <w:rsid w:val="00104923"/>
    <w:rsid w:val="00104960"/>
    <w:rsid w:val="00104A54"/>
    <w:rsid w:val="00104EDD"/>
    <w:rsid w:val="001053D9"/>
    <w:rsid w:val="0010567A"/>
    <w:rsid w:val="0010575A"/>
    <w:rsid w:val="00105A17"/>
    <w:rsid w:val="00105C56"/>
    <w:rsid w:val="00105C7A"/>
    <w:rsid w:val="00105E27"/>
    <w:rsid w:val="00105EB7"/>
    <w:rsid w:val="001060B0"/>
    <w:rsid w:val="001061CB"/>
    <w:rsid w:val="001064A4"/>
    <w:rsid w:val="00106826"/>
    <w:rsid w:val="00106C97"/>
    <w:rsid w:val="00106CB2"/>
    <w:rsid w:val="00106CEE"/>
    <w:rsid w:val="00106F2D"/>
    <w:rsid w:val="00107060"/>
    <w:rsid w:val="00107127"/>
    <w:rsid w:val="0010739F"/>
    <w:rsid w:val="001073A5"/>
    <w:rsid w:val="0010786C"/>
    <w:rsid w:val="0010799C"/>
    <w:rsid w:val="00107B24"/>
    <w:rsid w:val="00107B43"/>
    <w:rsid w:val="00107C99"/>
    <w:rsid w:val="00107E52"/>
    <w:rsid w:val="001103B6"/>
    <w:rsid w:val="00110417"/>
    <w:rsid w:val="00110595"/>
    <w:rsid w:val="001107F1"/>
    <w:rsid w:val="00110800"/>
    <w:rsid w:val="00110927"/>
    <w:rsid w:val="00110996"/>
    <w:rsid w:val="00110AC6"/>
    <w:rsid w:val="00110DAC"/>
    <w:rsid w:val="00110DC5"/>
    <w:rsid w:val="00110E11"/>
    <w:rsid w:val="00111094"/>
    <w:rsid w:val="0011178C"/>
    <w:rsid w:val="00111ABA"/>
    <w:rsid w:val="00111AE7"/>
    <w:rsid w:val="00111AF4"/>
    <w:rsid w:val="00111E16"/>
    <w:rsid w:val="00111EC2"/>
    <w:rsid w:val="00112062"/>
    <w:rsid w:val="001120B0"/>
    <w:rsid w:val="001121D0"/>
    <w:rsid w:val="0011243C"/>
    <w:rsid w:val="001125AB"/>
    <w:rsid w:val="001125E7"/>
    <w:rsid w:val="00112629"/>
    <w:rsid w:val="001126C1"/>
    <w:rsid w:val="00112988"/>
    <w:rsid w:val="00112A57"/>
    <w:rsid w:val="00112ACC"/>
    <w:rsid w:val="00112B59"/>
    <w:rsid w:val="00112BFC"/>
    <w:rsid w:val="00112CF0"/>
    <w:rsid w:val="00112E1E"/>
    <w:rsid w:val="00113339"/>
    <w:rsid w:val="0011336E"/>
    <w:rsid w:val="00113445"/>
    <w:rsid w:val="00113552"/>
    <w:rsid w:val="00113619"/>
    <w:rsid w:val="001136C6"/>
    <w:rsid w:val="0011380C"/>
    <w:rsid w:val="00113AC1"/>
    <w:rsid w:val="00113BAE"/>
    <w:rsid w:val="00113C59"/>
    <w:rsid w:val="00113E79"/>
    <w:rsid w:val="00113F0C"/>
    <w:rsid w:val="0011408D"/>
    <w:rsid w:val="0011424A"/>
    <w:rsid w:val="0011428D"/>
    <w:rsid w:val="0011434D"/>
    <w:rsid w:val="0011455E"/>
    <w:rsid w:val="001146D9"/>
    <w:rsid w:val="001146E5"/>
    <w:rsid w:val="0011485F"/>
    <w:rsid w:val="00114B48"/>
    <w:rsid w:val="00114BFB"/>
    <w:rsid w:val="00114C60"/>
    <w:rsid w:val="00114C83"/>
    <w:rsid w:val="00114CEB"/>
    <w:rsid w:val="00114D9B"/>
    <w:rsid w:val="00114DA1"/>
    <w:rsid w:val="00114EA0"/>
    <w:rsid w:val="00114F65"/>
    <w:rsid w:val="0011519F"/>
    <w:rsid w:val="00115672"/>
    <w:rsid w:val="001157AB"/>
    <w:rsid w:val="0011585E"/>
    <w:rsid w:val="00115921"/>
    <w:rsid w:val="00115ADE"/>
    <w:rsid w:val="00115B41"/>
    <w:rsid w:val="00115C9E"/>
    <w:rsid w:val="00115F2F"/>
    <w:rsid w:val="00116062"/>
    <w:rsid w:val="001163CE"/>
    <w:rsid w:val="0011645A"/>
    <w:rsid w:val="00116463"/>
    <w:rsid w:val="00116702"/>
    <w:rsid w:val="0011699D"/>
    <w:rsid w:val="00116CFA"/>
    <w:rsid w:val="00116D3E"/>
    <w:rsid w:val="00116D5D"/>
    <w:rsid w:val="00116EE4"/>
    <w:rsid w:val="00117136"/>
    <w:rsid w:val="0011713A"/>
    <w:rsid w:val="00117239"/>
    <w:rsid w:val="0011729F"/>
    <w:rsid w:val="001172BD"/>
    <w:rsid w:val="001172C7"/>
    <w:rsid w:val="00117308"/>
    <w:rsid w:val="00117645"/>
    <w:rsid w:val="001178E4"/>
    <w:rsid w:val="001179B4"/>
    <w:rsid w:val="00117AA2"/>
    <w:rsid w:val="00117BF8"/>
    <w:rsid w:val="00117CFD"/>
    <w:rsid w:val="0012020C"/>
    <w:rsid w:val="001205E3"/>
    <w:rsid w:val="00120804"/>
    <w:rsid w:val="00120829"/>
    <w:rsid w:val="00120B1E"/>
    <w:rsid w:val="00120CF3"/>
    <w:rsid w:val="00120EC6"/>
    <w:rsid w:val="001211AB"/>
    <w:rsid w:val="001214BE"/>
    <w:rsid w:val="00121855"/>
    <w:rsid w:val="001218B8"/>
    <w:rsid w:val="0012195A"/>
    <w:rsid w:val="00121A72"/>
    <w:rsid w:val="00121F79"/>
    <w:rsid w:val="001220B7"/>
    <w:rsid w:val="0012234F"/>
    <w:rsid w:val="00122457"/>
    <w:rsid w:val="00122774"/>
    <w:rsid w:val="00122DB3"/>
    <w:rsid w:val="001231ED"/>
    <w:rsid w:val="00123325"/>
    <w:rsid w:val="001234C4"/>
    <w:rsid w:val="0012375B"/>
    <w:rsid w:val="0012383A"/>
    <w:rsid w:val="0012387F"/>
    <w:rsid w:val="00123A30"/>
    <w:rsid w:val="00123BA6"/>
    <w:rsid w:val="00123BC6"/>
    <w:rsid w:val="00123DA3"/>
    <w:rsid w:val="00123E74"/>
    <w:rsid w:val="001243A4"/>
    <w:rsid w:val="00124730"/>
    <w:rsid w:val="00124826"/>
    <w:rsid w:val="00124B73"/>
    <w:rsid w:val="00124C6A"/>
    <w:rsid w:val="00124ED1"/>
    <w:rsid w:val="0012542D"/>
    <w:rsid w:val="0012561A"/>
    <w:rsid w:val="00125806"/>
    <w:rsid w:val="001258EF"/>
    <w:rsid w:val="00125B33"/>
    <w:rsid w:val="00125FAA"/>
    <w:rsid w:val="00126045"/>
    <w:rsid w:val="001260B6"/>
    <w:rsid w:val="001260E3"/>
    <w:rsid w:val="00126201"/>
    <w:rsid w:val="001263ED"/>
    <w:rsid w:val="0012647F"/>
    <w:rsid w:val="00126518"/>
    <w:rsid w:val="001266EE"/>
    <w:rsid w:val="00126AD1"/>
    <w:rsid w:val="00126FB4"/>
    <w:rsid w:val="00126FF9"/>
    <w:rsid w:val="001272E6"/>
    <w:rsid w:val="00127527"/>
    <w:rsid w:val="00127669"/>
    <w:rsid w:val="00127687"/>
    <w:rsid w:val="001277C7"/>
    <w:rsid w:val="001279A4"/>
    <w:rsid w:val="001279B5"/>
    <w:rsid w:val="00127A5A"/>
    <w:rsid w:val="00127B6A"/>
    <w:rsid w:val="00127C8B"/>
    <w:rsid w:val="00127E4B"/>
    <w:rsid w:val="00127E7F"/>
    <w:rsid w:val="00127E95"/>
    <w:rsid w:val="00130174"/>
    <w:rsid w:val="00130303"/>
    <w:rsid w:val="001303B6"/>
    <w:rsid w:val="00130544"/>
    <w:rsid w:val="001307A8"/>
    <w:rsid w:val="001307E8"/>
    <w:rsid w:val="001309F3"/>
    <w:rsid w:val="00130AE2"/>
    <w:rsid w:val="00130B12"/>
    <w:rsid w:val="00130DCA"/>
    <w:rsid w:val="00130DED"/>
    <w:rsid w:val="00131005"/>
    <w:rsid w:val="001312CB"/>
    <w:rsid w:val="001312F0"/>
    <w:rsid w:val="001314B8"/>
    <w:rsid w:val="0013180D"/>
    <w:rsid w:val="00131A5B"/>
    <w:rsid w:val="00131BAD"/>
    <w:rsid w:val="00131D5F"/>
    <w:rsid w:val="001322BE"/>
    <w:rsid w:val="001322D2"/>
    <w:rsid w:val="00132441"/>
    <w:rsid w:val="00132503"/>
    <w:rsid w:val="001325C0"/>
    <w:rsid w:val="001325F6"/>
    <w:rsid w:val="00132B4F"/>
    <w:rsid w:val="00132BE0"/>
    <w:rsid w:val="00132E05"/>
    <w:rsid w:val="00132E0B"/>
    <w:rsid w:val="00132E3A"/>
    <w:rsid w:val="00132FD6"/>
    <w:rsid w:val="0013321F"/>
    <w:rsid w:val="00133263"/>
    <w:rsid w:val="001333F9"/>
    <w:rsid w:val="0013355A"/>
    <w:rsid w:val="001336F1"/>
    <w:rsid w:val="00133927"/>
    <w:rsid w:val="00133A70"/>
    <w:rsid w:val="00133C48"/>
    <w:rsid w:val="00133C76"/>
    <w:rsid w:val="00133C81"/>
    <w:rsid w:val="00133F08"/>
    <w:rsid w:val="00133F5D"/>
    <w:rsid w:val="00134146"/>
    <w:rsid w:val="00134222"/>
    <w:rsid w:val="00134471"/>
    <w:rsid w:val="001346A2"/>
    <w:rsid w:val="001346CC"/>
    <w:rsid w:val="0013474C"/>
    <w:rsid w:val="001347D3"/>
    <w:rsid w:val="00134847"/>
    <w:rsid w:val="0013497E"/>
    <w:rsid w:val="001349D1"/>
    <w:rsid w:val="00134E57"/>
    <w:rsid w:val="00134E63"/>
    <w:rsid w:val="00134FA3"/>
    <w:rsid w:val="00135080"/>
    <w:rsid w:val="0013515E"/>
    <w:rsid w:val="001351C6"/>
    <w:rsid w:val="001351F1"/>
    <w:rsid w:val="001351FC"/>
    <w:rsid w:val="001356C7"/>
    <w:rsid w:val="001359B7"/>
    <w:rsid w:val="00136007"/>
    <w:rsid w:val="0013601E"/>
    <w:rsid w:val="0013623B"/>
    <w:rsid w:val="00136297"/>
    <w:rsid w:val="001363B8"/>
    <w:rsid w:val="00136431"/>
    <w:rsid w:val="00136497"/>
    <w:rsid w:val="00136591"/>
    <w:rsid w:val="0013675D"/>
    <w:rsid w:val="001369BF"/>
    <w:rsid w:val="00136F29"/>
    <w:rsid w:val="00136F6F"/>
    <w:rsid w:val="00137664"/>
    <w:rsid w:val="00137C79"/>
    <w:rsid w:val="00137D90"/>
    <w:rsid w:val="00137DC9"/>
    <w:rsid w:val="00140354"/>
    <w:rsid w:val="001403E6"/>
    <w:rsid w:val="001404D2"/>
    <w:rsid w:val="001409CB"/>
    <w:rsid w:val="00140C6C"/>
    <w:rsid w:val="00140D09"/>
    <w:rsid w:val="001414B8"/>
    <w:rsid w:val="001414E0"/>
    <w:rsid w:val="0014168F"/>
    <w:rsid w:val="001417D1"/>
    <w:rsid w:val="00141960"/>
    <w:rsid w:val="00141A54"/>
    <w:rsid w:val="00141BD1"/>
    <w:rsid w:val="001423B0"/>
    <w:rsid w:val="0014243D"/>
    <w:rsid w:val="00142455"/>
    <w:rsid w:val="00142668"/>
    <w:rsid w:val="001426C9"/>
    <w:rsid w:val="0014298C"/>
    <w:rsid w:val="00142A9B"/>
    <w:rsid w:val="00142B1D"/>
    <w:rsid w:val="00142B21"/>
    <w:rsid w:val="00142B86"/>
    <w:rsid w:val="00142C41"/>
    <w:rsid w:val="001431A0"/>
    <w:rsid w:val="00143228"/>
    <w:rsid w:val="001435F9"/>
    <w:rsid w:val="001438E0"/>
    <w:rsid w:val="00143936"/>
    <w:rsid w:val="00143B25"/>
    <w:rsid w:val="00143B49"/>
    <w:rsid w:val="00143CFA"/>
    <w:rsid w:val="00143D52"/>
    <w:rsid w:val="00143F85"/>
    <w:rsid w:val="00144019"/>
    <w:rsid w:val="00144119"/>
    <w:rsid w:val="001441DA"/>
    <w:rsid w:val="00144892"/>
    <w:rsid w:val="001449F3"/>
    <w:rsid w:val="00144A22"/>
    <w:rsid w:val="00144C8A"/>
    <w:rsid w:val="00145135"/>
    <w:rsid w:val="0014519F"/>
    <w:rsid w:val="00145272"/>
    <w:rsid w:val="0014553D"/>
    <w:rsid w:val="0014557F"/>
    <w:rsid w:val="001455CA"/>
    <w:rsid w:val="001455CC"/>
    <w:rsid w:val="00145604"/>
    <w:rsid w:val="00145866"/>
    <w:rsid w:val="0014592D"/>
    <w:rsid w:val="00145B42"/>
    <w:rsid w:val="00145C42"/>
    <w:rsid w:val="00145E09"/>
    <w:rsid w:val="00146087"/>
    <w:rsid w:val="0014616B"/>
    <w:rsid w:val="0014652C"/>
    <w:rsid w:val="001467CD"/>
    <w:rsid w:val="00146C3E"/>
    <w:rsid w:val="00146C78"/>
    <w:rsid w:val="001470A3"/>
    <w:rsid w:val="00147110"/>
    <w:rsid w:val="00147115"/>
    <w:rsid w:val="001471DD"/>
    <w:rsid w:val="0014740D"/>
    <w:rsid w:val="0014741C"/>
    <w:rsid w:val="00147461"/>
    <w:rsid w:val="001475BD"/>
    <w:rsid w:val="001477CE"/>
    <w:rsid w:val="0014784F"/>
    <w:rsid w:val="001478AD"/>
    <w:rsid w:val="001479EE"/>
    <w:rsid w:val="00147BCC"/>
    <w:rsid w:val="00147F4D"/>
    <w:rsid w:val="0015028C"/>
    <w:rsid w:val="0015040C"/>
    <w:rsid w:val="001507DF"/>
    <w:rsid w:val="001507E4"/>
    <w:rsid w:val="00150874"/>
    <w:rsid w:val="001508A7"/>
    <w:rsid w:val="00150965"/>
    <w:rsid w:val="00150A26"/>
    <w:rsid w:val="00150B89"/>
    <w:rsid w:val="00150C35"/>
    <w:rsid w:val="00150ECB"/>
    <w:rsid w:val="00150F75"/>
    <w:rsid w:val="00151316"/>
    <w:rsid w:val="0015167D"/>
    <w:rsid w:val="0015179D"/>
    <w:rsid w:val="001517E0"/>
    <w:rsid w:val="00151932"/>
    <w:rsid w:val="001519C7"/>
    <w:rsid w:val="00151B00"/>
    <w:rsid w:val="00151BF2"/>
    <w:rsid w:val="00151DFB"/>
    <w:rsid w:val="00152123"/>
    <w:rsid w:val="0015233A"/>
    <w:rsid w:val="00152360"/>
    <w:rsid w:val="001525F6"/>
    <w:rsid w:val="00152611"/>
    <w:rsid w:val="001527F4"/>
    <w:rsid w:val="00152807"/>
    <w:rsid w:val="0015286B"/>
    <w:rsid w:val="00152898"/>
    <w:rsid w:val="00152978"/>
    <w:rsid w:val="00152AB5"/>
    <w:rsid w:val="00152BE0"/>
    <w:rsid w:val="00152C3D"/>
    <w:rsid w:val="00152EA0"/>
    <w:rsid w:val="00152ED6"/>
    <w:rsid w:val="00152FED"/>
    <w:rsid w:val="001532AD"/>
    <w:rsid w:val="001532C8"/>
    <w:rsid w:val="0015337F"/>
    <w:rsid w:val="00153AA7"/>
    <w:rsid w:val="00153CA7"/>
    <w:rsid w:val="00153D48"/>
    <w:rsid w:val="0015407C"/>
    <w:rsid w:val="0015422C"/>
    <w:rsid w:val="001544A2"/>
    <w:rsid w:val="001545E2"/>
    <w:rsid w:val="00154A2E"/>
    <w:rsid w:val="00154A35"/>
    <w:rsid w:val="00154A9A"/>
    <w:rsid w:val="00154C36"/>
    <w:rsid w:val="00154C8C"/>
    <w:rsid w:val="00154D25"/>
    <w:rsid w:val="00154EC3"/>
    <w:rsid w:val="00154FE0"/>
    <w:rsid w:val="001550A3"/>
    <w:rsid w:val="00155108"/>
    <w:rsid w:val="0015510B"/>
    <w:rsid w:val="0015513A"/>
    <w:rsid w:val="00155276"/>
    <w:rsid w:val="001552CB"/>
    <w:rsid w:val="001552E1"/>
    <w:rsid w:val="00155469"/>
    <w:rsid w:val="00155492"/>
    <w:rsid w:val="001555D7"/>
    <w:rsid w:val="00155689"/>
    <w:rsid w:val="00155746"/>
    <w:rsid w:val="001559C3"/>
    <w:rsid w:val="00155A23"/>
    <w:rsid w:val="00155BE6"/>
    <w:rsid w:val="00155C77"/>
    <w:rsid w:val="00155EAF"/>
    <w:rsid w:val="00155F7F"/>
    <w:rsid w:val="0015613A"/>
    <w:rsid w:val="00156157"/>
    <w:rsid w:val="001563E6"/>
    <w:rsid w:val="00156419"/>
    <w:rsid w:val="00156537"/>
    <w:rsid w:val="0015686A"/>
    <w:rsid w:val="0015687C"/>
    <w:rsid w:val="00156888"/>
    <w:rsid w:val="001569C1"/>
    <w:rsid w:val="00156A24"/>
    <w:rsid w:val="00156ACE"/>
    <w:rsid w:val="00156C80"/>
    <w:rsid w:val="00156F64"/>
    <w:rsid w:val="00157145"/>
    <w:rsid w:val="00157282"/>
    <w:rsid w:val="0015742B"/>
    <w:rsid w:val="001574A7"/>
    <w:rsid w:val="001575FC"/>
    <w:rsid w:val="0015776C"/>
    <w:rsid w:val="00157792"/>
    <w:rsid w:val="001579DC"/>
    <w:rsid w:val="00157AD5"/>
    <w:rsid w:val="00157BA5"/>
    <w:rsid w:val="00157CEB"/>
    <w:rsid w:val="00157CF6"/>
    <w:rsid w:val="00157EFB"/>
    <w:rsid w:val="00157F02"/>
    <w:rsid w:val="00157F8C"/>
    <w:rsid w:val="00160015"/>
    <w:rsid w:val="00160229"/>
    <w:rsid w:val="00160341"/>
    <w:rsid w:val="00160346"/>
    <w:rsid w:val="001604D5"/>
    <w:rsid w:val="001604F1"/>
    <w:rsid w:val="001605EB"/>
    <w:rsid w:val="00160872"/>
    <w:rsid w:val="00160877"/>
    <w:rsid w:val="00160C78"/>
    <w:rsid w:val="00160EA4"/>
    <w:rsid w:val="0016108C"/>
    <w:rsid w:val="001610AC"/>
    <w:rsid w:val="001611D1"/>
    <w:rsid w:val="0016127D"/>
    <w:rsid w:val="00161391"/>
    <w:rsid w:val="00161606"/>
    <w:rsid w:val="00161616"/>
    <w:rsid w:val="00161DCE"/>
    <w:rsid w:val="00161F94"/>
    <w:rsid w:val="00162066"/>
    <w:rsid w:val="001620CB"/>
    <w:rsid w:val="001625EC"/>
    <w:rsid w:val="00162780"/>
    <w:rsid w:val="0016282B"/>
    <w:rsid w:val="001628DA"/>
    <w:rsid w:val="00162970"/>
    <w:rsid w:val="00162999"/>
    <w:rsid w:val="00162F99"/>
    <w:rsid w:val="00163613"/>
    <w:rsid w:val="00163983"/>
    <w:rsid w:val="00163A34"/>
    <w:rsid w:val="00163E35"/>
    <w:rsid w:val="00164202"/>
    <w:rsid w:val="00164315"/>
    <w:rsid w:val="001647A8"/>
    <w:rsid w:val="00164B4B"/>
    <w:rsid w:val="00164ECE"/>
    <w:rsid w:val="00164FD0"/>
    <w:rsid w:val="001650EF"/>
    <w:rsid w:val="00165230"/>
    <w:rsid w:val="0016528D"/>
    <w:rsid w:val="001652C2"/>
    <w:rsid w:val="0016534B"/>
    <w:rsid w:val="001654B0"/>
    <w:rsid w:val="00165564"/>
    <w:rsid w:val="001657CF"/>
    <w:rsid w:val="00165907"/>
    <w:rsid w:val="00165954"/>
    <w:rsid w:val="00165A5A"/>
    <w:rsid w:val="00165B7C"/>
    <w:rsid w:val="00165C85"/>
    <w:rsid w:val="00165DA5"/>
    <w:rsid w:val="00165DC0"/>
    <w:rsid w:val="00165DC7"/>
    <w:rsid w:val="00165EBE"/>
    <w:rsid w:val="00165FF0"/>
    <w:rsid w:val="00166098"/>
    <w:rsid w:val="001660AA"/>
    <w:rsid w:val="001662BC"/>
    <w:rsid w:val="0016635A"/>
    <w:rsid w:val="00166422"/>
    <w:rsid w:val="0016688E"/>
    <w:rsid w:val="0016689D"/>
    <w:rsid w:val="00166966"/>
    <w:rsid w:val="00166BE5"/>
    <w:rsid w:val="00166E24"/>
    <w:rsid w:val="00166F83"/>
    <w:rsid w:val="001670F4"/>
    <w:rsid w:val="00167169"/>
    <w:rsid w:val="0016723A"/>
    <w:rsid w:val="001672D1"/>
    <w:rsid w:val="00167335"/>
    <w:rsid w:val="001674FA"/>
    <w:rsid w:val="0016759F"/>
    <w:rsid w:val="00167746"/>
    <w:rsid w:val="0016778C"/>
    <w:rsid w:val="00167AA3"/>
    <w:rsid w:val="00167DAE"/>
    <w:rsid w:val="00167DD0"/>
    <w:rsid w:val="00167FF3"/>
    <w:rsid w:val="00170100"/>
    <w:rsid w:val="0017033F"/>
    <w:rsid w:val="0017034B"/>
    <w:rsid w:val="001704CF"/>
    <w:rsid w:val="001706E6"/>
    <w:rsid w:val="0017077C"/>
    <w:rsid w:val="00170DC9"/>
    <w:rsid w:val="00170E66"/>
    <w:rsid w:val="00171028"/>
    <w:rsid w:val="0017104D"/>
    <w:rsid w:val="00171232"/>
    <w:rsid w:val="001712F9"/>
    <w:rsid w:val="00171335"/>
    <w:rsid w:val="0017164B"/>
    <w:rsid w:val="00171719"/>
    <w:rsid w:val="0017181D"/>
    <w:rsid w:val="00171A05"/>
    <w:rsid w:val="00171D48"/>
    <w:rsid w:val="001725BB"/>
    <w:rsid w:val="00172664"/>
    <w:rsid w:val="0017279D"/>
    <w:rsid w:val="001729E5"/>
    <w:rsid w:val="00172E17"/>
    <w:rsid w:val="00172E28"/>
    <w:rsid w:val="00172EC4"/>
    <w:rsid w:val="00172F3A"/>
    <w:rsid w:val="00172FC4"/>
    <w:rsid w:val="001730A3"/>
    <w:rsid w:val="001730FD"/>
    <w:rsid w:val="0017311D"/>
    <w:rsid w:val="001731B1"/>
    <w:rsid w:val="001735B1"/>
    <w:rsid w:val="00173798"/>
    <w:rsid w:val="001738FB"/>
    <w:rsid w:val="00173BE6"/>
    <w:rsid w:val="00173DA5"/>
    <w:rsid w:val="00173DC5"/>
    <w:rsid w:val="00173E72"/>
    <w:rsid w:val="00173E9E"/>
    <w:rsid w:val="00173F9C"/>
    <w:rsid w:val="001740BD"/>
    <w:rsid w:val="001741B0"/>
    <w:rsid w:val="00174762"/>
    <w:rsid w:val="00174BCA"/>
    <w:rsid w:val="00174CCA"/>
    <w:rsid w:val="00175209"/>
    <w:rsid w:val="0017572D"/>
    <w:rsid w:val="00175AA2"/>
    <w:rsid w:val="00175ACB"/>
    <w:rsid w:val="00175C8F"/>
    <w:rsid w:val="00175DF1"/>
    <w:rsid w:val="00175E58"/>
    <w:rsid w:val="0017607B"/>
    <w:rsid w:val="001760FF"/>
    <w:rsid w:val="0017621B"/>
    <w:rsid w:val="00176382"/>
    <w:rsid w:val="0017645D"/>
    <w:rsid w:val="0017649F"/>
    <w:rsid w:val="00176738"/>
    <w:rsid w:val="00176E42"/>
    <w:rsid w:val="00176E9A"/>
    <w:rsid w:val="00176EE8"/>
    <w:rsid w:val="00176F37"/>
    <w:rsid w:val="00177353"/>
    <w:rsid w:val="0017747F"/>
    <w:rsid w:val="001775AD"/>
    <w:rsid w:val="0017771D"/>
    <w:rsid w:val="001777D5"/>
    <w:rsid w:val="001777E9"/>
    <w:rsid w:val="001778D0"/>
    <w:rsid w:val="00177B6B"/>
    <w:rsid w:val="00177CDA"/>
    <w:rsid w:val="00177D12"/>
    <w:rsid w:val="00177FE1"/>
    <w:rsid w:val="00180109"/>
    <w:rsid w:val="0018021E"/>
    <w:rsid w:val="0018054F"/>
    <w:rsid w:val="001807C0"/>
    <w:rsid w:val="0018089F"/>
    <w:rsid w:val="00180935"/>
    <w:rsid w:val="00180A23"/>
    <w:rsid w:val="00180AD0"/>
    <w:rsid w:val="00180B76"/>
    <w:rsid w:val="00180B83"/>
    <w:rsid w:val="00180BE8"/>
    <w:rsid w:val="00180C8F"/>
    <w:rsid w:val="00180D19"/>
    <w:rsid w:val="0018118C"/>
    <w:rsid w:val="001811DE"/>
    <w:rsid w:val="001817CC"/>
    <w:rsid w:val="001818CC"/>
    <w:rsid w:val="00181B43"/>
    <w:rsid w:val="00181D7B"/>
    <w:rsid w:val="00181DD2"/>
    <w:rsid w:val="00182170"/>
    <w:rsid w:val="0018247B"/>
    <w:rsid w:val="00182487"/>
    <w:rsid w:val="001826CB"/>
    <w:rsid w:val="001827AC"/>
    <w:rsid w:val="00182899"/>
    <w:rsid w:val="0018298F"/>
    <w:rsid w:val="00182B1F"/>
    <w:rsid w:val="00182CDC"/>
    <w:rsid w:val="00182E39"/>
    <w:rsid w:val="001831E8"/>
    <w:rsid w:val="001832B0"/>
    <w:rsid w:val="001832CD"/>
    <w:rsid w:val="0018349C"/>
    <w:rsid w:val="00183562"/>
    <w:rsid w:val="00183649"/>
    <w:rsid w:val="00183970"/>
    <w:rsid w:val="00183C19"/>
    <w:rsid w:val="00183C60"/>
    <w:rsid w:val="00183F10"/>
    <w:rsid w:val="001840AB"/>
    <w:rsid w:val="00184137"/>
    <w:rsid w:val="001841BB"/>
    <w:rsid w:val="001843C4"/>
    <w:rsid w:val="00184519"/>
    <w:rsid w:val="0018457C"/>
    <w:rsid w:val="001845F7"/>
    <w:rsid w:val="00184635"/>
    <w:rsid w:val="001849EA"/>
    <w:rsid w:val="00184A83"/>
    <w:rsid w:val="00184F1E"/>
    <w:rsid w:val="00185037"/>
    <w:rsid w:val="0018537D"/>
    <w:rsid w:val="001853A5"/>
    <w:rsid w:val="001855EF"/>
    <w:rsid w:val="00185A8A"/>
    <w:rsid w:val="00185BD5"/>
    <w:rsid w:val="00185E36"/>
    <w:rsid w:val="001862DA"/>
    <w:rsid w:val="0018630F"/>
    <w:rsid w:val="001864CC"/>
    <w:rsid w:val="001866BF"/>
    <w:rsid w:val="001866D1"/>
    <w:rsid w:val="001867AE"/>
    <w:rsid w:val="001868A3"/>
    <w:rsid w:val="001869B9"/>
    <w:rsid w:val="00186A8A"/>
    <w:rsid w:val="00186BAD"/>
    <w:rsid w:val="00186D3B"/>
    <w:rsid w:val="00186EB8"/>
    <w:rsid w:val="00187145"/>
    <w:rsid w:val="00187173"/>
    <w:rsid w:val="001874F4"/>
    <w:rsid w:val="00187613"/>
    <w:rsid w:val="00187911"/>
    <w:rsid w:val="00187DA4"/>
    <w:rsid w:val="00187FD8"/>
    <w:rsid w:val="0019024D"/>
    <w:rsid w:val="00190410"/>
    <w:rsid w:val="001904D5"/>
    <w:rsid w:val="00190B60"/>
    <w:rsid w:val="00190F95"/>
    <w:rsid w:val="00191019"/>
    <w:rsid w:val="0019104D"/>
    <w:rsid w:val="00191252"/>
    <w:rsid w:val="001912DA"/>
    <w:rsid w:val="0019151B"/>
    <w:rsid w:val="00191778"/>
    <w:rsid w:val="00191A77"/>
    <w:rsid w:val="00191B62"/>
    <w:rsid w:val="00191DB3"/>
    <w:rsid w:val="00191FD5"/>
    <w:rsid w:val="001921ED"/>
    <w:rsid w:val="00192214"/>
    <w:rsid w:val="001923ED"/>
    <w:rsid w:val="00192539"/>
    <w:rsid w:val="0019268A"/>
    <w:rsid w:val="00192B90"/>
    <w:rsid w:val="00192BFE"/>
    <w:rsid w:val="00192D0D"/>
    <w:rsid w:val="00193260"/>
    <w:rsid w:val="001936C0"/>
    <w:rsid w:val="0019374B"/>
    <w:rsid w:val="00193990"/>
    <w:rsid w:val="00193A90"/>
    <w:rsid w:val="00193AAF"/>
    <w:rsid w:val="00193B10"/>
    <w:rsid w:val="00193D15"/>
    <w:rsid w:val="00193EE3"/>
    <w:rsid w:val="00193F2F"/>
    <w:rsid w:val="00194098"/>
    <w:rsid w:val="001940FF"/>
    <w:rsid w:val="00194208"/>
    <w:rsid w:val="00194254"/>
    <w:rsid w:val="0019429C"/>
    <w:rsid w:val="0019446D"/>
    <w:rsid w:val="00194995"/>
    <w:rsid w:val="00194FBD"/>
    <w:rsid w:val="00194FCC"/>
    <w:rsid w:val="001950D2"/>
    <w:rsid w:val="00195189"/>
    <w:rsid w:val="00195476"/>
    <w:rsid w:val="00195508"/>
    <w:rsid w:val="00195C82"/>
    <w:rsid w:val="00195CD2"/>
    <w:rsid w:val="00196167"/>
    <w:rsid w:val="0019620C"/>
    <w:rsid w:val="00196526"/>
    <w:rsid w:val="00196594"/>
    <w:rsid w:val="00196661"/>
    <w:rsid w:val="00196690"/>
    <w:rsid w:val="00196963"/>
    <w:rsid w:val="0019696E"/>
    <w:rsid w:val="00196ACB"/>
    <w:rsid w:val="00196B93"/>
    <w:rsid w:val="00196BA3"/>
    <w:rsid w:val="00196D69"/>
    <w:rsid w:val="00196E4E"/>
    <w:rsid w:val="00196E6B"/>
    <w:rsid w:val="00196EAA"/>
    <w:rsid w:val="001970F9"/>
    <w:rsid w:val="00197350"/>
    <w:rsid w:val="00197BC3"/>
    <w:rsid w:val="00197DCD"/>
    <w:rsid w:val="00197F90"/>
    <w:rsid w:val="001A0003"/>
    <w:rsid w:val="001A064C"/>
    <w:rsid w:val="001A0968"/>
    <w:rsid w:val="001A0BAB"/>
    <w:rsid w:val="001A0CFB"/>
    <w:rsid w:val="001A0D00"/>
    <w:rsid w:val="001A0F0C"/>
    <w:rsid w:val="001A1720"/>
    <w:rsid w:val="001A181D"/>
    <w:rsid w:val="001A188D"/>
    <w:rsid w:val="001A1910"/>
    <w:rsid w:val="001A192B"/>
    <w:rsid w:val="001A19EA"/>
    <w:rsid w:val="001A1C92"/>
    <w:rsid w:val="001A1D3E"/>
    <w:rsid w:val="001A1D88"/>
    <w:rsid w:val="001A1F2F"/>
    <w:rsid w:val="001A2109"/>
    <w:rsid w:val="001A2466"/>
    <w:rsid w:val="001A2571"/>
    <w:rsid w:val="001A2677"/>
    <w:rsid w:val="001A26F5"/>
    <w:rsid w:val="001A27E6"/>
    <w:rsid w:val="001A2D80"/>
    <w:rsid w:val="001A2DDC"/>
    <w:rsid w:val="001A2F36"/>
    <w:rsid w:val="001A3356"/>
    <w:rsid w:val="001A344B"/>
    <w:rsid w:val="001A36D1"/>
    <w:rsid w:val="001A372B"/>
    <w:rsid w:val="001A3771"/>
    <w:rsid w:val="001A3991"/>
    <w:rsid w:val="001A3D9D"/>
    <w:rsid w:val="001A4336"/>
    <w:rsid w:val="001A457D"/>
    <w:rsid w:val="001A4780"/>
    <w:rsid w:val="001A47D2"/>
    <w:rsid w:val="001A4BA3"/>
    <w:rsid w:val="001A4C3E"/>
    <w:rsid w:val="001A4CCB"/>
    <w:rsid w:val="001A4EB6"/>
    <w:rsid w:val="001A4EBE"/>
    <w:rsid w:val="001A5006"/>
    <w:rsid w:val="001A50BF"/>
    <w:rsid w:val="001A5419"/>
    <w:rsid w:val="001A5573"/>
    <w:rsid w:val="001A56C9"/>
    <w:rsid w:val="001A56DE"/>
    <w:rsid w:val="001A5705"/>
    <w:rsid w:val="001A585E"/>
    <w:rsid w:val="001A587D"/>
    <w:rsid w:val="001A592C"/>
    <w:rsid w:val="001A5B09"/>
    <w:rsid w:val="001A5C7A"/>
    <w:rsid w:val="001A5CEE"/>
    <w:rsid w:val="001A5D64"/>
    <w:rsid w:val="001A620B"/>
    <w:rsid w:val="001A63F2"/>
    <w:rsid w:val="001A6496"/>
    <w:rsid w:val="001A64F3"/>
    <w:rsid w:val="001A6575"/>
    <w:rsid w:val="001A68EE"/>
    <w:rsid w:val="001A6967"/>
    <w:rsid w:val="001A69C6"/>
    <w:rsid w:val="001A6E6B"/>
    <w:rsid w:val="001A6ED3"/>
    <w:rsid w:val="001A6F1C"/>
    <w:rsid w:val="001A71B0"/>
    <w:rsid w:val="001A7278"/>
    <w:rsid w:val="001A7346"/>
    <w:rsid w:val="001A7386"/>
    <w:rsid w:val="001A751B"/>
    <w:rsid w:val="001A779E"/>
    <w:rsid w:val="001A7971"/>
    <w:rsid w:val="001A7AB8"/>
    <w:rsid w:val="001A7B28"/>
    <w:rsid w:val="001A7BFE"/>
    <w:rsid w:val="001A7E01"/>
    <w:rsid w:val="001A7E15"/>
    <w:rsid w:val="001A7E31"/>
    <w:rsid w:val="001A7FFD"/>
    <w:rsid w:val="001B00A8"/>
    <w:rsid w:val="001B0110"/>
    <w:rsid w:val="001B0511"/>
    <w:rsid w:val="001B090D"/>
    <w:rsid w:val="001B09E3"/>
    <w:rsid w:val="001B0AC4"/>
    <w:rsid w:val="001B0B62"/>
    <w:rsid w:val="001B0C0A"/>
    <w:rsid w:val="001B0F33"/>
    <w:rsid w:val="001B1032"/>
    <w:rsid w:val="001B105E"/>
    <w:rsid w:val="001B10FE"/>
    <w:rsid w:val="001B12C0"/>
    <w:rsid w:val="001B1324"/>
    <w:rsid w:val="001B134A"/>
    <w:rsid w:val="001B14FE"/>
    <w:rsid w:val="001B1729"/>
    <w:rsid w:val="001B1FAD"/>
    <w:rsid w:val="001B1FDE"/>
    <w:rsid w:val="001B2029"/>
    <w:rsid w:val="001B2A28"/>
    <w:rsid w:val="001B3048"/>
    <w:rsid w:val="001B3642"/>
    <w:rsid w:val="001B366B"/>
    <w:rsid w:val="001B3961"/>
    <w:rsid w:val="001B3A50"/>
    <w:rsid w:val="001B3C72"/>
    <w:rsid w:val="001B3CB2"/>
    <w:rsid w:val="001B3E60"/>
    <w:rsid w:val="001B40CB"/>
    <w:rsid w:val="001B40E7"/>
    <w:rsid w:val="001B42E4"/>
    <w:rsid w:val="001B436F"/>
    <w:rsid w:val="001B4766"/>
    <w:rsid w:val="001B49AF"/>
    <w:rsid w:val="001B4E90"/>
    <w:rsid w:val="001B4F42"/>
    <w:rsid w:val="001B5020"/>
    <w:rsid w:val="001B50E2"/>
    <w:rsid w:val="001B514F"/>
    <w:rsid w:val="001B525B"/>
    <w:rsid w:val="001B5264"/>
    <w:rsid w:val="001B5291"/>
    <w:rsid w:val="001B5450"/>
    <w:rsid w:val="001B563F"/>
    <w:rsid w:val="001B571B"/>
    <w:rsid w:val="001B582D"/>
    <w:rsid w:val="001B5890"/>
    <w:rsid w:val="001B59A9"/>
    <w:rsid w:val="001B5C8D"/>
    <w:rsid w:val="001B5D3A"/>
    <w:rsid w:val="001B5D41"/>
    <w:rsid w:val="001B5EB0"/>
    <w:rsid w:val="001B5FF2"/>
    <w:rsid w:val="001B60AB"/>
    <w:rsid w:val="001B6209"/>
    <w:rsid w:val="001B6421"/>
    <w:rsid w:val="001B6751"/>
    <w:rsid w:val="001B691A"/>
    <w:rsid w:val="001B696E"/>
    <w:rsid w:val="001B6A56"/>
    <w:rsid w:val="001B6A78"/>
    <w:rsid w:val="001B7191"/>
    <w:rsid w:val="001B71B9"/>
    <w:rsid w:val="001B71F1"/>
    <w:rsid w:val="001B7243"/>
    <w:rsid w:val="001B76A8"/>
    <w:rsid w:val="001B782D"/>
    <w:rsid w:val="001B786F"/>
    <w:rsid w:val="001B7B31"/>
    <w:rsid w:val="001C00F2"/>
    <w:rsid w:val="001C0505"/>
    <w:rsid w:val="001C054B"/>
    <w:rsid w:val="001C05BE"/>
    <w:rsid w:val="001C05EF"/>
    <w:rsid w:val="001C0963"/>
    <w:rsid w:val="001C09D9"/>
    <w:rsid w:val="001C0E55"/>
    <w:rsid w:val="001C0EFD"/>
    <w:rsid w:val="001C10AC"/>
    <w:rsid w:val="001C1121"/>
    <w:rsid w:val="001C121C"/>
    <w:rsid w:val="001C14EA"/>
    <w:rsid w:val="001C18A6"/>
    <w:rsid w:val="001C1A14"/>
    <w:rsid w:val="001C1AC5"/>
    <w:rsid w:val="001C1DE7"/>
    <w:rsid w:val="001C1E40"/>
    <w:rsid w:val="001C202D"/>
    <w:rsid w:val="001C20D6"/>
    <w:rsid w:val="001C21A2"/>
    <w:rsid w:val="001C2232"/>
    <w:rsid w:val="001C22BD"/>
    <w:rsid w:val="001C22F8"/>
    <w:rsid w:val="001C23C3"/>
    <w:rsid w:val="001C23F9"/>
    <w:rsid w:val="001C24B2"/>
    <w:rsid w:val="001C24F4"/>
    <w:rsid w:val="001C2707"/>
    <w:rsid w:val="001C2A03"/>
    <w:rsid w:val="001C2B82"/>
    <w:rsid w:val="001C30D2"/>
    <w:rsid w:val="001C35A9"/>
    <w:rsid w:val="001C37B3"/>
    <w:rsid w:val="001C39E8"/>
    <w:rsid w:val="001C39F0"/>
    <w:rsid w:val="001C39F6"/>
    <w:rsid w:val="001C3A22"/>
    <w:rsid w:val="001C3AB5"/>
    <w:rsid w:val="001C3B93"/>
    <w:rsid w:val="001C3BC6"/>
    <w:rsid w:val="001C3C49"/>
    <w:rsid w:val="001C3C62"/>
    <w:rsid w:val="001C3CD8"/>
    <w:rsid w:val="001C3D25"/>
    <w:rsid w:val="001C3D31"/>
    <w:rsid w:val="001C3D3F"/>
    <w:rsid w:val="001C3D96"/>
    <w:rsid w:val="001C3F63"/>
    <w:rsid w:val="001C3FF8"/>
    <w:rsid w:val="001C44E0"/>
    <w:rsid w:val="001C4553"/>
    <w:rsid w:val="001C4619"/>
    <w:rsid w:val="001C4623"/>
    <w:rsid w:val="001C4632"/>
    <w:rsid w:val="001C469B"/>
    <w:rsid w:val="001C46F4"/>
    <w:rsid w:val="001C47F1"/>
    <w:rsid w:val="001C4A0B"/>
    <w:rsid w:val="001C4B75"/>
    <w:rsid w:val="001C4C45"/>
    <w:rsid w:val="001C4C8C"/>
    <w:rsid w:val="001C4CEA"/>
    <w:rsid w:val="001C4DA4"/>
    <w:rsid w:val="001C504B"/>
    <w:rsid w:val="001C532B"/>
    <w:rsid w:val="001C54F5"/>
    <w:rsid w:val="001C559E"/>
    <w:rsid w:val="001C55F6"/>
    <w:rsid w:val="001C564E"/>
    <w:rsid w:val="001C5979"/>
    <w:rsid w:val="001C5D2D"/>
    <w:rsid w:val="001C5D8B"/>
    <w:rsid w:val="001C6086"/>
    <w:rsid w:val="001C61BF"/>
    <w:rsid w:val="001C620C"/>
    <w:rsid w:val="001C6252"/>
    <w:rsid w:val="001C62AE"/>
    <w:rsid w:val="001C62B4"/>
    <w:rsid w:val="001C6311"/>
    <w:rsid w:val="001C64B9"/>
    <w:rsid w:val="001C6504"/>
    <w:rsid w:val="001C6726"/>
    <w:rsid w:val="001C6747"/>
    <w:rsid w:val="001C6758"/>
    <w:rsid w:val="001C6762"/>
    <w:rsid w:val="001C681D"/>
    <w:rsid w:val="001C69B9"/>
    <w:rsid w:val="001C6A71"/>
    <w:rsid w:val="001C6BFC"/>
    <w:rsid w:val="001C71AA"/>
    <w:rsid w:val="001C73F8"/>
    <w:rsid w:val="001C74DF"/>
    <w:rsid w:val="001C75AB"/>
    <w:rsid w:val="001C75B2"/>
    <w:rsid w:val="001C776C"/>
    <w:rsid w:val="001C77E1"/>
    <w:rsid w:val="001C7875"/>
    <w:rsid w:val="001C794D"/>
    <w:rsid w:val="001C79DA"/>
    <w:rsid w:val="001C7ABB"/>
    <w:rsid w:val="001C7C88"/>
    <w:rsid w:val="001C7D0F"/>
    <w:rsid w:val="001C7F9B"/>
    <w:rsid w:val="001D0028"/>
    <w:rsid w:val="001D0072"/>
    <w:rsid w:val="001D007C"/>
    <w:rsid w:val="001D01F0"/>
    <w:rsid w:val="001D08FD"/>
    <w:rsid w:val="001D0926"/>
    <w:rsid w:val="001D0961"/>
    <w:rsid w:val="001D0A2B"/>
    <w:rsid w:val="001D0BC1"/>
    <w:rsid w:val="001D0CC0"/>
    <w:rsid w:val="001D0E21"/>
    <w:rsid w:val="001D112B"/>
    <w:rsid w:val="001D11B3"/>
    <w:rsid w:val="001D1474"/>
    <w:rsid w:val="001D197C"/>
    <w:rsid w:val="001D1982"/>
    <w:rsid w:val="001D19A8"/>
    <w:rsid w:val="001D21E4"/>
    <w:rsid w:val="001D2275"/>
    <w:rsid w:val="001D240E"/>
    <w:rsid w:val="001D2635"/>
    <w:rsid w:val="001D26ED"/>
    <w:rsid w:val="001D2833"/>
    <w:rsid w:val="001D28B3"/>
    <w:rsid w:val="001D29ED"/>
    <w:rsid w:val="001D2D33"/>
    <w:rsid w:val="001D2E64"/>
    <w:rsid w:val="001D322B"/>
    <w:rsid w:val="001D33AD"/>
    <w:rsid w:val="001D388A"/>
    <w:rsid w:val="001D3B9B"/>
    <w:rsid w:val="001D3D79"/>
    <w:rsid w:val="001D3DFF"/>
    <w:rsid w:val="001D4479"/>
    <w:rsid w:val="001D493C"/>
    <w:rsid w:val="001D4BC5"/>
    <w:rsid w:val="001D4D4D"/>
    <w:rsid w:val="001D5257"/>
    <w:rsid w:val="001D5280"/>
    <w:rsid w:val="001D53F4"/>
    <w:rsid w:val="001D593D"/>
    <w:rsid w:val="001D5963"/>
    <w:rsid w:val="001D5A81"/>
    <w:rsid w:val="001D5BCF"/>
    <w:rsid w:val="001D5CAD"/>
    <w:rsid w:val="001D5D71"/>
    <w:rsid w:val="001D62F5"/>
    <w:rsid w:val="001D638B"/>
    <w:rsid w:val="001D6488"/>
    <w:rsid w:val="001D686B"/>
    <w:rsid w:val="001D6CCE"/>
    <w:rsid w:val="001D6DFA"/>
    <w:rsid w:val="001D6F9C"/>
    <w:rsid w:val="001D70DD"/>
    <w:rsid w:val="001D7159"/>
    <w:rsid w:val="001D7180"/>
    <w:rsid w:val="001D737A"/>
    <w:rsid w:val="001D75D4"/>
    <w:rsid w:val="001D7743"/>
    <w:rsid w:val="001D7798"/>
    <w:rsid w:val="001D79A7"/>
    <w:rsid w:val="001D79EF"/>
    <w:rsid w:val="001D7B8C"/>
    <w:rsid w:val="001D7CC8"/>
    <w:rsid w:val="001D7D37"/>
    <w:rsid w:val="001D7E6D"/>
    <w:rsid w:val="001E004B"/>
    <w:rsid w:val="001E00F0"/>
    <w:rsid w:val="001E010A"/>
    <w:rsid w:val="001E03F1"/>
    <w:rsid w:val="001E04CE"/>
    <w:rsid w:val="001E0547"/>
    <w:rsid w:val="001E0741"/>
    <w:rsid w:val="001E0916"/>
    <w:rsid w:val="001E0E07"/>
    <w:rsid w:val="001E0FFF"/>
    <w:rsid w:val="001E12FC"/>
    <w:rsid w:val="001E14A7"/>
    <w:rsid w:val="001E1901"/>
    <w:rsid w:val="001E19D3"/>
    <w:rsid w:val="001E1E08"/>
    <w:rsid w:val="001E1F97"/>
    <w:rsid w:val="001E1FEC"/>
    <w:rsid w:val="001E2024"/>
    <w:rsid w:val="001E21F9"/>
    <w:rsid w:val="001E2321"/>
    <w:rsid w:val="001E23D1"/>
    <w:rsid w:val="001E2428"/>
    <w:rsid w:val="001E252F"/>
    <w:rsid w:val="001E25CE"/>
    <w:rsid w:val="001E25D2"/>
    <w:rsid w:val="001E26BD"/>
    <w:rsid w:val="001E2908"/>
    <w:rsid w:val="001E2A8E"/>
    <w:rsid w:val="001E2B64"/>
    <w:rsid w:val="001E2DEC"/>
    <w:rsid w:val="001E3569"/>
    <w:rsid w:val="001E38A8"/>
    <w:rsid w:val="001E3982"/>
    <w:rsid w:val="001E3A14"/>
    <w:rsid w:val="001E3EEE"/>
    <w:rsid w:val="001E4212"/>
    <w:rsid w:val="001E431E"/>
    <w:rsid w:val="001E4663"/>
    <w:rsid w:val="001E4A00"/>
    <w:rsid w:val="001E4BA3"/>
    <w:rsid w:val="001E4D5F"/>
    <w:rsid w:val="001E4F7D"/>
    <w:rsid w:val="001E510D"/>
    <w:rsid w:val="001E53AA"/>
    <w:rsid w:val="001E53CD"/>
    <w:rsid w:val="001E55F7"/>
    <w:rsid w:val="001E5701"/>
    <w:rsid w:val="001E580B"/>
    <w:rsid w:val="001E5BBB"/>
    <w:rsid w:val="001E5BFA"/>
    <w:rsid w:val="001E5F64"/>
    <w:rsid w:val="001E60FB"/>
    <w:rsid w:val="001E6118"/>
    <w:rsid w:val="001E6180"/>
    <w:rsid w:val="001E630A"/>
    <w:rsid w:val="001E6380"/>
    <w:rsid w:val="001E674B"/>
    <w:rsid w:val="001E6804"/>
    <w:rsid w:val="001E68FC"/>
    <w:rsid w:val="001E6B7E"/>
    <w:rsid w:val="001E6C2D"/>
    <w:rsid w:val="001E6D8E"/>
    <w:rsid w:val="001E6F5F"/>
    <w:rsid w:val="001E7008"/>
    <w:rsid w:val="001E70B6"/>
    <w:rsid w:val="001E714A"/>
    <w:rsid w:val="001E7265"/>
    <w:rsid w:val="001E72B6"/>
    <w:rsid w:val="001E7396"/>
    <w:rsid w:val="001E7480"/>
    <w:rsid w:val="001E7569"/>
    <w:rsid w:val="001E76D9"/>
    <w:rsid w:val="001E7804"/>
    <w:rsid w:val="001E7C64"/>
    <w:rsid w:val="001E7F25"/>
    <w:rsid w:val="001E7FE4"/>
    <w:rsid w:val="001F008F"/>
    <w:rsid w:val="001F0766"/>
    <w:rsid w:val="001F0C39"/>
    <w:rsid w:val="001F0CE0"/>
    <w:rsid w:val="001F0D55"/>
    <w:rsid w:val="001F0DE6"/>
    <w:rsid w:val="001F0EE5"/>
    <w:rsid w:val="001F111D"/>
    <w:rsid w:val="001F15E3"/>
    <w:rsid w:val="001F16FB"/>
    <w:rsid w:val="001F1761"/>
    <w:rsid w:val="001F1844"/>
    <w:rsid w:val="001F18A8"/>
    <w:rsid w:val="001F1A09"/>
    <w:rsid w:val="001F1BC4"/>
    <w:rsid w:val="001F1C3E"/>
    <w:rsid w:val="001F1ECA"/>
    <w:rsid w:val="001F1EF3"/>
    <w:rsid w:val="001F204A"/>
    <w:rsid w:val="001F20C4"/>
    <w:rsid w:val="001F2178"/>
    <w:rsid w:val="001F22AC"/>
    <w:rsid w:val="001F22CC"/>
    <w:rsid w:val="001F23E2"/>
    <w:rsid w:val="001F2470"/>
    <w:rsid w:val="001F25E0"/>
    <w:rsid w:val="001F2A62"/>
    <w:rsid w:val="001F2B6F"/>
    <w:rsid w:val="001F2CB7"/>
    <w:rsid w:val="001F2D9D"/>
    <w:rsid w:val="001F2DF7"/>
    <w:rsid w:val="001F3025"/>
    <w:rsid w:val="001F384D"/>
    <w:rsid w:val="001F3A6B"/>
    <w:rsid w:val="001F3C5F"/>
    <w:rsid w:val="001F4240"/>
    <w:rsid w:val="001F446D"/>
    <w:rsid w:val="001F452B"/>
    <w:rsid w:val="001F458A"/>
    <w:rsid w:val="001F46B0"/>
    <w:rsid w:val="001F4826"/>
    <w:rsid w:val="001F48FC"/>
    <w:rsid w:val="001F49B1"/>
    <w:rsid w:val="001F49F3"/>
    <w:rsid w:val="001F4B1F"/>
    <w:rsid w:val="001F4F5A"/>
    <w:rsid w:val="001F505B"/>
    <w:rsid w:val="001F5574"/>
    <w:rsid w:val="001F55E6"/>
    <w:rsid w:val="001F5602"/>
    <w:rsid w:val="001F5A03"/>
    <w:rsid w:val="001F5AE9"/>
    <w:rsid w:val="001F5C4C"/>
    <w:rsid w:val="001F5D8D"/>
    <w:rsid w:val="001F5E42"/>
    <w:rsid w:val="001F5F15"/>
    <w:rsid w:val="001F5F9E"/>
    <w:rsid w:val="001F61D9"/>
    <w:rsid w:val="001F61FE"/>
    <w:rsid w:val="001F6278"/>
    <w:rsid w:val="001F646B"/>
    <w:rsid w:val="001F646F"/>
    <w:rsid w:val="001F649E"/>
    <w:rsid w:val="001F66DE"/>
    <w:rsid w:val="001F68BC"/>
    <w:rsid w:val="001F6A0F"/>
    <w:rsid w:val="001F6C87"/>
    <w:rsid w:val="001F6E10"/>
    <w:rsid w:val="001F6EC5"/>
    <w:rsid w:val="001F705D"/>
    <w:rsid w:val="001F7143"/>
    <w:rsid w:val="001F7246"/>
    <w:rsid w:val="001F7336"/>
    <w:rsid w:val="001F73E3"/>
    <w:rsid w:val="001F757D"/>
    <w:rsid w:val="001F77A6"/>
    <w:rsid w:val="001F7873"/>
    <w:rsid w:val="001F7971"/>
    <w:rsid w:val="001F79DD"/>
    <w:rsid w:val="001F7ACA"/>
    <w:rsid w:val="001F7D00"/>
    <w:rsid w:val="00200366"/>
    <w:rsid w:val="002005E7"/>
    <w:rsid w:val="0020066A"/>
    <w:rsid w:val="00200807"/>
    <w:rsid w:val="0020098C"/>
    <w:rsid w:val="00200A6B"/>
    <w:rsid w:val="00200ACF"/>
    <w:rsid w:val="00200BDE"/>
    <w:rsid w:val="00200C90"/>
    <w:rsid w:val="00200CAC"/>
    <w:rsid w:val="00200D92"/>
    <w:rsid w:val="002014E7"/>
    <w:rsid w:val="0020181A"/>
    <w:rsid w:val="00202046"/>
    <w:rsid w:val="0020253F"/>
    <w:rsid w:val="00202576"/>
    <w:rsid w:val="00202699"/>
    <w:rsid w:val="00202757"/>
    <w:rsid w:val="0020295A"/>
    <w:rsid w:val="00202966"/>
    <w:rsid w:val="002029B7"/>
    <w:rsid w:val="00202A9E"/>
    <w:rsid w:val="00202AA8"/>
    <w:rsid w:val="00202D81"/>
    <w:rsid w:val="00202DC0"/>
    <w:rsid w:val="00202E6B"/>
    <w:rsid w:val="00202E80"/>
    <w:rsid w:val="00202EB6"/>
    <w:rsid w:val="00202FC4"/>
    <w:rsid w:val="002030E2"/>
    <w:rsid w:val="002033A6"/>
    <w:rsid w:val="00203674"/>
    <w:rsid w:val="002036C9"/>
    <w:rsid w:val="0020380D"/>
    <w:rsid w:val="00203A3B"/>
    <w:rsid w:val="00203B02"/>
    <w:rsid w:val="00203BF5"/>
    <w:rsid w:val="00203F23"/>
    <w:rsid w:val="00203F82"/>
    <w:rsid w:val="00203FB3"/>
    <w:rsid w:val="00204026"/>
    <w:rsid w:val="002048BC"/>
    <w:rsid w:val="00204BEC"/>
    <w:rsid w:val="00204EEA"/>
    <w:rsid w:val="002050D6"/>
    <w:rsid w:val="00205158"/>
    <w:rsid w:val="002051EE"/>
    <w:rsid w:val="00205507"/>
    <w:rsid w:val="002055CC"/>
    <w:rsid w:val="00205642"/>
    <w:rsid w:val="00205644"/>
    <w:rsid w:val="00205A9F"/>
    <w:rsid w:val="00205B0E"/>
    <w:rsid w:val="00205B1F"/>
    <w:rsid w:val="00205BE3"/>
    <w:rsid w:val="00205FEA"/>
    <w:rsid w:val="002061B1"/>
    <w:rsid w:val="002061CA"/>
    <w:rsid w:val="00206515"/>
    <w:rsid w:val="00206734"/>
    <w:rsid w:val="0020689C"/>
    <w:rsid w:val="00206929"/>
    <w:rsid w:val="00206984"/>
    <w:rsid w:val="002069BC"/>
    <w:rsid w:val="00206BE5"/>
    <w:rsid w:val="00206E13"/>
    <w:rsid w:val="00206F7F"/>
    <w:rsid w:val="0020700D"/>
    <w:rsid w:val="0020718C"/>
    <w:rsid w:val="00207205"/>
    <w:rsid w:val="00207223"/>
    <w:rsid w:val="00207408"/>
    <w:rsid w:val="00207526"/>
    <w:rsid w:val="0020762E"/>
    <w:rsid w:val="0020765F"/>
    <w:rsid w:val="0020778D"/>
    <w:rsid w:val="00207F3D"/>
    <w:rsid w:val="0021000D"/>
    <w:rsid w:val="0021033E"/>
    <w:rsid w:val="00210582"/>
    <w:rsid w:val="00210679"/>
    <w:rsid w:val="0021074E"/>
    <w:rsid w:val="00210901"/>
    <w:rsid w:val="00210942"/>
    <w:rsid w:val="00210954"/>
    <w:rsid w:val="00210A9C"/>
    <w:rsid w:val="00210BF0"/>
    <w:rsid w:val="00210BFF"/>
    <w:rsid w:val="00210D6E"/>
    <w:rsid w:val="00210D9C"/>
    <w:rsid w:val="00210DCC"/>
    <w:rsid w:val="00210DCD"/>
    <w:rsid w:val="002110DE"/>
    <w:rsid w:val="002111A2"/>
    <w:rsid w:val="00211201"/>
    <w:rsid w:val="002112F9"/>
    <w:rsid w:val="002114AD"/>
    <w:rsid w:val="002114FC"/>
    <w:rsid w:val="00211557"/>
    <w:rsid w:val="0021185C"/>
    <w:rsid w:val="0021198D"/>
    <w:rsid w:val="002119BF"/>
    <w:rsid w:val="00211A4C"/>
    <w:rsid w:val="00211C52"/>
    <w:rsid w:val="00211D3D"/>
    <w:rsid w:val="0021217B"/>
    <w:rsid w:val="0021225B"/>
    <w:rsid w:val="0021251F"/>
    <w:rsid w:val="002126B2"/>
    <w:rsid w:val="00212948"/>
    <w:rsid w:val="00212BFF"/>
    <w:rsid w:val="00212E64"/>
    <w:rsid w:val="00212EB9"/>
    <w:rsid w:val="002132D0"/>
    <w:rsid w:val="002134A1"/>
    <w:rsid w:val="0021357C"/>
    <w:rsid w:val="002135EB"/>
    <w:rsid w:val="002137BA"/>
    <w:rsid w:val="00213A9B"/>
    <w:rsid w:val="00213DD2"/>
    <w:rsid w:val="00213E70"/>
    <w:rsid w:val="00213E74"/>
    <w:rsid w:val="00213EB7"/>
    <w:rsid w:val="00213FA0"/>
    <w:rsid w:val="00214036"/>
    <w:rsid w:val="00214044"/>
    <w:rsid w:val="00214402"/>
    <w:rsid w:val="002145B9"/>
    <w:rsid w:val="002148F6"/>
    <w:rsid w:val="00214929"/>
    <w:rsid w:val="00214BD4"/>
    <w:rsid w:val="00214F8B"/>
    <w:rsid w:val="00214FFF"/>
    <w:rsid w:val="0021501A"/>
    <w:rsid w:val="00215101"/>
    <w:rsid w:val="002151CB"/>
    <w:rsid w:val="002153DB"/>
    <w:rsid w:val="00215468"/>
    <w:rsid w:val="0021568F"/>
    <w:rsid w:val="002156A8"/>
    <w:rsid w:val="00215AAF"/>
    <w:rsid w:val="00215F3C"/>
    <w:rsid w:val="002160BB"/>
    <w:rsid w:val="00216238"/>
    <w:rsid w:val="002163C8"/>
    <w:rsid w:val="002165D3"/>
    <w:rsid w:val="00216771"/>
    <w:rsid w:val="002167D5"/>
    <w:rsid w:val="0021687C"/>
    <w:rsid w:val="0021697C"/>
    <w:rsid w:val="00216AAA"/>
    <w:rsid w:val="00216B11"/>
    <w:rsid w:val="00216FB7"/>
    <w:rsid w:val="00217423"/>
    <w:rsid w:val="0021764F"/>
    <w:rsid w:val="00217721"/>
    <w:rsid w:val="002177CE"/>
    <w:rsid w:val="00217839"/>
    <w:rsid w:val="002178C8"/>
    <w:rsid w:val="00217BBD"/>
    <w:rsid w:val="00217BF3"/>
    <w:rsid w:val="0022067E"/>
    <w:rsid w:val="0022070A"/>
    <w:rsid w:val="002208DA"/>
    <w:rsid w:val="00220DFD"/>
    <w:rsid w:val="00221197"/>
    <w:rsid w:val="00221275"/>
    <w:rsid w:val="00221878"/>
    <w:rsid w:val="0022195B"/>
    <w:rsid w:val="00221981"/>
    <w:rsid w:val="00221A26"/>
    <w:rsid w:val="00221B1E"/>
    <w:rsid w:val="00221B39"/>
    <w:rsid w:val="00221C1B"/>
    <w:rsid w:val="00221E24"/>
    <w:rsid w:val="00221F19"/>
    <w:rsid w:val="0022224C"/>
    <w:rsid w:val="00222347"/>
    <w:rsid w:val="00222392"/>
    <w:rsid w:val="002223C1"/>
    <w:rsid w:val="00222479"/>
    <w:rsid w:val="002224C1"/>
    <w:rsid w:val="002225BF"/>
    <w:rsid w:val="00222677"/>
    <w:rsid w:val="00222775"/>
    <w:rsid w:val="002228B2"/>
    <w:rsid w:val="00222BF9"/>
    <w:rsid w:val="00222C20"/>
    <w:rsid w:val="00222D4A"/>
    <w:rsid w:val="00222EF3"/>
    <w:rsid w:val="002233F8"/>
    <w:rsid w:val="0022389B"/>
    <w:rsid w:val="00223D23"/>
    <w:rsid w:val="00223D56"/>
    <w:rsid w:val="00223FC5"/>
    <w:rsid w:val="002240C5"/>
    <w:rsid w:val="002241F0"/>
    <w:rsid w:val="002244A6"/>
    <w:rsid w:val="0022455E"/>
    <w:rsid w:val="0022463E"/>
    <w:rsid w:val="002247F8"/>
    <w:rsid w:val="00224950"/>
    <w:rsid w:val="00224AA3"/>
    <w:rsid w:val="00224FD2"/>
    <w:rsid w:val="002254E6"/>
    <w:rsid w:val="002256E4"/>
    <w:rsid w:val="00225781"/>
    <w:rsid w:val="00225A3B"/>
    <w:rsid w:val="00225A8C"/>
    <w:rsid w:val="00225B8C"/>
    <w:rsid w:val="00225BD8"/>
    <w:rsid w:val="00225CFE"/>
    <w:rsid w:val="00226081"/>
    <w:rsid w:val="00226342"/>
    <w:rsid w:val="002263A4"/>
    <w:rsid w:val="002264E2"/>
    <w:rsid w:val="00226AAC"/>
    <w:rsid w:val="00226AF7"/>
    <w:rsid w:val="00226CF3"/>
    <w:rsid w:val="00226E1C"/>
    <w:rsid w:val="00226E26"/>
    <w:rsid w:val="00227085"/>
    <w:rsid w:val="00227660"/>
    <w:rsid w:val="0022769E"/>
    <w:rsid w:val="002276A5"/>
    <w:rsid w:val="002277B0"/>
    <w:rsid w:val="00227A32"/>
    <w:rsid w:val="00227B27"/>
    <w:rsid w:val="00227B4A"/>
    <w:rsid w:val="00227CDE"/>
    <w:rsid w:val="00227FDC"/>
    <w:rsid w:val="002303EF"/>
    <w:rsid w:val="002306FE"/>
    <w:rsid w:val="002307D2"/>
    <w:rsid w:val="00230817"/>
    <w:rsid w:val="0023081D"/>
    <w:rsid w:val="00230A9B"/>
    <w:rsid w:val="00230B6F"/>
    <w:rsid w:val="00230DCC"/>
    <w:rsid w:val="00230F31"/>
    <w:rsid w:val="00230FA0"/>
    <w:rsid w:val="00230FE7"/>
    <w:rsid w:val="00231417"/>
    <w:rsid w:val="002314E8"/>
    <w:rsid w:val="00231611"/>
    <w:rsid w:val="002316E4"/>
    <w:rsid w:val="002317AC"/>
    <w:rsid w:val="002317CA"/>
    <w:rsid w:val="00231818"/>
    <w:rsid w:val="00231884"/>
    <w:rsid w:val="00231960"/>
    <w:rsid w:val="00231CE2"/>
    <w:rsid w:val="00231E84"/>
    <w:rsid w:val="00231F26"/>
    <w:rsid w:val="00231F3F"/>
    <w:rsid w:val="00232311"/>
    <w:rsid w:val="002324E3"/>
    <w:rsid w:val="002326C4"/>
    <w:rsid w:val="00232917"/>
    <w:rsid w:val="002329E5"/>
    <w:rsid w:val="00232DF6"/>
    <w:rsid w:val="00232FEC"/>
    <w:rsid w:val="00233194"/>
    <w:rsid w:val="00233276"/>
    <w:rsid w:val="0023329C"/>
    <w:rsid w:val="00233355"/>
    <w:rsid w:val="002334C7"/>
    <w:rsid w:val="00233586"/>
    <w:rsid w:val="002335EA"/>
    <w:rsid w:val="00233808"/>
    <w:rsid w:val="00233868"/>
    <w:rsid w:val="002339A6"/>
    <w:rsid w:val="00233BC0"/>
    <w:rsid w:val="00233D92"/>
    <w:rsid w:val="00233E16"/>
    <w:rsid w:val="00233EAA"/>
    <w:rsid w:val="00233FBB"/>
    <w:rsid w:val="00233FF1"/>
    <w:rsid w:val="0023401D"/>
    <w:rsid w:val="002346D1"/>
    <w:rsid w:val="00234B4F"/>
    <w:rsid w:val="00234BE9"/>
    <w:rsid w:val="0023511A"/>
    <w:rsid w:val="0023513A"/>
    <w:rsid w:val="002353D8"/>
    <w:rsid w:val="00235412"/>
    <w:rsid w:val="00235493"/>
    <w:rsid w:val="00235633"/>
    <w:rsid w:val="00235666"/>
    <w:rsid w:val="00235A17"/>
    <w:rsid w:val="00235A75"/>
    <w:rsid w:val="00235B52"/>
    <w:rsid w:val="00235F4B"/>
    <w:rsid w:val="002361FF"/>
    <w:rsid w:val="00236231"/>
    <w:rsid w:val="00236244"/>
    <w:rsid w:val="00236656"/>
    <w:rsid w:val="0023669A"/>
    <w:rsid w:val="00236A37"/>
    <w:rsid w:val="00236CAC"/>
    <w:rsid w:val="00236DC0"/>
    <w:rsid w:val="00236F4C"/>
    <w:rsid w:val="0023723C"/>
    <w:rsid w:val="002372C8"/>
    <w:rsid w:val="002373A2"/>
    <w:rsid w:val="0023759B"/>
    <w:rsid w:val="00237957"/>
    <w:rsid w:val="00237A0A"/>
    <w:rsid w:val="00237B5D"/>
    <w:rsid w:val="00237BC3"/>
    <w:rsid w:val="00237EAC"/>
    <w:rsid w:val="00237EB8"/>
    <w:rsid w:val="00237F0C"/>
    <w:rsid w:val="0024007D"/>
    <w:rsid w:val="00240104"/>
    <w:rsid w:val="002402F3"/>
    <w:rsid w:val="002403A8"/>
    <w:rsid w:val="00240461"/>
    <w:rsid w:val="00240744"/>
    <w:rsid w:val="002407CC"/>
    <w:rsid w:val="002409E3"/>
    <w:rsid w:val="00240A18"/>
    <w:rsid w:val="00240ED2"/>
    <w:rsid w:val="00241052"/>
    <w:rsid w:val="002410C2"/>
    <w:rsid w:val="0024113D"/>
    <w:rsid w:val="002411C6"/>
    <w:rsid w:val="002411DE"/>
    <w:rsid w:val="00241394"/>
    <w:rsid w:val="002413D5"/>
    <w:rsid w:val="002413E5"/>
    <w:rsid w:val="002415C8"/>
    <w:rsid w:val="002415CE"/>
    <w:rsid w:val="00241DC5"/>
    <w:rsid w:val="00242163"/>
    <w:rsid w:val="0024232E"/>
    <w:rsid w:val="00242517"/>
    <w:rsid w:val="002425AB"/>
    <w:rsid w:val="002425D7"/>
    <w:rsid w:val="0024260B"/>
    <w:rsid w:val="002427B9"/>
    <w:rsid w:val="002428AF"/>
    <w:rsid w:val="00242BF5"/>
    <w:rsid w:val="00242C6D"/>
    <w:rsid w:val="00243027"/>
    <w:rsid w:val="002432AE"/>
    <w:rsid w:val="00243446"/>
    <w:rsid w:val="002437A1"/>
    <w:rsid w:val="002438DA"/>
    <w:rsid w:val="002439B0"/>
    <w:rsid w:val="00243BD2"/>
    <w:rsid w:val="00243D63"/>
    <w:rsid w:val="0024401F"/>
    <w:rsid w:val="00244193"/>
    <w:rsid w:val="00244430"/>
    <w:rsid w:val="00244685"/>
    <w:rsid w:val="002447A0"/>
    <w:rsid w:val="002447E9"/>
    <w:rsid w:val="002447FC"/>
    <w:rsid w:val="00244A56"/>
    <w:rsid w:val="00244B85"/>
    <w:rsid w:val="00244CD2"/>
    <w:rsid w:val="00244EE7"/>
    <w:rsid w:val="00245213"/>
    <w:rsid w:val="002453BE"/>
    <w:rsid w:val="002455C3"/>
    <w:rsid w:val="002455D8"/>
    <w:rsid w:val="0024569B"/>
    <w:rsid w:val="002458ED"/>
    <w:rsid w:val="00245A3F"/>
    <w:rsid w:val="00245B1C"/>
    <w:rsid w:val="00245C55"/>
    <w:rsid w:val="00245CAA"/>
    <w:rsid w:val="00245F97"/>
    <w:rsid w:val="00245FE1"/>
    <w:rsid w:val="002460A8"/>
    <w:rsid w:val="002464B0"/>
    <w:rsid w:val="00246686"/>
    <w:rsid w:val="002466A5"/>
    <w:rsid w:val="002468A2"/>
    <w:rsid w:val="00246967"/>
    <w:rsid w:val="00246CA8"/>
    <w:rsid w:val="00247177"/>
    <w:rsid w:val="0024736E"/>
    <w:rsid w:val="0024742D"/>
    <w:rsid w:val="0024799C"/>
    <w:rsid w:val="00247B4D"/>
    <w:rsid w:val="00247B8C"/>
    <w:rsid w:val="00247EEB"/>
    <w:rsid w:val="00247F02"/>
    <w:rsid w:val="00250386"/>
    <w:rsid w:val="00250778"/>
    <w:rsid w:val="002508C1"/>
    <w:rsid w:val="00250A38"/>
    <w:rsid w:val="00250BFD"/>
    <w:rsid w:val="00250C60"/>
    <w:rsid w:val="0025106D"/>
    <w:rsid w:val="00251235"/>
    <w:rsid w:val="002513AE"/>
    <w:rsid w:val="00251635"/>
    <w:rsid w:val="0025165E"/>
    <w:rsid w:val="00251AED"/>
    <w:rsid w:val="00251CAD"/>
    <w:rsid w:val="00251CFF"/>
    <w:rsid w:val="00251F88"/>
    <w:rsid w:val="00251FB0"/>
    <w:rsid w:val="00251FCA"/>
    <w:rsid w:val="002521E1"/>
    <w:rsid w:val="0025236B"/>
    <w:rsid w:val="0025263C"/>
    <w:rsid w:val="0025278E"/>
    <w:rsid w:val="002527A2"/>
    <w:rsid w:val="002528CD"/>
    <w:rsid w:val="00252D2C"/>
    <w:rsid w:val="0025302A"/>
    <w:rsid w:val="00253085"/>
    <w:rsid w:val="0025309F"/>
    <w:rsid w:val="002530F3"/>
    <w:rsid w:val="00253296"/>
    <w:rsid w:val="00253459"/>
    <w:rsid w:val="00253468"/>
    <w:rsid w:val="002534D9"/>
    <w:rsid w:val="002535CE"/>
    <w:rsid w:val="00253724"/>
    <w:rsid w:val="00254114"/>
    <w:rsid w:val="00254247"/>
    <w:rsid w:val="002542B2"/>
    <w:rsid w:val="0025447C"/>
    <w:rsid w:val="002545A7"/>
    <w:rsid w:val="00254681"/>
    <w:rsid w:val="0025470A"/>
    <w:rsid w:val="00254718"/>
    <w:rsid w:val="0025489A"/>
    <w:rsid w:val="002549CE"/>
    <w:rsid w:val="00254ABD"/>
    <w:rsid w:val="00254B08"/>
    <w:rsid w:val="00254B81"/>
    <w:rsid w:val="00254C33"/>
    <w:rsid w:val="00254C96"/>
    <w:rsid w:val="00255399"/>
    <w:rsid w:val="002559B3"/>
    <w:rsid w:val="00255A84"/>
    <w:rsid w:val="00255B5A"/>
    <w:rsid w:val="00255F7F"/>
    <w:rsid w:val="002565DD"/>
    <w:rsid w:val="00256777"/>
    <w:rsid w:val="00256795"/>
    <w:rsid w:val="0025684E"/>
    <w:rsid w:val="00256877"/>
    <w:rsid w:val="002568D2"/>
    <w:rsid w:val="0025698E"/>
    <w:rsid w:val="002569CA"/>
    <w:rsid w:val="00256DB3"/>
    <w:rsid w:val="00256DBF"/>
    <w:rsid w:val="00256DD3"/>
    <w:rsid w:val="00256E0E"/>
    <w:rsid w:val="0025701C"/>
    <w:rsid w:val="00257072"/>
    <w:rsid w:val="002572C1"/>
    <w:rsid w:val="0025747C"/>
    <w:rsid w:val="002574AF"/>
    <w:rsid w:val="00257840"/>
    <w:rsid w:val="00257935"/>
    <w:rsid w:val="00257AAA"/>
    <w:rsid w:val="00257B2C"/>
    <w:rsid w:val="00257B9A"/>
    <w:rsid w:val="00257C41"/>
    <w:rsid w:val="00257D0F"/>
    <w:rsid w:val="00257F6E"/>
    <w:rsid w:val="002600F1"/>
    <w:rsid w:val="00260448"/>
    <w:rsid w:val="00260A32"/>
    <w:rsid w:val="00260B60"/>
    <w:rsid w:val="00260BA6"/>
    <w:rsid w:val="00260C35"/>
    <w:rsid w:val="0026114B"/>
    <w:rsid w:val="0026115B"/>
    <w:rsid w:val="0026117D"/>
    <w:rsid w:val="0026123A"/>
    <w:rsid w:val="00261391"/>
    <w:rsid w:val="002613EA"/>
    <w:rsid w:val="002615B0"/>
    <w:rsid w:val="0026169D"/>
    <w:rsid w:val="002617B2"/>
    <w:rsid w:val="00261972"/>
    <w:rsid w:val="00261C3E"/>
    <w:rsid w:val="00261CF1"/>
    <w:rsid w:val="00261D7A"/>
    <w:rsid w:val="00261DA5"/>
    <w:rsid w:val="0026216E"/>
    <w:rsid w:val="002627EC"/>
    <w:rsid w:val="00262869"/>
    <w:rsid w:val="002628F6"/>
    <w:rsid w:val="002629AA"/>
    <w:rsid w:val="00262C70"/>
    <w:rsid w:val="00262DCF"/>
    <w:rsid w:val="00263010"/>
    <w:rsid w:val="002634EA"/>
    <w:rsid w:val="002637CF"/>
    <w:rsid w:val="0026390B"/>
    <w:rsid w:val="00263AF8"/>
    <w:rsid w:val="00263B0D"/>
    <w:rsid w:val="00263CD1"/>
    <w:rsid w:val="00263E12"/>
    <w:rsid w:val="00263FDA"/>
    <w:rsid w:val="00264007"/>
    <w:rsid w:val="0026400B"/>
    <w:rsid w:val="00264055"/>
    <w:rsid w:val="00264244"/>
    <w:rsid w:val="00264598"/>
    <w:rsid w:val="002645C7"/>
    <w:rsid w:val="002646FE"/>
    <w:rsid w:val="002648EE"/>
    <w:rsid w:val="00264A68"/>
    <w:rsid w:val="00264B3D"/>
    <w:rsid w:val="00264C1F"/>
    <w:rsid w:val="00264C55"/>
    <w:rsid w:val="00264FD6"/>
    <w:rsid w:val="002654BA"/>
    <w:rsid w:val="002656C7"/>
    <w:rsid w:val="00265AC3"/>
    <w:rsid w:val="00265B89"/>
    <w:rsid w:val="00265BFC"/>
    <w:rsid w:val="00265D3C"/>
    <w:rsid w:val="0026611E"/>
    <w:rsid w:val="0026629C"/>
    <w:rsid w:val="002662CA"/>
    <w:rsid w:val="0026699D"/>
    <w:rsid w:val="00266AD1"/>
    <w:rsid w:val="00266D29"/>
    <w:rsid w:val="00266E9A"/>
    <w:rsid w:val="00266F2F"/>
    <w:rsid w:val="0026702F"/>
    <w:rsid w:val="002671A2"/>
    <w:rsid w:val="0026722A"/>
    <w:rsid w:val="00267496"/>
    <w:rsid w:val="00267968"/>
    <w:rsid w:val="00267A28"/>
    <w:rsid w:val="00267A7C"/>
    <w:rsid w:val="00267B57"/>
    <w:rsid w:val="00267BB2"/>
    <w:rsid w:val="00267BD6"/>
    <w:rsid w:val="00267F66"/>
    <w:rsid w:val="00270169"/>
    <w:rsid w:val="0027023B"/>
    <w:rsid w:val="002702D2"/>
    <w:rsid w:val="00270370"/>
    <w:rsid w:val="0027042C"/>
    <w:rsid w:val="00270768"/>
    <w:rsid w:val="002708A2"/>
    <w:rsid w:val="00270A67"/>
    <w:rsid w:val="00270AFA"/>
    <w:rsid w:val="00270E19"/>
    <w:rsid w:val="00270F93"/>
    <w:rsid w:val="00270FEE"/>
    <w:rsid w:val="00271034"/>
    <w:rsid w:val="00271483"/>
    <w:rsid w:val="002714FC"/>
    <w:rsid w:val="00271690"/>
    <w:rsid w:val="0027170E"/>
    <w:rsid w:val="00271B04"/>
    <w:rsid w:val="00271B4D"/>
    <w:rsid w:val="00271F44"/>
    <w:rsid w:val="00272164"/>
    <w:rsid w:val="002723AB"/>
    <w:rsid w:val="00272499"/>
    <w:rsid w:val="00272623"/>
    <w:rsid w:val="0027285F"/>
    <w:rsid w:val="00272960"/>
    <w:rsid w:val="0027298D"/>
    <w:rsid w:val="00272A65"/>
    <w:rsid w:val="00272BCD"/>
    <w:rsid w:val="00272DBE"/>
    <w:rsid w:val="00272E8F"/>
    <w:rsid w:val="00272ED4"/>
    <w:rsid w:val="00273048"/>
    <w:rsid w:val="0027304A"/>
    <w:rsid w:val="0027304D"/>
    <w:rsid w:val="002730F2"/>
    <w:rsid w:val="00273102"/>
    <w:rsid w:val="00273413"/>
    <w:rsid w:val="00273430"/>
    <w:rsid w:val="0027349A"/>
    <w:rsid w:val="002734DF"/>
    <w:rsid w:val="0027363C"/>
    <w:rsid w:val="00273835"/>
    <w:rsid w:val="00273AC3"/>
    <w:rsid w:val="00273C07"/>
    <w:rsid w:val="00273CB2"/>
    <w:rsid w:val="00273CF0"/>
    <w:rsid w:val="00273DDF"/>
    <w:rsid w:val="00273EAC"/>
    <w:rsid w:val="00273ED0"/>
    <w:rsid w:val="00273F40"/>
    <w:rsid w:val="00273FB1"/>
    <w:rsid w:val="002741EB"/>
    <w:rsid w:val="002742E7"/>
    <w:rsid w:val="002742FE"/>
    <w:rsid w:val="00274664"/>
    <w:rsid w:val="00274A88"/>
    <w:rsid w:val="00274C4D"/>
    <w:rsid w:val="00274EFA"/>
    <w:rsid w:val="00275025"/>
    <w:rsid w:val="00275212"/>
    <w:rsid w:val="0027556F"/>
    <w:rsid w:val="0027565B"/>
    <w:rsid w:val="002757FC"/>
    <w:rsid w:val="0027583A"/>
    <w:rsid w:val="0027596A"/>
    <w:rsid w:val="002759C0"/>
    <w:rsid w:val="00275B3B"/>
    <w:rsid w:val="00275B68"/>
    <w:rsid w:val="00275C43"/>
    <w:rsid w:val="00275CB5"/>
    <w:rsid w:val="00275D7A"/>
    <w:rsid w:val="00275F9E"/>
    <w:rsid w:val="00276181"/>
    <w:rsid w:val="002761BD"/>
    <w:rsid w:val="0027644C"/>
    <w:rsid w:val="002764A1"/>
    <w:rsid w:val="0027652E"/>
    <w:rsid w:val="00276884"/>
    <w:rsid w:val="00276D26"/>
    <w:rsid w:val="002772AF"/>
    <w:rsid w:val="00277386"/>
    <w:rsid w:val="00277473"/>
    <w:rsid w:val="0027780B"/>
    <w:rsid w:val="00277A37"/>
    <w:rsid w:val="00277A86"/>
    <w:rsid w:val="00277B36"/>
    <w:rsid w:val="00277D95"/>
    <w:rsid w:val="00277FB5"/>
    <w:rsid w:val="002801A2"/>
    <w:rsid w:val="002801D5"/>
    <w:rsid w:val="002802B9"/>
    <w:rsid w:val="00280435"/>
    <w:rsid w:val="00280B6C"/>
    <w:rsid w:val="00280CBA"/>
    <w:rsid w:val="00280D5B"/>
    <w:rsid w:val="00280DED"/>
    <w:rsid w:val="00280EA4"/>
    <w:rsid w:val="00281007"/>
    <w:rsid w:val="002811B7"/>
    <w:rsid w:val="00281364"/>
    <w:rsid w:val="002814EF"/>
    <w:rsid w:val="0028161C"/>
    <w:rsid w:val="00281800"/>
    <w:rsid w:val="00281819"/>
    <w:rsid w:val="00281821"/>
    <w:rsid w:val="00281B26"/>
    <w:rsid w:val="00281C58"/>
    <w:rsid w:val="00281DA0"/>
    <w:rsid w:val="00281DFB"/>
    <w:rsid w:val="00281E05"/>
    <w:rsid w:val="00281E0D"/>
    <w:rsid w:val="002820E4"/>
    <w:rsid w:val="002822C7"/>
    <w:rsid w:val="00282372"/>
    <w:rsid w:val="002823A2"/>
    <w:rsid w:val="002827F9"/>
    <w:rsid w:val="00282B1A"/>
    <w:rsid w:val="00282BAE"/>
    <w:rsid w:val="00282D05"/>
    <w:rsid w:val="00282DAC"/>
    <w:rsid w:val="00282EE5"/>
    <w:rsid w:val="002834C9"/>
    <w:rsid w:val="002835A6"/>
    <w:rsid w:val="002837C2"/>
    <w:rsid w:val="0028399A"/>
    <w:rsid w:val="002839FB"/>
    <w:rsid w:val="00283A59"/>
    <w:rsid w:val="00283BB4"/>
    <w:rsid w:val="00283D4E"/>
    <w:rsid w:val="00284036"/>
    <w:rsid w:val="00284162"/>
    <w:rsid w:val="002844AC"/>
    <w:rsid w:val="002845E0"/>
    <w:rsid w:val="002845EA"/>
    <w:rsid w:val="002848C8"/>
    <w:rsid w:val="00284B22"/>
    <w:rsid w:val="00284B31"/>
    <w:rsid w:val="00284DB6"/>
    <w:rsid w:val="0028523A"/>
    <w:rsid w:val="00285309"/>
    <w:rsid w:val="00285395"/>
    <w:rsid w:val="0028551B"/>
    <w:rsid w:val="002855C0"/>
    <w:rsid w:val="0028568F"/>
    <w:rsid w:val="00285A8C"/>
    <w:rsid w:val="00285DF6"/>
    <w:rsid w:val="00285E44"/>
    <w:rsid w:val="00286154"/>
    <w:rsid w:val="002865A5"/>
    <w:rsid w:val="0028670B"/>
    <w:rsid w:val="00286894"/>
    <w:rsid w:val="00286B1C"/>
    <w:rsid w:val="00286DCB"/>
    <w:rsid w:val="00286EBE"/>
    <w:rsid w:val="00286FB0"/>
    <w:rsid w:val="0028718B"/>
    <w:rsid w:val="00287655"/>
    <w:rsid w:val="00287699"/>
    <w:rsid w:val="0028783E"/>
    <w:rsid w:val="0028794F"/>
    <w:rsid w:val="00287A83"/>
    <w:rsid w:val="00287A9B"/>
    <w:rsid w:val="0029008E"/>
    <w:rsid w:val="0029026E"/>
    <w:rsid w:val="002903DA"/>
    <w:rsid w:val="00290460"/>
    <w:rsid w:val="00290490"/>
    <w:rsid w:val="00290588"/>
    <w:rsid w:val="00290752"/>
    <w:rsid w:val="002907BC"/>
    <w:rsid w:val="00290C19"/>
    <w:rsid w:val="00290D25"/>
    <w:rsid w:val="00290DC3"/>
    <w:rsid w:val="00290F8B"/>
    <w:rsid w:val="00291000"/>
    <w:rsid w:val="002910FC"/>
    <w:rsid w:val="00291209"/>
    <w:rsid w:val="00291531"/>
    <w:rsid w:val="00291892"/>
    <w:rsid w:val="002919DB"/>
    <w:rsid w:val="00291C03"/>
    <w:rsid w:val="00291CB7"/>
    <w:rsid w:val="002920C7"/>
    <w:rsid w:val="00292228"/>
    <w:rsid w:val="0029222B"/>
    <w:rsid w:val="002929D8"/>
    <w:rsid w:val="00292B9F"/>
    <w:rsid w:val="00293109"/>
    <w:rsid w:val="00293647"/>
    <w:rsid w:val="0029378C"/>
    <w:rsid w:val="00293ACE"/>
    <w:rsid w:val="00293C06"/>
    <w:rsid w:val="00293C63"/>
    <w:rsid w:val="00293ECB"/>
    <w:rsid w:val="00293F3D"/>
    <w:rsid w:val="00294015"/>
    <w:rsid w:val="002947C7"/>
    <w:rsid w:val="002948F5"/>
    <w:rsid w:val="00294A58"/>
    <w:rsid w:val="00294B3A"/>
    <w:rsid w:val="00294B49"/>
    <w:rsid w:val="00294D2B"/>
    <w:rsid w:val="00294D2F"/>
    <w:rsid w:val="00294EE4"/>
    <w:rsid w:val="00294F7E"/>
    <w:rsid w:val="002950CF"/>
    <w:rsid w:val="00295274"/>
    <w:rsid w:val="002952B3"/>
    <w:rsid w:val="00295506"/>
    <w:rsid w:val="0029580A"/>
    <w:rsid w:val="002958DE"/>
    <w:rsid w:val="00295AD3"/>
    <w:rsid w:val="00295B70"/>
    <w:rsid w:val="00295C17"/>
    <w:rsid w:val="00295EEF"/>
    <w:rsid w:val="0029600D"/>
    <w:rsid w:val="002960A6"/>
    <w:rsid w:val="002963DD"/>
    <w:rsid w:val="0029648D"/>
    <w:rsid w:val="0029693C"/>
    <w:rsid w:val="00296CFA"/>
    <w:rsid w:val="00296F47"/>
    <w:rsid w:val="002970BA"/>
    <w:rsid w:val="00297289"/>
    <w:rsid w:val="002974FF"/>
    <w:rsid w:val="00297514"/>
    <w:rsid w:val="0029799C"/>
    <w:rsid w:val="00297B35"/>
    <w:rsid w:val="00297ECD"/>
    <w:rsid w:val="002A04E2"/>
    <w:rsid w:val="002A0544"/>
    <w:rsid w:val="002A06E7"/>
    <w:rsid w:val="002A0E02"/>
    <w:rsid w:val="002A0E04"/>
    <w:rsid w:val="002A0E79"/>
    <w:rsid w:val="002A0E94"/>
    <w:rsid w:val="002A1263"/>
    <w:rsid w:val="002A13AE"/>
    <w:rsid w:val="002A18FE"/>
    <w:rsid w:val="002A19F7"/>
    <w:rsid w:val="002A1FB9"/>
    <w:rsid w:val="002A2364"/>
    <w:rsid w:val="002A2732"/>
    <w:rsid w:val="002A283D"/>
    <w:rsid w:val="002A28D1"/>
    <w:rsid w:val="002A2A08"/>
    <w:rsid w:val="002A2ADC"/>
    <w:rsid w:val="002A2B37"/>
    <w:rsid w:val="002A2BC4"/>
    <w:rsid w:val="002A2C91"/>
    <w:rsid w:val="002A2D62"/>
    <w:rsid w:val="002A2D93"/>
    <w:rsid w:val="002A31FA"/>
    <w:rsid w:val="002A32BE"/>
    <w:rsid w:val="002A339E"/>
    <w:rsid w:val="002A33FC"/>
    <w:rsid w:val="002A3418"/>
    <w:rsid w:val="002A3453"/>
    <w:rsid w:val="002A35A5"/>
    <w:rsid w:val="002A3860"/>
    <w:rsid w:val="002A3944"/>
    <w:rsid w:val="002A39BE"/>
    <w:rsid w:val="002A3BC3"/>
    <w:rsid w:val="002A3CD7"/>
    <w:rsid w:val="002A3FF6"/>
    <w:rsid w:val="002A4113"/>
    <w:rsid w:val="002A4132"/>
    <w:rsid w:val="002A4266"/>
    <w:rsid w:val="002A449A"/>
    <w:rsid w:val="002A44A0"/>
    <w:rsid w:val="002A45B1"/>
    <w:rsid w:val="002A46A6"/>
    <w:rsid w:val="002A46C8"/>
    <w:rsid w:val="002A47DF"/>
    <w:rsid w:val="002A4895"/>
    <w:rsid w:val="002A496E"/>
    <w:rsid w:val="002A4B0F"/>
    <w:rsid w:val="002A4E42"/>
    <w:rsid w:val="002A5379"/>
    <w:rsid w:val="002A54FD"/>
    <w:rsid w:val="002A556F"/>
    <w:rsid w:val="002A5758"/>
    <w:rsid w:val="002A598E"/>
    <w:rsid w:val="002A5AF3"/>
    <w:rsid w:val="002A5B89"/>
    <w:rsid w:val="002A5C79"/>
    <w:rsid w:val="002A5F10"/>
    <w:rsid w:val="002A61A5"/>
    <w:rsid w:val="002A61B1"/>
    <w:rsid w:val="002A6338"/>
    <w:rsid w:val="002A635A"/>
    <w:rsid w:val="002A648D"/>
    <w:rsid w:val="002A6700"/>
    <w:rsid w:val="002A670B"/>
    <w:rsid w:val="002A6C32"/>
    <w:rsid w:val="002A6DE8"/>
    <w:rsid w:val="002A7199"/>
    <w:rsid w:val="002A77C3"/>
    <w:rsid w:val="002A7812"/>
    <w:rsid w:val="002A79D9"/>
    <w:rsid w:val="002A7A08"/>
    <w:rsid w:val="002A7A81"/>
    <w:rsid w:val="002A7BAF"/>
    <w:rsid w:val="002A7BBD"/>
    <w:rsid w:val="002B0039"/>
    <w:rsid w:val="002B0337"/>
    <w:rsid w:val="002B04AA"/>
    <w:rsid w:val="002B05A8"/>
    <w:rsid w:val="002B0665"/>
    <w:rsid w:val="002B074F"/>
    <w:rsid w:val="002B0D6E"/>
    <w:rsid w:val="002B10B0"/>
    <w:rsid w:val="002B1191"/>
    <w:rsid w:val="002B1225"/>
    <w:rsid w:val="002B12C6"/>
    <w:rsid w:val="002B12FC"/>
    <w:rsid w:val="002B1437"/>
    <w:rsid w:val="002B14DB"/>
    <w:rsid w:val="002B169C"/>
    <w:rsid w:val="002B1838"/>
    <w:rsid w:val="002B18CE"/>
    <w:rsid w:val="002B1B92"/>
    <w:rsid w:val="002B1BED"/>
    <w:rsid w:val="002B1C1C"/>
    <w:rsid w:val="002B1DD0"/>
    <w:rsid w:val="002B1F89"/>
    <w:rsid w:val="002B21BB"/>
    <w:rsid w:val="002B22D9"/>
    <w:rsid w:val="002B22F5"/>
    <w:rsid w:val="002B25F8"/>
    <w:rsid w:val="002B274C"/>
    <w:rsid w:val="002B282D"/>
    <w:rsid w:val="002B2868"/>
    <w:rsid w:val="002B297D"/>
    <w:rsid w:val="002B2C6E"/>
    <w:rsid w:val="002B2D10"/>
    <w:rsid w:val="002B2E9F"/>
    <w:rsid w:val="002B2F77"/>
    <w:rsid w:val="002B2F90"/>
    <w:rsid w:val="002B3529"/>
    <w:rsid w:val="002B3596"/>
    <w:rsid w:val="002B3747"/>
    <w:rsid w:val="002B37D3"/>
    <w:rsid w:val="002B3983"/>
    <w:rsid w:val="002B3B8A"/>
    <w:rsid w:val="002B3C16"/>
    <w:rsid w:val="002B3C1E"/>
    <w:rsid w:val="002B3CF5"/>
    <w:rsid w:val="002B3D13"/>
    <w:rsid w:val="002B43B3"/>
    <w:rsid w:val="002B4529"/>
    <w:rsid w:val="002B4618"/>
    <w:rsid w:val="002B4FAD"/>
    <w:rsid w:val="002B520E"/>
    <w:rsid w:val="002B5226"/>
    <w:rsid w:val="002B52F0"/>
    <w:rsid w:val="002B538D"/>
    <w:rsid w:val="002B5B61"/>
    <w:rsid w:val="002B5CA1"/>
    <w:rsid w:val="002B5D19"/>
    <w:rsid w:val="002B6031"/>
    <w:rsid w:val="002B65F0"/>
    <w:rsid w:val="002B6612"/>
    <w:rsid w:val="002B6699"/>
    <w:rsid w:val="002B6716"/>
    <w:rsid w:val="002B6933"/>
    <w:rsid w:val="002B6AF6"/>
    <w:rsid w:val="002B6C0D"/>
    <w:rsid w:val="002B6DCA"/>
    <w:rsid w:val="002B6EFD"/>
    <w:rsid w:val="002B6F0B"/>
    <w:rsid w:val="002B6F33"/>
    <w:rsid w:val="002B79F0"/>
    <w:rsid w:val="002B7B8A"/>
    <w:rsid w:val="002B7BDB"/>
    <w:rsid w:val="002B7C96"/>
    <w:rsid w:val="002B7F3E"/>
    <w:rsid w:val="002C00F5"/>
    <w:rsid w:val="002C0166"/>
    <w:rsid w:val="002C01D7"/>
    <w:rsid w:val="002C0218"/>
    <w:rsid w:val="002C0240"/>
    <w:rsid w:val="002C047C"/>
    <w:rsid w:val="002C059A"/>
    <w:rsid w:val="002C05D9"/>
    <w:rsid w:val="002C06B5"/>
    <w:rsid w:val="002C0C4A"/>
    <w:rsid w:val="002C0CCC"/>
    <w:rsid w:val="002C0CD7"/>
    <w:rsid w:val="002C0D38"/>
    <w:rsid w:val="002C0D7B"/>
    <w:rsid w:val="002C0D99"/>
    <w:rsid w:val="002C0D9E"/>
    <w:rsid w:val="002C104F"/>
    <w:rsid w:val="002C11BC"/>
    <w:rsid w:val="002C11D6"/>
    <w:rsid w:val="002C143E"/>
    <w:rsid w:val="002C1443"/>
    <w:rsid w:val="002C14E8"/>
    <w:rsid w:val="002C1587"/>
    <w:rsid w:val="002C1B14"/>
    <w:rsid w:val="002C1BC8"/>
    <w:rsid w:val="002C1BEA"/>
    <w:rsid w:val="002C1CBF"/>
    <w:rsid w:val="002C1D9C"/>
    <w:rsid w:val="002C1EFA"/>
    <w:rsid w:val="002C1F50"/>
    <w:rsid w:val="002C1FB1"/>
    <w:rsid w:val="002C22C5"/>
    <w:rsid w:val="002C2806"/>
    <w:rsid w:val="002C28A5"/>
    <w:rsid w:val="002C28AD"/>
    <w:rsid w:val="002C29F0"/>
    <w:rsid w:val="002C29F5"/>
    <w:rsid w:val="002C2AC4"/>
    <w:rsid w:val="002C2BD3"/>
    <w:rsid w:val="002C2BEB"/>
    <w:rsid w:val="002C2C98"/>
    <w:rsid w:val="002C2CC5"/>
    <w:rsid w:val="002C2CF1"/>
    <w:rsid w:val="002C30A4"/>
    <w:rsid w:val="002C34B2"/>
    <w:rsid w:val="002C366F"/>
    <w:rsid w:val="002C3850"/>
    <w:rsid w:val="002C3894"/>
    <w:rsid w:val="002C39EB"/>
    <w:rsid w:val="002C3B24"/>
    <w:rsid w:val="002C3C2E"/>
    <w:rsid w:val="002C3D9B"/>
    <w:rsid w:val="002C3E6A"/>
    <w:rsid w:val="002C3EB4"/>
    <w:rsid w:val="002C4040"/>
    <w:rsid w:val="002C40EF"/>
    <w:rsid w:val="002C42CB"/>
    <w:rsid w:val="002C4345"/>
    <w:rsid w:val="002C47E0"/>
    <w:rsid w:val="002C488D"/>
    <w:rsid w:val="002C49EB"/>
    <w:rsid w:val="002C4A1D"/>
    <w:rsid w:val="002C4A81"/>
    <w:rsid w:val="002C4B78"/>
    <w:rsid w:val="002C4B93"/>
    <w:rsid w:val="002C4CA9"/>
    <w:rsid w:val="002C4CB2"/>
    <w:rsid w:val="002C4DE7"/>
    <w:rsid w:val="002C5453"/>
    <w:rsid w:val="002C5469"/>
    <w:rsid w:val="002C57BD"/>
    <w:rsid w:val="002C57F9"/>
    <w:rsid w:val="002C59AE"/>
    <w:rsid w:val="002C59CA"/>
    <w:rsid w:val="002C5A5C"/>
    <w:rsid w:val="002C5A93"/>
    <w:rsid w:val="002C5BA6"/>
    <w:rsid w:val="002C5BFE"/>
    <w:rsid w:val="002C5C3A"/>
    <w:rsid w:val="002C6027"/>
    <w:rsid w:val="002C603D"/>
    <w:rsid w:val="002C64F8"/>
    <w:rsid w:val="002C6587"/>
    <w:rsid w:val="002C6686"/>
    <w:rsid w:val="002C68E5"/>
    <w:rsid w:val="002C6BA6"/>
    <w:rsid w:val="002C6DC4"/>
    <w:rsid w:val="002C6EB8"/>
    <w:rsid w:val="002C6FBE"/>
    <w:rsid w:val="002C7016"/>
    <w:rsid w:val="002C704A"/>
    <w:rsid w:val="002C707C"/>
    <w:rsid w:val="002C70A3"/>
    <w:rsid w:val="002C7301"/>
    <w:rsid w:val="002C75E6"/>
    <w:rsid w:val="002C7614"/>
    <w:rsid w:val="002C77E8"/>
    <w:rsid w:val="002C7C0A"/>
    <w:rsid w:val="002C7C9C"/>
    <w:rsid w:val="002C7FF4"/>
    <w:rsid w:val="002D034F"/>
    <w:rsid w:val="002D04C5"/>
    <w:rsid w:val="002D059D"/>
    <w:rsid w:val="002D0632"/>
    <w:rsid w:val="002D0727"/>
    <w:rsid w:val="002D0A1C"/>
    <w:rsid w:val="002D0BA2"/>
    <w:rsid w:val="002D100C"/>
    <w:rsid w:val="002D15A8"/>
    <w:rsid w:val="002D1933"/>
    <w:rsid w:val="002D1B36"/>
    <w:rsid w:val="002D1B96"/>
    <w:rsid w:val="002D1FE4"/>
    <w:rsid w:val="002D21E2"/>
    <w:rsid w:val="002D2270"/>
    <w:rsid w:val="002D261D"/>
    <w:rsid w:val="002D270D"/>
    <w:rsid w:val="002D2A0A"/>
    <w:rsid w:val="002D2AAF"/>
    <w:rsid w:val="002D2C51"/>
    <w:rsid w:val="002D2E00"/>
    <w:rsid w:val="002D2E4C"/>
    <w:rsid w:val="002D2EC4"/>
    <w:rsid w:val="002D30F6"/>
    <w:rsid w:val="002D319A"/>
    <w:rsid w:val="002D32AF"/>
    <w:rsid w:val="002D3306"/>
    <w:rsid w:val="002D3568"/>
    <w:rsid w:val="002D37C1"/>
    <w:rsid w:val="002D39AF"/>
    <w:rsid w:val="002D3AC2"/>
    <w:rsid w:val="002D3B27"/>
    <w:rsid w:val="002D3BF4"/>
    <w:rsid w:val="002D3E11"/>
    <w:rsid w:val="002D4029"/>
    <w:rsid w:val="002D4074"/>
    <w:rsid w:val="002D42F1"/>
    <w:rsid w:val="002D42FE"/>
    <w:rsid w:val="002D440A"/>
    <w:rsid w:val="002D4487"/>
    <w:rsid w:val="002D4562"/>
    <w:rsid w:val="002D477A"/>
    <w:rsid w:val="002D47C3"/>
    <w:rsid w:val="002D4830"/>
    <w:rsid w:val="002D48FD"/>
    <w:rsid w:val="002D4960"/>
    <w:rsid w:val="002D4A0A"/>
    <w:rsid w:val="002D4A43"/>
    <w:rsid w:val="002D4B90"/>
    <w:rsid w:val="002D5041"/>
    <w:rsid w:val="002D5254"/>
    <w:rsid w:val="002D52BF"/>
    <w:rsid w:val="002D5520"/>
    <w:rsid w:val="002D554D"/>
    <w:rsid w:val="002D607F"/>
    <w:rsid w:val="002D60C9"/>
    <w:rsid w:val="002D6192"/>
    <w:rsid w:val="002D62C6"/>
    <w:rsid w:val="002D65B4"/>
    <w:rsid w:val="002D68CE"/>
    <w:rsid w:val="002D6972"/>
    <w:rsid w:val="002D6D06"/>
    <w:rsid w:val="002D729B"/>
    <w:rsid w:val="002D72F4"/>
    <w:rsid w:val="002D763F"/>
    <w:rsid w:val="002D77FB"/>
    <w:rsid w:val="002D7BB6"/>
    <w:rsid w:val="002E00C4"/>
    <w:rsid w:val="002E01C3"/>
    <w:rsid w:val="002E0315"/>
    <w:rsid w:val="002E034F"/>
    <w:rsid w:val="002E0403"/>
    <w:rsid w:val="002E04C4"/>
    <w:rsid w:val="002E0656"/>
    <w:rsid w:val="002E0903"/>
    <w:rsid w:val="002E0B7D"/>
    <w:rsid w:val="002E0C71"/>
    <w:rsid w:val="002E0D26"/>
    <w:rsid w:val="002E0D5D"/>
    <w:rsid w:val="002E0D8B"/>
    <w:rsid w:val="002E10FA"/>
    <w:rsid w:val="002E12D6"/>
    <w:rsid w:val="002E1819"/>
    <w:rsid w:val="002E1951"/>
    <w:rsid w:val="002E1A58"/>
    <w:rsid w:val="002E1AE1"/>
    <w:rsid w:val="002E1B91"/>
    <w:rsid w:val="002E1F3F"/>
    <w:rsid w:val="002E1F76"/>
    <w:rsid w:val="002E200C"/>
    <w:rsid w:val="002E21D1"/>
    <w:rsid w:val="002E222A"/>
    <w:rsid w:val="002E229D"/>
    <w:rsid w:val="002E2569"/>
    <w:rsid w:val="002E25A8"/>
    <w:rsid w:val="002E279A"/>
    <w:rsid w:val="002E2BE7"/>
    <w:rsid w:val="002E2C8E"/>
    <w:rsid w:val="002E2E82"/>
    <w:rsid w:val="002E3150"/>
    <w:rsid w:val="002E323E"/>
    <w:rsid w:val="002E34CF"/>
    <w:rsid w:val="002E3832"/>
    <w:rsid w:val="002E399E"/>
    <w:rsid w:val="002E3B08"/>
    <w:rsid w:val="002E3CD8"/>
    <w:rsid w:val="002E3CE5"/>
    <w:rsid w:val="002E3D24"/>
    <w:rsid w:val="002E3E51"/>
    <w:rsid w:val="002E3EEB"/>
    <w:rsid w:val="002E3F30"/>
    <w:rsid w:val="002E4118"/>
    <w:rsid w:val="002E4177"/>
    <w:rsid w:val="002E41F3"/>
    <w:rsid w:val="002E42BB"/>
    <w:rsid w:val="002E4505"/>
    <w:rsid w:val="002E4516"/>
    <w:rsid w:val="002E4519"/>
    <w:rsid w:val="002E4635"/>
    <w:rsid w:val="002E4645"/>
    <w:rsid w:val="002E4ED2"/>
    <w:rsid w:val="002E5038"/>
    <w:rsid w:val="002E518D"/>
    <w:rsid w:val="002E529A"/>
    <w:rsid w:val="002E533C"/>
    <w:rsid w:val="002E557C"/>
    <w:rsid w:val="002E5627"/>
    <w:rsid w:val="002E575A"/>
    <w:rsid w:val="002E59A3"/>
    <w:rsid w:val="002E5AED"/>
    <w:rsid w:val="002E5BB9"/>
    <w:rsid w:val="002E5BCC"/>
    <w:rsid w:val="002E5F67"/>
    <w:rsid w:val="002E6116"/>
    <w:rsid w:val="002E67E6"/>
    <w:rsid w:val="002E680C"/>
    <w:rsid w:val="002E6854"/>
    <w:rsid w:val="002E6899"/>
    <w:rsid w:val="002E69B3"/>
    <w:rsid w:val="002E6BD7"/>
    <w:rsid w:val="002E6DBB"/>
    <w:rsid w:val="002E6E7C"/>
    <w:rsid w:val="002E6F72"/>
    <w:rsid w:val="002E7031"/>
    <w:rsid w:val="002E72DF"/>
    <w:rsid w:val="002E761C"/>
    <w:rsid w:val="002E7B0D"/>
    <w:rsid w:val="002E7CA7"/>
    <w:rsid w:val="002E7F32"/>
    <w:rsid w:val="002F0168"/>
    <w:rsid w:val="002F017D"/>
    <w:rsid w:val="002F0184"/>
    <w:rsid w:val="002F0364"/>
    <w:rsid w:val="002F0463"/>
    <w:rsid w:val="002F04DE"/>
    <w:rsid w:val="002F0515"/>
    <w:rsid w:val="002F07D7"/>
    <w:rsid w:val="002F089E"/>
    <w:rsid w:val="002F0A2B"/>
    <w:rsid w:val="002F0B9F"/>
    <w:rsid w:val="002F0D1B"/>
    <w:rsid w:val="002F0EFF"/>
    <w:rsid w:val="002F0F46"/>
    <w:rsid w:val="002F121E"/>
    <w:rsid w:val="002F14D0"/>
    <w:rsid w:val="002F14F4"/>
    <w:rsid w:val="002F1524"/>
    <w:rsid w:val="002F190D"/>
    <w:rsid w:val="002F196B"/>
    <w:rsid w:val="002F1A3E"/>
    <w:rsid w:val="002F1B7F"/>
    <w:rsid w:val="002F1CD3"/>
    <w:rsid w:val="002F1D51"/>
    <w:rsid w:val="002F1E10"/>
    <w:rsid w:val="002F1E43"/>
    <w:rsid w:val="002F1EA4"/>
    <w:rsid w:val="002F21CD"/>
    <w:rsid w:val="002F2431"/>
    <w:rsid w:val="002F24B0"/>
    <w:rsid w:val="002F279C"/>
    <w:rsid w:val="002F283F"/>
    <w:rsid w:val="002F2B1C"/>
    <w:rsid w:val="002F2BB2"/>
    <w:rsid w:val="002F33B5"/>
    <w:rsid w:val="002F33C9"/>
    <w:rsid w:val="002F3A93"/>
    <w:rsid w:val="002F3ADA"/>
    <w:rsid w:val="002F3AFA"/>
    <w:rsid w:val="002F4355"/>
    <w:rsid w:val="002F43A5"/>
    <w:rsid w:val="002F4444"/>
    <w:rsid w:val="002F4684"/>
    <w:rsid w:val="002F4777"/>
    <w:rsid w:val="002F4BEA"/>
    <w:rsid w:val="002F4DDE"/>
    <w:rsid w:val="002F4F49"/>
    <w:rsid w:val="002F5135"/>
    <w:rsid w:val="002F513E"/>
    <w:rsid w:val="002F54B6"/>
    <w:rsid w:val="002F5629"/>
    <w:rsid w:val="002F5674"/>
    <w:rsid w:val="002F5678"/>
    <w:rsid w:val="002F5C5B"/>
    <w:rsid w:val="002F5ECD"/>
    <w:rsid w:val="002F65E5"/>
    <w:rsid w:val="002F6772"/>
    <w:rsid w:val="002F677D"/>
    <w:rsid w:val="002F6829"/>
    <w:rsid w:val="002F6A6F"/>
    <w:rsid w:val="002F6B24"/>
    <w:rsid w:val="002F6D8A"/>
    <w:rsid w:val="002F6E28"/>
    <w:rsid w:val="002F6E32"/>
    <w:rsid w:val="002F70BA"/>
    <w:rsid w:val="002F70E0"/>
    <w:rsid w:val="002F715D"/>
    <w:rsid w:val="002F71E3"/>
    <w:rsid w:val="002F725F"/>
    <w:rsid w:val="002F72CE"/>
    <w:rsid w:val="002F739B"/>
    <w:rsid w:val="002F7568"/>
    <w:rsid w:val="002F790E"/>
    <w:rsid w:val="002F7941"/>
    <w:rsid w:val="002F7A88"/>
    <w:rsid w:val="002F7A99"/>
    <w:rsid w:val="002F7B3B"/>
    <w:rsid w:val="002F7C08"/>
    <w:rsid w:val="002F7CEC"/>
    <w:rsid w:val="002F7E68"/>
    <w:rsid w:val="002F7F86"/>
    <w:rsid w:val="002F7FEB"/>
    <w:rsid w:val="003002B9"/>
    <w:rsid w:val="00300450"/>
    <w:rsid w:val="00300560"/>
    <w:rsid w:val="0030073A"/>
    <w:rsid w:val="003007DE"/>
    <w:rsid w:val="003009A4"/>
    <w:rsid w:val="00300A82"/>
    <w:rsid w:val="00300A84"/>
    <w:rsid w:val="00300AC3"/>
    <w:rsid w:val="00300BF5"/>
    <w:rsid w:val="00300C9E"/>
    <w:rsid w:val="00300E39"/>
    <w:rsid w:val="00300E4B"/>
    <w:rsid w:val="00300F95"/>
    <w:rsid w:val="0030101C"/>
    <w:rsid w:val="00301073"/>
    <w:rsid w:val="0030107F"/>
    <w:rsid w:val="003011A6"/>
    <w:rsid w:val="003013EF"/>
    <w:rsid w:val="00301891"/>
    <w:rsid w:val="00301C68"/>
    <w:rsid w:val="00301EEF"/>
    <w:rsid w:val="00302128"/>
    <w:rsid w:val="00302306"/>
    <w:rsid w:val="003023C2"/>
    <w:rsid w:val="00302417"/>
    <w:rsid w:val="003024FE"/>
    <w:rsid w:val="003026EF"/>
    <w:rsid w:val="0030294F"/>
    <w:rsid w:val="00302C23"/>
    <w:rsid w:val="00302E5E"/>
    <w:rsid w:val="00302EA1"/>
    <w:rsid w:val="00302EC9"/>
    <w:rsid w:val="003031EB"/>
    <w:rsid w:val="00303249"/>
    <w:rsid w:val="003033D2"/>
    <w:rsid w:val="00303432"/>
    <w:rsid w:val="00303569"/>
    <w:rsid w:val="003038DB"/>
    <w:rsid w:val="003039C3"/>
    <w:rsid w:val="00303BC0"/>
    <w:rsid w:val="00303BC3"/>
    <w:rsid w:val="00303D58"/>
    <w:rsid w:val="00303D69"/>
    <w:rsid w:val="00303DF5"/>
    <w:rsid w:val="00303E9D"/>
    <w:rsid w:val="00303FA3"/>
    <w:rsid w:val="003040BE"/>
    <w:rsid w:val="0030415A"/>
    <w:rsid w:val="00304165"/>
    <w:rsid w:val="00304433"/>
    <w:rsid w:val="003044D6"/>
    <w:rsid w:val="0030458D"/>
    <w:rsid w:val="003048C9"/>
    <w:rsid w:val="00304C8F"/>
    <w:rsid w:val="00304D19"/>
    <w:rsid w:val="00304D4E"/>
    <w:rsid w:val="00304F3C"/>
    <w:rsid w:val="00304FF8"/>
    <w:rsid w:val="00305098"/>
    <w:rsid w:val="0030511E"/>
    <w:rsid w:val="00305198"/>
    <w:rsid w:val="003053C8"/>
    <w:rsid w:val="00305B31"/>
    <w:rsid w:val="00305BCF"/>
    <w:rsid w:val="0030615E"/>
    <w:rsid w:val="003061AA"/>
    <w:rsid w:val="003063B4"/>
    <w:rsid w:val="003063E0"/>
    <w:rsid w:val="003066E9"/>
    <w:rsid w:val="0030670E"/>
    <w:rsid w:val="00306D6D"/>
    <w:rsid w:val="00306F46"/>
    <w:rsid w:val="00306FB7"/>
    <w:rsid w:val="0030701C"/>
    <w:rsid w:val="00307448"/>
    <w:rsid w:val="0030775C"/>
    <w:rsid w:val="003079B4"/>
    <w:rsid w:val="00307AAF"/>
    <w:rsid w:val="00307C55"/>
    <w:rsid w:val="00307D23"/>
    <w:rsid w:val="00307DEF"/>
    <w:rsid w:val="00310138"/>
    <w:rsid w:val="0031027B"/>
    <w:rsid w:val="003104AF"/>
    <w:rsid w:val="003105A3"/>
    <w:rsid w:val="003107E5"/>
    <w:rsid w:val="00310818"/>
    <w:rsid w:val="00310B95"/>
    <w:rsid w:val="00310DC7"/>
    <w:rsid w:val="00310DE6"/>
    <w:rsid w:val="00310FC1"/>
    <w:rsid w:val="0031115B"/>
    <w:rsid w:val="00311163"/>
    <w:rsid w:val="0031137D"/>
    <w:rsid w:val="00311473"/>
    <w:rsid w:val="003115AC"/>
    <w:rsid w:val="003116DA"/>
    <w:rsid w:val="003119A7"/>
    <w:rsid w:val="00311AB7"/>
    <w:rsid w:val="00311B09"/>
    <w:rsid w:val="00311D33"/>
    <w:rsid w:val="00311EE1"/>
    <w:rsid w:val="0031200F"/>
    <w:rsid w:val="0031208A"/>
    <w:rsid w:val="003120B0"/>
    <w:rsid w:val="003126CA"/>
    <w:rsid w:val="003127C5"/>
    <w:rsid w:val="00312AC5"/>
    <w:rsid w:val="00312D59"/>
    <w:rsid w:val="00313247"/>
    <w:rsid w:val="0031345B"/>
    <w:rsid w:val="00313664"/>
    <w:rsid w:val="00313754"/>
    <w:rsid w:val="0031380E"/>
    <w:rsid w:val="003138A6"/>
    <w:rsid w:val="00313958"/>
    <w:rsid w:val="00313B78"/>
    <w:rsid w:val="00313C9A"/>
    <w:rsid w:val="00313DD4"/>
    <w:rsid w:val="00313FEA"/>
    <w:rsid w:val="0031408B"/>
    <w:rsid w:val="00314361"/>
    <w:rsid w:val="003143BF"/>
    <w:rsid w:val="00314475"/>
    <w:rsid w:val="003147D8"/>
    <w:rsid w:val="0031486F"/>
    <w:rsid w:val="00314A3D"/>
    <w:rsid w:val="00314D9B"/>
    <w:rsid w:val="00314F19"/>
    <w:rsid w:val="00314F90"/>
    <w:rsid w:val="00315238"/>
    <w:rsid w:val="00315247"/>
    <w:rsid w:val="003153B1"/>
    <w:rsid w:val="00315731"/>
    <w:rsid w:val="0031577A"/>
    <w:rsid w:val="003159A1"/>
    <w:rsid w:val="00315C6A"/>
    <w:rsid w:val="00315D4B"/>
    <w:rsid w:val="00315F85"/>
    <w:rsid w:val="0031617F"/>
    <w:rsid w:val="003161F8"/>
    <w:rsid w:val="00316331"/>
    <w:rsid w:val="00316769"/>
    <w:rsid w:val="00316B84"/>
    <w:rsid w:val="00317101"/>
    <w:rsid w:val="00317783"/>
    <w:rsid w:val="003177D6"/>
    <w:rsid w:val="0032006F"/>
    <w:rsid w:val="003201A1"/>
    <w:rsid w:val="00320747"/>
    <w:rsid w:val="0032080F"/>
    <w:rsid w:val="00320832"/>
    <w:rsid w:val="003208C4"/>
    <w:rsid w:val="00320B44"/>
    <w:rsid w:val="00320FD1"/>
    <w:rsid w:val="00321109"/>
    <w:rsid w:val="0032124F"/>
    <w:rsid w:val="00321560"/>
    <w:rsid w:val="00321690"/>
    <w:rsid w:val="00321758"/>
    <w:rsid w:val="00321823"/>
    <w:rsid w:val="00321BDA"/>
    <w:rsid w:val="003226B9"/>
    <w:rsid w:val="0032283D"/>
    <w:rsid w:val="00322C8F"/>
    <w:rsid w:val="00322E12"/>
    <w:rsid w:val="00322F37"/>
    <w:rsid w:val="00322F49"/>
    <w:rsid w:val="0032303E"/>
    <w:rsid w:val="00323065"/>
    <w:rsid w:val="0032324A"/>
    <w:rsid w:val="0032347E"/>
    <w:rsid w:val="0032358B"/>
    <w:rsid w:val="00323636"/>
    <w:rsid w:val="00323725"/>
    <w:rsid w:val="003238F4"/>
    <w:rsid w:val="0032395B"/>
    <w:rsid w:val="00323A57"/>
    <w:rsid w:val="00323B73"/>
    <w:rsid w:val="00323D94"/>
    <w:rsid w:val="00323E56"/>
    <w:rsid w:val="00323FC4"/>
    <w:rsid w:val="003242BF"/>
    <w:rsid w:val="003243D1"/>
    <w:rsid w:val="0032440D"/>
    <w:rsid w:val="00324633"/>
    <w:rsid w:val="003248B8"/>
    <w:rsid w:val="00324CC9"/>
    <w:rsid w:val="00324D77"/>
    <w:rsid w:val="0032547A"/>
    <w:rsid w:val="00325669"/>
    <w:rsid w:val="0032567B"/>
    <w:rsid w:val="00325692"/>
    <w:rsid w:val="003256EE"/>
    <w:rsid w:val="003257A7"/>
    <w:rsid w:val="00325820"/>
    <w:rsid w:val="00325841"/>
    <w:rsid w:val="003259D7"/>
    <w:rsid w:val="00325D58"/>
    <w:rsid w:val="00325EC5"/>
    <w:rsid w:val="00326371"/>
    <w:rsid w:val="00326451"/>
    <w:rsid w:val="0032661F"/>
    <w:rsid w:val="003268C7"/>
    <w:rsid w:val="00326914"/>
    <w:rsid w:val="00326B3B"/>
    <w:rsid w:val="00326C63"/>
    <w:rsid w:val="00326F2C"/>
    <w:rsid w:val="0032704C"/>
    <w:rsid w:val="0032709A"/>
    <w:rsid w:val="00327426"/>
    <w:rsid w:val="00327581"/>
    <w:rsid w:val="003277AE"/>
    <w:rsid w:val="00327B5D"/>
    <w:rsid w:val="00327BD3"/>
    <w:rsid w:val="00327CAA"/>
    <w:rsid w:val="00327DC4"/>
    <w:rsid w:val="00327DE9"/>
    <w:rsid w:val="00327EB4"/>
    <w:rsid w:val="00327F5E"/>
    <w:rsid w:val="003301B3"/>
    <w:rsid w:val="0033033D"/>
    <w:rsid w:val="00330372"/>
    <w:rsid w:val="00330385"/>
    <w:rsid w:val="003303CC"/>
    <w:rsid w:val="003308D8"/>
    <w:rsid w:val="00330BB6"/>
    <w:rsid w:val="00330C57"/>
    <w:rsid w:val="00330F40"/>
    <w:rsid w:val="00330F54"/>
    <w:rsid w:val="0033102E"/>
    <w:rsid w:val="0033137B"/>
    <w:rsid w:val="003313BC"/>
    <w:rsid w:val="00331401"/>
    <w:rsid w:val="003319AA"/>
    <w:rsid w:val="00331AB8"/>
    <w:rsid w:val="00331CEE"/>
    <w:rsid w:val="0033213F"/>
    <w:rsid w:val="0033218C"/>
    <w:rsid w:val="00332344"/>
    <w:rsid w:val="00332372"/>
    <w:rsid w:val="003324E1"/>
    <w:rsid w:val="003325DC"/>
    <w:rsid w:val="0033289C"/>
    <w:rsid w:val="00332CF5"/>
    <w:rsid w:val="00332F67"/>
    <w:rsid w:val="003330EC"/>
    <w:rsid w:val="0033312E"/>
    <w:rsid w:val="00333234"/>
    <w:rsid w:val="00333776"/>
    <w:rsid w:val="00333822"/>
    <w:rsid w:val="003339EC"/>
    <w:rsid w:val="00333B1F"/>
    <w:rsid w:val="00333CC8"/>
    <w:rsid w:val="00333DEC"/>
    <w:rsid w:val="00334074"/>
    <w:rsid w:val="003340B2"/>
    <w:rsid w:val="003340BC"/>
    <w:rsid w:val="00334149"/>
    <w:rsid w:val="0033414E"/>
    <w:rsid w:val="00334189"/>
    <w:rsid w:val="003343B5"/>
    <w:rsid w:val="00334484"/>
    <w:rsid w:val="00334524"/>
    <w:rsid w:val="003345F8"/>
    <w:rsid w:val="00334A9A"/>
    <w:rsid w:val="00334EBE"/>
    <w:rsid w:val="003351AE"/>
    <w:rsid w:val="003351D8"/>
    <w:rsid w:val="00335370"/>
    <w:rsid w:val="003353FE"/>
    <w:rsid w:val="003354DA"/>
    <w:rsid w:val="0033560E"/>
    <w:rsid w:val="00335649"/>
    <w:rsid w:val="003356B3"/>
    <w:rsid w:val="00335706"/>
    <w:rsid w:val="0033572C"/>
    <w:rsid w:val="0033577C"/>
    <w:rsid w:val="0033583D"/>
    <w:rsid w:val="0033595A"/>
    <w:rsid w:val="00335CC3"/>
    <w:rsid w:val="00335ED1"/>
    <w:rsid w:val="0033608B"/>
    <w:rsid w:val="003363D7"/>
    <w:rsid w:val="003368BF"/>
    <w:rsid w:val="0033694C"/>
    <w:rsid w:val="00336BE6"/>
    <w:rsid w:val="00336C06"/>
    <w:rsid w:val="00336D16"/>
    <w:rsid w:val="00336EFA"/>
    <w:rsid w:val="00336FBD"/>
    <w:rsid w:val="0033722F"/>
    <w:rsid w:val="0033753A"/>
    <w:rsid w:val="003376D1"/>
    <w:rsid w:val="00337808"/>
    <w:rsid w:val="00337877"/>
    <w:rsid w:val="00337905"/>
    <w:rsid w:val="00337B1E"/>
    <w:rsid w:val="00337EF8"/>
    <w:rsid w:val="003402AB"/>
    <w:rsid w:val="003407E4"/>
    <w:rsid w:val="0034081B"/>
    <w:rsid w:val="003408F4"/>
    <w:rsid w:val="00340C0A"/>
    <w:rsid w:val="00341143"/>
    <w:rsid w:val="00341296"/>
    <w:rsid w:val="003413E0"/>
    <w:rsid w:val="0034150A"/>
    <w:rsid w:val="00341557"/>
    <w:rsid w:val="003416A0"/>
    <w:rsid w:val="00341833"/>
    <w:rsid w:val="00341860"/>
    <w:rsid w:val="00341A29"/>
    <w:rsid w:val="00341CFA"/>
    <w:rsid w:val="00342101"/>
    <w:rsid w:val="0034216A"/>
    <w:rsid w:val="003423C7"/>
    <w:rsid w:val="003423DE"/>
    <w:rsid w:val="00342471"/>
    <w:rsid w:val="003424A0"/>
    <w:rsid w:val="003425DF"/>
    <w:rsid w:val="00342763"/>
    <w:rsid w:val="003427A0"/>
    <w:rsid w:val="00342803"/>
    <w:rsid w:val="00342841"/>
    <w:rsid w:val="003428BA"/>
    <w:rsid w:val="003429B2"/>
    <w:rsid w:val="00342A60"/>
    <w:rsid w:val="00342CBB"/>
    <w:rsid w:val="00342D02"/>
    <w:rsid w:val="00342DDC"/>
    <w:rsid w:val="00342F74"/>
    <w:rsid w:val="00342FBC"/>
    <w:rsid w:val="00343370"/>
    <w:rsid w:val="00343510"/>
    <w:rsid w:val="0034375A"/>
    <w:rsid w:val="0034378D"/>
    <w:rsid w:val="0034379D"/>
    <w:rsid w:val="003439F6"/>
    <w:rsid w:val="00343CB0"/>
    <w:rsid w:val="00343DED"/>
    <w:rsid w:val="00343E5D"/>
    <w:rsid w:val="00343E69"/>
    <w:rsid w:val="00343FC7"/>
    <w:rsid w:val="0034410F"/>
    <w:rsid w:val="00344182"/>
    <w:rsid w:val="00344359"/>
    <w:rsid w:val="0034467D"/>
    <w:rsid w:val="00344774"/>
    <w:rsid w:val="00344868"/>
    <w:rsid w:val="0034486E"/>
    <w:rsid w:val="00344983"/>
    <w:rsid w:val="00344A10"/>
    <w:rsid w:val="00344A29"/>
    <w:rsid w:val="00344D6D"/>
    <w:rsid w:val="0034502D"/>
    <w:rsid w:val="0034536D"/>
    <w:rsid w:val="00345529"/>
    <w:rsid w:val="00345553"/>
    <w:rsid w:val="003455E0"/>
    <w:rsid w:val="00345741"/>
    <w:rsid w:val="0034576B"/>
    <w:rsid w:val="00345F2B"/>
    <w:rsid w:val="00345F85"/>
    <w:rsid w:val="00346192"/>
    <w:rsid w:val="003463D1"/>
    <w:rsid w:val="003463D8"/>
    <w:rsid w:val="0034646D"/>
    <w:rsid w:val="003464D8"/>
    <w:rsid w:val="0034698C"/>
    <w:rsid w:val="00346C66"/>
    <w:rsid w:val="0034714F"/>
    <w:rsid w:val="0034715C"/>
    <w:rsid w:val="00347456"/>
    <w:rsid w:val="00347774"/>
    <w:rsid w:val="003477AD"/>
    <w:rsid w:val="003478BE"/>
    <w:rsid w:val="0034795E"/>
    <w:rsid w:val="0034797B"/>
    <w:rsid w:val="00347AAA"/>
    <w:rsid w:val="00347BE5"/>
    <w:rsid w:val="00347D28"/>
    <w:rsid w:val="00347D85"/>
    <w:rsid w:val="00347DE5"/>
    <w:rsid w:val="0035008C"/>
    <w:rsid w:val="003502C4"/>
    <w:rsid w:val="003507DD"/>
    <w:rsid w:val="0035091C"/>
    <w:rsid w:val="00350B03"/>
    <w:rsid w:val="00350C0E"/>
    <w:rsid w:val="00350C95"/>
    <w:rsid w:val="00350ED8"/>
    <w:rsid w:val="003510F6"/>
    <w:rsid w:val="00351124"/>
    <w:rsid w:val="00351176"/>
    <w:rsid w:val="00351347"/>
    <w:rsid w:val="00351632"/>
    <w:rsid w:val="0035167A"/>
    <w:rsid w:val="00351831"/>
    <w:rsid w:val="00351E8C"/>
    <w:rsid w:val="0035220A"/>
    <w:rsid w:val="003522E0"/>
    <w:rsid w:val="00352363"/>
    <w:rsid w:val="00352508"/>
    <w:rsid w:val="00352603"/>
    <w:rsid w:val="0035267F"/>
    <w:rsid w:val="00352699"/>
    <w:rsid w:val="0035284A"/>
    <w:rsid w:val="00352B39"/>
    <w:rsid w:val="00352B55"/>
    <w:rsid w:val="00352D41"/>
    <w:rsid w:val="00352E46"/>
    <w:rsid w:val="003530FE"/>
    <w:rsid w:val="0035327F"/>
    <w:rsid w:val="00353289"/>
    <w:rsid w:val="00353C75"/>
    <w:rsid w:val="00354193"/>
    <w:rsid w:val="003542F3"/>
    <w:rsid w:val="003547F2"/>
    <w:rsid w:val="003547FA"/>
    <w:rsid w:val="003548FE"/>
    <w:rsid w:val="00354E09"/>
    <w:rsid w:val="00354F0A"/>
    <w:rsid w:val="003550A4"/>
    <w:rsid w:val="003550BA"/>
    <w:rsid w:val="00355171"/>
    <w:rsid w:val="0035537A"/>
    <w:rsid w:val="003554D2"/>
    <w:rsid w:val="0035580D"/>
    <w:rsid w:val="0035588D"/>
    <w:rsid w:val="00355985"/>
    <w:rsid w:val="00355D0B"/>
    <w:rsid w:val="00355DC0"/>
    <w:rsid w:val="00355FC9"/>
    <w:rsid w:val="00356013"/>
    <w:rsid w:val="00356140"/>
    <w:rsid w:val="003565E0"/>
    <w:rsid w:val="00356831"/>
    <w:rsid w:val="00356887"/>
    <w:rsid w:val="00356915"/>
    <w:rsid w:val="00356E54"/>
    <w:rsid w:val="00356E75"/>
    <w:rsid w:val="00356F02"/>
    <w:rsid w:val="00356FC2"/>
    <w:rsid w:val="00357073"/>
    <w:rsid w:val="003570A3"/>
    <w:rsid w:val="0035766F"/>
    <w:rsid w:val="0035781A"/>
    <w:rsid w:val="0035797B"/>
    <w:rsid w:val="00357A5E"/>
    <w:rsid w:val="00357B39"/>
    <w:rsid w:val="00357CB5"/>
    <w:rsid w:val="00357E8C"/>
    <w:rsid w:val="00357ED5"/>
    <w:rsid w:val="003600B2"/>
    <w:rsid w:val="00360271"/>
    <w:rsid w:val="003602DC"/>
    <w:rsid w:val="00360301"/>
    <w:rsid w:val="0036032B"/>
    <w:rsid w:val="0036040E"/>
    <w:rsid w:val="00360486"/>
    <w:rsid w:val="00360517"/>
    <w:rsid w:val="00360532"/>
    <w:rsid w:val="003608CA"/>
    <w:rsid w:val="00360B57"/>
    <w:rsid w:val="00360EB5"/>
    <w:rsid w:val="00360F43"/>
    <w:rsid w:val="003618AD"/>
    <w:rsid w:val="003618C5"/>
    <w:rsid w:val="003619BB"/>
    <w:rsid w:val="00361A0A"/>
    <w:rsid w:val="00361D06"/>
    <w:rsid w:val="00361D3F"/>
    <w:rsid w:val="00361D40"/>
    <w:rsid w:val="00361F69"/>
    <w:rsid w:val="0036214E"/>
    <w:rsid w:val="003622EB"/>
    <w:rsid w:val="0036233D"/>
    <w:rsid w:val="003623F5"/>
    <w:rsid w:val="00362402"/>
    <w:rsid w:val="00362660"/>
    <w:rsid w:val="00362809"/>
    <w:rsid w:val="00362B51"/>
    <w:rsid w:val="00362BD5"/>
    <w:rsid w:val="00362DFB"/>
    <w:rsid w:val="00362FD3"/>
    <w:rsid w:val="0036350A"/>
    <w:rsid w:val="00363678"/>
    <w:rsid w:val="003638C3"/>
    <w:rsid w:val="003639FB"/>
    <w:rsid w:val="00363BF7"/>
    <w:rsid w:val="00363D14"/>
    <w:rsid w:val="00363D4C"/>
    <w:rsid w:val="003641FF"/>
    <w:rsid w:val="00364264"/>
    <w:rsid w:val="003643CF"/>
    <w:rsid w:val="003644BF"/>
    <w:rsid w:val="003647C0"/>
    <w:rsid w:val="00364D9D"/>
    <w:rsid w:val="003650F3"/>
    <w:rsid w:val="0036512E"/>
    <w:rsid w:val="003651F5"/>
    <w:rsid w:val="003652B9"/>
    <w:rsid w:val="00365421"/>
    <w:rsid w:val="0036574C"/>
    <w:rsid w:val="0036578F"/>
    <w:rsid w:val="00365867"/>
    <w:rsid w:val="00365C53"/>
    <w:rsid w:val="0036601F"/>
    <w:rsid w:val="0036633A"/>
    <w:rsid w:val="003665B2"/>
    <w:rsid w:val="0036695B"/>
    <w:rsid w:val="0036713C"/>
    <w:rsid w:val="00367430"/>
    <w:rsid w:val="00367550"/>
    <w:rsid w:val="003678EB"/>
    <w:rsid w:val="00367B02"/>
    <w:rsid w:val="00367B88"/>
    <w:rsid w:val="00370225"/>
    <w:rsid w:val="00370307"/>
    <w:rsid w:val="0037035D"/>
    <w:rsid w:val="00370735"/>
    <w:rsid w:val="003707CA"/>
    <w:rsid w:val="00370821"/>
    <w:rsid w:val="0037093C"/>
    <w:rsid w:val="003709A2"/>
    <w:rsid w:val="00370A18"/>
    <w:rsid w:val="00370AA1"/>
    <w:rsid w:val="00370D1A"/>
    <w:rsid w:val="00370F40"/>
    <w:rsid w:val="003710ED"/>
    <w:rsid w:val="003713C7"/>
    <w:rsid w:val="003713FE"/>
    <w:rsid w:val="0037144F"/>
    <w:rsid w:val="003716B7"/>
    <w:rsid w:val="003717D0"/>
    <w:rsid w:val="00371BAE"/>
    <w:rsid w:val="00371D3A"/>
    <w:rsid w:val="003720EE"/>
    <w:rsid w:val="00372123"/>
    <w:rsid w:val="00372263"/>
    <w:rsid w:val="003723D1"/>
    <w:rsid w:val="0037240B"/>
    <w:rsid w:val="003725AA"/>
    <w:rsid w:val="003728BF"/>
    <w:rsid w:val="00372A5B"/>
    <w:rsid w:val="00372C21"/>
    <w:rsid w:val="00372C6A"/>
    <w:rsid w:val="00373036"/>
    <w:rsid w:val="00373089"/>
    <w:rsid w:val="003730D4"/>
    <w:rsid w:val="00373491"/>
    <w:rsid w:val="00373572"/>
    <w:rsid w:val="003735EB"/>
    <w:rsid w:val="00373766"/>
    <w:rsid w:val="003739DD"/>
    <w:rsid w:val="00373A9E"/>
    <w:rsid w:val="00373C8B"/>
    <w:rsid w:val="00374117"/>
    <w:rsid w:val="003741A2"/>
    <w:rsid w:val="00374419"/>
    <w:rsid w:val="00374452"/>
    <w:rsid w:val="0037478C"/>
    <w:rsid w:val="00374808"/>
    <w:rsid w:val="00374AC8"/>
    <w:rsid w:val="00374BF4"/>
    <w:rsid w:val="00374C44"/>
    <w:rsid w:val="00374CF9"/>
    <w:rsid w:val="00374D75"/>
    <w:rsid w:val="00374DC6"/>
    <w:rsid w:val="0037526B"/>
    <w:rsid w:val="003752CB"/>
    <w:rsid w:val="00375336"/>
    <w:rsid w:val="003753CE"/>
    <w:rsid w:val="0037568D"/>
    <w:rsid w:val="00375A73"/>
    <w:rsid w:val="00375AFE"/>
    <w:rsid w:val="00375C3D"/>
    <w:rsid w:val="00375E08"/>
    <w:rsid w:val="00375EA8"/>
    <w:rsid w:val="00375F74"/>
    <w:rsid w:val="003767DD"/>
    <w:rsid w:val="00376892"/>
    <w:rsid w:val="00376C88"/>
    <w:rsid w:val="00376CEC"/>
    <w:rsid w:val="00376E67"/>
    <w:rsid w:val="00376F2E"/>
    <w:rsid w:val="003771F0"/>
    <w:rsid w:val="0037738C"/>
    <w:rsid w:val="00377727"/>
    <w:rsid w:val="00377B39"/>
    <w:rsid w:val="00377CAD"/>
    <w:rsid w:val="00377D9A"/>
    <w:rsid w:val="00377DA8"/>
    <w:rsid w:val="00377E4F"/>
    <w:rsid w:val="00377F68"/>
    <w:rsid w:val="0038016E"/>
    <w:rsid w:val="003801D9"/>
    <w:rsid w:val="00380265"/>
    <w:rsid w:val="00380364"/>
    <w:rsid w:val="0038047C"/>
    <w:rsid w:val="00380746"/>
    <w:rsid w:val="00380B0B"/>
    <w:rsid w:val="00380BB9"/>
    <w:rsid w:val="00380CDA"/>
    <w:rsid w:val="00380D7D"/>
    <w:rsid w:val="00380E94"/>
    <w:rsid w:val="00381256"/>
    <w:rsid w:val="0038126C"/>
    <w:rsid w:val="0038139F"/>
    <w:rsid w:val="003813B0"/>
    <w:rsid w:val="00381428"/>
    <w:rsid w:val="0038147F"/>
    <w:rsid w:val="003814BB"/>
    <w:rsid w:val="00381562"/>
    <w:rsid w:val="00381750"/>
    <w:rsid w:val="003817E8"/>
    <w:rsid w:val="00381900"/>
    <w:rsid w:val="00381F25"/>
    <w:rsid w:val="00382266"/>
    <w:rsid w:val="00382295"/>
    <w:rsid w:val="0038235E"/>
    <w:rsid w:val="00382A53"/>
    <w:rsid w:val="00382AE5"/>
    <w:rsid w:val="00382B0C"/>
    <w:rsid w:val="00382FE3"/>
    <w:rsid w:val="003830CD"/>
    <w:rsid w:val="00383147"/>
    <w:rsid w:val="00383170"/>
    <w:rsid w:val="003833B5"/>
    <w:rsid w:val="00383451"/>
    <w:rsid w:val="003834C9"/>
    <w:rsid w:val="0038352D"/>
    <w:rsid w:val="003835C4"/>
    <w:rsid w:val="003835FF"/>
    <w:rsid w:val="0038360E"/>
    <w:rsid w:val="00383700"/>
    <w:rsid w:val="003838A9"/>
    <w:rsid w:val="00383BF4"/>
    <w:rsid w:val="00383C52"/>
    <w:rsid w:val="00383DEA"/>
    <w:rsid w:val="00383F09"/>
    <w:rsid w:val="003840C3"/>
    <w:rsid w:val="00384510"/>
    <w:rsid w:val="00384584"/>
    <w:rsid w:val="00384781"/>
    <w:rsid w:val="003847ED"/>
    <w:rsid w:val="00384ADE"/>
    <w:rsid w:val="00384B3F"/>
    <w:rsid w:val="00384DB9"/>
    <w:rsid w:val="00384DBB"/>
    <w:rsid w:val="00385542"/>
    <w:rsid w:val="0038558F"/>
    <w:rsid w:val="003856BD"/>
    <w:rsid w:val="00385959"/>
    <w:rsid w:val="00385E54"/>
    <w:rsid w:val="00386456"/>
    <w:rsid w:val="00386DDB"/>
    <w:rsid w:val="00386E49"/>
    <w:rsid w:val="00386F52"/>
    <w:rsid w:val="00387048"/>
    <w:rsid w:val="0038734C"/>
    <w:rsid w:val="00387388"/>
    <w:rsid w:val="0038751A"/>
    <w:rsid w:val="0038754D"/>
    <w:rsid w:val="00387553"/>
    <w:rsid w:val="00387650"/>
    <w:rsid w:val="00387651"/>
    <w:rsid w:val="003878AE"/>
    <w:rsid w:val="0038792E"/>
    <w:rsid w:val="0038797A"/>
    <w:rsid w:val="00387A4A"/>
    <w:rsid w:val="00387F80"/>
    <w:rsid w:val="00387FB9"/>
    <w:rsid w:val="003908EA"/>
    <w:rsid w:val="00390932"/>
    <w:rsid w:val="00390F0B"/>
    <w:rsid w:val="00390F55"/>
    <w:rsid w:val="00391066"/>
    <w:rsid w:val="00391078"/>
    <w:rsid w:val="0039121A"/>
    <w:rsid w:val="003915A5"/>
    <w:rsid w:val="0039177F"/>
    <w:rsid w:val="003919B1"/>
    <w:rsid w:val="00391E0F"/>
    <w:rsid w:val="0039208E"/>
    <w:rsid w:val="003921CD"/>
    <w:rsid w:val="00392270"/>
    <w:rsid w:val="003922FD"/>
    <w:rsid w:val="0039259C"/>
    <w:rsid w:val="003929D2"/>
    <w:rsid w:val="00392BC2"/>
    <w:rsid w:val="00392C5F"/>
    <w:rsid w:val="00392CCA"/>
    <w:rsid w:val="00392EC0"/>
    <w:rsid w:val="00393029"/>
    <w:rsid w:val="003931BF"/>
    <w:rsid w:val="00393248"/>
    <w:rsid w:val="00393367"/>
    <w:rsid w:val="00393752"/>
    <w:rsid w:val="003937FE"/>
    <w:rsid w:val="0039392C"/>
    <w:rsid w:val="00393AD7"/>
    <w:rsid w:val="00393E3E"/>
    <w:rsid w:val="00393EBE"/>
    <w:rsid w:val="00393F81"/>
    <w:rsid w:val="00393FA5"/>
    <w:rsid w:val="0039406E"/>
    <w:rsid w:val="0039411F"/>
    <w:rsid w:val="0039413F"/>
    <w:rsid w:val="003941BF"/>
    <w:rsid w:val="003941DA"/>
    <w:rsid w:val="00394513"/>
    <w:rsid w:val="00394580"/>
    <w:rsid w:val="0039459F"/>
    <w:rsid w:val="003946B9"/>
    <w:rsid w:val="00394AA2"/>
    <w:rsid w:val="00394B35"/>
    <w:rsid w:val="00394B3C"/>
    <w:rsid w:val="00394B51"/>
    <w:rsid w:val="00394C6F"/>
    <w:rsid w:val="0039523D"/>
    <w:rsid w:val="003952B8"/>
    <w:rsid w:val="003953BE"/>
    <w:rsid w:val="003957BB"/>
    <w:rsid w:val="00395960"/>
    <w:rsid w:val="00395CCC"/>
    <w:rsid w:val="003961DC"/>
    <w:rsid w:val="003962CD"/>
    <w:rsid w:val="003963FF"/>
    <w:rsid w:val="003965C0"/>
    <w:rsid w:val="00396894"/>
    <w:rsid w:val="00396935"/>
    <w:rsid w:val="00396997"/>
    <w:rsid w:val="00396A3C"/>
    <w:rsid w:val="00396A4C"/>
    <w:rsid w:val="00396B13"/>
    <w:rsid w:val="00396BFE"/>
    <w:rsid w:val="00397056"/>
    <w:rsid w:val="0039716A"/>
    <w:rsid w:val="00397196"/>
    <w:rsid w:val="0039743E"/>
    <w:rsid w:val="003974D0"/>
    <w:rsid w:val="00397652"/>
    <w:rsid w:val="00397A8D"/>
    <w:rsid w:val="00397CAC"/>
    <w:rsid w:val="00397D16"/>
    <w:rsid w:val="00397E25"/>
    <w:rsid w:val="003A0366"/>
    <w:rsid w:val="003A0403"/>
    <w:rsid w:val="003A05A3"/>
    <w:rsid w:val="003A0AD4"/>
    <w:rsid w:val="003A0BDD"/>
    <w:rsid w:val="003A0CF8"/>
    <w:rsid w:val="003A0D0B"/>
    <w:rsid w:val="003A1301"/>
    <w:rsid w:val="003A166C"/>
    <w:rsid w:val="003A1926"/>
    <w:rsid w:val="003A1BE7"/>
    <w:rsid w:val="003A1C39"/>
    <w:rsid w:val="003A1C9F"/>
    <w:rsid w:val="003A1EE5"/>
    <w:rsid w:val="003A1F3A"/>
    <w:rsid w:val="003A21B4"/>
    <w:rsid w:val="003A22B3"/>
    <w:rsid w:val="003A27BB"/>
    <w:rsid w:val="003A280A"/>
    <w:rsid w:val="003A297C"/>
    <w:rsid w:val="003A2DC8"/>
    <w:rsid w:val="003A2FE5"/>
    <w:rsid w:val="003A31F5"/>
    <w:rsid w:val="003A34E1"/>
    <w:rsid w:val="003A35D6"/>
    <w:rsid w:val="003A38DA"/>
    <w:rsid w:val="003A3BF8"/>
    <w:rsid w:val="003A3F7C"/>
    <w:rsid w:val="003A3FF6"/>
    <w:rsid w:val="003A4071"/>
    <w:rsid w:val="003A40B3"/>
    <w:rsid w:val="003A43CA"/>
    <w:rsid w:val="003A4473"/>
    <w:rsid w:val="003A4699"/>
    <w:rsid w:val="003A4780"/>
    <w:rsid w:val="003A47EE"/>
    <w:rsid w:val="003A4A4B"/>
    <w:rsid w:val="003A4C18"/>
    <w:rsid w:val="003A4E51"/>
    <w:rsid w:val="003A4FAA"/>
    <w:rsid w:val="003A5077"/>
    <w:rsid w:val="003A50B5"/>
    <w:rsid w:val="003A537B"/>
    <w:rsid w:val="003A53CD"/>
    <w:rsid w:val="003A548D"/>
    <w:rsid w:val="003A5496"/>
    <w:rsid w:val="003A5614"/>
    <w:rsid w:val="003A56A1"/>
    <w:rsid w:val="003A56C8"/>
    <w:rsid w:val="003A58B3"/>
    <w:rsid w:val="003A5904"/>
    <w:rsid w:val="003A5A23"/>
    <w:rsid w:val="003A5ADA"/>
    <w:rsid w:val="003A5BC5"/>
    <w:rsid w:val="003A5C25"/>
    <w:rsid w:val="003A5C82"/>
    <w:rsid w:val="003A5CF2"/>
    <w:rsid w:val="003A5D19"/>
    <w:rsid w:val="003A5E4A"/>
    <w:rsid w:val="003A5F4E"/>
    <w:rsid w:val="003A5F94"/>
    <w:rsid w:val="003A6371"/>
    <w:rsid w:val="003A67DB"/>
    <w:rsid w:val="003A6842"/>
    <w:rsid w:val="003A68A9"/>
    <w:rsid w:val="003A6A4E"/>
    <w:rsid w:val="003A6C00"/>
    <w:rsid w:val="003A6DDA"/>
    <w:rsid w:val="003A72A8"/>
    <w:rsid w:val="003A72AB"/>
    <w:rsid w:val="003A72FF"/>
    <w:rsid w:val="003A782B"/>
    <w:rsid w:val="003A7BE0"/>
    <w:rsid w:val="003A7E45"/>
    <w:rsid w:val="003B00C0"/>
    <w:rsid w:val="003B03BF"/>
    <w:rsid w:val="003B0596"/>
    <w:rsid w:val="003B05DC"/>
    <w:rsid w:val="003B0652"/>
    <w:rsid w:val="003B09DA"/>
    <w:rsid w:val="003B0DA5"/>
    <w:rsid w:val="003B0E9B"/>
    <w:rsid w:val="003B0F29"/>
    <w:rsid w:val="003B11FA"/>
    <w:rsid w:val="003B1228"/>
    <w:rsid w:val="003B14BC"/>
    <w:rsid w:val="003B1620"/>
    <w:rsid w:val="003B164F"/>
    <w:rsid w:val="003B1661"/>
    <w:rsid w:val="003B1919"/>
    <w:rsid w:val="003B1A87"/>
    <w:rsid w:val="003B2354"/>
    <w:rsid w:val="003B27FE"/>
    <w:rsid w:val="003B2A09"/>
    <w:rsid w:val="003B2E00"/>
    <w:rsid w:val="003B2E43"/>
    <w:rsid w:val="003B2FCF"/>
    <w:rsid w:val="003B317B"/>
    <w:rsid w:val="003B32B6"/>
    <w:rsid w:val="003B3B19"/>
    <w:rsid w:val="003B3EC4"/>
    <w:rsid w:val="003B3F94"/>
    <w:rsid w:val="003B3FD2"/>
    <w:rsid w:val="003B4059"/>
    <w:rsid w:val="003B4221"/>
    <w:rsid w:val="003B4407"/>
    <w:rsid w:val="003B440E"/>
    <w:rsid w:val="003B453B"/>
    <w:rsid w:val="003B4835"/>
    <w:rsid w:val="003B4BEA"/>
    <w:rsid w:val="003B4E3A"/>
    <w:rsid w:val="003B4E77"/>
    <w:rsid w:val="003B51D0"/>
    <w:rsid w:val="003B5254"/>
    <w:rsid w:val="003B533E"/>
    <w:rsid w:val="003B5427"/>
    <w:rsid w:val="003B5664"/>
    <w:rsid w:val="003B5747"/>
    <w:rsid w:val="003B57D9"/>
    <w:rsid w:val="003B580F"/>
    <w:rsid w:val="003B5A4A"/>
    <w:rsid w:val="003B5CF5"/>
    <w:rsid w:val="003B5F2B"/>
    <w:rsid w:val="003B60DD"/>
    <w:rsid w:val="003B6230"/>
    <w:rsid w:val="003B63DD"/>
    <w:rsid w:val="003B642F"/>
    <w:rsid w:val="003B6597"/>
    <w:rsid w:val="003B65D4"/>
    <w:rsid w:val="003B6603"/>
    <w:rsid w:val="003B6641"/>
    <w:rsid w:val="003B673D"/>
    <w:rsid w:val="003B6A7F"/>
    <w:rsid w:val="003B6A8C"/>
    <w:rsid w:val="003B6F53"/>
    <w:rsid w:val="003B730A"/>
    <w:rsid w:val="003B7840"/>
    <w:rsid w:val="003B7AF0"/>
    <w:rsid w:val="003B7CC3"/>
    <w:rsid w:val="003B7EB5"/>
    <w:rsid w:val="003B7F41"/>
    <w:rsid w:val="003C0183"/>
    <w:rsid w:val="003C039F"/>
    <w:rsid w:val="003C03C2"/>
    <w:rsid w:val="003C03DC"/>
    <w:rsid w:val="003C03EB"/>
    <w:rsid w:val="003C04A1"/>
    <w:rsid w:val="003C06DB"/>
    <w:rsid w:val="003C0883"/>
    <w:rsid w:val="003C0B0E"/>
    <w:rsid w:val="003C0B7C"/>
    <w:rsid w:val="003C0EC4"/>
    <w:rsid w:val="003C0FA8"/>
    <w:rsid w:val="003C1054"/>
    <w:rsid w:val="003C1480"/>
    <w:rsid w:val="003C1612"/>
    <w:rsid w:val="003C175D"/>
    <w:rsid w:val="003C1CFB"/>
    <w:rsid w:val="003C1D40"/>
    <w:rsid w:val="003C1E47"/>
    <w:rsid w:val="003C2103"/>
    <w:rsid w:val="003C21DC"/>
    <w:rsid w:val="003C23E2"/>
    <w:rsid w:val="003C2577"/>
    <w:rsid w:val="003C268C"/>
    <w:rsid w:val="003C2BBD"/>
    <w:rsid w:val="003C2F98"/>
    <w:rsid w:val="003C32A6"/>
    <w:rsid w:val="003C3379"/>
    <w:rsid w:val="003C33B2"/>
    <w:rsid w:val="003C3AE8"/>
    <w:rsid w:val="003C3BB5"/>
    <w:rsid w:val="003C3E0C"/>
    <w:rsid w:val="003C3E77"/>
    <w:rsid w:val="003C3E86"/>
    <w:rsid w:val="003C4066"/>
    <w:rsid w:val="003C4264"/>
    <w:rsid w:val="003C43EB"/>
    <w:rsid w:val="003C43EC"/>
    <w:rsid w:val="003C4448"/>
    <w:rsid w:val="003C4641"/>
    <w:rsid w:val="003C46AD"/>
    <w:rsid w:val="003C4844"/>
    <w:rsid w:val="003C49E2"/>
    <w:rsid w:val="003C4A88"/>
    <w:rsid w:val="003C4B72"/>
    <w:rsid w:val="003C4D1E"/>
    <w:rsid w:val="003C4E99"/>
    <w:rsid w:val="003C529F"/>
    <w:rsid w:val="003C53A4"/>
    <w:rsid w:val="003C548C"/>
    <w:rsid w:val="003C56BD"/>
    <w:rsid w:val="003C5832"/>
    <w:rsid w:val="003C5FC9"/>
    <w:rsid w:val="003C61B7"/>
    <w:rsid w:val="003C63D3"/>
    <w:rsid w:val="003C646F"/>
    <w:rsid w:val="003C6481"/>
    <w:rsid w:val="003C6BA9"/>
    <w:rsid w:val="003C6C69"/>
    <w:rsid w:val="003C740B"/>
    <w:rsid w:val="003C7449"/>
    <w:rsid w:val="003C7572"/>
    <w:rsid w:val="003C7719"/>
    <w:rsid w:val="003C792F"/>
    <w:rsid w:val="003C7AF1"/>
    <w:rsid w:val="003C7BE5"/>
    <w:rsid w:val="003D0022"/>
    <w:rsid w:val="003D013D"/>
    <w:rsid w:val="003D045C"/>
    <w:rsid w:val="003D0461"/>
    <w:rsid w:val="003D0B52"/>
    <w:rsid w:val="003D0C80"/>
    <w:rsid w:val="003D102C"/>
    <w:rsid w:val="003D1093"/>
    <w:rsid w:val="003D12D3"/>
    <w:rsid w:val="003D1328"/>
    <w:rsid w:val="003D1448"/>
    <w:rsid w:val="003D1598"/>
    <w:rsid w:val="003D1621"/>
    <w:rsid w:val="003D19FB"/>
    <w:rsid w:val="003D1AC3"/>
    <w:rsid w:val="003D1ADC"/>
    <w:rsid w:val="003D1B9D"/>
    <w:rsid w:val="003D1BB5"/>
    <w:rsid w:val="003D1D95"/>
    <w:rsid w:val="003D1DC8"/>
    <w:rsid w:val="003D1EEC"/>
    <w:rsid w:val="003D1EF2"/>
    <w:rsid w:val="003D1F44"/>
    <w:rsid w:val="003D1F56"/>
    <w:rsid w:val="003D22D2"/>
    <w:rsid w:val="003D23E8"/>
    <w:rsid w:val="003D27CE"/>
    <w:rsid w:val="003D28F2"/>
    <w:rsid w:val="003D2E66"/>
    <w:rsid w:val="003D33E2"/>
    <w:rsid w:val="003D34F4"/>
    <w:rsid w:val="003D3537"/>
    <w:rsid w:val="003D35E6"/>
    <w:rsid w:val="003D3A06"/>
    <w:rsid w:val="003D3C05"/>
    <w:rsid w:val="003D3C63"/>
    <w:rsid w:val="003D3CB2"/>
    <w:rsid w:val="003D3D91"/>
    <w:rsid w:val="003D3EC2"/>
    <w:rsid w:val="003D41F1"/>
    <w:rsid w:val="003D4708"/>
    <w:rsid w:val="003D472C"/>
    <w:rsid w:val="003D477A"/>
    <w:rsid w:val="003D4D86"/>
    <w:rsid w:val="003D529A"/>
    <w:rsid w:val="003D5469"/>
    <w:rsid w:val="003D5847"/>
    <w:rsid w:val="003D5B7A"/>
    <w:rsid w:val="003D614C"/>
    <w:rsid w:val="003D619A"/>
    <w:rsid w:val="003D6556"/>
    <w:rsid w:val="003D6660"/>
    <w:rsid w:val="003D6993"/>
    <w:rsid w:val="003D6B68"/>
    <w:rsid w:val="003D6D90"/>
    <w:rsid w:val="003D7077"/>
    <w:rsid w:val="003D7078"/>
    <w:rsid w:val="003D71CB"/>
    <w:rsid w:val="003D71CF"/>
    <w:rsid w:val="003D727D"/>
    <w:rsid w:val="003D73B7"/>
    <w:rsid w:val="003D758E"/>
    <w:rsid w:val="003D79D2"/>
    <w:rsid w:val="003D7A0A"/>
    <w:rsid w:val="003D7C86"/>
    <w:rsid w:val="003D7CF9"/>
    <w:rsid w:val="003D7E71"/>
    <w:rsid w:val="003E0106"/>
    <w:rsid w:val="003E01B9"/>
    <w:rsid w:val="003E0352"/>
    <w:rsid w:val="003E04E0"/>
    <w:rsid w:val="003E0577"/>
    <w:rsid w:val="003E05BD"/>
    <w:rsid w:val="003E08E7"/>
    <w:rsid w:val="003E0970"/>
    <w:rsid w:val="003E0976"/>
    <w:rsid w:val="003E0A15"/>
    <w:rsid w:val="003E0A3A"/>
    <w:rsid w:val="003E0B8B"/>
    <w:rsid w:val="003E0C71"/>
    <w:rsid w:val="003E0C99"/>
    <w:rsid w:val="003E0E01"/>
    <w:rsid w:val="003E10F3"/>
    <w:rsid w:val="003E14BE"/>
    <w:rsid w:val="003E182D"/>
    <w:rsid w:val="003E1937"/>
    <w:rsid w:val="003E1A67"/>
    <w:rsid w:val="003E1AFB"/>
    <w:rsid w:val="003E1C5F"/>
    <w:rsid w:val="003E1CE8"/>
    <w:rsid w:val="003E1D66"/>
    <w:rsid w:val="003E20A0"/>
    <w:rsid w:val="003E213F"/>
    <w:rsid w:val="003E2431"/>
    <w:rsid w:val="003E265D"/>
    <w:rsid w:val="003E26B2"/>
    <w:rsid w:val="003E2831"/>
    <w:rsid w:val="003E2A84"/>
    <w:rsid w:val="003E2B86"/>
    <w:rsid w:val="003E2CB2"/>
    <w:rsid w:val="003E2D24"/>
    <w:rsid w:val="003E2F7E"/>
    <w:rsid w:val="003E3046"/>
    <w:rsid w:val="003E313A"/>
    <w:rsid w:val="003E3205"/>
    <w:rsid w:val="003E3248"/>
    <w:rsid w:val="003E32E1"/>
    <w:rsid w:val="003E32FE"/>
    <w:rsid w:val="003E337A"/>
    <w:rsid w:val="003E345C"/>
    <w:rsid w:val="003E3476"/>
    <w:rsid w:val="003E3606"/>
    <w:rsid w:val="003E3615"/>
    <w:rsid w:val="003E399E"/>
    <w:rsid w:val="003E3C04"/>
    <w:rsid w:val="003E3C21"/>
    <w:rsid w:val="003E3F41"/>
    <w:rsid w:val="003E43C8"/>
    <w:rsid w:val="003E4550"/>
    <w:rsid w:val="003E46D8"/>
    <w:rsid w:val="003E50A1"/>
    <w:rsid w:val="003E5127"/>
    <w:rsid w:val="003E536E"/>
    <w:rsid w:val="003E542F"/>
    <w:rsid w:val="003E569A"/>
    <w:rsid w:val="003E56B8"/>
    <w:rsid w:val="003E592F"/>
    <w:rsid w:val="003E5A18"/>
    <w:rsid w:val="003E5AB5"/>
    <w:rsid w:val="003E5C34"/>
    <w:rsid w:val="003E5C4C"/>
    <w:rsid w:val="003E5C79"/>
    <w:rsid w:val="003E5CED"/>
    <w:rsid w:val="003E5F33"/>
    <w:rsid w:val="003E6615"/>
    <w:rsid w:val="003E669C"/>
    <w:rsid w:val="003E6744"/>
    <w:rsid w:val="003E694D"/>
    <w:rsid w:val="003E6ABA"/>
    <w:rsid w:val="003E6BD5"/>
    <w:rsid w:val="003E6CD0"/>
    <w:rsid w:val="003E74C3"/>
    <w:rsid w:val="003E7710"/>
    <w:rsid w:val="003E79E2"/>
    <w:rsid w:val="003E79F9"/>
    <w:rsid w:val="003E7ABA"/>
    <w:rsid w:val="003E7AF0"/>
    <w:rsid w:val="003E7C34"/>
    <w:rsid w:val="003E7CC5"/>
    <w:rsid w:val="003E7D73"/>
    <w:rsid w:val="003F00CA"/>
    <w:rsid w:val="003F00FF"/>
    <w:rsid w:val="003F0341"/>
    <w:rsid w:val="003F059C"/>
    <w:rsid w:val="003F06E0"/>
    <w:rsid w:val="003F076E"/>
    <w:rsid w:val="003F083C"/>
    <w:rsid w:val="003F08C4"/>
    <w:rsid w:val="003F0949"/>
    <w:rsid w:val="003F09EE"/>
    <w:rsid w:val="003F0C38"/>
    <w:rsid w:val="003F0D7C"/>
    <w:rsid w:val="003F0FCF"/>
    <w:rsid w:val="003F1223"/>
    <w:rsid w:val="003F12E9"/>
    <w:rsid w:val="003F13FF"/>
    <w:rsid w:val="003F1589"/>
    <w:rsid w:val="003F167F"/>
    <w:rsid w:val="003F177A"/>
    <w:rsid w:val="003F1A45"/>
    <w:rsid w:val="003F1AB9"/>
    <w:rsid w:val="003F1BBE"/>
    <w:rsid w:val="003F1C13"/>
    <w:rsid w:val="003F1E77"/>
    <w:rsid w:val="003F1FD6"/>
    <w:rsid w:val="003F2416"/>
    <w:rsid w:val="003F24A6"/>
    <w:rsid w:val="003F2648"/>
    <w:rsid w:val="003F26FE"/>
    <w:rsid w:val="003F28E8"/>
    <w:rsid w:val="003F299A"/>
    <w:rsid w:val="003F2A44"/>
    <w:rsid w:val="003F2A48"/>
    <w:rsid w:val="003F2ABB"/>
    <w:rsid w:val="003F2C11"/>
    <w:rsid w:val="003F2C97"/>
    <w:rsid w:val="003F301F"/>
    <w:rsid w:val="003F323F"/>
    <w:rsid w:val="003F3377"/>
    <w:rsid w:val="003F33B7"/>
    <w:rsid w:val="003F349D"/>
    <w:rsid w:val="003F37FD"/>
    <w:rsid w:val="003F3854"/>
    <w:rsid w:val="003F385A"/>
    <w:rsid w:val="003F385E"/>
    <w:rsid w:val="003F38DA"/>
    <w:rsid w:val="003F39AE"/>
    <w:rsid w:val="003F3A52"/>
    <w:rsid w:val="003F3B29"/>
    <w:rsid w:val="003F3EF1"/>
    <w:rsid w:val="003F3F5B"/>
    <w:rsid w:val="003F41D5"/>
    <w:rsid w:val="003F4296"/>
    <w:rsid w:val="003F45B2"/>
    <w:rsid w:val="003F464C"/>
    <w:rsid w:val="003F4679"/>
    <w:rsid w:val="003F4B62"/>
    <w:rsid w:val="003F4E32"/>
    <w:rsid w:val="003F5532"/>
    <w:rsid w:val="003F55EA"/>
    <w:rsid w:val="003F59B9"/>
    <w:rsid w:val="003F59F4"/>
    <w:rsid w:val="003F5B16"/>
    <w:rsid w:val="003F5CC5"/>
    <w:rsid w:val="003F5CD7"/>
    <w:rsid w:val="003F5CD8"/>
    <w:rsid w:val="003F5FDD"/>
    <w:rsid w:val="003F6086"/>
    <w:rsid w:val="003F60E1"/>
    <w:rsid w:val="003F627F"/>
    <w:rsid w:val="003F62DD"/>
    <w:rsid w:val="003F648C"/>
    <w:rsid w:val="003F6633"/>
    <w:rsid w:val="003F66FD"/>
    <w:rsid w:val="003F672A"/>
    <w:rsid w:val="003F68F5"/>
    <w:rsid w:val="003F6B3E"/>
    <w:rsid w:val="003F7000"/>
    <w:rsid w:val="003F704E"/>
    <w:rsid w:val="003F716A"/>
    <w:rsid w:val="003F757E"/>
    <w:rsid w:val="003F764A"/>
    <w:rsid w:val="003F7979"/>
    <w:rsid w:val="003F7E8B"/>
    <w:rsid w:val="003F7F49"/>
    <w:rsid w:val="004001AE"/>
    <w:rsid w:val="0040032A"/>
    <w:rsid w:val="0040033C"/>
    <w:rsid w:val="00400494"/>
    <w:rsid w:val="004004F6"/>
    <w:rsid w:val="0040058E"/>
    <w:rsid w:val="00400640"/>
    <w:rsid w:val="0040078F"/>
    <w:rsid w:val="004007CA"/>
    <w:rsid w:val="00400FBF"/>
    <w:rsid w:val="00401097"/>
    <w:rsid w:val="004010AA"/>
    <w:rsid w:val="0040157D"/>
    <w:rsid w:val="004017DF"/>
    <w:rsid w:val="004018B2"/>
    <w:rsid w:val="00401A68"/>
    <w:rsid w:val="00401B69"/>
    <w:rsid w:val="00401C84"/>
    <w:rsid w:val="00401DBF"/>
    <w:rsid w:val="00401E2D"/>
    <w:rsid w:val="00402082"/>
    <w:rsid w:val="00402113"/>
    <w:rsid w:val="0040214B"/>
    <w:rsid w:val="00402280"/>
    <w:rsid w:val="0040247D"/>
    <w:rsid w:val="004026EA"/>
    <w:rsid w:val="00402A7A"/>
    <w:rsid w:val="00402B37"/>
    <w:rsid w:val="00402B8A"/>
    <w:rsid w:val="00402BA1"/>
    <w:rsid w:val="00402C3E"/>
    <w:rsid w:val="00402C48"/>
    <w:rsid w:val="00402D64"/>
    <w:rsid w:val="00402DC6"/>
    <w:rsid w:val="0040313C"/>
    <w:rsid w:val="004033DD"/>
    <w:rsid w:val="0040351E"/>
    <w:rsid w:val="0040367C"/>
    <w:rsid w:val="0040371A"/>
    <w:rsid w:val="00403882"/>
    <w:rsid w:val="0040391C"/>
    <w:rsid w:val="00403A03"/>
    <w:rsid w:val="00403E31"/>
    <w:rsid w:val="00403E94"/>
    <w:rsid w:val="004040B1"/>
    <w:rsid w:val="00404A05"/>
    <w:rsid w:val="00404D94"/>
    <w:rsid w:val="00404DCD"/>
    <w:rsid w:val="00404E34"/>
    <w:rsid w:val="0040548B"/>
    <w:rsid w:val="004054A8"/>
    <w:rsid w:val="00405533"/>
    <w:rsid w:val="004055FB"/>
    <w:rsid w:val="00405732"/>
    <w:rsid w:val="00405800"/>
    <w:rsid w:val="0040592C"/>
    <w:rsid w:val="00405AE6"/>
    <w:rsid w:val="00405B93"/>
    <w:rsid w:val="00405CF1"/>
    <w:rsid w:val="00405EA9"/>
    <w:rsid w:val="00406145"/>
    <w:rsid w:val="004061B7"/>
    <w:rsid w:val="0040635E"/>
    <w:rsid w:val="0040646D"/>
    <w:rsid w:val="00406500"/>
    <w:rsid w:val="0040667E"/>
    <w:rsid w:val="004067A6"/>
    <w:rsid w:val="00406A86"/>
    <w:rsid w:val="00406AC1"/>
    <w:rsid w:val="00406BF8"/>
    <w:rsid w:val="00406CB5"/>
    <w:rsid w:val="00406FFC"/>
    <w:rsid w:val="004073CA"/>
    <w:rsid w:val="004073E3"/>
    <w:rsid w:val="00407441"/>
    <w:rsid w:val="004077D6"/>
    <w:rsid w:val="004077E6"/>
    <w:rsid w:val="0040780E"/>
    <w:rsid w:val="00407867"/>
    <w:rsid w:val="004079C1"/>
    <w:rsid w:val="00407B61"/>
    <w:rsid w:val="00407C0D"/>
    <w:rsid w:val="00410033"/>
    <w:rsid w:val="00410327"/>
    <w:rsid w:val="004104BE"/>
    <w:rsid w:val="004106C6"/>
    <w:rsid w:val="00410883"/>
    <w:rsid w:val="00410A5C"/>
    <w:rsid w:val="00410C9B"/>
    <w:rsid w:val="00411033"/>
    <w:rsid w:val="00411095"/>
    <w:rsid w:val="0041117E"/>
    <w:rsid w:val="00411317"/>
    <w:rsid w:val="004115E1"/>
    <w:rsid w:val="004116F3"/>
    <w:rsid w:val="004117A8"/>
    <w:rsid w:val="00411A53"/>
    <w:rsid w:val="00411BEF"/>
    <w:rsid w:val="00411D08"/>
    <w:rsid w:val="00411F5D"/>
    <w:rsid w:val="0041209F"/>
    <w:rsid w:val="004121E7"/>
    <w:rsid w:val="00412BEA"/>
    <w:rsid w:val="00412DDB"/>
    <w:rsid w:val="0041312D"/>
    <w:rsid w:val="00413360"/>
    <w:rsid w:val="0041377F"/>
    <w:rsid w:val="004137B8"/>
    <w:rsid w:val="004137CA"/>
    <w:rsid w:val="0041384A"/>
    <w:rsid w:val="00413987"/>
    <w:rsid w:val="00414334"/>
    <w:rsid w:val="00414492"/>
    <w:rsid w:val="004144E9"/>
    <w:rsid w:val="00414627"/>
    <w:rsid w:val="00414665"/>
    <w:rsid w:val="00414673"/>
    <w:rsid w:val="0041469A"/>
    <w:rsid w:val="004146FA"/>
    <w:rsid w:val="0041473B"/>
    <w:rsid w:val="00414753"/>
    <w:rsid w:val="0041478B"/>
    <w:rsid w:val="00414A5E"/>
    <w:rsid w:val="00414B2C"/>
    <w:rsid w:val="00414B30"/>
    <w:rsid w:val="00414C6B"/>
    <w:rsid w:val="00414E51"/>
    <w:rsid w:val="00414E5C"/>
    <w:rsid w:val="0041516B"/>
    <w:rsid w:val="0041517D"/>
    <w:rsid w:val="004151EC"/>
    <w:rsid w:val="004152D6"/>
    <w:rsid w:val="0041557B"/>
    <w:rsid w:val="004155EB"/>
    <w:rsid w:val="00415753"/>
    <w:rsid w:val="00415990"/>
    <w:rsid w:val="00415BC8"/>
    <w:rsid w:val="00415D9B"/>
    <w:rsid w:val="00415F64"/>
    <w:rsid w:val="00415FD4"/>
    <w:rsid w:val="00416093"/>
    <w:rsid w:val="004162D3"/>
    <w:rsid w:val="0041630E"/>
    <w:rsid w:val="00416512"/>
    <w:rsid w:val="004167C7"/>
    <w:rsid w:val="004167DB"/>
    <w:rsid w:val="004169E2"/>
    <w:rsid w:val="00416CA7"/>
    <w:rsid w:val="00416CC7"/>
    <w:rsid w:val="00416D3C"/>
    <w:rsid w:val="00416E86"/>
    <w:rsid w:val="004172F5"/>
    <w:rsid w:val="00417347"/>
    <w:rsid w:val="004173A0"/>
    <w:rsid w:val="0041747D"/>
    <w:rsid w:val="00417487"/>
    <w:rsid w:val="004175FD"/>
    <w:rsid w:val="0041760B"/>
    <w:rsid w:val="00417650"/>
    <w:rsid w:val="0041768D"/>
    <w:rsid w:val="00417775"/>
    <w:rsid w:val="004179E2"/>
    <w:rsid w:val="00417BE3"/>
    <w:rsid w:val="00417E60"/>
    <w:rsid w:val="00417F38"/>
    <w:rsid w:val="00420299"/>
    <w:rsid w:val="004202E1"/>
    <w:rsid w:val="004203EF"/>
    <w:rsid w:val="00420435"/>
    <w:rsid w:val="0042094B"/>
    <w:rsid w:val="00420A86"/>
    <w:rsid w:val="00420F04"/>
    <w:rsid w:val="004210BA"/>
    <w:rsid w:val="004213A2"/>
    <w:rsid w:val="004213A6"/>
    <w:rsid w:val="00421468"/>
    <w:rsid w:val="004214FC"/>
    <w:rsid w:val="00421686"/>
    <w:rsid w:val="0042171B"/>
    <w:rsid w:val="0042176B"/>
    <w:rsid w:val="0042180E"/>
    <w:rsid w:val="00421870"/>
    <w:rsid w:val="004218F3"/>
    <w:rsid w:val="004219F6"/>
    <w:rsid w:val="00421AC9"/>
    <w:rsid w:val="00421AF8"/>
    <w:rsid w:val="00421E8F"/>
    <w:rsid w:val="00421EA0"/>
    <w:rsid w:val="004224BF"/>
    <w:rsid w:val="0042270F"/>
    <w:rsid w:val="004228C6"/>
    <w:rsid w:val="00422A41"/>
    <w:rsid w:val="00422AAA"/>
    <w:rsid w:val="00422AF3"/>
    <w:rsid w:val="00422D03"/>
    <w:rsid w:val="00423099"/>
    <w:rsid w:val="0042347C"/>
    <w:rsid w:val="00423721"/>
    <w:rsid w:val="00423CBD"/>
    <w:rsid w:val="004240A9"/>
    <w:rsid w:val="004241CE"/>
    <w:rsid w:val="00424200"/>
    <w:rsid w:val="0042423D"/>
    <w:rsid w:val="004242C7"/>
    <w:rsid w:val="0042434C"/>
    <w:rsid w:val="00424564"/>
    <w:rsid w:val="00424D0A"/>
    <w:rsid w:val="00424D38"/>
    <w:rsid w:val="00424E4C"/>
    <w:rsid w:val="00424E79"/>
    <w:rsid w:val="00424FA9"/>
    <w:rsid w:val="00424FEF"/>
    <w:rsid w:val="004250F3"/>
    <w:rsid w:val="0042558E"/>
    <w:rsid w:val="00425B48"/>
    <w:rsid w:val="00425BA1"/>
    <w:rsid w:val="00425CCC"/>
    <w:rsid w:val="00425EB0"/>
    <w:rsid w:val="00426178"/>
    <w:rsid w:val="0042627A"/>
    <w:rsid w:val="004263F3"/>
    <w:rsid w:val="0042661C"/>
    <w:rsid w:val="0042661F"/>
    <w:rsid w:val="00426C92"/>
    <w:rsid w:val="00426CC2"/>
    <w:rsid w:val="00426D3A"/>
    <w:rsid w:val="0042718E"/>
    <w:rsid w:val="00427271"/>
    <w:rsid w:val="004274B3"/>
    <w:rsid w:val="0042774D"/>
    <w:rsid w:val="00427771"/>
    <w:rsid w:val="00427808"/>
    <w:rsid w:val="00427E9A"/>
    <w:rsid w:val="00427F27"/>
    <w:rsid w:val="0043009C"/>
    <w:rsid w:val="00430294"/>
    <w:rsid w:val="00430365"/>
    <w:rsid w:val="004303AB"/>
    <w:rsid w:val="0043044F"/>
    <w:rsid w:val="004304D5"/>
    <w:rsid w:val="004305A9"/>
    <w:rsid w:val="004305F3"/>
    <w:rsid w:val="0043062E"/>
    <w:rsid w:val="00430734"/>
    <w:rsid w:val="0043076A"/>
    <w:rsid w:val="00430981"/>
    <w:rsid w:val="00430BDD"/>
    <w:rsid w:val="00430F5B"/>
    <w:rsid w:val="004310E6"/>
    <w:rsid w:val="0043113F"/>
    <w:rsid w:val="00431785"/>
    <w:rsid w:val="00431B17"/>
    <w:rsid w:val="00431C9B"/>
    <w:rsid w:val="00432048"/>
    <w:rsid w:val="004323EB"/>
    <w:rsid w:val="004324F9"/>
    <w:rsid w:val="00432540"/>
    <w:rsid w:val="00432560"/>
    <w:rsid w:val="004328EF"/>
    <w:rsid w:val="00432AFE"/>
    <w:rsid w:val="00432B65"/>
    <w:rsid w:val="00432D72"/>
    <w:rsid w:val="00432D78"/>
    <w:rsid w:val="00432E35"/>
    <w:rsid w:val="00432E48"/>
    <w:rsid w:val="00432ED2"/>
    <w:rsid w:val="00432F22"/>
    <w:rsid w:val="004331A5"/>
    <w:rsid w:val="004331E2"/>
    <w:rsid w:val="004332B3"/>
    <w:rsid w:val="00433469"/>
    <w:rsid w:val="00433529"/>
    <w:rsid w:val="0043362C"/>
    <w:rsid w:val="00433BFD"/>
    <w:rsid w:val="00433C2A"/>
    <w:rsid w:val="00433F36"/>
    <w:rsid w:val="00433FC4"/>
    <w:rsid w:val="00433FEE"/>
    <w:rsid w:val="00434166"/>
    <w:rsid w:val="00434197"/>
    <w:rsid w:val="004344BF"/>
    <w:rsid w:val="00434513"/>
    <w:rsid w:val="0043452F"/>
    <w:rsid w:val="00434660"/>
    <w:rsid w:val="00434763"/>
    <w:rsid w:val="00434B15"/>
    <w:rsid w:val="00434B64"/>
    <w:rsid w:val="0043515D"/>
    <w:rsid w:val="004356C8"/>
    <w:rsid w:val="00435A59"/>
    <w:rsid w:val="00435CB8"/>
    <w:rsid w:val="00435E7A"/>
    <w:rsid w:val="00436010"/>
    <w:rsid w:val="00436217"/>
    <w:rsid w:val="00436227"/>
    <w:rsid w:val="0043632B"/>
    <w:rsid w:val="00436624"/>
    <w:rsid w:val="00436762"/>
    <w:rsid w:val="00436A22"/>
    <w:rsid w:val="00436A95"/>
    <w:rsid w:val="00436E6C"/>
    <w:rsid w:val="00436FB0"/>
    <w:rsid w:val="00436FC8"/>
    <w:rsid w:val="00437057"/>
    <w:rsid w:val="00437135"/>
    <w:rsid w:val="004373D8"/>
    <w:rsid w:val="00437497"/>
    <w:rsid w:val="004375B3"/>
    <w:rsid w:val="004375C9"/>
    <w:rsid w:val="00437B99"/>
    <w:rsid w:val="00437D28"/>
    <w:rsid w:val="00437FF7"/>
    <w:rsid w:val="00440360"/>
    <w:rsid w:val="004403F7"/>
    <w:rsid w:val="00440478"/>
    <w:rsid w:val="00440B9C"/>
    <w:rsid w:val="00440C8C"/>
    <w:rsid w:val="00440EEA"/>
    <w:rsid w:val="00440F1C"/>
    <w:rsid w:val="00441186"/>
    <w:rsid w:val="004412FA"/>
    <w:rsid w:val="004412FE"/>
    <w:rsid w:val="004415A6"/>
    <w:rsid w:val="0044167F"/>
    <w:rsid w:val="004417B4"/>
    <w:rsid w:val="004418E1"/>
    <w:rsid w:val="00441C3A"/>
    <w:rsid w:val="00441CBC"/>
    <w:rsid w:val="00441F98"/>
    <w:rsid w:val="0044207C"/>
    <w:rsid w:val="004423A4"/>
    <w:rsid w:val="00442B05"/>
    <w:rsid w:val="00442C92"/>
    <w:rsid w:val="00442E9B"/>
    <w:rsid w:val="00443059"/>
    <w:rsid w:val="0044353A"/>
    <w:rsid w:val="00443647"/>
    <w:rsid w:val="004438AB"/>
    <w:rsid w:val="004438E4"/>
    <w:rsid w:val="00443B94"/>
    <w:rsid w:val="00443BC6"/>
    <w:rsid w:val="00443E1F"/>
    <w:rsid w:val="00443EC1"/>
    <w:rsid w:val="0044403E"/>
    <w:rsid w:val="004441D6"/>
    <w:rsid w:val="00444240"/>
    <w:rsid w:val="0044429D"/>
    <w:rsid w:val="0044432A"/>
    <w:rsid w:val="004443E1"/>
    <w:rsid w:val="00444402"/>
    <w:rsid w:val="0044495A"/>
    <w:rsid w:val="00444DB1"/>
    <w:rsid w:val="00444E37"/>
    <w:rsid w:val="00444E90"/>
    <w:rsid w:val="00445044"/>
    <w:rsid w:val="0044509B"/>
    <w:rsid w:val="00445504"/>
    <w:rsid w:val="0044566E"/>
    <w:rsid w:val="00445A17"/>
    <w:rsid w:val="00445E9D"/>
    <w:rsid w:val="00446009"/>
    <w:rsid w:val="00446990"/>
    <w:rsid w:val="00446997"/>
    <w:rsid w:val="00446A96"/>
    <w:rsid w:val="00446C68"/>
    <w:rsid w:val="00446D05"/>
    <w:rsid w:val="00446EDF"/>
    <w:rsid w:val="00446F26"/>
    <w:rsid w:val="00447348"/>
    <w:rsid w:val="004474B8"/>
    <w:rsid w:val="00447553"/>
    <w:rsid w:val="0044756C"/>
    <w:rsid w:val="00447666"/>
    <w:rsid w:val="00447725"/>
    <w:rsid w:val="004477FF"/>
    <w:rsid w:val="00447AC9"/>
    <w:rsid w:val="00447CE7"/>
    <w:rsid w:val="00447D1A"/>
    <w:rsid w:val="00447D60"/>
    <w:rsid w:val="004501C2"/>
    <w:rsid w:val="004502B2"/>
    <w:rsid w:val="00450452"/>
    <w:rsid w:val="0045047E"/>
    <w:rsid w:val="004504E9"/>
    <w:rsid w:val="0045067E"/>
    <w:rsid w:val="004507E6"/>
    <w:rsid w:val="00450B57"/>
    <w:rsid w:val="00450CD9"/>
    <w:rsid w:val="00451065"/>
    <w:rsid w:val="00451433"/>
    <w:rsid w:val="0045187E"/>
    <w:rsid w:val="00451970"/>
    <w:rsid w:val="00451A08"/>
    <w:rsid w:val="00451E80"/>
    <w:rsid w:val="0045205A"/>
    <w:rsid w:val="00452434"/>
    <w:rsid w:val="004524B0"/>
    <w:rsid w:val="004525AD"/>
    <w:rsid w:val="00452631"/>
    <w:rsid w:val="00452EAE"/>
    <w:rsid w:val="00452EF2"/>
    <w:rsid w:val="00452FEC"/>
    <w:rsid w:val="0045306E"/>
    <w:rsid w:val="00453264"/>
    <w:rsid w:val="00453366"/>
    <w:rsid w:val="0045350E"/>
    <w:rsid w:val="0045364D"/>
    <w:rsid w:val="00453A94"/>
    <w:rsid w:val="00453B90"/>
    <w:rsid w:val="00453C6C"/>
    <w:rsid w:val="00453CD0"/>
    <w:rsid w:val="0045402E"/>
    <w:rsid w:val="00454674"/>
    <w:rsid w:val="00454784"/>
    <w:rsid w:val="00454A2F"/>
    <w:rsid w:val="00454AB9"/>
    <w:rsid w:val="00454C62"/>
    <w:rsid w:val="00454C85"/>
    <w:rsid w:val="004550B7"/>
    <w:rsid w:val="004551F2"/>
    <w:rsid w:val="0045521A"/>
    <w:rsid w:val="0045526D"/>
    <w:rsid w:val="00455597"/>
    <w:rsid w:val="00455792"/>
    <w:rsid w:val="004558E5"/>
    <w:rsid w:val="004559B2"/>
    <w:rsid w:val="00455DEC"/>
    <w:rsid w:val="00456226"/>
    <w:rsid w:val="0045628F"/>
    <w:rsid w:val="004562B8"/>
    <w:rsid w:val="004563BD"/>
    <w:rsid w:val="0045650E"/>
    <w:rsid w:val="00456589"/>
    <w:rsid w:val="004568D7"/>
    <w:rsid w:val="00456B8E"/>
    <w:rsid w:val="00456E0B"/>
    <w:rsid w:val="00456FE2"/>
    <w:rsid w:val="004571B9"/>
    <w:rsid w:val="004574E7"/>
    <w:rsid w:val="0045751F"/>
    <w:rsid w:val="00457597"/>
    <w:rsid w:val="004575B3"/>
    <w:rsid w:val="00457752"/>
    <w:rsid w:val="00457981"/>
    <w:rsid w:val="00457990"/>
    <w:rsid w:val="00457C7C"/>
    <w:rsid w:val="00457FCA"/>
    <w:rsid w:val="004600EF"/>
    <w:rsid w:val="00460114"/>
    <w:rsid w:val="004608DA"/>
    <w:rsid w:val="0046147A"/>
    <w:rsid w:val="004615C7"/>
    <w:rsid w:val="0046167C"/>
    <w:rsid w:val="0046174C"/>
    <w:rsid w:val="00461900"/>
    <w:rsid w:val="00461CDE"/>
    <w:rsid w:val="00462036"/>
    <w:rsid w:val="004621AC"/>
    <w:rsid w:val="0046222A"/>
    <w:rsid w:val="00462914"/>
    <w:rsid w:val="00462A7E"/>
    <w:rsid w:val="00462B54"/>
    <w:rsid w:val="00462BCD"/>
    <w:rsid w:val="00462D81"/>
    <w:rsid w:val="00463064"/>
    <w:rsid w:val="00463134"/>
    <w:rsid w:val="0046334D"/>
    <w:rsid w:val="004633A5"/>
    <w:rsid w:val="004636C5"/>
    <w:rsid w:val="004637AF"/>
    <w:rsid w:val="004637F4"/>
    <w:rsid w:val="004639EE"/>
    <w:rsid w:val="00463ABA"/>
    <w:rsid w:val="00463DB5"/>
    <w:rsid w:val="004640FD"/>
    <w:rsid w:val="00464118"/>
    <w:rsid w:val="00464155"/>
    <w:rsid w:val="004643ED"/>
    <w:rsid w:val="00464468"/>
    <w:rsid w:val="00464716"/>
    <w:rsid w:val="004649CD"/>
    <w:rsid w:val="00464C37"/>
    <w:rsid w:val="00464E92"/>
    <w:rsid w:val="00464E9D"/>
    <w:rsid w:val="00464FCB"/>
    <w:rsid w:val="00465172"/>
    <w:rsid w:val="0046529B"/>
    <w:rsid w:val="00465385"/>
    <w:rsid w:val="0046546E"/>
    <w:rsid w:val="0046558A"/>
    <w:rsid w:val="004656CF"/>
    <w:rsid w:val="00465A7B"/>
    <w:rsid w:val="00465D65"/>
    <w:rsid w:val="00465E91"/>
    <w:rsid w:val="00465EC7"/>
    <w:rsid w:val="00466321"/>
    <w:rsid w:val="00466440"/>
    <w:rsid w:val="00466750"/>
    <w:rsid w:val="00466805"/>
    <w:rsid w:val="0046685A"/>
    <w:rsid w:val="0046685B"/>
    <w:rsid w:val="00466950"/>
    <w:rsid w:val="0046699A"/>
    <w:rsid w:val="00466FC4"/>
    <w:rsid w:val="004670A0"/>
    <w:rsid w:val="004673A7"/>
    <w:rsid w:val="004674C3"/>
    <w:rsid w:val="004675E2"/>
    <w:rsid w:val="0046770A"/>
    <w:rsid w:val="00467A5C"/>
    <w:rsid w:val="00467ABD"/>
    <w:rsid w:val="00467CB9"/>
    <w:rsid w:val="00467E2B"/>
    <w:rsid w:val="00467F6B"/>
    <w:rsid w:val="00470328"/>
    <w:rsid w:val="00470647"/>
    <w:rsid w:val="00470820"/>
    <w:rsid w:val="0047097B"/>
    <w:rsid w:val="00470B62"/>
    <w:rsid w:val="00470BAE"/>
    <w:rsid w:val="00470BEB"/>
    <w:rsid w:val="00470E3E"/>
    <w:rsid w:val="0047102D"/>
    <w:rsid w:val="004710D5"/>
    <w:rsid w:val="00471411"/>
    <w:rsid w:val="00471956"/>
    <w:rsid w:val="00471BD1"/>
    <w:rsid w:val="00471D36"/>
    <w:rsid w:val="00471DEC"/>
    <w:rsid w:val="00471E1F"/>
    <w:rsid w:val="00471F3E"/>
    <w:rsid w:val="00472461"/>
    <w:rsid w:val="004724BE"/>
    <w:rsid w:val="004726DA"/>
    <w:rsid w:val="0047273E"/>
    <w:rsid w:val="004727AD"/>
    <w:rsid w:val="00472B98"/>
    <w:rsid w:val="00472DEE"/>
    <w:rsid w:val="00472FDC"/>
    <w:rsid w:val="0047310C"/>
    <w:rsid w:val="00473141"/>
    <w:rsid w:val="004732CA"/>
    <w:rsid w:val="00473572"/>
    <w:rsid w:val="004735D3"/>
    <w:rsid w:val="00473714"/>
    <w:rsid w:val="004739DF"/>
    <w:rsid w:val="00473C3D"/>
    <w:rsid w:val="00473EBA"/>
    <w:rsid w:val="00474445"/>
    <w:rsid w:val="0047451E"/>
    <w:rsid w:val="004745A2"/>
    <w:rsid w:val="0047475B"/>
    <w:rsid w:val="00474801"/>
    <w:rsid w:val="00474835"/>
    <w:rsid w:val="00474EA2"/>
    <w:rsid w:val="004750F5"/>
    <w:rsid w:val="00475562"/>
    <w:rsid w:val="004759EC"/>
    <w:rsid w:val="00475AD1"/>
    <w:rsid w:val="00475B95"/>
    <w:rsid w:val="00475BFE"/>
    <w:rsid w:val="00475C23"/>
    <w:rsid w:val="00475C50"/>
    <w:rsid w:val="00475FBD"/>
    <w:rsid w:val="004762F3"/>
    <w:rsid w:val="0047654D"/>
    <w:rsid w:val="00476586"/>
    <w:rsid w:val="00476A56"/>
    <w:rsid w:val="00476FFB"/>
    <w:rsid w:val="00477042"/>
    <w:rsid w:val="0047711B"/>
    <w:rsid w:val="0047722A"/>
    <w:rsid w:val="00477404"/>
    <w:rsid w:val="00477612"/>
    <w:rsid w:val="00477831"/>
    <w:rsid w:val="00477A0E"/>
    <w:rsid w:val="00477A41"/>
    <w:rsid w:val="00477B11"/>
    <w:rsid w:val="00477B93"/>
    <w:rsid w:val="00477C42"/>
    <w:rsid w:val="00477FEA"/>
    <w:rsid w:val="00480065"/>
    <w:rsid w:val="00480562"/>
    <w:rsid w:val="00480564"/>
    <w:rsid w:val="004805A4"/>
    <w:rsid w:val="0048085C"/>
    <w:rsid w:val="004808B8"/>
    <w:rsid w:val="0048091B"/>
    <w:rsid w:val="004809B8"/>
    <w:rsid w:val="00480A60"/>
    <w:rsid w:val="00480DD9"/>
    <w:rsid w:val="0048110A"/>
    <w:rsid w:val="0048119A"/>
    <w:rsid w:val="004813FC"/>
    <w:rsid w:val="00481658"/>
    <w:rsid w:val="00481708"/>
    <w:rsid w:val="004817E9"/>
    <w:rsid w:val="00481B00"/>
    <w:rsid w:val="00481CFE"/>
    <w:rsid w:val="00481D63"/>
    <w:rsid w:val="00481F10"/>
    <w:rsid w:val="00481FA5"/>
    <w:rsid w:val="004820FA"/>
    <w:rsid w:val="004821B9"/>
    <w:rsid w:val="004824F0"/>
    <w:rsid w:val="00482530"/>
    <w:rsid w:val="00482667"/>
    <w:rsid w:val="00482758"/>
    <w:rsid w:val="00483217"/>
    <w:rsid w:val="0048347E"/>
    <w:rsid w:val="00483534"/>
    <w:rsid w:val="00483668"/>
    <w:rsid w:val="004839DE"/>
    <w:rsid w:val="00483A69"/>
    <w:rsid w:val="00483D7D"/>
    <w:rsid w:val="004840B6"/>
    <w:rsid w:val="0048417A"/>
    <w:rsid w:val="0048434A"/>
    <w:rsid w:val="0048449F"/>
    <w:rsid w:val="004845C3"/>
    <w:rsid w:val="004847C2"/>
    <w:rsid w:val="00484A38"/>
    <w:rsid w:val="00484A96"/>
    <w:rsid w:val="00484AA6"/>
    <w:rsid w:val="00484B57"/>
    <w:rsid w:val="00484B84"/>
    <w:rsid w:val="00484CFB"/>
    <w:rsid w:val="00484D05"/>
    <w:rsid w:val="00484D1A"/>
    <w:rsid w:val="00485218"/>
    <w:rsid w:val="00485301"/>
    <w:rsid w:val="00485601"/>
    <w:rsid w:val="00485612"/>
    <w:rsid w:val="004856C7"/>
    <w:rsid w:val="004857D8"/>
    <w:rsid w:val="004858AE"/>
    <w:rsid w:val="00485A0F"/>
    <w:rsid w:val="00485B73"/>
    <w:rsid w:val="00485B9B"/>
    <w:rsid w:val="00485DD4"/>
    <w:rsid w:val="00485F13"/>
    <w:rsid w:val="00486093"/>
    <w:rsid w:val="004860D3"/>
    <w:rsid w:val="00486303"/>
    <w:rsid w:val="0048632D"/>
    <w:rsid w:val="0048636E"/>
    <w:rsid w:val="00486429"/>
    <w:rsid w:val="004868BE"/>
    <w:rsid w:val="00486AE7"/>
    <w:rsid w:val="00486B8D"/>
    <w:rsid w:val="00486BB3"/>
    <w:rsid w:val="00486C0F"/>
    <w:rsid w:val="00486E2E"/>
    <w:rsid w:val="00487002"/>
    <w:rsid w:val="0048701F"/>
    <w:rsid w:val="00487498"/>
    <w:rsid w:val="004874BB"/>
    <w:rsid w:val="004879EC"/>
    <w:rsid w:val="00487A44"/>
    <w:rsid w:val="00487C79"/>
    <w:rsid w:val="00487D15"/>
    <w:rsid w:val="00487D40"/>
    <w:rsid w:val="00490151"/>
    <w:rsid w:val="004902A7"/>
    <w:rsid w:val="00490346"/>
    <w:rsid w:val="004903B8"/>
    <w:rsid w:val="00490402"/>
    <w:rsid w:val="0049063F"/>
    <w:rsid w:val="00490742"/>
    <w:rsid w:val="00490743"/>
    <w:rsid w:val="004908BF"/>
    <w:rsid w:val="00490902"/>
    <w:rsid w:val="004909DA"/>
    <w:rsid w:val="00490A31"/>
    <w:rsid w:val="00490B81"/>
    <w:rsid w:val="00490F28"/>
    <w:rsid w:val="004910A6"/>
    <w:rsid w:val="00491575"/>
    <w:rsid w:val="004916CB"/>
    <w:rsid w:val="00491718"/>
    <w:rsid w:val="00491721"/>
    <w:rsid w:val="004917CD"/>
    <w:rsid w:val="0049183D"/>
    <w:rsid w:val="00491880"/>
    <w:rsid w:val="0049198B"/>
    <w:rsid w:val="00491B16"/>
    <w:rsid w:val="00491D88"/>
    <w:rsid w:val="00491DDD"/>
    <w:rsid w:val="00491FDF"/>
    <w:rsid w:val="00492271"/>
    <w:rsid w:val="00492339"/>
    <w:rsid w:val="004924C1"/>
    <w:rsid w:val="004925BF"/>
    <w:rsid w:val="004926AE"/>
    <w:rsid w:val="0049270C"/>
    <w:rsid w:val="004927D8"/>
    <w:rsid w:val="004928BF"/>
    <w:rsid w:val="0049297E"/>
    <w:rsid w:val="004929C1"/>
    <w:rsid w:val="00492B2C"/>
    <w:rsid w:val="00492CC8"/>
    <w:rsid w:val="00492F15"/>
    <w:rsid w:val="00492F18"/>
    <w:rsid w:val="00493021"/>
    <w:rsid w:val="00493090"/>
    <w:rsid w:val="00493277"/>
    <w:rsid w:val="00493446"/>
    <w:rsid w:val="004935ED"/>
    <w:rsid w:val="00493627"/>
    <w:rsid w:val="00493631"/>
    <w:rsid w:val="00493728"/>
    <w:rsid w:val="0049374D"/>
    <w:rsid w:val="00493BE7"/>
    <w:rsid w:val="004942B5"/>
    <w:rsid w:val="0049456C"/>
    <w:rsid w:val="0049459C"/>
    <w:rsid w:val="00494708"/>
    <w:rsid w:val="00494C45"/>
    <w:rsid w:val="00494C4A"/>
    <w:rsid w:val="00494E80"/>
    <w:rsid w:val="00494FDA"/>
    <w:rsid w:val="0049508D"/>
    <w:rsid w:val="004952EF"/>
    <w:rsid w:val="0049542C"/>
    <w:rsid w:val="004957EF"/>
    <w:rsid w:val="004958AC"/>
    <w:rsid w:val="00495E89"/>
    <w:rsid w:val="00495FD4"/>
    <w:rsid w:val="0049605C"/>
    <w:rsid w:val="0049614E"/>
    <w:rsid w:val="004963EF"/>
    <w:rsid w:val="004965C1"/>
    <w:rsid w:val="004965F7"/>
    <w:rsid w:val="00496605"/>
    <w:rsid w:val="004966F6"/>
    <w:rsid w:val="0049687E"/>
    <w:rsid w:val="004969AF"/>
    <w:rsid w:val="00496DA4"/>
    <w:rsid w:val="004970F8"/>
    <w:rsid w:val="00497419"/>
    <w:rsid w:val="00497552"/>
    <w:rsid w:val="004975AD"/>
    <w:rsid w:val="00497950"/>
    <w:rsid w:val="00497BFA"/>
    <w:rsid w:val="00497FBF"/>
    <w:rsid w:val="004A053D"/>
    <w:rsid w:val="004A06F9"/>
    <w:rsid w:val="004A088E"/>
    <w:rsid w:val="004A0AEA"/>
    <w:rsid w:val="004A0F3D"/>
    <w:rsid w:val="004A1175"/>
    <w:rsid w:val="004A13D6"/>
    <w:rsid w:val="004A1635"/>
    <w:rsid w:val="004A1CF5"/>
    <w:rsid w:val="004A1D47"/>
    <w:rsid w:val="004A1E7A"/>
    <w:rsid w:val="004A1EC7"/>
    <w:rsid w:val="004A1EF5"/>
    <w:rsid w:val="004A1FCC"/>
    <w:rsid w:val="004A204E"/>
    <w:rsid w:val="004A20BC"/>
    <w:rsid w:val="004A2565"/>
    <w:rsid w:val="004A267A"/>
    <w:rsid w:val="004A27C8"/>
    <w:rsid w:val="004A29BD"/>
    <w:rsid w:val="004A2B62"/>
    <w:rsid w:val="004A2F18"/>
    <w:rsid w:val="004A2FFD"/>
    <w:rsid w:val="004A3183"/>
    <w:rsid w:val="004A325C"/>
    <w:rsid w:val="004A35AD"/>
    <w:rsid w:val="004A3873"/>
    <w:rsid w:val="004A39C9"/>
    <w:rsid w:val="004A3B78"/>
    <w:rsid w:val="004A3C43"/>
    <w:rsid w:val="004A3CC4"/>
    <w:rsid w:val="004A3E4A"/>
    <w:rsid w:val="004A4036"/>
    <w:rsid w:val="004A40B0"/>
    <w:rsid w:val="004A41FB"/>
    <w:rsid w:val="004A4238"/>
    <w:rsid w:val="004A4309"/>
    <w:rsid w:val="004A4533"/>
    <w:rsid w:val="004A46FF"/>
    <w:rsid w:val="004A4782"/>
    <w:rsid w:val="004A4964"/>
    <w:rsid w:val="004A4A56"/>
    <w:rsid w:val="004A4BFA"/>
    <w:rsid w:val="004A4CBD"/>
    <w:rsid w:val="004A4E53"/>
    <w:rsid w:val="004A4FD0"/>
    <w:rsid w:val="004A5064"/>
    <w:rsid w:val="004A5566"/>
    <w:rsid w:val="004A56B1"/>
    <w:rsid w:val="004A589E"/>
    <w:rsid w:val="004A59DF"/>
    <w:rsid w:val="004A5A65"/>
    <w:rsid w:val="004A5A9B"/>
    <w:rsid w:val="004A5F9D"/>
    <w:rsid w:val="004A5F9F"/>
    <w:rsid w:val="004A60AA"/>
    <w:rsid w:val="004A6101"/>
    <w:rsid w:val="004A6166"/>
    <w:rsid w:val="004A616E"/>
    <w:rsid w:val="004A6397"/>
    <w:rsid w:val="004A63C7"/>
    <w:rsid w:val="004A63E5"/>
    <w:rsid w:val="004A657E"/>
    <w:rsid w:val="004A65CA"/>
    <w:rsid w:val="004A6672"/>
    <w:rsid w:val="004A66FC"/>
    <w:rsid w:val="004A67E9"/>
    <w:rsid w:val="004A687D"/>
    <w:rsid w:val="004A6896"/>
    <w:rsid w:val="004A69B4"/>
    <w:rsid w:val="004A6B13"/>
    <w:rsid w:val="004A6DB6"/>
    <w:rsid w:val="004A7048"/>
    <w:rsid w:val="004A7057"/>
    <w:rsid w:val="004A70F7"/>
    <w:rsid w:val="004A7200"/>
    <w:rsid w:val="004A73A0"/>
    <w:rsid w:val="004A742E"/>
    <w:rsid w:val="004A749D"/>
    <w:rsid w:val="004A7616"/>
    <w:rsid w:val="004A7B16"/>
    <w:rsid w:val="004A7B5E"/>
    <w:rsid w:val="004A7C14"/>
    <w:rsid w:val="004A7DEC"/>
    <w:rsid w:val="004A7E1A"/>
    <w:rsid w:val="004A7EFC"/>
    <w:rsid w:val="004B0429"/>
    <w:rsid w:val="004B0498"/>
    <w:rsid w:val="004B0514"/>
    <w:rsid w:val="004B0726"/>
    <w:rsid w:val="004B0A0A"/>
    <w:rsid w:val="004B0A9E"/>
    <w:rsid w:val="004B0B7E"/>
    <w:rsid w:val="004B0D6A"/>
    <w:rsid w:val="004B0D70"/>
    <w:rsid w:val="004B102D"/>
    <w:rsid w:val="004B1088"/>
    <w:rsid w:val="004B10CC"/>
    <w:rsid w:val="004B1125"/>
    <w:rsid w:val="004B12F1"/>
    <w:rsid w:val="004B1665"/>
    <w:rsid w:val="004B1BAF"/>
    <w:rsid w:val="004B1C4B"/>
    <w:rsid w:val="004B1D53"/>
    <w:rsid w:val="004B1DA3"/>
    <w:rsid w:val="004B1F04"/>
    <w:rsid w:val="004B208D"/>
    <w:rsid w:val="004B2146"/>
    <w:rsid w:val="004B2392"/>
    <w:rsid w:val="004B23AB"/>
    <w:rsid w:val="004B25BE"/>
    <w:rsid w:val="004B2722"/>
    <w:rsid w:val="004B279D"/>
    <w:rsid w:val="004B27C1"/>
    <w:rsid w:val="004B2891"/>
    <w:rsid w:val="004B2BA7"/>
    <w:rsid w:val="004B2C16"/>
    <w:rsid w:val="004B2C60"/>
    <w:rsid w:val="004B2CBF"/>
    <w:rsid w:val="004B2D06"/>
    <w:rsid w:val="004B2D30"/>
    <w:rsid w:val="004B2FE2"/>
    <w:rsid w:val="004B306F"/>
    <w:rsid w:val="004B370E"/>
    <w:rsid w:val="004B37D3"/>
    <w:rsid w:val="004B3804"/>
    <w:rsid w:val="004B3A57"/>
    <w:rsid w:val="004B3AF8"/>
    <w:rsid w:val="004B3B67"/>
    <w:rsid w:val="004B3BF2"/>
    <w:rsid w:val="004B3DF5"/>
    <w:rsid w:val="004B3E57"/>
    <w:rsid w:val="004B3F79"/>
    <w:rsid w:val="004B3FB2"/>
    <w:rsid w:val="004B4507"/>
    <w:rsid w:val="004B46BB"/>
    <w:rsid w:val="004B4928"/>
    <w:rsid w:val="004B4938"/>
    <w:rsid w:val="004B4CF9"/>
    <w:rsid w:val="004B4D65"/>
    <w:rsid w:val="004B4F31"/>
    <w:rsid w:val="004B4FBB"/>
    <w:rsid w:val="004B509C"/>
    <w:rsid w:val="004B545E"/>
    <w:rsid w:val="004B5625"/>
    <w:rsid w:val="004B591A"/>
    <w:rsid w:val="004B5C07"/>
    <w:rsid w:val="004B5EDE"/>
    <w:rsid w:val="004B60CB"/>
    <w:rsid w:val="004B6104"/>
    <w:rsid w:val="004B62AF"/>
    <w:rsid w:val="004B6368"/>
    <w:rsid w:val="004B63C7"/>
    <w:rsid w:val="004B6583"/>
    <w:rsid w:val="004B6673"/>
    <w:rsid w:val="004B6784"/>
    <w:rsid w:val="004B6837"/>
    <w:rsid w:val="004B6A79"/>
    <w:rsid w:val="004B6BAA"/>
    <w:rsid w:val="004B6BCB"/>
    <w:rsid w:val="004B6E7A"/>
    <w:rsid w:val="004B6E81"/>
    <w:rsid w:val="004B6E89"/>
    <w:rsid w:val="004B7591"/>
    <w:rsid w:val="004B7652"/>
    <w:rsid w:val="004B7959"/>
    <w:rsid w:val="004B7A8C"/>
    <w:rsid w:val="004B7B95"/>
    <w:rsid w:val="004C00B8"/>
    <w:rsid w:val="004C00ED"/>
    <w:rsid w:val="004C0263"/>
    <w:rsid w:val="004C0309"/>
    <w:rsid w:val="004C05F8"/>
    <w:rsid w:val="004C0650"/>
    <w:rsid w:val="004C0711"/>
    <w:rsid w:val="004C07D9"/>
    <w:rsid w:val="004C0E8E"/>
    <w:rsid w:val="004C10FE"/>
    <w:rsid w:val="004C12D1"/>
    <w:rsid w:val="004C14AA"/>
    <w:rsid w:val="004C15D7"/>
    <w:rsid w:val="004C1CB5"/>
    <w:rsid w:val="004C1E71"/>
    <w:rsid w:val="004C20DF"/>
    <w:rsid w:val="004C280B"/>
    <w:rsid w:val="004C29CF"/>
    <w:rsid w:val="004C2C94"/>
    <w:rsid w:val="004C2CD6"/>
    <w:rsid w:val="004C2DEE"/>
    <w:rsid w:val="004C30EF"/>
    <w:rsid w:val="004C37DA"/>
    <w:rsid w:val="004C3801"/>
    <w:rsid w:val="004C381B"/>
    <w:rsid w:val="004C3B18"/>
    <w:rsid w:val="004C3B79"/>
    <w:rsid w:val="004C3E7F"/>
    <w:rsid w:val="004C4088"/>
    <w:rsid w:val="004C4229"/>
    <w:rsid w:val="004C46B7"/>
    <w:rsid w:val="004C484D"/>
    <w:rsid w:val="004C4A48"/>
    <w:rsid w:val="004C4BEF"/>
    <w:rsid w:val="004C4C21"/>
    <w:rsid w:val="004C4D05"/>
    <w:rsid w:val="004C4D6D"/>
    <w:rsid w:val="004C4F0B"/>
    <w:rsid w:val="004C507A"/>
    <w:rsid w:val="004C50F1"/>
    <w:rsid w:val="004C5141"/>
    <w:rsid w:val="004C5197"/>
    <w:rsid w:val="004C55D1"/>
    <w:rsid w:val="004C5665"/>
    <w:rsid w:val="004C5C5F"/>
    <w:rsid w:val="004C5F4F"/>
    <w:rsid w:val="004C620E"/>
    <w:rsid w:val="004C63AD"/>
    <w:rsid w:val="004C63BB"/>
    <w:rsid w:val="004C6416"/>
    <w:rsid w:val="004C641F"/>
    <w:rsid w:val="004C6639"/>
    <w:rsid w:val="004C6876"/>
    <w:rsid w:val="004C6A42"/>
    <w:rsid w:val="004C6B6E"/>
    <w:rsid w:val="004C7160"/>
    <w:rsid w:val="004C7321"/>
    <w:rsid w:val="004C7986"/>
    <w:rsid w:val="004C7AA1"/>
    <w:rsid w:val="004C7AB4"/>
    <w:rsid w:val="004C7C53"/>
    <w:rsid w:val="004C7D57"/>
    <w:rsid w:val="004C7D58"/>
    <w:rsid w:val="004C7E53"/>
    <w:rsid w:val="004D0420"/>
    <w:rsid w:val="004D045D"/>
    <w:rsid w:val="004D04A7"/>
    <w:rsid w:val="004D075D"/>
    <w:rsid w:val="004D07EB"/>
    <w:rsid w:val="004D0A49"/>
    <w:rsid w:val="004D0A9D"/>
    <w:rsid w:val="004D0B88"/>
    <w:rsid w:val="004D0C27"/>
    <w:rsid w:val="004D0C78"/>
    <w:rsid w:val="004D0D2B"/>
    <w:rsid w:val="004D0DFB"/>
    <w:rsid w:val="004D0E9E"/>
    <w:rsid w:val="004D0FE8"/>
    <w:rsid w:val="004D1112"/>
    <w:rsid w:val="004D125A"/>
    <w:rsid w:val="004D1574"/>
    <w:rsid w:val="004D1666"/>
    <w:rsid w:val="004D16E9"/>
    <w:rsid w:val="004D1709"/>
    <w:rsid w:val="004D1762"/>
    <w:rsid w:val="004D1A0B"/>
    <w:rsid w:val="004D1AB3"/>
    <w:rsid w:val="004D1C82"/>
    <w:rsid w:val="004D210D"/>
    <w:rsid w:val="004D228F"/>
    <w:rsid w:val="004D23DC"/>
    <w:rsid w:val="004D2819"/>
    <w:rsid w:val="004D281A"/>
    <w:rsid w:val="004D29BD"/>
    <w:rsid w:val="004D2ABE"/>
    <w:rsid w:val="004D2B7A"/>
    <w:rsid w:val="004D2C13"/>
    <w:rsid w:val="004D2E82"/>
    <w:rsid w:val="004D2E91"/>
    <w:rsid w:val="004D2F55"/>
    <w:rsid w:val="004D3041"/>
    <w:rsid w:val="004D31E0"/>
    <w:rsid w:val="004D31ED"/>
    <w:rsid w:val="004D3287"/>
    <w:rsid w:val="004D34A9"/>
    <w:rsid w:val="004D3571"/>
    <w:rsid w:val="004D3B8C"/>
    <w:rsid w:val="004D3CA2"/>
    <w:rsid w:val="004D3E66"/>
    <w:rsid w:val="004D3F61"/>
    <w:rsid w:val="004D479B"/>
    <w:rsid w:val="004D48FD"/>
    <w:rsid w:val="004D4A04"/>
    <w:rsid w:val="004D4B6D"/>
    <w:rsid w:val="004D4CF4"/>
    <w:rsid w:val="004D4E8E"/>
    <w:rsid w:val="004D520A"/>
    <w:rsid w:val="004D5435"/>
    <w:rsid w:val="004D54CE"/>
    <w:rsid w:val="004D55D1"/>
    <w:rsid w:val="004D56AB"/>
    <w:rsid w:val="004D572A"/>
    <w:rsid w:val="004D5D24"/>
    <w:rsid w:val="004D5EB0"/>
    <w:rsid w:val="004D5FAB"/>
    <w:rsid w:val="004D60E6"/>
    <w:rsid w:val="004D6692"/>
    <w:rsid w:val="004D6797"/>
    <w:rsid w:val="004D67B0"/>
    <w:rsid w:val="004D686E"/>
    <w:rsid w:val="004D693C"/>
    <w:rsid w:val="004D6C7A"/>
    <w:rsid w:val="004D6D92"/>
    <w:rsid w:val="004D6EED"/>
    <w:rsid w:val="004D6EF5"/>
    <w:rsid w:val="004D6FE3"/>
    <w:rsid w:val="004D7100"/>
    <w:rsid w:val="004D727B"/>
    <w:rsid w:val="004D7660"/>
    <w:rsid w:val="004D76E1"/>
    <w:rsid w:val="004D7A9F"/>
    <w:rsid w:val="004D7B0D"/>
    <w:rsid w:val="004D7BAD"/>
    <w:rsid w:val="004D7BFF"/>
    <w:rsid w:val="004D7E55"/>
    <w:rsid w:val="004D7FD1"/>
    <w:rsid w:val="004E0313"/>
    <w:rsid w:val="004E0441"/>
    <w:rsid w:val="004E0697"/>
    <w:rsid w:val="004E06C8"/>
    <w:rsid w:val="004E0895"/>
    <w:rsid w:val="004E08E7"/>
    <w:rsid w:val="004E094F"/>
    <w:rsid w:val="004E0ABE"/>
    <w:rsid w:val="004E0B48"/>
    <w:rsid w:val="004E0D6E"/>
    <w:rsid w:val="004E0E52"/>
    <w:rsid w:val="004E10E4"/>
    <w:rsid w:val="004E1357"/>
    <w:rsid w:val="004E136C"/>
    <w:rsid w:val="004E186D"/>
    <w:rsid w:val="004E1DC5"/>
    <w:rsid w:val="004E1DD3"/>
    <w:rsid w:val="004E2272"/>
    <w:rsid w:val="004E25DA"/>
    <w:rsid w:val="004E2673"/>
    <w:rsid w:val="004E269F"/>
    <w:rsid w:val="004E2879"/>
    <w:rsid w:val="004E2897"/>
    <w:rsid w:val="004E2DFD"/>
    <w:rsid w:val="004E2E89"/>
    <w:rsid w:val="004E306D"/>
    <w:rsid w:val="004E330F"/>
    <w:rsid w:val="004E389D"/>
    <w:rsid w:val="004E38DC"/>
    <w:rsid w:val="004E3A95"/>
    <w:rsid w:val="004E3ADF"/>
    <w:rsid w:val="004E3B79"/>
    <w:rsid w:val="004E3CF0"/>
    <w:rsid w:val="004E406C"/>
    <w:rsid w:val="004E413E"/>
    <w:rsid w:val="004E420A"/>
    <w:rsid w:val="004E4230"/>
    <w:rsid w:val="004E4570"/>
    <w:rsid w:val="004E4660"/>
    <w:rsid w:val="004E4825"/>
    <w:rsid w:val="004E4899"/>
    <w:rsid w:val="004E497D"/>
    <w:rsid w:val="004E4A56"/>
    <w:rsid w:val="004E4AAD"/>
    <w:rsid w:val="004E4AFE"/>
    <w:rsid w:val="004E513E"/>
    <w:rsid w:val="004E55D2"/>
    <w:rsid w:val="004E569A"/>
    <w:rsid w:val="004E59E1"/>
    <w:rsid w:val="004E5A8A"/>
    <w:rsid w:val="004E5E69"/>
    <w:rsid w:val="004E5F06"/>
    <w:rsid w:val="004E5FAD"/>
    <w:rsid w:val="004E6073"/>
    <w:rsid w:val="004E6318"/>
    <w:rsid w:val="004E6353"/>
    <w:rsid w:val="004E6499"/>
    <w:rsid w:val="004E6719"/>
    <w:rsid w:val="004E6A6F"/>
    <w:rsid w:val="004E6B7D"/>
    <w:rsid w:val="004E6CC1"/>
    <w:rsid w:val="004E6DD8"/>
    <w:rsid w:val="004E6F7D"/>
    <w:rsid w:val="004E7076"/>
    <w:rsid w:val="004E70A8"/>
    <w:rsid w:val="004E7104"/>
    <w:rsid w:val="004E72D9"/>
    <w:rsid w:val="004E7517"/>
    <w:rsid w:val="004E7519"/>
    <w:rsid w:val="004E7616"/>
    <w:rsid w:val="004E769A"/>
    <w:rsid w:val="004E795E"/>
    <w:rsid w:val="004E7A57"/>
    <w:rsid w:val="004E7AEB"/>
    <w:rsid w:val="004E7C01"/>
    <w:rsid w:val="004E7CAF"/>
    <w:rsid w:val="004E7DC7"/>
    <w:rsid w:val="004E7E2C"/>
    <w:rsid w:val="004F017D"/>
    <w:rsid w:val="004F03D5"/>
    <w:rsid w:val="004F03F3"/>
    <w:rsid w:val="004F04E1"/>
    <w:rsid w:val="004F0684"/>
    <w:rsid w:val="004F06A5"/>
    <w:rsid w:val="004F07A1"/>
    <w:rsid w:val="004F07CF"/>
    <w:rsid w:val="004F07D8"/>
    <w:rsid w:val="004F0848"/>
    <w:rsid w:val="004F090E"/>
    <w:rsid w:val="004F0C43"/>
    <w:rsid w:val="004F1173"/>
    <w:rsid w:val="004F126B"/>
    <w:rsid w:val="004F1297"/>
    <w:rsid w:val="004F148C"/>
    <w:rsid w:val="004F153E"/>
    <w:rsid w:val="004F179C"/>
    <w:rsid w:val="004F1A88"/>
    <w:rsid w:val="004F1AC7"/>
    <w:rsid w:val="004F1ACF"/>
    <w:rsid w:val="004F1BA7"/>
    <w:rsid w:val="004F1D67"/>
    <w:rsid w:val="004F2435"/>
    <w:rsid w:val="004F261D"/>
    <w:rsid w:val="004F2873"/>
    <w:rsid w:val="004F2A15"/>
    <w:rsid w:val="004F2A9B"/>
    <w:rsid w:val="004F2ADA"/>
    <w:rsid w:val="004F2C66"/>
    <w:rsid w:val="004F2CB7"/>
    <w:rsid w:val="004F2F39"/>
    <w:rsid w:val="004F2F52"/>
    <w:rsid w:val="004F3156"/>
    <w:rsid w:val="004F31AE"/>
    <w:rsid w:val="004F323C"/>
    <w:rsid w:val="004F32DC"/>
    <w:rsid w:val="004F341F"/>
    <w:rsid w:val="004F35DA"/>
    <w:rsid w:val="004F3638"/>
    <w:rsid w:val="004F383C"/>
    <w:rsid w:val="004F3A1F"/>
    <w:rsid w:val="004F3A8E"/>
    <w:rsid w:val="004F3B60"/>
    <w:rsid w:val="004F3C8D"/>
    <w:rsid w:val="004F3CB6"/>
    <w:rsid w:val="004F3F7A"/>
    <w:rsid w:val="004F411B"/>
    <w:rsid w:val="004F428D"/>
    <w:rsid w:val="004F490D"/>
    <w:rsid w:val="004F491F"/>
    <w:rsid w:val="004F4A13"/>
    <w:rsid w:val="004F502A"/>
    <w:rsid w:val="004F53E2"/>
    <w:rsid w:val="004F5567"/>
    <w:rsid w:val="004F5615"/>
    <w:rsid w:val="004F585C"/>
    <w:rsid w:val="004F589E"/>
    <w:rsid w:val="004F58D3"/>
    <w:rsid w:val="004F5CEF"/>
    <w:rsid w:val="004F5D2B"/>
    <w:rsid w:val="004F5D35"/>
    <w:rsid w:val="004F5EA1"/>
    <w:rsid w:val="004F5F48"/>
    <w:rsid w:val="004F5FF6"/>
    <w:rsid w:val="004F60B5"/>
    <w:rsid w:val="004F60CF"/>
    <w:rsid w:val="004F6230"/>
    <w:rsid w:val="004F628E"/>
    <w:rsid w:val="004F633F"/>
    <w:rsid w:val="004F6439"/>
    <w:rsid w:val="004F65C1"/>
    <w:rsid w:val="004F6794"/>
    <w:rsid w:val="004F6A8A"/>
    <w:rsid w:val="004F6BFD"/>
    <w:rsid w:val="004F72B7"/>
    <w:rsid w:val="004F72E9"/>
    <w:rsid w:val="004F750C"/>
    <w:rsid w:val="004F7531"/>
    <w:rsid w:val="004F77F8"/>
    <w:rsid w:val="004F7889"/>
    <w:rsid w:val="004F7F2F"/>
    <w:rsid w:val="0050001E"/>
    <w:rsid w:val="0050005E"/>
    <w:rsid w:val="00500136"/>
    <w:rsid w:val="00500160"/>
    <w:rsid w:val="005003BB"/>
    <w:rsid w:val="005003F0"/>
    <w:rsid w:val="00500540"/>
    <w:rsid w:val="00500586"/>
    <w:rsid w:val="00500602"/>
    <w:rsid w:val="005007BA"/>
    <w:rsid w:val="005008AF"/>
    <w:rsid w:val="00500A3C"/>
    <w:rsid w:val="00500ACD"/>
    <w:rsid w:val="00500CD3"/>
    <w:rsid w:val="00500D49"/>
    <w:rsid w:val="00500FA5"/>
    <w:rsid w:val="00500FC1"/>
    <w:rsid w:val="00500FCE"/>
    <w:rsid w:val="005010DC"/>
    <w:rsid w:val="00501138"/>
    <w:rsid w:val="00501181"/>
    <w:rsid w:val="005012C0"/>
    <w:rsid w:val="005015C6"/>
    <w:rsid w:val="0050173E"/>
    <w:rsid w:val="005017F8"/>
    <w:rsid w:val="005019D2"/>
    <w:rsid w:val="00501A24"/>
    <w:rsid w:val="00501A5D"/>
    <w:rsid w:val="00501AAB"/>
    <w:rsid w:val="00501C81"/>
    <w:rsid w:val="00501CF6"/>
    <w:rsid w:val="00501D45"/>
    <w:rsid w:val="00501DE6"/>
    <w:rsid w:val="00501F21"/>
    <w:rsid w:val="00501F68"/>
    <w:rsid w:val="00501F6F"/>
    <w:rsid w:val="00501FFE"/>
    <w:rsid w:val="005021FD"/>
    <w:rsid w:val="00502270"/>
    <w:rsid w:val="00502499"/>
    <w:rsid w:val="005027AD"/>
    <w:rsid w:val="005027D2"/>
    <w:rsid w:val="005029D9"/>
    <w:rsid w:val="00502A82"/>
    <w:rsid w:val="00502C17"/>
    <w:rsid w:val="00502C52"/>
    <w:rsid w:val="00502D79"/>
    <w:rsid w:val="00503344"/>
    <w:rsid w:val="00503634"/>
    <w:rsid w:val="00503797"/>
    <w:rsid w:val="0050390F"/>
    <w:rsid w:val="00503994"/>
    <w:rsid w:val="00503A82"/>
    <w:rsid w:val="00503AB4"/>
    <w:rsid w:val="00503C46"/>
    <w:rsid w:val="00503CCD"/>
    <w:rsid w:val="00504061"/>
    <w:rsid w:val="005041A7"/>
    <w:rsid w:val="0050462E"/>
    <w:rsid w:val="0050462F"/>
    <w:rsid w:val="00504A0B"/>
    <w:rsid w:val="00504B27"/>
    <w:rsid w:val="00504B7A"/>
    <w:rsid w:val="00504BE0"/>
    <w:rsid w:val="00504BF2"/>
    <w:rsid w:val="00504DE0"/>
    <w:rsid w:val="00504E91"/>
    <w:rsid w:val="00504EFF"/>
    <w:rsid w:val="00504F2E"/>
    <w:rsid w:val="00504F9F"/>
    <w:rsid w:val="00504FAE"/>
    <w:rsid w:val="005050FC"/>
    <w:rsid w:val="00505176"/>
    <w:rsid w:val="00505210"/>
    <w:rsid w:val="00505218"/>
    <w:rsid w:val="00505286"/>
    <w:rsid w:val="005055AE"/>
    <w:rsid w:val="00505BAE"/>
    <w:rsid w:val="00505D1A"/>
    <w:rsid w:val="00505E22"/>
    <w:rsid w:val="005060F6"/>
    <w:rsid w:val="0050614A"/>
    <w:rsid w:val="005062B6"/>
    <w:rsid w:val="005062FE"/>
    <w:rsid w:val="0050632A"/>
    <w:rsid w:val="005068B8"/>
    <w:rsid w:val="00506956"/>
    <w:rsid w:val="0050695D"/>
    <w:rsid w:val="00506973"/>
    <w:rsid w:val="005069BD"/>
    <w:rsid w:val="00506B56"/>
    <w:rsid w:val="00506C7D"/>
    <w:rsid w:val="00506DAE"/>
    <w:rsid w:val="00506EA6"/>
    <w:rsid w:val="00506F90"/>
    <w:rsid w:val="00506FF4"/>
    <w:rsid w:val="0050707B"/>
    <w:rsid w:val="0050711D"/>
    <w:rsid w:val="00507243"/>
    <w:rsid w:val="005074E8"/>
    <w:rsid w:val="005074EE"/>
    <w:rsid w:val="0050753C"/>
    <w:rsid w:val="0050773A"/>
    <w:rsid w:val="00507998"/>
    <w:rsid w:val="00507B89"/>
    <w:rsid w:val="00507BAB"/>
    <w:rsid w:val="00507D80"/>
    <w:rsid w:val="00507F2D"/>
    <w:rsid w:val="00507F5E"/>
    <w:rsid w:val="00510370"/>
    <w:rsid w:val="005105DA"/>
    <w:rsid w:val="00510894"/>
    <w:rsid w:val="00510A82"/>
    <w:rsid w:val="00510A8C"/>
    <w:rsid w:val="00510F0B"/>
    <w:rsid w:val="00510F58"/>
    <w:rsid w:val="00510FDF"/>
    <w:rsid w:val="00511267"/>
    <w:rsid w:val="00511280"/>
    <w:rsid w:val="00511604"/>
    <w:rsid w:val="00511662"/>
    <w:rsid w:val="00511758"/>
    <w:rsid w:val="005117F7"/>
    <w:rsid w:val="005117FE"/>
    <w:rsid w:val="005118AA"/>
    <w:rsid w:val="00511C48"/>
    <w:rsid w:val="00511CE8"/>
    <w:rsid w:val="00511D3F"/>
    <w:rsid w:val="00511D63"/>
    <w:rsid w:val="00512025"/>
    <w:rsid w:val="00512122"/>
    <w:rsid w:val="0051216F"/>
    <w:rsid w:val="005122FD"/>
    <w:rsid w:val="005127C1"/>
    <w:rsid w:val="0051283D"/>
    <w:rsid w:val="0051299B"/>
    <w:rsid w:val="00512BD8"/>
    <w:rsid w:val="00512CC3"/>
    <w:rsid w:val="00512D61"/>
    <w:rsid w:val="00513156"/>
    <w:rsid w:val="00513244"/>
    <w:rsid w:val="005132D2"/>
    <w:rsid w:val="0051339F"/>
    <w:rsid w:val="00513419"/>
    <w:rsid w:val="00513553"/>
    <w:rsid w:val="00513588"/>
    <w:rsid w:val="005138B1"/>
    <w:rsid w:val="005138B7"/>
    <w:rsid w:val="005138CA"/>
    <w:rsid w:val="00513A5B"/>
    <w:rsid w:val="00513DC7"/>
    <w:rsid w:val="00513E6D"/>
    <w:rsid w:val="00513EBA"/>
    <w:rsid w:val="00513F21"/>
    <w:rsid w:val="00514161"/>
    <w:rsid w:val="00514559"/>
    <w:rsid w:val="00514685"/>
    <w:rsid w:val="005146C3"/>
    <w:rsid w:val="005147F9"/>
    <w:rsid w:val="00514A33"/>
    <w:rsid w:val="00514B23"/>
    <w:rsid w:val="00514EE8"/>
    <w:rsid w:val="00515026"/>
    <w:rsid w:val="005152A2"/>
    <w:rsid w:val="00515380"/>
    <w:rsid w:val="005153BB"/>
    <w:rsid w:val="005153F3"/>
    <w:rsid w:val="00515441"/>
    <w:rsid w:val="0051549E"/>
    <w:rsid w:val="005155DD"/>
    <w:rsid w:val="005155F1"/>
    <w:rsid w:val="005159FB"/>
    <w:rsid w:val="00515B60"/>
    <w:rsid w:val="00515DC1"/>
    <w:rsid w:val="00515ED5"/>
    <w:rsid w:val="00515FBD"/>
    <w:rsid w:val="00516077"/>
    <w:rsid w:val="00516118"/>
    <w:rsid w:val="00516251"/>
    <w:rsid w:val="0051639F"/>
    <w:rsid w:val="005164F0"/>
    <w:rsid w:val="005165AB"/>
    <w:rsid w:val="005165B8"/>
    <w:rsid w:val="00516898"/>
    <w:rsid w:val="00516A79"/>
    <w:rsid w:val="00516C18"/>
    <w:rsid w:val="00516DAE"/>
    <w:rsid w:val="005171F2"/>
    <w:rsid w:val="005176CA"/>
    <w:rsid w:val="0051783F"/>
    <w:rsid w:val="00517A05"/>
    <w:rsid w:val="00517A74"/>
    <w:rsid w:val="00517B22"/>
    <w:rsid w:val="00520091"/>
    <w:rsid w:val="00520412"/>
    <w:rsid w:val="0052046C"/>
    <w:rsid w:val="00520495"/>
    <w:rsid w:val="00520530"/>
    <w:rsid w:val="00520634"/>
    <w:rsid w:val="005206F3"/>
    <w:rsid w:val="0052079F"/>
    <w:rsid w:val="00520D09"/>
    <w:rsid w:val="00520D9A"/>
    <w:rsid w:val="00520E18"/>
    <w:rsid w:val="00520FBB"/>
    <w:rsid w:val="00520FFC"/>
    <w:rsid w:val="0052116B"/>
    <w:rsid w:val="00521244"/>
    <w:rsid w:val="005213E4"/>
    <w:rsid w:val="005213EB"/>
    <w:rsid w:val="00521475"/>
    <w:rsid w:val="00521758"/>
    <w:rsid w:val="00521F7D"/>
    <w:rsid w:val="005222DD"/>
    <w:rsid w:val="005224F1"/>
    <w:rsid w:val="00522660"/>
    <w:rsid w:val="005227A8"/>
    <w:rsid w:val="00522967"/>
    <w:rsid w:val="00522AAC"/>
    <w:rsid w:val="00522B31"/>
    <w:rsid w:val="00522F95"/>
    <w:rsid w:val="00522FCE"/>
    <w:rsid w:val="0052300A"/>
    <w:rsid w:val="005231AA"/>
    <w:rsid w:val="00523466"/>
    <w:rsid w:val="005235D1"/>
    <w:rsid w:val="005236C0"/>
    <w:rsid w:val="005237CE"/>
    <w:rsid w:val="0052394D"/>
    <w:rsid w:val="00523A2E"/>
    <w:rsid w:val="00523C66"/>
    <w:rsid w:val="00523C7A"/>
    <w:rsid w:val="00523DCF"/>
    <w:rsid w:val="0052412B"/>
    <w:rsid w:val="00524457"/>
    <w:rsid w:val="0052445F"/>
    <w:rsid w:val="005244E9"/>
    <w:rsid w:val="0052452C"/>
    <w:rsid w:val="00524722"/>
    <w:rsid w:val="00524A7D"/>
    <w:rsid w:val="00524AD4"/>
    <w:rsid w:val="00524D25"/>
    <w:rsid w:val="00524DD9"/>
    <w:rsid w:val="00524DE9"/>
    <w:rsid w:val="00524E16"/>
    <w:rsid w:val="00524E4E"/>
    <w:rsid w:val="00524FBE"/>
    <w:rsid w:val="00525268"/>
    <w:rsid w:val="00525367"/>
    <w:rsid w:val="005253CA"/>
    <w:rsid w:val="005253DF"/>
    <w:rsid w:val="005253FC"/>
    <w:rsid w:val="005256A7"/>
    <w:rsid w:val="005259C4"/>
    <w:rsid w:val="00525ACA"/>
    <w:rsid w:val="00525B2F"/>
    <w:rsid w:val="0052604A"/>
    <w:rsid w:val="005260A1"/>
    <w:rsid w:val="005260B6"/>
    <w:rsid w:val="005260FD"/>
    <w:rsid w:val="0052638F"/>
    <w:rsid w:val="00526495"/>
    <w:rsid w:val="005269C5"/>
    <w:rsid w:val="00526E8E"/>
    <w:rsid w:val="00527084"/>
    <w:rsid w:val="005270FC"/>
    <w:rsid w:val="00527280"/>
    <w:rsid w:val="0052733F"/>
    <w:rsid w:val="00527486"/>
    <w:rsid w:val="0052773D"/>
    <w:rsid w:val="00527841"/>
    <w:rsid w:val="005279AE"/>
    <w:rsid w:val="00527C3A"/>
    <w:rsid w:val="00527F6D"/>
    <w:rsid w:val="005306D7"/>
    <w:rsid w:val="00530736"/>
    <w:rsid w:val="005309AA"/>
    <w:rsid w:val="00530C32"/>
    <w:rsid w:val="00530DB1"/>
    <w:rsid w:val="00530F98"/>
    <w:rsid w:val="005312A7"/>
    <w:rsid w:val="005313FF"/>
    <w:rsid w:val="00531582"/>
    <w:rsid w:val="00531658"/>
    <w:rsid w:val="00531717"/>
    <w:rsid w:val="0053189D"/>
    <w:rsid w:val="00531946"/>
    <w:rsid w:val="00531A10"/>
    <w:rsid w:val="00531AEA"/>
    <w:rsid w:val="00531B3F"/>
    <w:rsid w:val="00531FA2"/>
    <w:rsid w:val="00532208"/>
    <w:rsid w:val="00532494"/>
    <w:rsid w:val="005324B5"/>
    <w:rsid w:val="005329A5"/>
    <w:rsid w:val="00532B13"/>
    <w:rsid w:val="00532CB2"/>
    <w:rsid w:val="00532D10"/>
    <w:rsid w:val="00532EBB"/>
    <w:rsid w:val="0053309B"/>
    <w:rsid w:val="00533149"/>
    <w:rsid w:val="005332A6"/>
    <w:rsid w:val="005336BE"/>
    <w:rsid w:val="0053371D"/>
    <w:rsid w:val="00533780"/>
    <w:rsid w:val="005337D2"/>
    <w:rsid w:val="0053386F"/>
    <w:rsid w:val="00533A10"/>
    <w:rsid w:val="00533B84"/>
    <w:rsid w:val="00533DBC"/>
    <w:rsid w:val="005340E0"/>
    <w:rsid w:val="0053422A"/>
    <w:rsid w:val="005343A3"/>
    <w:rsid w:val="00534410"/>
    <w:rsid w:val="00534593"/>
    <w:rsid w:val="0053498F"/>
    <w:rsid w:val="00534A1C"/>
    <w:rsid w:val="00534ABC"/>
    <w:rsid w:val="00534BD9"/>
    <w:rsid w:val="00534D30"/>
    <w:rsid w:val="00534D7D"/>
    <w:rsid w:val="00535080"/>
    <w:rsid w:val="005350DC"/>
    <w:rsid w:val="0053521E"/>
    <w:rsid w:val="00535252"/>
    <w:rsid w:val="0053539E"/>
    <w:rsid w:val="0053567D"/>
    <w:rsid w:val="0053576A"/>
    <w:rsid w:val="00535AAD"/>
    <w:rsid w:val="00535C83"/>
    <w:rsid w:val="00535CB4"/>
    <w:rsid w:val="00535D36"/>
    <w:rsid w:val="00535DFF"/>
    <w:rsid w:val="00535EF7"/>
    <w:rsid w:val="00536010"/>
    <w:rsid w:val="0053606A"/>
    <w:rsid w:val="00536237"/>
    <w:rsid w:val="0053649C"/>
    <w:rsid w:val="005366CF"/>
    <w:rsid w:val="00536814"/>
    <w:rsid w:val="00536896"/>
    <w:rsid w:val="00536AD5"/>
    <w:rsid w:val="00536E0D"/>
    <w:rsid w:val="00536F15"/>
    <w:rsid w:val="00537146"/>
    <w:rsid w:val="005371B3"/>
    <w:rsid w:val="00537904"/>
    <w:rsid w:val="00537A77"/>
    <w:rsid w:val="00537A7E"/>
    <w:rsid w:val="00537C63"/>
    <w:rsid w:val="00537CD3"/>
    <w:rsid w:val="00540310"/>
    <w:rsid w:val="00540330"/>
    <w:rsid w:val="0054073F"/>
    <w:rsid w:val="005408E1"/>
    <w:rsid w:val="00540E02"/>
    <w:rsid w:val="00540EB6"/>
    <w:rsid w:val="00540EFC"/>
    <w:rsid w:val="00540F9D"/>
    <w:rsid w:val="005412EE"/>
    <w:rsid w:val="00541461"/>
    <w:rsid w:val="0054154D"/>
    <w:rsid w:val="005415DB"/>
    <w:rsid w:val="00541776"/>
    <w:rsid w:val="0054177F"/>
    <w:rsid w:val="00541902"/>
    <w:rsid w:val="00541A14"/>
    <w:rsid w:val="00541B08"/>
    <w:rsid w:val="00541E40"/>
    <w:rsid w:val="00541FD1"/>
    <w:rsid w:val="005420F8"/>
    <w:rsid w:val="0054211F"/>
    <w:rsid w:val="00542173"/>
    <w:rsid w:val="005422EE"/>
    <w:rsid w:val="00542516"/>
    <w:rsid w:val="00542584"/>
    <w:rsid w:val="0054258F"/>
    <w:rsid w:val="005427DB"/>
    <w:rsid w:val="00542D62"/>
    <w:rsid w:val="00542E34"/>
    <w:rsid w:val="00543273"/>
    <w:rsid w:val="00543386"/>
    <w:rsid w:val="00543462"/>
    <w:rsid w:val="00543493"/>
    <w:rsid w:val="005435F4"/>
    <w:rsid w:val="00543834"/>
    <w:rsid w:val="0054390B"/>
    <w:rsid w:val="005439EC"/>
    <w:rsid w:val="005439F9"/>
    <w:rsid w:val="00543A3B"/>
    <w:rsid w:val="00543A5B"/>
    <w:rsid w:val="00543A65"/>
    <w:rsid w:val="00543E54"/>
    <w:rsid w:val="00543F9C"/>
    <w:rsid w:val="005441D6"/>
    <w:rsid w:val="00544300"/>
    <w:rsid w:val="00544531"/>
    <w:rsid w:val="00544774"/>
    <w:rsid w:val="0054494D"/>
    <w:rsid w:val="00544980"/>
    <w:rsid w:val="00544BF1"/>
    <w:rsid w:val="00544C1B"/>
    <w:rsid w:val="00545061"/>
    <w:rsid w:val="0054512C"/>
    <w:rsid w:val="0054524D"/>
    <w:rsid w:val="00545290"/>
    <w:rsid w:val="0054542C"/>
    <w:rsid w:val="005454C4"/>
    <w:rsid w:val="00545789"/>
    <w:rsid w:val="00545C3B"/>
    <w:rsid w:val="00545C42"/>
    <w:rsid w:val="00545D06"/>
    <w:rsid w:val="00545DB7"/>
    <w:rsid w:val="00545DDB"/>
    <w:rsid w:val="00545F2D"/>
    <w:rsid w:val="005460E8"/>
    <w:rsid w:val="00546134"/>
    <w:rsid w:val="005461AA"/>
    <w:rsid w:val="005462D0"/>
    <w:rsid w:val="00546508"/>
    <w:rsid w:val="005469E7"/>
    <w:rsid w:val="00546AD0"/>
    <w:rsid w:val="00546C79"/>
    <w:rsid w:val="00546D39"/>
    <w:rsid w:val="00546F85"/>
    <w:rsid w:val="005472F3"/>
    <w:rsid w:val="005474B4"/>
    <w:rsid w:val="005474EB"/>
    <w:rsid w:val="00547902"/>
    <w:rsid w:val="00547A88"/>
    <w:rsid w:val="00547AED"/>
    <w:rsid w:val="00547DFE"/>
    <w:rsid w:val="00547FA5"/>
    <w:rsid w:val="0055000A"/>
    <w:rsid w:val="0055036C"/>
    <w:rsid w:val="0055047F"/>
    <w:rsid w:val="005505AB"/>
    <w:rsid w:val="00550716"/>
    <w:rsid w:val="0055087D"/>
    <w:rsid w:val="0055094F"/>
    <w:rsid w:val="00550AB0"/>
    <w:rsid w:val="00550ACA"/>
    <w:rsid w:val="00550AFC"/>
    <w:rsid w:val="00550C6E"/>
    <w:rsid w:val="00550CBF"/>
    <w:rsid w:val="00550E84"/>
    <w:rsid w:val="00551168"/>
    <w:rsid w:val="00551368"/>
    <w:rsid w:val="005513AC"/>
    <w:rsid w:val="005513F6"/>
    <w:rsid w:val="0055141A"/>
    <w:rsid w:val="0055151B"/>
    <w:rsid w:val="00551759"/>
    <w:rsid w:val="00551EE4"/>
    <w:rsid w:val="005524B0"/>
    <w:rsid w:val="0055267E"/>
    <w:rsid w:val="0055278F"/>
    <w:rsid w:val="00552B0F"/>
    <w:rsid w:val="00552BB8"/>
    <w:rsid w:val="00552C3B"/>
    <w:rsid w:val="00552CD2"/>
    <w:rsid w:val="00552F7C"/>
    <w:rsid w:val="00552FCC"/>
    <w:rsid w:val="0055311C"/>
    <w:rsid w:val="00553387"/>
    <w:rsid w:val="0055344F"/>
    <w:rsid w:val="00553893"/>
    <w:rsid w:val="005539FA"/>
    <w:rsid w:val="00553A58"/>
    <w:rsid w:val="00553B9A"/>
    <w:rsid w:val="00553D16"/>
    <w:rsid w:val="00553DFB"/>
    <w:rsid w:val="00554139"/>
    <w:rsid w:val="00554293"/>
    <w:rsid w:val="00554316"/>
    <w:rsid w:val="0055436D"/>
    <w:rsid w:val="00554830"/>
    <w:rsid w:val="00554894"/>
    <w:rsid w:val="0055496C"/>
    <w:rsid w:val="00554A84"/>
    <w:rsid w:val="00554B06"/>
    <w:rsid w:val="00554D86"/>
    <w:rsid w:val="00554F08"/>
    <w:rsid w:val="00554F50"/>
    <w:rsid w:val="00554FFD"/>
    <w:rsid w:val="005552CD"/>
    <w:rsid w:val="0055559D"/>
    <w:rsid w:val="005555DB"/>
    <w:rsid w:val="0055584F"/>
    <w:rsid w:val="00555873"/>
    <w:rsid w:val="0055587F"/>
    <w:rsid w:val="00555AE0"/>
    <w:rsid w:val="00555AEC"/>
    <w:rsid w:val="00555B16"/>
    <w:rsid w:val="00555F09"/>
    <w:rsid w:val="00556028"/>
    <w:rsid w:val="00556039"/>
    <w:rsid w:val="00556160"/>
    <w:rsid w:val="00556411"/>
    <w:rsid w:val="00556D31"/>
    <w:rsid w:val="00556EFB"/>
    <w:rsid w:val="00557259"/>
    <w:rsid w:val="00557296"/>
    <w:rsid w:val="005577B0"/>
    <w:rsid w:val="00557B39"/>
    <w:rsid w:val="00557D5B"/>
    <w:rsid w:val="00557EED"/>
    <w:rsid w:val="00560103"/>
    <w:rsid w:val="0056013B"/>
    <w:rsid w:val="00560192"/>
    <w:rsid w:val="0056021A"/>
    <w:rsid w:val="00560C2C"/>
    <w:rsid w:val="00560C86"/>
    <w:rsid w:val="005611EC"/>
    <w:rsid w:val="00561241"/>
    <w:rsid w:val="00561769"/>
    <w:rsid w:val="00561AB3"/>
    <w:rsid w:val="00561EB4"/>
    <w:rsid w:val="00561EE9"/>
    <w:rsid w:val="00562084"/>
    <w:rsid w:val="005623EA"/>
    <w:rsid w:val="0056258F"/>
    <w:rsid w:val="005626AD"/>
    <w:rsid w:val="005626FC"/>
    <w:rsid w:val="00562729"/>
    <w:rsid w:val="005628FA"/>
    <w:rsid w:val="00562A16"/>
    <w:rsid w:val="00562CAB"/>
    <w:rsid w:val="00562D13"/>
    <w:rsid w:val="00562EA1"/>
    <w:rsid w:val="00562F4F"/>
    <w:rsid w:val="005630B7"/>
    <w:rsid w:val="00563113"/>
    <w:rsid w:val="0056324D"/>
    <w:rsid w:val="005632E4"/>
    <w:rsid w:val="00563536"/>
    <w:rsid w:val="0056375B"/>
    <w:rsid w:val="005638A3"/>
    <w:rsid w:val="00563DF2"/>
    <w:rsid w:val="00563F09"/>
    <w:rsid w:val="00563F6E"/>
    <w:rsid w:val="005640FD"/>
    <w:rsid w:val="00564369"/>
    <w:rsid w:val="005644CA"/>
    <w:rsid w:val="005645EF"/>
    <w:rsid w:val="00564B82"/>
    <w:rsid w:val="00564B9C"/>
    <w:rsid w:val="00564C58"/>
    <w:rsid w:val="00564CBA"/>
    <w:rsid w:val="00565019"/>
    <w:rsid w:val="00565071"/>
    <w:rsid w:val="00565251"/>
    <w:rsid w:val="00565333"/>
    <w:rsid w:val="00565402"/>
    <w:rsid w:val="005654F8"/>
    <w:rsid w:val="0056556B"/>
    <w:rsid w:val="0056574F"/>
    <w:rsid w:val="005658BD"/>
    <w:rsid w:val="00565AA0"/>
    <w:rsid w:val="00565BB7"/>
    <w:rsid w:val="00565DB9"/>
    <w:rsid w:val="00566181"/>
    <w:rsid w:val="005661C7"/>
    <w:rsid w:val="005663CF"/>
    <w:rsid w:val="0056644C"/>
    <w:rsid w:val="00566500"/>
    <w:rsid w:val="00566581"/>
    <w:rsid w:val="00566593"/>
    <w:rsid w:val="005666E0"/>
    <w:rsid w:val="0056672B"/>
    <w:rsid w:val="005667D2"/>
    <w:rsid w:val="00566973"/>
    <w:rsid w:val="005669BC"/>
    <w:rsid w:val="00566A2B"/>
    <w:rsid w:val="00566AD4"/>
    <w:rsid w:val="00566B3B"/>
    <w:rsid w:val="00566B60"/>
    <w:rsid w:val="00566D15"/>
    <w:rsid w:val="00566E9E"/>
    <w:rsid w:val="00567154"/>
    <w:rsid w:val="00567401"/>
    <w:rsid w:val="0056750E"/>
    <w:rsid w:val="00567562"/>
    <w:rsid w:val="005675DF"/>
    <w:rsid w:val="0056770B"/>
    <w:rsid w:val="005677BE"/>
    <w:rsid w:val="00567807"/>
    <w:rsid w:val="0056798A"/>
    <w:rsid w:val="005679ED"/>
    <w:rsid w:val="00567A19"/>
    <w:rsid w:val="00567A4A"/>
    <w:rsid w:val="00567A4C"/>
    <w:rsid w:val="00567B35"/>
    <w:rsid w:val="00567BDA"/>
    <w:rsid w:val="00567BE3"/>
    <w:rsid w:val="00567C7A"/>
    <w:rsid w:val="00567C97"/>
    <w:rsid w:val="00567DE1"/>
    <w:rsid w:val="00567F5B"/>
    <w:rsid w:val="0057042A"/>
    <w:rsid w:val="00570EED"/>
    <w:rsid w:val="00570F18"/>
    <w:rsid w:val="00570F30"/>
    <w:rsid w:val="00570F8F"/>
    <w:rsid w:val="0057107A"/>
    <w:rsid w:val="0057141A"/>
    <w:rsid w:val="005716F1"/>
    <w:rsid w:val="005716FC"/>
    <w:rsid w:val="005717EB"/>
    <w:rsid w:val="005717F7"/>
    <w:rsid w:val="005718EE"/>
    <w:rsid w:val="00571962"/>
    <w:rsid w:val="0057198F"/>
    <w:rsid w:val="00571B80"/>
    <w:rsid w:val="00571BD2"/>
    <w:rsid w:val="00571D2A"/>
    <w:rsid w:val="00571E3B"/>
    <w:rsid w:val="00571F9E"/>
    <w:rsid w:val="00571FE8"/>
    <w:rsid w:val="005721CD"/>
    <w:rsid w:val="005721FF"/>
    <w:rsid w:val="005723C9"/>
    <w:rsid w:val="00572546"/>
    <w:rsid w:val="005725E3"/>
    <w:rsid w:val="005727B8"/>
    <w:rsid w:val="005727BD"/>
    <w:rsid w:val="00572AE7"/>
    <w:rsid w:val="00572C2A"/>
    <w:rsid w:val="00572E62"/>
    <w:rsid w:val="00572EF2"/>
    <w:rsid w:val="005730B6"/>
    <w:rsid w:val="005733D8"/>
    <w:rsid w:val="00573407"/>
    <w:rsid w:val="00573561"/>
    <w:rsid w:val="00573587"/>
    <w:rsid w:val="005738B5"/>
    <w:rsid w:val="005739AD"/>
    <w:rsid w:val="00573B54"/>
    <w:rsid w:val="00573CDF"/>
    <w:rsid w:val="00573E50"/>
    <w:rsid w:val="00573EB5"/>
    <w:rsid w:val="00573F08"/>
    <w:rsid w:val="00573F56"/>
    <w:rsid w:val="005743A0"/>
    <w:rsid w:val="005744E8"/>
    <w:rsid w:val="005744F1"/>
    <w:rsid w:val="005744F6"/>
    <w:rsid w:val="00574619"/>
    <w:rsid w:val="00574758"/>
    <w:rsid w:val="005749ED"/>
    <w:rsid w:val="00574B37"/>
    <w:rsid w:val="00574B8E"/>
    <w:rsid w:val="00574EA2"/>
    <w:rsid w:val="00575117"/>
    <w:rsid w:val="0057517C"/>
    <w:rsid w:val="0057528A"/>
    <w:rsid w:val="005754D6"/>
    <w:rsid w:val="005754ED"/>
    <w:rsid w:val="0057554D"/>
    <w:rsid w:val="00575A3E"/>
    <w:rsid w:val="00575AE0"/>
    <w:rsid w:val="00575B15"/>
    <w:rsid w:val="00575B53"/>
    <w:rsid w:val="00575BE1"/>
    <w:rsid w:val="00575BE9"/>
    <w:rsid w:val="00575CAC"/>
    <w:rsid w:val="00575DEF"/>
    <w:rsid w:val="00575F16"/>
    <w:rsid w:val="00576350"/>
    <w:rsid w:val="00576AA5"/>
    <w:rsid w:val="00576C5F"/>
    <w:rsid w:val="00576CC6"/>
    <w:rsid w:val="00576D09"/>
    <w:rsid w:val="00577004"/>
    <w:rsid w:val="005771F0"/>
    <w:rsid w:val="0057740D"/>
    <w:rsid w:val="005774BA"/>
    <w:rsid w:val="00577631"/>
    <w:rsid w:val="005778BB"/>
    <w:rsid w:val="005778C8"/>
    <w:rsid w:val="005778EF"/>
    <w:rsid w:val="00577A25"/>
    <w:rsid w:val="00577A43"/>
    <w:rsid w:val="00577A7F"/>
    <w:rsid w:val="00577C0B"/>
    <w:rsid w:val="0058013F"/>
    <w:rsid w:val="005801A4"/>
    <w:rsid w:val="0058027E"/>
    <w:rsid w:val="0058038A"/>
    <w:rsid w:val="0058073C"/>
    <w:rsid w:val="00580A06"/>
    <w:rsid w:val="00580DA3"/>
    <w:rsid w:val="00581110"/>
    <w:rsid w:val="0058125A"/>
    <w:rsid w:val="0058131B"/>
    <w:rsid w:val="005816FA"/>
    <w:rsid w:val="005818C7"/>
    <w:rsid w:val="00581921"/>
    <w:rsid w:val="005819D7"/>
    <w:rsid w:val="00581D97"/>
    <w:rsid w:val="00581E55"/>
    <w:rsid w:val="00581F35"/>
    <w:rsid w:val="0058211D"/>
    <w:rsid w:val="005821E1"/>
    <w:rsid w:val="0058230B"/>
    <w:rsid w:val="005823E9"/>
    <w:rsid w:val="00582432"/>
    <w:rsid w:val="0058248A"/>
    <w:rsid w:val="005826EA"/>
    <w:rsid w:val="00582929"/>
    <w:rsid w:val="00582FBF"/>
    <w:rsid w:val="005831DB"/>
    <w:rsid w:val="005833F4"/>
    <w:rsid w:val="005834F0"/>
    <w:rsid w:val="00583562"/>
    <w:rsid w:val="0058358D"/>
    <w:rsid w:val="0058385F"/>
    <w:rsid w:val="00583A33"/>
    <w:rsid w:val="00583CA8"/>
    <w:rsid w:val="00583DAA"/>
    <w:rsid w:val="00583E24"/>
    <w:rsid w:val="00583F94"/>
    <w:rsid w:val="00583FAC"/>
    <w:rsid w:val="0058420C"/>
    <w:rsid w:val="00584348"/>
    <w:rsid w:val="0058453E"/>
    <w:rsid w:val="005845F1"/>
    <w:rsid w:val="00584619"/>
    <w:rsid w:val="00584BE4"/>
    <w:rsid w:val="00584BFC"/>
    <w:rsid w:val="00584C2F"/>
    <w:rsid w:val="00584CAD"/>
    <w:rsid w:val="005852A8"/>
    <w:rsid w:val="005852F7"/>
    <w:rsid w:val="0058546C"/>
    <w:rsid w:val="005854C4"/>
    <w:rsid w:val="0058573B"/>
    <w:rsid w:val="00585A79"/>
    <w:rsid w:val="00585AB3"/>
    <w:rsid w:val="00585BA9"/>
    <w:rsid w:val="00585D6F"/>
    <w:rsid w:val="00585DB2"/>
    <w:rsid w:val="005860AF"/>
    <w:rsid w:val="00586112"/>
    <w:rsid w:val="0058636C"/>
    <w:rsid w:val="005864EA"/>
    <w:rsid w:val="005867AD"/>
    <w:rsid w:val="005867D2"/>
    <w:rsid w:val="0058682E"/>
    <w:rsid w:val="0058687D"/>
    <w:rsid w:val="005869CB"/>
    <w:rsid w:val="00586A71"/>
    <w:rsid w:val="00586C82"/>
    <w:rsid w:val="00586D3A"/>
    <w:rsid w:val="00586F23"/>
    <w:rsid w:val="005870E2"/>
    <w:rsid w:val="005871C7"/>
    <w:rsid w:val="0058724E"/>
    <w:rsid w:val="00587257"/>
    <w:rsid w:val="005875A5"/>
    <w:rsid w:val="00587694"/>
    <w:rsid w:val="0058777C"/>
    <w:rsid w:val="00587811"/>
    <w:rsid w:val="00587876"/>
    <w:rsid w:val="0058798E"/>
    <w:rsid w:val="00587D68"/>
    <w:rsid w:val="00590027"/>
    <w:rsid w:val="0059013D"/>
    <w:rsid w:val="005901E7"/>
    <w:rsid w:val="00590557"/>
    <w:rsid w:val="00590781"/>
    <w:rsid w:val="00590787"/>
    <w:rsid w:val="005907DF"/>
    <w:rsid w:val="00590862"/>
    <w:rsid w:val="005908AC"/>
    <w:rsid w:val="005909A8"/>
    <w:rsid w:val="00590ABB"/>
    <w:rsid w:val="00590B3A"/>
    <w:rsid w:val="00590BA4"/>
    <w:rsid w:val="00590D4E"/>
    <w:rsid w:val="00590E3D"/>
    <w:rsid w:val="00590F00"/>
    <w:rsid w:val="005910D3"/>
    <w:rsid w:val="005910E0"/>
    <w:rsid w:val="00591209"/>
    <w:rsid w:val="005915ED"/>
    <w:rsid w:val="005916AC"/>
    <w:rsid w:val="00591808"/>
    <w:rsid w:val="00591B3F"/>
    <w:rsid w:val="00591C16"/>
    <w:rsid w:val="00591E79"/>
    <w:rsid w:val="0059223E"/>
    <w:rsid w:val="005922FF"/>
    <w:rsid w:val="005923CA"/>
    <w:rsid w:val="00592765"/>
    <w:rsid w:val="005927ED"/>
    <w:rsid w:val="00592808"/>
    <w:rsid w:val="00592A0D"/>
    <w:rsid w:val="00592A8E"/>
    <w:rsid w:val="00592B45"/>
    <w:rsid w:val="00593267"/>
    <w:rsid w:val="005934A3"/>
    <w:rsid w:val="00593A31"/>
    <w:rsid w:val="00593BE2"/>
    <w:rsid w:val="00593D17"/>
    <w:rsid w:val="00593FA4"/>
    <w:rsid w:val="00594086"/>
    <w:rsid w:val="00594145"/>
    <w:rsid w:val="00594376"/>
    <w:rsid w:val="005944B6"/>
    <w:rsid w:val="005948A9"/>
    <w:rsid w:val="00594A61"/>
    <w:rsid w:val="00594B22"/>
    <w:rsid w:val="00594B91"/>
    <w:rsid w:val="00594C46"/>
    <w:rsid w:val="00594F1D"/>
    <w:rsid w:val="00594F6F"/>
    <w:rsid w:val="005953AD"/>
    <w:rsid w:val="00595696"/>
    <w:rsid w:val="005956B6"/>
    <w:rsid w:val="005956E3"/>
    <w:rsid w:val="00595894"/>
    <w:rsid w:val="00595996"/>
    <w:rsid w:val="005959DF"/>
    <w:rsid w:val="00595A92"/>
    <w:rsid w:val="00595E22"/>
    <w:rsid w:val="00596054"/>
    <w:rsid w:val="00596154"/>
    <w:rsid w:val="005963CC"/>
    <w:rsid w:val="00596562"/>
    <w:rsid w:val="0059672B"/>
    <w:rsid w:val="00596773"/>
    <w:rsid w:val="00596841"/>
    <w:rsid w:val="00596861"/>
    <w:rsid w:val="00596AAD"/>
    <w:rsid w:val="00596C67"/>
    <w:rsid w:val="00596C9B"/>
    <w:rsid w:val="00596D1E"/>
    <w:rsid w:val="00596E08"/>
    <w:rsid w:val="00596E19"/>
    <w:rsid w:val="00596E80"/>
    <w:rsid w:val="00597091"/>
    <w:rsid w:val="005975BB"/>
    <w:rsid w:val="005978AA"/>
    <w:rsid w:val="0059794D"/>
    <w:rsid w:val="00597AA8"/>
    <w:rsid w:val="00597F07"/>
    <w:rsid w:val="005A01BB"/>
    <w:rsid w:val="005A0205"/>
    <w:rsid w:val="005A02D7"/>
    <w:rsid w:val="005A07F1"/>
    <w:rsid w:val="005A0A3A"/>
    <w:rsid w:val="005A0E45"/>
    <w:rsid w:val="005A0F59"/>
    <w:rsid w:val="005A1113"/>
    <w:rsid w:val="005A12A6"/>
    <w:rsid w:val="005A1335"/>
    <w:rsid w:val="005A1369"/>
    <w:rsid w:val="005A16FB"/>
    <w:rsid w:val="005A181A"/>
    <w:rsid w:val="005A1864"/>
    <w:rsid w:val="005A1986"/>
    <w:rsid w:val="005A1C71"/>
    <w:rsid w:val="005A1CC1"/>
    <w:rsid w:val="005A1D60"/>
    <w:rsid w:val="005A1D7A"/>
    <w:rsid w:val="005A1E36"/>
    <w:rsid w:val="005A2049"/>
    <w:rsid w:val="005A241E"/>
    <w:rsid w:val="005A2543"/>
    <w:rsid w:val="005A2785"/>
    <w:rsid w:val="005A27FB"/>
    <w:rsid w:val="005A28B4"/>
    <w:rsid w:val="005A28EB"/>
    <w:rsid w:val="005A298D"/>
    <w:rsid w:val="005A2EE0"/>
    <w:rsid w:val="005A2FEF"/>
    <w:rsid w:val="005A33AE"/>
    <w:rsid w:val="005A38AA"/>
    <w:rsid w:val="005A3B16"/>
    <w:rsid w:val="005A3B88"/>
    <w:rsid w:val="005A3BB5"/>
    <w:rsid w:val="005A3C3C"/>
    <w:rsid w:val="005A3C9B"/>
    <w:rsid w:val="005A4150"/>
    <w:rsid w:val="005A418F"/>
    <w:rsid w:val="005A46A3"/>
    <w:rsid w:val="005A46F6"/>
    <w:rsid w:val="005A472C"/>
    <w:rsid w:val="005A4869"/>
    <w:rsid w:val="005A4897"/>
    <w:rsid w:val="005A4A43"/>
    <w:rsid w:val="005A4AA9"/>
    <w:rsid w:val="005A4C3D"/>
    <w:rsid w:val="005A4C76"/>
    <w:rsid w:val="005A4FA3"/>
    <w:rsid w:val="005A51A0"/>
    <w:rsid w:val="005A5325"/>
    <w:rsid w:val="005A54FA"/>
    <w:rsid w:val="005A5557"/>
    <w:rsid w:val="005A573A"/>
    <w:rsid w:val="005A5A1E"/>
    <w:rsid w:val="005A5B44"/>
    <w:rsid w:val="005A5C50"/>
    <w:rsid w:val="005A5D9A"/>
    <w:rsid w:val="005A5F48"/>
    <w:rsid w:val="005A60CD"/>
    <w:rsid w:val="005A61A7"/>
    <w:rsid w:val="005A61F3"/>
    <w:rsid w:val="005A627D"/>
    <w:rsid w:val="005A63D6"/>
    <w:rsid w:val="005A6402"/>
    <w:rsid w:val="005A67A1"/>
    <w:rsid w:val="005A69B3"/>
    <w:rsid w:val="005A69E8"/>
    <w:rsid w:val="005A6C07"/>
    <w:rsid w:val="005A6F61"/>
    <w:rsid w:val="005A6F92"/>
    <w:rsid w:val="005A6FA8"/>
    <w:rsid w:val="005A6FED"/>
    <w:rsid w:val="005A7029"/>
    <w:rsid w:val="005A70E5"/>
    <w:rsid w:val="005A71ED"/>
    <w:rsid w:val="005A726B"/>
    <w:rsid w:val="005A7323"/>
    <w:rsid w:val="005A7433"/>
    <w:rsid w:val="005A777A"/>
    <w:rsid w:val="005A78B2"/>
    <w:rsid w:val="005A7A57"/>
    <w:rsid w:val="005A7AA4"/>
    <w:rsid w:val="005A7DD4"/>
    <w:rsid w:val="005B04BF"/>
    <w:rsid w:val="005B05E7"/>
    <w:rsid w:val="005B0772"/>
    <w:rsid w:val="005B0AB7"/>
    <w:rsid w:val="005B0AE8"/>
    <w:rsid w:val="005B0B39"/>
    <w:rsid w:val="005B0E0E"/>
    <w:rsid w:val="005B0FD5"/>
    <w:rsid w:val="005B10EF"/>
    <w:rsid w:val="005B13CE"/>
    <w:rsid w:val="005B166A"/>
    <w:rsid w:val="005B19A8"/>
    <w:rsid w:val="005B1A25"/>
    <w:rsid w:val="005B1B3E"/>
    <w:rsid w:val="005B1BC4"/>
    <w:rsid w:val="005B1D50"/>
    <w:rsid w:val="005B21F0"/>
    <w:rsid w:val="005B24FA"/>
    <w:rsid w:val="005B2662"/>
    <w:rsid w:val="005B2836"/>
    <w:rsid w:val="005B28DD"/>
    <w:rsid w:val="005B2C02"/>
    <w:rsid w:val="005B2C40"/>
    <w:rsid w:val="005B2D3D"/>
    <w:rsid w:val="005B34AD"/>
    <w:rsid w:val="005B359F"/>
    <w:rsid w:val="005B3B14"/>
    <w:rsid w:val="005B3C66"/>
    <w:rsid w:val="005B3D11"/>
    <w:rsid w:val="005B3DD2"/>
    <w:rsid w:val="005B3F26"/>
    <w:rsid w:val="005B411C"/>
    <w:rsid w:val="005B4155"/>
    <w:rsid w:val="005B4398"/>
    <w:rsid w:val="005B43E5"/>
    <w:rsid w:val="005B45FF"/>
    <w:rsid w:val="005B479E"/>
    <w:rsid w:val="005B4A79"/>
    <w:rsid w:val="005B4BA3"/>
    <w:rsid w:val="005B4E4D"/>
    <w:rsid w:val="005B4EE9"/>
    <w:rsid w:val="005B4FD1"/>
    <w:rsid w:val="005B519D"/>
    <w:rsid w:val="005B54B3"/>
    <w:rsid w:val="005B5538"/>
    <w:rsid w:val="005B5BB7"/>
    <w:rsid w:val="005B5C21"/>
    <w:rsid w:val="005B5C9F"/>
    <w:rsid w:val="005B5D5F"/>
    <w:rsid w:val="005B63CD"/>
    <w:rsid w:val="005B6661"/>
    <w:rsid w:val="005B668D"/>
    <w:rsid w:val="005B6894"/>
    <w:rsid w:val="005B68C7"/>
    <w:rsid w:val="005B6B61"/>
    <w:rsid w:val="005B6C18"/>
    <w:rsid w:val="005B6E0B"/>
    <w:rsid w:val="005B6E5D"/>
    <w:rsid w:val="005B6ED8"/>
    <w:rsid w:val="005B6F74"/>
    <w:rsid w:val="005B6FEC"/>
    <w:rsid w:val="005B6FF5"/>
    <w:rsid w:val="005B7121"/>
    <w:rsid w:val="005B717D"/>
    <w:rsid w:val="005B7243"/>
    <w:rsid w:val="005B7288"/>
    <w:rsid w:val="005B779C"/>
    <w:rsid w:val="005B7B2E"/>
    <w:rsid w:val="005B7B47"/>
    <w:rsid w:val="005B7C9F"/>
    <w:rsid w:val="005C01A8"/>
    <w:rsid w:val="005C06F8"/>
    <w:rsid w:val="005C072C"/>
    <w:rsid w:val="005C08F8"/>
    <w:rsid w:val="005C0976"/>
    <w:rsid w:val="005C0A3C"/>
    <w:rsid w:val="005C0A8C"/>
    <w:rsid w:val="005C0E15"/>
    <w:rsid w:val="005C1023"/>
    <w:rsid w:val="005C1384"/>
    <w:rsid w:val="005C13B2"/>
    <w:rsid w:val="005C17A1"/>
    <w:rsid w:val="005C1815"/>
    <w:rsid w:val="005C193B"/>
    <w:rsid w:val="005C1AEC"/>
    <w:rsid w:val="005C1C29"/>
    <w:rsid w:val="005C1FC1"/>
    <w:rsid w:val="005C2522"/>
    <w:rsid w:val="005C265A"/>
    <w:rsid w:val="005C27E3"/>
    <w:rsid w:val="005C2A30"/>
    <w:rsid w:val="005C2BED"/>
    <w:rsid w:val="005C2EBB"/>
    <w:rsid w:val="005C2F74"/>
    <w:rsid w:val="005C2F8B"/>
    <w:rsid w:val="005C31A9"/>
    <w:rsid w:val="005C328E"/>
    <w:rsid w:val="005C336B"/>
    <w:rsid w:val="005C33AA"/>
    <w:rsid w:val="005C3438"/>
    <w:rsid w:val="005C37CB"/>
    <w:rsid w:val="005C3BE8"/>
    <w:rsid w:val="005C3C4A"/>
    <w:rsid w:val="005C3D0B"/>
    <w:rsid w:val="005C3EF8"/>
    <w:rsid w:val="005C3F8D"/>
    <w:rsid w:val="005C3FE3"/>
    <w:rsid w:val="005C4316"/>
    <w:rsid w:val="005C4323"/>
    <w:rsid w:val="005C43CC"/>
    <w:rsid w:val="005C4557"/>
    <w:rsid w:val="005C459C"/>
    <w:rsid w:val="005C475A"/>
    <w:rsid w:val="005C533C"/>
    <w:rsid w:val="005C579D"/>
    <w:rsid w:val="005C5934"/>
    <w:rsid w:val="005C596E"/>
    <w:rsid w:val="005C5AB2"/>
    <w:rsid w:val="005C5C95"/>
    <w:rsid w:val="005C614F"/>
    <w:rsid w:val="005C6663"/>
    <w:rsid w:val="005C66D4"/>
    <w:rsid w:val="005C678A"/>
    <w:rsid w:val="005C6AF9"/>
    <w:rsid w:val="005C6CF4"/>
    <w:rsid w:val="005C6D71"/>
    <w:rsid w:val="005C7091"/>
    <w:rsid w:val="005C70F4"/>
    <w:rsid w:val="005C71FB"/>
    <w:rsid w:val="005C74C5"/>
    <w:rsid w:val="005C76CC"/>
    <w:rsid w:val="005C7775"/>
    <w:rsid w:val="005C79EC"/>
    <w:rsid w:val="005C7A13"/>
    <w:rsid w:val="005C7B93"/>
    <w:rsid w:val="005C7FCF"/>
    <w:rsid w:val="005D020F"/>
    <w:rsid w:val="005D02FB"/>
    <w:rsid w:val="005D05BF"/>
    <w:rsid w:val="005D0666"/>
    <w:rsid w:val="005D0673"/>
    <w:rsid w:val="005D068C"/>
    <w:rsid w:val="005D0D53"/>
    <w:rsid w:val="005D1345"/>
    <w:rsid w:val="005D142A"/>
    <w:rsid w:val="005D1457"/>
    <w:rsid w:val="005D14B9"/>
    <w:rsid w:val="005D198C"/>
    <w:rsid w:val="005D1A0A"/>
    <w:rsid w:val="005D1A65"/>
    <w:rsid w:val="005D1A83"/>
    <w:rsid w:val="005D1A9F"/>
    <w:rsid w:val="005D1C71"/>
    <w:rsid w:val="005D1CDA"/>
    <w:rsid w:val="005D1D91"/>
    <w:rsid w:val="005D1DE2"/>
    <w:rsid w:val="005D1E3B"/>
    <w:rsid w:val="005D200D"/>
    <w:rsid w:val="005D2149"/>
    <w:rsid w:val="005D243A"/>
    <w:rsid w:val="005D25F6"/>
    <w:rsid w:val="005D27E1"/>
    <w:rsid w:val="005D27FA"/>
    <w:rsid w:val="005D28CC"/>
    <w:rsid w:val="005D292F"/>
    <w:rsid w:val="005D2986"/>
    <w:rsid w:val="005D2A87"/>
    <w:rsid w:val="005D2C62"/>
    <w:rsid w:val="005D3264"/>
    <w:rsid w:val="005D32E8"/>
    <w:rsid w:val="005D344A"/>
    <w:rsid w:val="005D34EA"/>
    <w:rsid w:val="005D35D7"/>
    <w:rsid w:val="005D368B"/>
    <w:rsid w:val="005D3875"/>
    <w:rsid w:val="005D3E8E"/>
    <w:rsid w:val="005D40A9"/>
    <w:rsid w:val="005D42BD"/>
    <w:rsid w:val="005D45B5"/>
    <w:rsid w:val="005D4636"/>
    <w:rsid w:val="005D4661"/>
    <w:rsid w:val="005D474C"/>
    <w:rsid w:val="005D4C57"/>
    <w:rsid w:val="005D4C91"/>
    <w:rsid w:val="005D4D1B"/>
    <w:rsid w:val="005D4FE1"/>
    <w:rsid w:val="005D5075"/>
    <w:rsid w:val="005D50C0"/>
    <w:rsid w:val="005D52FA"/>
    <w:rsid w:val="005D5403"/>
    <w:rsid w:val="005D5FDF"/>
    <w:rsid w:val="005D600F"/>
    <w:rsid w:val="005D6013"/>
    <w:rsid w:val="005D65D0"/>
    <w:rsid w:val="005D6612"/>
    <w:rsid w:val="005D66F5"/>
    <w:rsid w:val="005D697E"/>
    <w:rsid w:val="005D6EFC"/>
    <w:rsid w:val="005D7053"/>
    <w:rsid w:val="005D7088"/>
    <w:rsid w:val="005D7292"/>
    <w:rsid w:val="005D7490"/>
    <w:rsid w:val="005D76AE"/>
    <w:rsid w:val="005D76DE"/>
    <w:rsid w:val="005D7713"/>
    <w:rsid w:val="005D7768"/>
    <w:rsid w:val="005D777B"/>
    <w:rsid w:val="005D77DE"/>
    <w:rsid w:val="005D7D29"/>
    <w:rsid w:val="005D7EBF"/>
    <w:rsid w:val="005E0220"/>
    <w:rsid w:val="005E05A1"/>
    <w:rsid w:val="005E060C"/>
    <w:rsid w:val="005E06A3"/>
    <w:rsid w:val="005E09E3"/>
    <w:rsid w:val="005E09E4"/>
    <w:rsid w:val="005E0B70"/>
    <w:rsid w:val="005E0D78"/>
    <w:rsid w:val="005E100F"/>
    <w:rsid w:val="005E1198"/>
    <w:rsid w:val="005E134D"/>
    <w:rsid w:val="005E1655"/>
    <w:rsid w:val="005E1726"/>
    <w:rsid w:val="005E1A81"/>
    <w:rsid w:val="005E1E5B"/>
    <w:rsid w:val="005E235A"/>
    <w:rsid w:val="005E24A1"/>
    <w:rsid w:val="005E2513"/>
    <w:rsid w:val="005E25C0"/>
    <w:rsid w:val="005E25F8"/>
    <w:rsid w:val="005E266F"/>
    <w:rsid w:val="005E2BCF"/>
    <w:rsid w:val="005E2D6F"/>
    <w:rsid w:val="005E2F59"/>
    <w:rsid w:val="005E2FA1"/>
    <w:rsid w:val="005E2FD1"/>
    <w:rsid w:val="005E38DD"/>
    <w:rsid w:val="005E38DE"/>
    <w:rsid w:val="005E3B4C"/>
    <w:rsid w:val="005E3F34"/>
    <w:rsid w:val="005E401F"/>
    <w:rsid w:val="005E421C"/>
    <w:rsid w:val="005E4241"/>
    <w:rsid w:val="005E46AF"/>
    <w:rsid w:val="005E49F1"/>
    <w:rsid w:val="005E4A92"/>
    <w:rsid w:val="005E4BFB"/>
    <w:rsid w:val="005E4EF0"/>
    <w:rsid w:val="005E50E8"/>
    <w:rsid w:val="005E527E"/>
    <w:rsid w:val="005E53F6"/>
    <w:rsid w:val="005E54EB"/>
    <w:rsid w:val="005E5734"/>
    <w:rsid w:val="005E5741"/>
    <w:rsid w:val="005E5918"/>
    <w:rsid w:val="005E5CEC"/>
    <w:rsid w:val="005E5EC3"/>
    <w:rsid w:val="005E5EE4"/>
    <w:rsid w:val="005E602B"/>
    <w:rsid w:val="005E6150"/>
    <w:rsid w:val="005E61B6"/>
    <w:rsid w:val="005E6281"/>
    <w:rsid w:val="005E6285"/>
    <w:rsid w:val="005E6390"/>
    <w:rsid w:val="005E6423"/>
    <w:rsid w:val="005E6487"/>
    <w:rsid w:val="005E6493"/>
    <w:rsid w:val="005E651F"/>
    <w:rsid w:val="005E664C"/>
    <w:rsid w:val="005E66C8"/>
    <w:rsid w:val="005E6903"/>
    <w:rsid w:val="005E6932"/>
    <w:rsid w:val="005E6971"/>
    <w:rsid w:val="005E6D4E"/>
    <w:rsid w:val="005E6FFA"/>
    <w:rsid w:val="005E73CE"/>
    <w:rsid w:val="005E751E"/>
    <w:rsid w:val="005E77E3"/>
    <w:rsid w:val="005E79C7"/>
    <w:rsid w:val="005E7BB5"/>
    <w:rsid w:val="005E7BF6"/>
    <w:rsid w:val="005E7EE4"/>
    <w:rsid w:val="005F0616"/>
    <w:rsid w:val="005F0727"/>
    <w:rsid w:val="005F07DC"/>
    <w:rsid w:val="005F09A8"/>
    <w:rsid w:val="005F0A4E"/>
    <w:rsid w:val="005F0C34"/>
    <w:rsid w:val="005F0EAB"/>
    <w:rsid w:val="005F0FB4"/>
    <w:rsid w:val="005F11CA"/>
    <w:rsid w:val="005F1245"/>
    <w:rsid w:val="005F13BD"/>
    <w:rsid w:val="005F14E1"/>
    <w:rsid w:val="005F17C6"/>
    <w:rsid w:val="005F1857"/>
    <w:rsid w:val="005F1859"/>
    <w:rsid w:val="005F1A8D"/>
    <w:rsid w:val="005F1AC8"/>
    <w:rsid w:val="005F1B25"/>
    <w:rsid w:val="005F1B5C"/>
    <w:rsid w:val="005F21AF"/>
    <w:rsid w:val="005F21FB"/>
    <w:rsid w:val="005F249C"/>
    <w:rsid w:val="005F24FE"/>
    <w:rsid w:val="005F2547"/>
    <w:rsid w:val="005F257C"/>
    <w:rsid w:val="005F25E2"/>
    <w:rsid w:val="005F2623"/>
    <w:rsid w:val="005F2658"/>
    <w:rsid w:val="005F27E3"/>
    <w:rsid w:val="005F29E8"/>
    <w:rsid w:val="005F2B4F"/>
    <w:rsid w:val="005F2E92"/>
    <w:rsid w:val="005F2E9C"/>
    <w:rsid w:val="005F31AD"/>
    <w:rsid w:val="005F31B7"/>
    <w:rsid w:val="005F3433"/>
    <w:rsid w:val="005F347F"/>
    <w:rsid w:val="005F35AA"/>
    <w:rsid w:val="005F388B"/>
    <w:rsid w:val="005F38CE"/>
    <w:rsid w:val="005F3A69"/>
    <w:rsid w:val="005F3F81"/>
    <w:rsid w:val="005F40DE"/>
    <w:rsid w:val="005F4229"/>
    <w:rsid w:val="005F4421"/>
    <w:rsid w:val="005F4927"/>
    <w:rsid w:val="005F49F4"/>
    <w:rsid w:val="005F4AA3"/>
    <w:rsid w:val="005F4ABD"/>
    <w:rsid w:val="005F4B7D"/>
    <w:rsid w:val="005F4C4C"/>
    <w:rsid w:val="005F4D34"/>
    <w:rsid w:val="005F4DB6"/>
    <w:rsid w:val="005F4E65"/>
    <w:rsid w:val="005F4F77"/>
    <w:rsid w:val="005F52B0"/>
    <w:rsid w:val="005F557D"/>
    <w:rsid w:val="005F56F3"/>
    <w:rsid w:val="005F59E5"/>
    <w:rsid w:val="005F5A0F"/>
    <w:rsid w:val="005F5A27"/>
    <w:rsid w:val="005F5DB0"/>
    <w:rsid w:val="005F5E43"/>
    <w:rsid w:val="005F5EDF"/>
    <w:rsid w:val="005F6035"/>
    <w:rsid w:val="005F61C5"/>
    <w:rsid w:val="005F6246"/>
    <w:rsid w:val="005F6265"/>
    <w:rsid w:val="005F63AB"/>
    <w:rsid w:val="005F63D8"/>
    <w:rsid w:val="005F64FB"/>
    <w:rsid w:val="005F650F"/>
    <w:rsid w:val="005F655D"/>
    <w:rsid w:val="005F676B"/>
    <w:rsid w:val="005F67EC"/>
    <w:rsid w:val="005F69B2"/>
    <w:rsid w:val="005F6A3F"/>
    <w:rsid w:val="005F6BBB"/>
    <w:rsid w:val="005F6C45"/>
    <w:rsid w:val="005F71C1"/>
    <w:rsid w:val="005F71EC"/>
    <w:rsid w:val="005F7230"/>
    <w:rsid w:val="005F72C9"/>
    <w:rsid w:val="005F73E0"/>
    <w:rsid w:val="005F789F"/>
    <w:rsid w:val="005F7914"/>
    <w:rsid w:val="005F7991"/>
    <w:rsid w:val="005F7A74"/>
    <w:rsid w:val="006000CD"/>
    <w:rsid w:val="006000FB"/>
    <w:rsid w:val="00600265"/>
    <w:rsid w:val="00600490"/>
    <w:rsid w:val="006006E4"/>
    <w:rsid w:val="00600754"/>
    <w:rsid w:val="006007A4"/>
    <w:rsid w:val="006009CE"/>
    <w:rsid w:val="00600A8B"/>
    <w:rsid w:val="00600BFE"/>
    <w:rsid w:val="00600D88"/>
    <w:rsid w:val="00600E16"/>
    <w:rsid w:val="00600E91"/>
    <w:rsid w:val="00600F0A"/>
    <w:rsid w:val="00600FB6"/>
    <w:rsid w:val="00600FDF"/>
    <w:rsid w:val="0060119A"/>
    <w:rsid w:val="006016C4"/>
    <w:rsid w:val="00601708"/>
    <w:rsid w:val="00601771"/>
    <w:rsid w:val="00601831"/>
    <w:rsid w:val="006018C8"/>
    <w:rsid w:val="00601A46"/>
    <w:rsid w:val="00601E4C"/>
    <w:rsid w:val="00601E85"/>
    <w:rsid w:val="006022C1"/>
    <w:rsid w:val="006022D0"/>
    <w:rsid w:val="006024E2"/>
    <w:rsid w:val="0060251E"/>
    <w:rsid w:val="006025B9"/>
    <w:rsid w:val="006026C9"/>
    <w:rsid w:val="00602A68"/>
    <w:rsid w:val="00602C95"/>
    <w:rsid w:val="00602DDE"/>
    <w:rsid w:val="00602E0C"/>
    <w:rsid w:val="00602E5B"/>
    <w:rsid w:val="00602E8B"/>
    <w:rsid w:val="006030BB"/>
    <w:rsid w:val="006030C9"/>
    <w:rsid w:val="0060339B"/>
    <w:rsid w:val="00603552"/>
    <w:rsid w:val="00603A24"/>
    <w:rsid w:val="00603BBC"/>
    <w:rsid w:val="00604335"/>
    <w:rsid w:val="0060453C"/>
    <w:rsid w:val="006046E4"/>
    <w:rsid w:val="00604BC5"/>
    <w:rsid w:val="00604C45"/>
    <w:rsid w:val="00604D85"/>
    <w:rsid w:val="00604DC6"/>
    <w:rsid w:val="00605037"/>
    <w:rsid w:val="0060559E"/>
    <w:rsid w:val="0060577C"/>
    <w:rsid w:val="006058B4"/>
    <w:rsid w:val="006059B6"/>
    <w:rsid w:val="00605CDC"/>
    <w:rsid w:val="00605E04"/>
    <w:rsid w:val="00605E0D"/>
    <w:rsid w:val="00605F18"/>
    <w:rsid w:val="00605FFE"/>
    <w:rsid w:val="006063F2"/>
    <w:rsid w:val="006063F8"/>
    <w:rsid w:val="0060650C"/>
    <w:rsid w:val="00606646"/>
    <w:rsid w:val="00606893"/>
    <w:rsid w:val="00606B37"/>
    <w:rsid w:val="00606FF6"/>
    <w:rsid w:val="00607252"/>
    <w:rsid w:val="00607570"/>
    <w:rsid w:val="00607624"/>
    <w:rsid w:val="00607901"/>
    <w:rsid w:val="0060792C"/>
    <w:rsid w:val="006079DB"/>
    <w:rsid w:val="00607A57"/>
    <w:rsid w:val="00607C2E"/>
    <w:rsid w:val="00607D2C"/>
    <w:rsid w:val="00610137"/>
    <w:rsid w:val="0061025E"/>
    <w:rsid w:val="0061038C"/>
    <w:rsid w:val="006106C1"/>
    <w:rsid w:val="006106F4"/>
    <w:rsid w:val="0061079F"/>
    <w:rsid w:val="00610A00"/>
    <w:rsid w:val="00610AF5"/>
    <w:rsid w:val="00610B28"/>
    <w:rsid w:val="00610C9B"/>
    <w:rsid w:val="00610F52"/>
    <w:rsid w:val="00611063"/>
    <w:rsid w:val="006110EA"/>
    <w:rsid w:val="0061124A"/>
    <w:rsid w:val="006112D0"/>
    <w:rsid w:val="006114F2"/>
    <w:rsid w:val="0061167D"/>
    <w:rsid w:val="0061169D"/>
    <w:rsid w:val="00611737"/>
    <w:rsid w:val="00611752"/>
    <w:rsid w:val="00611865"/>
    <w:rsid w:val="00611B07"/>
    <w:rsid w:val="00611C1D"/>
    <w:rsid w:val="00611C60"/>
    <w:rsid w:val="00611F0D"/>
    <w:rsid w:val="00611FE1"/>
    <w:rsid w:val="00612019"/>
    <w:rsid w:val="006120A4"/>
    <w:rsid w:val="00612388"/>
    <w:rsid w:val="006124AB"/>
    <w:rsid w:val="00612904"/>
    <w:rsid w:val="006129ED"/>
    <w:rsid w:val="00612A1A"/>
    <w:rsid w:val="00612C71"/>
    <w:rsid w:val="00612CC0"/>
    <w:rsid w:val="00612E32"/>
    <w:rsid w:val="00612ED3"/>
    <w:rsid w:val="00612FDD"/>
    <w:rsid w:val="00613134"/>
    <w:rsid w:val="006132D0"/>
    <w:rsid w:val="006132FD"/>
    <w:rsid w:val="006133A6"/>
    <w:rsid w:val="006134CA"/>
    <w:rsid w:val="00613682"/>
    <w:rsid w:val="006136FB"/>
    <w:rsid w:val="00613846"/>
    <w:rsid w:val="00613B2F"/>
    <w:rsid w:val="00613D28"/>
    <w:rsid w:val="00613ECE"/>
    <w:rsid w:val="0061401F"/>
    <w:rsid w:val="006140BA"/>
    <w:rsid w:val="006142B4"/>
    <w:rsid w:val="006144D2"/>
    <w:rsid w:val="0061461E"/>
    <w:rsid w:val="00614646"/>
    <w:rsid w:val="006148C3"/>
    <w:rsid w:val="0061494C"/>
    <w:rsid w:val="00614B35"/>
    <w:rsid w:val="00614DE8"/>
    <w:rsid w:val="00614F25"/>
    <w:rsid w:val="00615185"/>
    <w:rsid w:val="006152C6"/>
    <w:rsid w:val="006152D6"/>
    <w:rsid w:val="006154EE"/>
    <w:rsid w:val="00615608"/>
    <w:rsid w:val="00615A35"/>
    <w:rsid w:val="00615BD5"/>
    <w:rsid w:val="00615C33"/>
    <w:rsid w:val="00615D95"/>
    <w:rsid w:val="00615EF4"/>
    <w:rsid w:val="006164E9"/>
    <w:rsid w:val="006165A9"/>
    <w:rsid w:val="006165CF"/>
    <w:rsid w:val="00616755"/>
    <w:rsid w:val="006167BB"/>
    <w:rsid w:val="006167C4"/>
    <w:rsid w:val="0061683C"/>
    <w:rsid w:val="00616AD7"/>
    <w:rsid w:val="00616B8C"/>
    <w:rsid w:val="00616BC0"/>
    <w:rsid w:val="00616D94"/>
    <w:rsid w:val="00617108"/>
    <w:rsid w:val="00617211"/>
    <w:rsid w:val="00617264"/>
    <w:rsid w:val="00617348"/>
    <w:rsid w:val="006173F6"/>
    <w:rsid w:val="0061750E"/>
    <w:rsid w:val="006175A7"/>
    <w:rsid w:val="00617652"/>
    <w:rsid w:val="00617848"/>
    <w:rsid w:val="0061784D"/>
    <w:rsid w:val="00617B8B"/>
    <w:rsid w:val="00617C18"/>
    <w:rsid w:val="00617C50"/>
    <w:rsid w:val="00617C54"/>
    <w:rsid w:val="00617C57"/>
    <w:rsid w:val="00617F79"/>
    <w:rsid w:val="00617FC5"/>
    <w:rsid w:val="00620231"/>
    <w:rsid w:val="006207B2"/>
    <w:rsid w:val="006207ED"/>
    <w:rsid w:val="00620AFF"/>
    <w:rsid w:val="00620B98"/>
    <w:rsid w:val="0062140E"/>
    <w:rsid w:val="0062159F"/>
    <w:rsid w:val="0062181A"/>
    <w:rsid w:val="00621B09"/>
    <w:rsid w:val="00621D6C"/>
    <w:rsid w:val="00621E07"/>
    <w:rsid w:val="006220BB"/>
    <w:rsid w:val="00622143"/>
    <w:rsid w:val="00622388"/>
    <w:rsid w:val="00622669"/>
    <w:rsid w:val="0062283A"/>
    <w:rsid w:val="0062286A"/>
    <w:rsid w:val="00622B1A"/>
    <w:rsid w:val="00622B4E"/>
    <w:rsid w:val="00622BE7"/>
    <w:rsid w:val="00622E0B"/>
    <w:rsid w:val="00622EFD"/>
    <w:rsid w:val="00622FE1"/>
    <w:rsid w:val="006230E8"/>
    <w:rsid w:val="0062325B"/>
    <w:rsid w:val="006232D5"/>
    <w:rsid w:val="0062342D"/>
    <w:rsid w:val="00623438"/>
    <w:rsid w:val="00623670"/>
    <w:rsid w:val="006237DE"/>
    <w:rsid w:val="00623960"/>
    <w:rsid w:val="006239CC"/>
    <w:rsid w:val="006239FD"/>
    <w:rsid w:val="00623AA3"/>
    <w:rsid w:val="00624082"/>
    <w:rsid w:val="006240FF"/>
    <w:rsid w:val="0062416C"/>
    <w:rsid w:val="006241BC"/>
    <w:rsid w:val="00624270"/>
    <w:rsid w:val="00624281"/>
    <w:rsid w:val="00624393"/>
    <w:rsid w:val="00624412"/>
    <w:rsid w:val="00624470"/>
    <w:rsid w:val="00624510"/>
    <w:rsid w:val="00624602"/>
    <w:rsid w:val="0062488E"/>
    <w:rsid w:val="006249B1"/>
    <w:rsid w:val="00624CAC"/>
    <w:rsid w:val="00624D10"/>
    <w:rsid w:val="00624D46"/>
    <w:rsid w:val="00624F4E"/>
    <w:rsid w:val="00624F5E"/>
    <w:rsid w:val="00624F7C"/>
    <w:rsid w:val="006253B7"/>
    <w:rsid w:val="00625612"/>
    <w:rsid w:val="00625649"/>
    <w:rsid w:val="006256D3"/>
    <w:rsid w:val="00625C1A"/>
    <w:rsid w:val="00625C77"/>
    <w:rsid w:val="00625CE5"/>
    <w:rsid w:val="00625EE9"/>
    <w:rsid w:val="00625F2F"/>
    <w:rsid w:val="00626071"/>
    <w:rsid w:val="0062617E"/>
    <w:rsid w:val="00626216"/>
    <w:rsid w:val="006263E6"/>
    <w:rsid w:val="0062662E"/>
    <w:rsid w:val="00626652"/>
    <w:rsid w:val="006267B7"/>
    <w:rsid w:val="006267E9"/>
    <w:rsid w:val="00626905"/>
    <w:rsid w:val="0062696E"/>
    <w:rsid w:val="00626C37"/>
    <w:rsid w:val="00626C39"/>
    <w:rsid w:val="00626F07"/>
    <w:rsid w:val="00626FCF"/>
    <w:rsid w:val="00627019"/>
    <w:rsid w:val="0062707D"/>
    <w:rsid w:val="006270D2"/>
    <w:rsid w:val="00627365"/>
    <w:rsid w:val="006273BE"/>
    <w:rsid w:val="006273F7"/>
    <w:rsid w:val="006274F5"/>
    <w:rsid w:val="00627D97"/>
    <w:rsid w:val="00627FFC"/>
    <w:rsid w:val="00630154"/>
    <w:rsid w:val="00630173"/>
    <w:rsid w:val="00630256"/>
    <w:rsid w:val="0063070E"/>
    <w:rsid w:val="0063071F"/>
    <w:rsid w:val="0063075D"/>
    <w:rsid w:val="006309D8"/>
    <w:rsid w:val="00630BD9"/>
    <w:rsid w:val="00630C5E"/>
    <w:rsid w:val="00630CFB"/>
    <w:rsid w:val="00630FF9"/>
    <w:rsid w:val="00631017"/>
    <w:rsid w:val="006310AD"/>
    <w:rsid w:val="0063128E"/>
    <w:rsid w:val="00631519"/>
    <w:rsid w:val="00631655"/>
    <w:rsid w:val="00631719"/>
    <w:rsid w:val="00631846"/>
    <w:rsid w:val="00631873"/>
    <w:rsid w:val="00631891"/>
    <w:rsid w:val="006318C0"/>
    <w:rsid w:val="00631A4C"/>
    <w:rsid w:val="00631BCE"/>
    <w:rsid w:val="00631E00"/>
    <w:rsid w:val="00631E43"/>
    <w:rsid w:val="00632111"/>
    <w:rsid w:val="0063217B"/>
    <w:rsid w:val="00632459"/>
    <w:rsid w:val="006324D9"/>
    <w:rsid w:val="0063251C"/>
    <w:rsid w:val="006326DF"/>
    <w:rsid w:val="006327CF"/>
    <w:rsid w:val="00632B0E"/>
    <w:rsid w:val="00632C76"/>
    <w:rsid w:val="00632D72"/>
    <w:rsid w:val="00632E50"/>
    <w:rsid w:val="00632E75"/>
    <w:rsid w:val="00632FD8"/>
    <w:rsid w:val="00633629"/>
    <w:rsid w:val="006336B2"/>
    <w:rsid w:val="006339C6"/>
    <w:rsid w:val="00633C36"/>
    <w:rsid w:val="00633C83"/>
    <w:rsid w:val="006340D1"/>
    <w:rsid w:val="006341A9"/>
    <w:rsid w:val="0063426D"/>
    <w:rsid w:val="006342B9"/>
    <w:rsid w:val="0063440B"/>
    <w:rsid w:val="0063461D"/>
    <w:rsid w:val="006347E7"/>
    <w:rsid w:val="006347F3"/>
    <w:rsid w:val="006347F4"/>
    <w:rsid w:val="00634826"/>
    <w:rsid w:val="00634A7D"/>
    <w:rsid w:val="00634AA9"/>
    <w:rsid w:val="00634B42"/>
    <w:rsid w:val="00634D4F"/>
    <w:rsid w:val="00634D53"/>
    <w:rsid w:val="00634E53"/>
    <w:rsid w:val="00635027"/>
    <w:rsid w:val="006350C4"/>
    <w:rsid w:val="006352AB"/>
    <w:rsid w:val="0063544E"/>
    <w:rsid w:val="006354AA"/>
    <w:rsid w:val="00635560"/>
    <w:rsid w:val="006355C4"/>
    <w:rsid w:val="00635A81"/>
    <w:rsid w:val="00635C14"/>
    <w:rsid w:val="00635CB0"/>
    <w:rsid w:val="00635E36"/>
    <w:rsid w:val="00635EA4"/>
    <w:rsid w:val="006360B0"/>
    <w:rsid w:val="00636486"/>
    <w:rsid w:val="0063660C"/>
    <w:rsid w:val="00636664"/>
    <w:rsid w:val="00636694"/>
    <w:rsid w:val="00636A8F"/>
    <w:rsid w:val="00636C4D"/>
    <w:rsid w:val="00636EBB"/>
    <w:rsid w:val="00636EC5"/>
    <w:rsid w:val="00637170"/>
    <w:rsid w:val="00637208"/>
    <w:rsid w:val="006374E0"/>
    <w:rsid w:val="00637687"/>
    <w:rsid w:val="00637764"/>
    <w:rsid w:val="00637C38"/>
    <w:rsid w:val="00637CBA"/>
    <w:rsid w:val="00637DEE"/>
    <w:rsid w:val="00637F64"/>
    <w:rsid w:val="0064037C"/>
    <w:rsid w:val="006404D8"/>
    <w:rsid w:val="00640576"/>
    <w:rsid w:val="0064059A"/>
    <w:rsid w:val="00640962"/>
    <w:rsid w:val="00640AC5"/>
    <w:rsid w:val="006411B6"/>
    <w:rsid w:val="0064126C"/>
    <w:rsid w:val="006413AA"/>
    <w:rsid w:val="006416D2"/>
    <w:rsid w:val="00641A83"/>
    <w:rsid w:val="00641B1F"/>
    <w:rsid w:val="00641D62"/>
    <w:rsid w:val="00641D96"/>
    <w:rsid w:val="006423AA"/>
    <w:rsid w:val="006425D4"/>
    <w:rsid w:val="006426D6"/>
    <w:rsid w:val="00642736"/>
    <w:rsid w:val="00642D91"/>
    <w:rsid w:val="00642E37"/>
    <w:rsid w:val="00642EBD"/>
    <w:rsid w:val="00642F08"/>
    <w:rsid w:val="00642F20"/>
    <w:rsid w:val="0064319B"/>
    <w:rsid w:val="006432E7"/>
    <w:rsid w:val="00643560"/>
    <w:rsid w:val="006437A7"/>
    <w:rsid w:val="00643AF4"/>
    <w:rsid w:val="00643C42"/>
    <w:rsid w:val="00643C8E"/>
    <w:rsid w:val="00643E10"/>
    <w:rsid w:val="00643E35"/>
    <w:rsid w:val="00644178"/>
    <w:rsid w:val="006441F6"/>
    <w:rsid w:val="0064422A"/>
    <w:rsid w:val="00644492"/>
    <w:rsid w:val="00644584"/>
    <w:rsid w:val="006445B1"/>
    <w:rsid w:val="00644A7B"/>
    <w:rsid w:val="00644B8F"/>
    <w:rsid w:val="00644C85"/>
    <w:rsid w:val="00644D3A"/>
    <w:rsid w:val="00644DE9"/>
    <w:rsid w:val="00644FC4"/>
    <w:rsid w:val="0064516B"/>
    <w:rsid w:val="00645207"/>
    <w:rsid w:val="006455AF"/>
    <w:rsid w:val="00645736"/>
    <w:rsid w:val="00645BDE"/>
    <w:rsid w:val="00645D0D"/>
    <w:rsid w:val="00645D31"/>
    <w:rsid w:val="00645E59"/>
    <w:rsid w:val="00645EB6"/>
    <w:rsid w:val="00645EC4"/>
    <w:rsid w:val="00645EEB"/>
    <w:rsid w:val="00645F5B"/>
    <w:rsid w:val="00646092"/>
    <w:rsid w:val="006462C1"/>
    <w:rsid w:val="006465C3"/>
    <w:rsid w:val="006465C9"/>
    <w:rsid w:val="0064669D"/>
    <w:rsid w:val="00646963"/>
    <w:rsid w:val="00646B65"/>
    <w:rsid w:val="00646C6F"/>
    <w:rsid w:val="00646E9E"/>
    <w:rsid w:val="006470C4"/>
    <w:rsid w:val="00647163"/>
    <w:rsid w:val="006471A1"/>
    <w:rsid w:val="0064720C"/>
    <w:rsid w:val="0064722E"/>
    <w:rsid w:val="006478DF"/>
    <w:rsid w:val="00647980"/>
    <w:rsid w:val="00647984"/>
    <w:rsid w:val="00647A7F"/>
    <w:rsid w:val="00647C8F"/>
    <w:rsid w:val="00647E22"/>
    <w:rsid w:val="00647E26"/>
    <w:rsid w:val="00647EE7"/>
    <w:rsid w:val="00650601"/>
    <w:rsid w:val="00650941"/>
    <w:rsid w:val="006509FD"/>
    <w:rsid w:val="00650ABE"/>
    <w:rsid w:val="00650C28"/>
    <w:rsid w:val="00650E6D"/>
    <w:rsid w:val="00650FA3"/>
    <w:rsid w:val="006510C1"/>
    <w:rsid w:val="006510CE"/>
    <w:rsid w:val="006512D6"/>
    <w:rsid w:val="00651360"/>
    <w:rsid w:val="0065137A"/>
    <w:rsid w:val="0065138D"/>
    <w:rsid w:val="00651812"/>
    <w:rsid w:val="0065196B"/>
    <w:rsid w:val="00651A30"/>
    <w:rsid w:val="00651A50"/>
    <w:rsid w:val="00651BBB"/>
    <w:rsid w:val="00651BFD"/>
    <w:rsid w:val="00651C42"/>
    <w:rsid w:val="00651C59"/>
    <w:rsid w:val="00651D74"/>
    <w:rsid w:val="00652217"/>
    <w:rsid w:val="0065258D"/>
    <w:rsid w:val="0065285C"/>
    <w:rsid w:val="00652880"/>
    <w:rsid w:val="00652C3A"/>
    <w:rsid w:val="00652DB7"/>
    <w:rsid w:val="00652FCE"/>
    <w:rsid w:val="006530F5"/>
    <w:rsid w:val="006532C8"/>
    <w:rsid w:val="006538B5"/>
    <w:rsid w:val="0065394F"/>
    <w:rsid w:val="00653A97"/>
    <w:rsid w:val="00653B1B"/>
    <w:rsid w:val="006541F5"/>
    <w:rsid w:val="00654240"/>
    <w:rsid w:val="006543A9"/>
    <w:rsid w:val="006543BA"/>
    <w:rsid w:val="00654487"/>
    <w:rsid w:val="00654926"/>
    <w:rsid w:val="00654D72"/>
    <w:rsid w:val="00654F8A"/>
    <w:rsid w:val="006552D0"/>
    <w:rsid w:val="006553F3"/>
    <w:rsid w:val="00655640"/>
    <w:rsid w:val="006556D1"/>
    <w:rsid w:val="006556D9"/>
    <w:rsid w:val="00655AEE"/>
    <w:rsid w:val="00655BB2"/>
    <w:rsid w:val="00655FFA"/>
    <w:rsid w:val="00656024"/>
    <w:rsid w:val="0065607A"/>
    <w:rsid w:val="006564CB"/>
    <w:rsid w:val="006565F7"/>
    <w:rsid w:val="006566BF"/>
    <w:rsid w:val="0065673A"/>
    <w:rsid w:val="00656A8E"/>
    <w:rsid w:val="00656AD1"/>
    <w:rsid w:val="00656C28"/>
    <w:rsid w:val="00656CDB"/>
    <w:rsid w:val="00656DA0"/>
    <w:rsid w:val="00657123"/>
    <w:rsid w:val="00657189"/>
    <w:rsid w:val="0065724E"/>
    <w:rsid w:val="00657304"/>
    <w:rsid w:val="0065754B"/>
    <w:rsid w:val="0065763E"/>
    <w:rsid w:val="006576EC"/>
    <w:rsid w:val="00657773"/>
    <w:rsid w:val="006579F8"/>
    <w:rsid w:val="00657A62"/>
    <w:rsid w:val="00657D98"/>
    <w:rsid w:val="00657F90"/>
    <w:rsid w:val="0066001D"/>
    <w:rsid w:val="0066008B"/>
    <w:rsid w:val="006600BF"/>
    <w:rsid w:val="006600DB"/>
    <w:rsid w:val="0066030A"/>
    <w:rsid w:val="006603A0"/>
    <w:rsid w:val="006607A9"/>
    <w:rsid w:val="006609CF"/>
    <w:rsid w:val="00660B67"/>
    <w:rsid w:val="00660BBF"/>
    <w:rsid w:val="0066108A"/>
    <w:rsid w:val="00661091"/>
    <w:rsid w:val="006613C0"/>
    <w:rsid w:val="006616A1"/>
    <w:rsid w:val="0066175B"/>
    <w:rsid w:val="00661782"/>
    <w:rsid w:val="0066194E"/>
    <w:rsid w:val="00661BCB"/>
    <w:rsid w:val="00661C46"/>
    <w:rsid w:val="00661DDF"/>
    <w:rsid w:val="00661E17"/>
    <w:rsid w:val="0066202F"/>
    <w:rsid w:val="00662148"/>
    <w:rsid w:val="00662177"/>
    <w:rsid w:val="006622A8"/>
    <w:rsid w:val="006622D3"/>
    <w:rsid w:val="006626BE"/>
    <w:rsid w:val="0066282D"/>
    <w:rsid w:val="00662C5B"/>
    <w:rsid w:val="00662D84"/>
    <w:rsid w:val="00662ECD"/>
    <w:rsid w:val="006630FC"/>
    <w:rsid w:val="00663147"/>
    <w:rsid w:val="00663344"/>
    <w:rsid w:val="00663405"/>
    <w:rsid w:val="006634E9"/>
    <w:rsid w:val="006636A6"/>
    <w:rsid w:val="006639AC"/>
    <w:rsid w:val="00663ADA"/>
    <w:rsid w:val="00663C32"/>
    <w:rsid w:val="00663C93"/>
    <w:rsid w:val="00663CFB"/>
    <w:rsid w:val="00663D45"/>
    <w:rsid w:val="00663DFB"/>
    <w:rsid w:val="00663EDA"/>
    <w:rsid w:val="00664416"/>
    <w:rsid w:val="006644E1"/>
    <w:rsid w:val="006645EC"/>
    <w:rsid w:val="00664642"/>
    <w:rsid w:val="00664674"/>
    <w:rsid w:val="0066487E"/>
    <w:rsid w:val="00664C0C"/>
    <w:rsid w:val="00664C57"/>
    <w:rsid w:val="00664F8B"/>
    <w:rsid w:val="0066506E"/>
    <w:rsid w:val="006652D3"/>
    <w:rsid w:val="0066540D"/>
    <w:rsid w:val="006654AB"/>
    <w:rsid w:val="00665888"/>
    <w:rsid w:val="00665DF7"/>
    <w:rsid w:val="00665FCD"/>
    <w:rsid w:val="0066612D"/>
    <w:rsid w:val="00666358"/>
    <w:rsid w:val="00666492"/>
    <w:rsid w:val="0066686F"/>
    <w:rsid w:val="00666B4F"/>
    <w:rsid w:val="00666CBE"/>
    <w:rsid w:val="00666DA1"/>
    <w:rsid w:val="00667409"/>
    <w:rsid w:val="00667724"/>
    <w:rsid w:val="00667818"/>
    <w:rsid w:val="00667B59"/>
    <w:rsid w:val="00667BC6"/>
    <w:rsid w:val="00667C3E"/>
    <w:rsid w:val="00667CF3"/>
    <w:rsid w:val="00667D4B"/>
    <w:rsid w:val="00667DF3"/>
    <w:rsid w:val="00667F94"/>
    <w:rsid w:val="00667FDC"/>
    <w:rsid w:val="00670380"/>
    <w:rsid w:val="0067050A"/>
    <w:rsid w:val="006705D5"/>
    <w:rsid w:val="00670644"/>
    <w:rsid w:val="006706B5"/>
    <w:rsid w:val="00670722"/>
    <w:rsid w:val="00670A44"/>
    <w:rsid w:val="00670C07"/>
    <w:rsid w:val="00670F72"/>
    <w:rsid w:val="00670F81"/>
    <w:rsid w:val="00671047"/>
    <w:rsid w:val="0067158A"/>
    <w:rsid w:val="00671738"/>
    <w:rsid w:val="006719B2"/>
    <w:rsid w:val="006719EC"/>
    <w:rsid w:val="00671CC3"/>
    <w:rsid w:val="00671FF4"/>
    <w:rsid w:val="00672582"/>
    <w:rsid w:val="00672601"/>
    <w:rsid w:val="00672A3A"/>
    <w:rsid w:val="00672A4A"/>
    <w:rsid w:val="00672C45"/>
    <w:rsid w:val="00672E93"/>
    <w:rsid w:val="00672F79"/>
    <w:rsid w:val="00673033"/>
    <w:rsid w:val="0067319C"/>
    <w:rsid w:val="00673488"/>
    <w:rsid w:val="0067351A"/>
    <w:rsid w:val="006736D2"/>
    <w:rsid w:val="00673766"/>
    <w:rsid w:val="006739DB"/>
    <w:rsid w:val="00673A9F"/>
    <w:rsid w:val="00673CBB"/>
    <w:rsid w:val="00673DC1"/>
    <w:rsid w:val="00673F42"/>
    <w:rsid w:val="00674042"/>
    <w:rsid w:val="006740A7"/>
    <w:rsid w:val="006742E6"/>
    <w:rsid w:val="0067434E"/>
    <w:rsid w:val="006743CB"/>
    <w:rsid w:val="006743F0"/>
    <w:rsid w:val="006744B2"/>
    <w:rsid w:val="006744EA"/>
    <w:rsid w:val="006748EC"/>
    <w:rsid w:val="00674D58"/>
    <w:rsid w:val="00674F9C"/>
    <w:rsid w:val="006754BA"/>
    <w:rsid w:val="006758C9"/>
    <w:rsid w:val="006758FC"/>
    <w:rsid w:val="00675A5F"/>
    <w:rsid w:val="00675D22"/>
    <w:rsid w:val="006764BC"/>
    <w:rsid w:val="006769C4"/>
    <w:rsid w:val="00676A32"/>
    <w:rsid w:val="00676C6F"/>
    <w:rsid w:val="0067740F"/>
    <w:rsid w:val="00677456"/>
    <w:rsid w:val="006774B0"/>
    <w:rsid w:val="006774F6"/>
    <w:rsid w:val="00677627"/>
    <w:rsid w:val="006776C7"/>
    <w:rsid w:val="00677743"/>
    <w:rsid w:val="006777C0"/>
    <w:rsid w:val="00677A67"/>
    <w:rsid w:val="00677A87"/>
    <w:rsid w:val="00677BD5"/>
    <w:rsid w:val="00677CD8"/>
    <w:rsid w:val="00677E3C"/>
    <w:rsid w:val="006800A0"/>
    <w:rsid w:val="0068025E"/>
    <w:rsid w:val="00680454"/>
    <w:rsid w:val="0068051B"/>
    <w:rsid w:val="006805D9"/>
    <w:rsid w:val="0068082B"/>
    <w:rsid w:val="00680912"/>
    <w:rsid w:val="00680CE5"/>
    <w:rsid w:val="00680E8B"/>
    <w:rsid w:val="0068115E"/>
    <w:rsid w:val="0068150F"/>
    <w:rsid w:val="006818D0"/>
    <w:rsid w:val="006819A3"/>
    <w:rsid w:val="00681D51"/>
    <w:rsid w:val="00681E2F"/>
    <w:rsid w:val="00681F84"/>
    <w:rsid w:val="00682129"/>
    <w:rsid w:val="0068266C"/>
    <w:rsid w:val="006827AE"/>
    <w:rsid w:val="006828D9"/>
    <w:rsid w:val="00682C54"/>
    <w:rsid w:val="00682D3A"/>
    <w:rsid w:val="00682DD9"/>
    <w:rsid w:val="00682E32"/>
    <w:rsid w:val="00682E55"/>
    <w:rsid w:val="0068340E"/>
    <w:rsid w:val="006834DF"/>
    <w:rsid w:val="00683528"/>
    <w:rsid w:val="006836CB"/>
    <w:rsid w:val="00683722"/>
    <w:rsid w:val="00683B5B"/>
    <w:rsid w:val="00683C6E"/>
    <w:rsid w:val="00683C78"/>
    <w:rsid w:val="00683D2F"/>
    <w:rsid w:val="00683EDA"/>
    <w:rsid w:val="00683FC9"/>
    <w:rsid w:val="00684044"/>
    <w:rsid w:val="00684079"/>
    <w:rsid w:val="006840B2"/>
    <w:rsid w:val="006843F6"/>
    <w:rsid w:val="00684519"/>
    <w:rsid w:val="0068491F"/>
    <w:rsid w:val="00684F33"/>
    <w:rsid w:val="00684F4C"/>
    <w:rsid w:val="006851A2"/>
    <w:rsid w:val="00685462"/>
    <w:rsid w:val="00685494"/>
    <w:rsid w:val="0068562C"/>
    <w:rsid w:val="0068563E"/>
    <w:rsid w:val="00685DE4"/>
    <w:rsid w:val="00685E1A"/>
    <w:rsid w:val="00685EE3"/>
    <w:rsid w:val="00685F6B"/>
    <w:rsid w:val="00685F93"/>
    <w:rsid w:val="00686118"/>
    <w:rsid w:val="0068611E"/>
    <w:rsid w:val="00686163"/>
    <w:rsid w:val="006861C0"/>
    <w:rsid w:val="0068622D"/>
    <w:rsid w:val="00686596"/>
    <w:rsid w:val="00686CC2"/>
    <w:rsid w:val="00686F00"/>
    <w:rsid w:val="00687B22"/>
    <w:rsid w:val="00687C2B"/>
    <w:rsid w:val="00687C97"/>
    <w:rsid w:val="00687D5A"/>
    <w:rsid w:val="006902AD"/>
    <w:rsid w:val="00690324"/>
    <w:rsid w:val="006904BB"/>
    <w:rsid w:val="006904C2"/>
    <w:rsid w:val="006904DD"/>
    <w:rsid w:val="00690524"/>
    <w:rsid w:val="00690843"/>
    <w:rsid w:val="00690B45"/>
    <w:rsid w:val="00690D45"/>
    <w:rsid w:val="00690E35"/>
    <w:rsid w:val="00690E49"/>
    <w:rsid w:val="00690E71"/>
    <w:rsid w:val="006911C8"/>
    <w:rsid w:val="00691459"/>
    <w:rsid w:val="0069168F"/>
    <w:rsid w:val="00691924"/>
    <w:rsid w:val="00691FAA"/>
    <w:rsid w:val="006921F3"/>
    <w:rsid w:val="006923A2"/>
    <w:rsid w:val="00692D12"/>
    <w:rsid w:val="00692F27"/>
    <w:rsid w:val="00693137"/>
    <w:rsid w:val="006934ED"/>
    <w:rsid w:val="0069352E"/>
    <w:rsid w:val="00693531"/>
    <w:rsid w:val="0069375E"/>
    <w:rsid w:val="00693842"/>
    <w:rsid w:val="00693874"/>
    <w:rsid w:val="00693888"/>
    <w:rsid w:val="00693889"/>
    <w:rsid w:val="006939D2"/>
    <w:rsid w:val="006939D3"/>
    <w:rsid w:val="00693B76"/>
    <w:rsid w:val="00693C87"/>
    <w:rsid w:val="00693D3E"/>
    <w:rsid w:val="00693E01"/>
    <w:rsid w:val="0069457A"/>
    <w:rsid w:val="006949A7"/>
    <w:rsid w:val="00694B65"/>
    <w:rsid w:val="00694BB8"/>
    <w:rsid w:val="00694C69"/>
    <w:rsid w:val="00694D53"/>
    <w:rsid w:val="00694D5A"/>
    <w:rsid w:val="00694E58"/>
    <w:rsid w:val="00694FD4"/>
    <w:rsid w:val="006951B4"/>
    <w:rsid w:val="006951CE"/>
    <w:rsid w:val="006951E5"/>
    <w:rsid w:val="006951FF"/>
    <w:rsid w:val="00695621"/>
    <w:rsid w:val="00695B5A"/>
    <w:rsid w:val="00695D1E"/>
    <w:rsid w:val="00695DC2"/>
    <w:rsid w:val="00695FCA"/>
    <w:rsid w:val="00696335"/>
    <w:rsid w:val="006964B9"/>
    <w:rsid w:val="00696782"/>
    <w:rsid w:val="006968ED"/>
    <w:rsid w:val="006969FF"/>
    <w:rsid w:val="00696A4D"/>
    <w:rsid w:val="00696C70"/>
    <w:rsid w:val="00696D9D"/>
    <w:rsid w:val="00696EDD"/>
    <w:rsid w:val="00697624"/>
    <w:rsid w:val="00697AC9"/>
    <w:rsid w:val="00697D19"/>
    <w:rsid w:val="00697DE0"/>
    <w:rsid w:val="006A0052"/>
    <w:rsid w:val="006A04D4"/>
    <w:rsid w:val="006A05C7"/>
    <w:rsid w:val="006A05E3"/>
    <w:rsid w:val="006A063E"/>
    <w:rsid w:val="006A08CA"/>
    <w:rsid w:val="006A096A"/>
    <w:rsid w:val="006A0E43"/>
    <w:rsid w:val="006A102D"/>
    <w:rsid w:val="006A11E4"/>
    <w:rsid w:val="006A11E5"/>
    <w:rsid w:val="006A141B"/>
    <w:rsid w:val="006A1471"/>
    <w:rsid w:val="006A15CF"/>
    <w:rsid w:val="006A16F0"/>
    <w:rsid w:val="006A195A"/>
    <w:rsid w:val="006A1BE2"/>
    <w:rsid w:val="006A1C8E"/>
    <w:rsid w:val="006A1D2B"/>
    <w:rsid w:val="006A1E3C"/>
    <w:rsid w:val="006A20A4"/>
    <w:rsid w:val="006A2116"/>
    <w:rsid w:val="006A26DF"/>
    <w:rsid w:val="006A2947"/>
    <w:rsid w:val="006A29FF"/>
    <w:rsid w:val="006A2A3C"/>
    <w:rsid w:val="006A2AB9"/>
    <w:rsid w:val="006A2CF1"/>
    <w:rsid w:val="006A2DB4"/>
    <w:rsid w:val="006A31F2"/>
    <w:rsid w:val="006A350E"/>
    <w:rsid w:val="006A35EC"/>
    <w:rsid w:val="006A3A94"/>
    <w:rsid w:val="006A3B7A"/>
    <w:rsid w:val="006A3C84"/>
    <w:rsid w:val="006A3CD7"/>
    <w:rsid w:val="006A3DD4"/>
    <w:rsid w:val="006A414D"/>
    <w:rsid w:val="006A41F8"/>
    <w:rsid w:val="006A4290"/>
    <w:rsid w:val="006A42A5"/>
    <w:rsid w:val="006A437B"/>
    <w:rsid w:val="006A451E"/>
    <w:rsid w:val="006A45BB"/>
    <w:rsid w:val="006A4949"/>
    <w:rsid w:val="006A4E0E"/>
    <w:rsid w:val="006A4E52"/>
    <w:rsid w:val="006A4F75"/>
    <w:rsid w:val="006A4FC8"/>
    <w:rsid w:val="006A50F1"/>
    <w:rsid w:val="006A515B"/>
    <w:rsid w:val="006A517B"/>
    <w:rsid w:val="006A535E"/>
    <w:rsid w:val="006A55E1"/>
    <w:rsid w:val="006A5B20"/>
    <w:rsid w:val="006A5C50"/>
    <w:rsid w:val="006A5C5C"/>
    <w:rsid w:val="006A601C"/>
    <w:rsid w:val="006A603D"/>
    <w:rsid w:val="006A607B"/>
    <w:rsid w:val="006A61EC"/>
    <w:rsid w:val="006A6236"/>
    <w:rsid w:val="006A6296"/>
    <w:rsid w:val="006A63C9"/>
    <w:rsid w:val="006A646B"/>
    <w:rsid w:val="006A648F"/>
    <w:rsid w:val="006A66FE"/>
    <w:rsid w:val="006A684B"/>
    <w:rsid w:val="006A6A53"/>
    <w:rsid w:val="006A6A87"/>
    <w:rsid w:val="006A6BEB"/>
    <w:rsid w:val="006A6E27"/>
    <w:rsid w:val="006A6EAC"/>
    <w:rsid w:val="006A6FB8"/>
    <w:rsid w:val="006A7034"/>
    <w:rsid w:val="006A70AA"/>
    <w:rsid w:val="006A70CC"/>
    <w:rsid w:val="006A7131"/>
    <w:rsid w:val="006A7161"/>
    <w:rsid w:val="006A72B0"/>
    <w:rsid w:val="006A7381"/>
    <w:rsid w:val="006A7430"/>
    <w:rsid w:val="006A74E5"/>
    <w:rsid w:val="006A78BF"/>
    <w:rsid w:val="006A78EC"/>
    <w:rsid w:val="006A7AB4"/>
    <w:rsid w:val="006A7E05"/>
    <w:rsid w:val="006B01AB"/>
    <w:rsid w:val="006B01DA"/>
    <w:rsid w:val="006B02C4"/>
    <w:rsid w:val="006B03AA"/>
    <w:rsid w:val="006B03CB"/>
    <w:rsid w:val="006B0443"/>
    <w:rsid w:val="006B04FE"/>
    <w:rsid w:val="006B05D4"/>
    <w:rsid w:val="006B061A"/>
    <w:rsid w:val="006B069A"/>
    <w:rsid w:val="006B075C"/>
    <w:rsid w:val="006B0856"/>
    <w:rsid w:val="006B0894"/>
    <w:rsid w:val="006B0BEB"/>
    <w:rsid w:val="006B133F"/>
    <w:rsid w:val="006B13AF"/>
    <w:rsid w:val="006B1784"/>
    <w:rsid w:val="006B18C5"/>
    <w:rsid w:val="006B1932"/>
    <w:rsid w:val="006B1B85"/>
    <w:rsid w:val="006B1F47"/>
    <w:rsid w:val="006B1FDA"/>
    <w:rsid w:val="006B25CB"/>
    <w:rsid w:val="006B278B"/>
    <w:rsid w:val="006B28D2"/>
    <w:rsid w:val="006B2BE0"/>
    <w:rsid w:val="006B3193"/>
    <w:rsid w:val="006B33CD"/>
    <w:rsid w:val="006B36AE"/>
    <w:rsid w:val="006B385E"/>
    <w:rsid w:val="006B3980"/>
    <w:rsid w:val="006B3CEE"/>
    <w:rsid w:val="006B3CF7"/>
    <w:rsid w:val="006B3E4D"/>
    <w:rsid w:val="006B3E90"/>
    <w:rsid w:val="006B4018"/>
    <w:rsid w:val="006B417B"/>
    <w:rsid w:val="006B4449"/>
    <w:rsid w:val="006B474F"/>
    <w:rsid w:val="006B47F9"/>
    <w:rsid w:val="006B4A1A"/>
    <w:rsid w:val="006B4B38"/>
    <w:rsid w:val="006B4C0C"/>
    <w:rsid w:val="006B4EAB"/>
    <w:rsid w:val="006B5091"/>
    <w:rsid w:val="006B50B8"/>
    <w:rsid w:val="006B50F9"/>
    <w:rsid w:val="006B514B"/>
    <w:rsid w:val="006B5279"/>
    <w:rsid w:val="006B5564"/>
    <w:rsid w:val="006B5756"/>
    <w:rsid w:val="006B5989"/>
    <w:rsid w:val="006B5A61"/>
    <w:rsid w:val="006B5AA8"/>
    <w:rsid w:val="006B5C4C"/>
    <w:rsid w:val="006B5CDD"/>
    <w:rsid w:val="006B5D79"/>
    <w:rsid w:val="006B5FBC"/>
    <w:rsid w:val="006B62C5"/>
    <w:rsid w:val="006B6376"/>
    <w:rsid w:val="006B64B0"/>
    <w:rsid w:val="006B64E8"/>
    <w:rsid w:val="006B654C"/>
    <w:rsid w:val="006B66EE"/>
    <w:rsid w:val="006B69D9"/>
    <w:rsid w:val="006B6AEF"/>
    <w:rsid w:val="006B6BEF"/>
    <w:rsid w:val="006B6DA1"/>
    <w:rsid w:val="006B76C2"/>
    <w:rsid w:val="006B77A6"/>
    <w:rsid w:val="006B7877"/>
    <w:rsid w:val="006B7CBC"/>
    <w:rsid w:val="006B7D29"/>
    <w:rsid w:val="006B7E36"/>
    <w:rsid w:val="006C02CD"/>
    <w:rsid w:val="006C06A9"/>
    <w:rsid w:val="006C0817"/>
    <w:rsid w:val="006C0D10"/>
    <w:rsid w:val="006C0D70"/>
    <w:rsid w:val="006C0E06"/>
    <w:rsid w:val="006C132E"/>
    <w:rsid w:val="006C13A3"/>
    <w:rsid w:val="006C13ED"/>
    <w:rsid w:val="006C14C7"/>
    <w:rsid w:val="006C157B"/>
    <w:rsid w:val="006C1687"/>
    <w:rsid w:val="006C1822"/>
    <w:rsid w:val="006C1896"/>
    <w:rsid w:val="006C1D17"/>
    <w:rsid w:val="006C1E2F"/>
    <w:rsid w:val="006C21F1"/>
    <w:rsid w:val="006C26BB"/>
    <w:rsid w:val="006C281B"/>
    <w:rsid w:val="006C2875"/>
    <w:rsid w:val="006C2ABA"/>
    <w:rsid w:val="006C2B59"/>
    <w:rsid w:val="006C2C86"/>
    <w:rsid w:val="006C2C8B"/>
    <w:rsid w:val="006C2D1A"/>
    <w:rsid w:val="006C3001"/>
    <w:rsid w:val="006C30A7"/>
    <w:rsid w:val="006C34A1"/>
    <w:rsid w:val="006C3686"/>
    <w:rsid w:val="006C37F6"/>
    <w:rsid w:val="006C38C1"/>
    <w:rsid w:val="006C38EF"/>
    <w:rsid w:val="006C3989"/>
    <w:rsid w:val="006C39BC"/>
    <w:rsid w:val="006C3B5F"/>
    <w:rsid w:val="006C3BAB"/>
    <w:rsid w:val="006C3BCF"/>
    <w:rsid w:val="006C3BEF"/>
    <w:rsid w:val="006C3D8C"/>
    <w:rsid w:val="006C3EBC"/>
    <w:rsid w:val="006C3F9D"/>
    <w:rsid w:val="006C4043"/>
    <w:rsid w:val="006C41C1"/>
    <w:rsid w:val="006C41ED"/>
    <w:rsid w:val="006C43FB"/>
    <w:rsid w:val="006C4436"/>
    <w:rsid w:val="006C47A8"/>
    <w:rsid w:val="006C4849"/>
    <w:rsid w:val="006C4950"/>
    <w:rsid w:val="006C49AF"/>
    <w:rsid w:val="006C4DEF"/>
    <w:rsid w:val="006C4F0A"/>
    <w:rsid w:val="006C5156"/>
    <w:rsid w:val="006C516A"/>
    <w:rsid w:val="006C52B9"/>
    <w:rsid w:val="006C52BE"/>
    <w:rsid w:val="006C53B8"/>
    <w:rsid w:val="006C53D2"/>
    <w:rsid w:val="006C559A"/>
    <w:rsid w:val="006C5783"/>
    <w:rsid w:val="006C5884"/>
    <w:rsid w:val="006C58DB"/>
    <w:rsid w:val="006C58E3"/>
    <w:rsid w:val="006C5A3B"/>
    <w:rsid w:val="006C5A8D"/>
    <w:rsid w:val="006C5CDD"/>
    <w:rsid w:val="006C5D0C"/>
    <w:rsid w:val="006C5D9C"/>
    <w:rsid w:val="006C5E6F"/>
    <w:rsid w:val="006C6002"/>
    <w:rsid w:val="006C60CF"/>
    <w:rsid w:val="006C6346"/>
    <w:rsid w:val="006C63AC"/>
    <w:rsid w:val="006C6798"/>
    <w:rsid w:val="006C67A2"/>
    <w:rsid w:val="006C6C23"/>
    <w:rsid w:val="006C6ED1"/>
    <w:rsid w:val="006C6F68"/>
    <w:rsid w:val="006C719B"/>
    <w:rsid w:val="006C7428"/>
    <w:rsid w:val="006C7FB8"/>
    <w:rsid w:val="006C7FF1"/>
    <w:rsid w:val="006D011C"/>
    <w:rsid w:val="006D02AA"/>
    <w:rsid w:val="006D046B"/>
    <w:rsid w:val="006D05AF"/>
    <w:rsid w:val="006D0A1F"/>
    <w:rsid w:val="006D0A3B"/>
    <w:rsid w:val="006D0AD7"/>
    <w:rsid w:val="006D0C7A"/>
    <w:rsid w:val="006D0E31"/>
    <w:rsid w:val="006D0F89"/>
    <w:rsid w:val="006D1A26"/>
    <w:rsid w:val="006D1A50"/>
    <w:rsid w:val="006D1DFE"/>
    <w:rsid w:val="006D1E7D"/>
    <w:rsid w:val="006D1F7A"/>
    <w:rsid w:val="006D20A4"/>
    <w:rsid w:val="006D2560"/>
    <w:rsid w:val="006D25EC"/>
    <w:rsid w:val="006D26A1"/>
    <w:rsid w:val="006D2A76"/>
    <w:rsid w:val="006D2CAA"/>
    <w:rsid w:val="006D2F45"/>
    <w:rsid w:val="006D30D0"/>
    <w:rsid w:val="006D328B"/>
    <w:rsid w:val="006D3620"/>
    <w:rsid w:val="006D364E"/>
    <w:rsid w:val="006D3674"/>
    <w:rsid w:val="006D3861"/>
    <w:rsid w:val="006D3BDC"/>
    <w:rsid w:val="006D3DAC"/>
    <w:rsid w:val="006D41CE"/>
    <w:rsid w:val="006D460E"/>
    <w:rsid w:val="006D472A"/>
    <w:rsid w:val="006D4CA2"/>
    <w:rsid w:val="006D4EFD"/>
    <w:rsid w:val="006D5176"/>
    <w:rsid w:val="006D51BA"/>
    <w:rsid w:val="006D51C8"/>
    <w:rsid w:val="006D5201"/>
    <w:rsid w:val="006D5313"/>
    <w:rsid w:val="006D535C"/>
    <w:rsid w:val="006D5510"/>
    <w:rsid w:val="006D55C0"/>
    <w:rsid w:val="006D5758"/>
    <w:rsid w:val="006D5820"/>
    <w:rsid w:val="006D5886"/>
    <w:rsid w:val="006D5987"/>
    <w:rsid w:val="006D5E02"/>
    <w:rsid w:val="006D5F27"/>
    <w:rsid w:val="006D5F2F"/>
    <w:rsid w:val="006D5F9A"/>
    <w:rsid w:val="006D5FF4"/>
    <w:rsid w:val="006D5FFD"/>
    <w:rsid w:val="006D61F9"/>
    <w:rsid w:val="006D665E"/>
    <w:rsid w:val="006D6703"/>
    <w:rsid w:val="006D673F"/>
    <w:rsid w:val="006D6944"/>
    <w:rsid w:val="006D6989"/>
    <w:rsid w:val="006D6AF0"/>
    <w:rsid w:val="006D6C23"/>
    <w:rsid w:val="006D6F24"/>
    <w:rsid w:val="006D70C4"/>
    <w:rsid w:val="006D71C4"/>
    <w:rsid w:val="006D7301"/>
    <w:rsid w:val="006D73FC"/>
    <w:rsid w:val="006D74ED"/>
    <w:rsid w:val="006D78EB"/>
    <w:rsid w:val="006D7C6D"/>
    <w:rsid w:val="006E058C"/>
    <w:rsid w:val="006E0615"/>
    <w:rsid w:val="006E0922"/>
    <w:rsid w:val="006E0B0D"/>
    <w:rsid w:val="006E0ED9"/>
    <w:rsid w:val="006E0EF4"/>
    <w:rsid w:val="006E0F5D"/>
    <w:rsid w:val="006E0FA4"/>
    <w:rsid w:val="006E105C"/>
    <w:rsid w:val="006E13A6"/>
    <w:rsid w:val="006E13C3"/>
    <w:rsid w:val="006E1629"/>
    <w:rsid w:val="006E163D"/>
    <w:rsid w:val="006E16F2"/>
    <w:rsid w:val="006E1946"/>
    <w:rsid w:val="006E2008"/>
    <w:rsid w:val="006E216D"/>
    <w:rsid w:val="006E21C3"/>
    <w:rsid w:val="006E2242"/>
    <w:rsid w:val="006E2427"/>
    <w:rsid w:val="006E2429"/>
    <w:rsid w:val="006E2656"/>
    <w:rsid w:val="006E28FF"/>
    <w:rsid w:val="006E2BB3"/>
    <w:rsid w:val="006E2D4B"/>
    <w:rsid w:val="006E3253"/>
    <w:rsid w:val="006E3791"/>
    <w:rsid w:val="006E3848"/>
    <w:rsid w:val="006E3858"/>
    <w:rsid w:val="006E38A2"/>
    <w:rsid w:val="006E3B5B"/>
    <w:rsid w:val="006E3D01"/>
    <w:rsid w:val="006E3DA4"/>
    <w:rsid w:val="006E3F98"/>
    <w:rsid w:val="006E4021"/>
    <w:rsid w:val="006E402D"/>
    <w:rsid w:val="006E4056"/>
    <w:rsid w:val="006E418D"/>
    <w:rsid w:val="006E42CD"/>
    <w:rsid w:val="006E452E"/>
    <w:rsid w:val="006E4654"/>
    <w:rsid w:val="006E4679"/>
    <w:rsid w:val="006E4690"/>
    <w:rsid w:val="006E48EE"/>
    <w:rsid w:val="006E4A3B"/>
    <w:rsid w:val="006E4A43"/>
    <w:rsid w:val="006E4B4C"/>
    <w:rsid w:val="006E501D"/>
    <w:rsid w:val="006E50E1"/>
    <w:rsid w:val="006E5147"/>
    <w:rsid w:val="006E51DD"/>
    <w:rsid w:val="006E5269"/>
    <w:rsid w:val="006E539A"/>
    <w:rsid w:val="006E5658"/>
    <w:rsid w:val="006E5934"/>
    <w:rsid w:val="006E5A22"/>
    <w:rsid w:val="006E5BC2"/>
    <w:rsid w:val="006E5D74"/>
    <w:rsid w:val="006E5F40"/>
    <w:rsid w:val="006E5F44"/>
    <w:rsid w:val="006E63E5"/>
    <w:rsid w:val="006E6702"/>
    <w:rsid w:val="006E6779"/>
    <w:rsid w:val="006E6BC2"/>
    <w:rsid w:val="006E6CE7"/>
    <w:rsid w:val="006E6FFE"/>
    <w:rsid w:val="006E744A"/>
    <w:rsid w:val="006E77A5"/>
    <w:rsid w:val="006E77BB"/>
    <w:rsid w:val="006E780C"/>
    <w:rsid w:val="006E782A"/>
    <w:rsid w:val="006E7A3D"/>
    <w:rsid w:val="006E7B9A"/>
    <w:rsid w:val="006E7BD2"/>
    <w:rsid w:val="006E7C55"/>
    <w:rsid w:val="006E7EF3"/>
    <w:rsid w:val="006E7FB6"/>
    <w:rsid w:val="006F020F"/>
    <w:rsid w:val="006F061C"/>
    <w:rsid w:val="006F072A"/>
    <w:rsid w:val="006F0800"/>
    <w:rsid w:val="006F08A3"/>
    <w:rsid w:val="006F08FA"/>
    <w:rsid w:val="006F0915"/>
    <w:rsid w:val="006F0A2F"/>
    <w:rsid w:val="006F0A30"/>
    <w:rsid w:val="006F0AC8"/>
    <w:rsid w:val="006F0C53"/>
    <w:rsid w:val="006F0DA6"/>
    <w:rsid w:val="006F0F62"/>
    <w:rsid w:val="006F1024"/>
    <w:rsid w:val="006F11A1"/>
    <w:rsid w:val="006F129F"/>
    <w:rsid w:val="006F13E0"/>
    <w:rsid w:val="006F1488"/>
    <w:rsid w:val="006F179B"/>
    <w:rsid w:val="006F18D6"/>
    <w:rsid w:val="006F1A6C"/>
    <w:rsid w:val="006F1EE6"/>
    <w:rsid w:val="006F1F36"/>
    <w:rsid w:val="006F2290"/>
    <w:rsid w:val="006F26B4"/>
    <w:rsid w:val="006F2A0D"/>
    <w:rsid w:val="006F2C8F"/>
    <w:rsid w:val="006F2D0A"/>
    <w:rsid w:val="006F2D7F"/>
    <w:rsid w:val="006F2E6F"/>
    <w:rsid w:val="006F2F20"/>
    <w:rsid w:val="006F2FC5"/>
    <w:rsid w:val="006F319D"/>
    <w:rsid w:val="006F33AD"/>
    <w:rsid w:val="006F3549"/>
    <w:rsid w:val="006F36F6"/>
    <w:rsid w:val="006F37BE"/>
    <w:rsid w:val="006F3ABE"/>
    <w:rsid w:val="006F3C1F"/>
    <w:rsid w:val="006F3FF7"/>
    <w:rsid w:val="006F41F0"/>
    <w:rsid w:val="006F431E"/>
    <w:rsid w:val="006F43A1"/>
    <w:rsid w:val="006F45A4"/>
    <w:rsid w:val="006F474D"/>
    <w:rsid w:val="006F48C3"/>
    <w:rsid w:val="006F4C55"/>
    <w:rsid w:val="006F4C65"/>
    <w:rsid w:val="006F4CC9"/>
    <w:rsid w:val="006F4FB4"/>
    <w:rsid w:val="006F52CE"/>
    <w:rsid w:val="006F53B6"/>
    <w:rsid w:val="006F5847"/>
    <w:rsid w:val="006F5A17"/>
    <w:rsid w:val="006F5A7C"/>
    <w:rsid w:val="006F5CC2"/>
    <w:rsid w:val="006F5DE7"/>
    <w:rsid w:val="006F6182"/>
    <w:rsid w:val="006F622E"/>
    <w:rsid w:val="006F6303"/>
    <w:rsid w:val="006F6316"/>
    <w:rsid w:val="006F65A2"/>
    <w:rsid w:val="006F66B6"/>
    <w:rsid w:val="006F6885"/>
    <w:rsid w:val="006F6C31"/>
    <w:rsid w:val="006F71CF"/>
    <w:rsid w:val="006F7253"/>
    <w:rsid w:val="006F74B5"/>
    <w:rsid w:val="006F7A56"/>
    <w:rsid w:val="006F7C47"/>
    <w:rsid w:val="006F7D0A"/>
    <w:rsid w:val="006F7D38"/>
    <w:rsid w:val="006F7DEF"/>
    <w:rsid w:val="006F7FC8"/>
    <w:rsid w:val="007000C3"/>
    <w:rsid w:val="007001A6"/>
    <w:rsid w:val="007001D1"/>
    <w:rsid w:val="007007CC"/>
    <w:rsid w:val="00700950"/>
    <w:rsid w:val="00700A81"/>
    <w:rsid w:val="00700CF2"/>
    <w:rsid w:val="00700D4E"/>
    <w:rsid w:val="00700F78"/>
    <w:rsid w:val="007011CC"/>
    <w:rsid w:val="00701272"/>
    <w:rsid w:val="0070150E"/>
    <w:rsid w:val="007016DD"/>
    <w:rsid w:val="00701735"/>
    <w:rsid w:val="00701746"/>
    <w:rsid w:val="007017F8"/>
    <w:rsid w:val="00701808"/>
    <w:rsid w:val="007018EA"/>
    <w:rsid w:val="00701A56"/>
    <w:rsid w:val="00701CC3"/>
    <w:rsid w:val="00701EC0"/>
    <w:rsid w:val="00702109"/>
    <w:rsid w:val="00702381"/>
    <w:rsid w:val="007024FB"/>
    <w:rsid w:val="00702577"/>
    <w:rsid w:val="00702657"/>
    <w:rsid w:val="00702776"/>
    <w:rsid w:val="00702898"/>
    <w:rsid w:val="00702D8B"/>
    <w:rsid w:val="00702F8D"/>
    <w:rsid w:val="00703238"/>
    <w:rsid w:val="00703253"/>
    <w:rsid w:val="007032EF"/>
    <w:rsid w:val="00703373"/>
    <w:rsid w:val="007033DD"/>
    <w:rsid w:val="00703F05"/>
    <w:rsid w:val="00704068"/>
    <w:rsid w:val="007042A6"/>
    <w:rsid w:val="007043D6"/>
    <w:rsid w:val="0070451D"/>
    <w:rsid w:val="00704788"/>
    <w:rsid w:val="007047EB"/>
    <w:rsid w:val="007047F2"/>
    <w:rsid w:val="00704C5B"/>
    <w:rsid w:val="00705212"/>
    <w:rsid w:val="0070529D"/>
    <w:rsid w:val="007055E4"/>
    <w:rsid w:val="00705804"/>
    <w:rsid w:val="00705820"/>
    <w:rsid w:val="00705B7C"/>
    <w:rsid w:val="00705DB8"/>
    <w:rsid w:val="00705F50"/>
    <w:rsid w:val="007061CD"/>
    <w:rsid w:val="007061F3"/>
    <w:rsid w:val="0070625C"/>
    <w:rsid w:val="007066F3"/>
    <w:rsid w:val="00706929"/>
    <w:rsid w:val="00706C8C"/>
    <w:rsid w:val="00707010"/>
    <w:rsid w:val="0070730E"/>
    <w:rsid w:val="00707426"/>
    <w:rsid w:val="0070746A"/>
    <w:rsid w:val="0070748A"/>
    <w:rsid w:val="007076A2"/>
    <w:rsid w:val="00707921"/>
    <w:rsid w:val="00707A4C"/>
    <w:rsid w:val="00707A98"/>
    <w:rsid w:val="00707B2A"/>
    <w:rsid w:val="00707C4C"/>
    <w:rsid w:val="00707C88"/>
    <w:rsid w:val="00707DD0"/>
    <w:rsid w:val="00707E2A"/>
    <w:rsid w:val="00707E5B"/>
    <w:rsid w:val="00707FE1"/>
    <w:rsid w:val="0071006A"/>
    <w:rsid w:val="00710278"/>
    <w:rsid w:val="00710349"/>
    <w:rsid w:val="0071035A"/>
    <w:rsid w:val="0071049B"/>
    <w:rsid w:val="0071058F"/>
    <w:rsid w:val="00710601"/>
    <w:rsid w:val="0071076C"/>
    <w:rsid w:val="00710C91"/>
    <w:rsid w:val="00710E62"/>
    <w:rsid w:val="00711005"/>
    <w:rsid w:val="00711161"/>
    <w:rsid w:val="00711412"/>
    <w:rsid w:val="007116B8"/>
    <w:rsid w:val="00711738"/>
    <w:rsid w:val="0071179B"/>
    <w:rsid w:val="007119F2"/>
    <w:rsid w:val="00711C71"/>
    <w:rsid w:val="00711D57"/>
    <w:rsid w:val="00711EB8"/>
    <w:rsid w:val="007120AE"/>
    <w:rsid w:val="007120D8"/>
    <w:rsid w:val="007122EF"/>
    <w:rsid w:val="0071239A"/>
    <w:rsid w:val="007125BB"/>
    <w:rsid w:val="00712752"/>
    <w:rsid w:val="00712ACA"/>
    <w:rsid w:val="00712E40"/>
    <w:rsid w:val="00713225"/>
    <w:rsid w:val="007135A3"/>
    <w:rsid w:val="007135BE"/>
    <w:rsid w:val="00713664"/>
    <w:rsid w:val="00713B79"/>
    <w:rsid w:val="00713BB3"/>
    <w:rsid w:val="00713BFB"/>
    <w:rsid w:val="007140E8"/>
    <w:rsid w:val="00714176"/>
    <w:rsid w:val="007141F4"/>
    <w:rsid w:val="007142C2"/>
    <w:rsid w:val="00714972"/>
    <w:rsid w:val="00714D9C"/>
    <w:rsid w:val="00714E44"/>
    <w:rsid w:val="00714F06"/>
    <w:rsid w:val="00714F97"/>
    <w:rsid w:val="0071529D"/>
    <w:rsid w:val="0071548F"/>
    <w:rsid w:val="00715525"/>
    <w:rsid w:val="007159A3"/>
    <w:rsid w:val="00715B92"/>
    <w:rsid w:val="00715D10"/>
    <w:rsid w:val="00716336"/>
    <w:rsid w:val="00716766"/>
    <w:rsid w:val="0071682C"/>
    <w:rsid w:val="00716FE6"/>
    <w:rsid w:val="00717070"/>
    <w:rsid w:val="0071717E"/>
    <w:rsid w:val="007171E9"/>
    <w:rsid w:val="007175A7"/>
    <w:rsid w:val="007177B8"/>
    <w:rsid w:val="00717B3E"/>
    <w:rsid w:val="00717FF3"/>
    <w:rsid w:val="00720232"/>
    <w:rsid w:val="0072024A"/>
    <w:rsid w:val="00720293"/>
    <w:rsid w:val="007204DA"/>
    <w:rsid w:val="007205E1"/>
    <w:rsid w:val="007208ED"/>
    <w:rsid w:val="0072095F"/>
    <w:rsid w:val="00720EA2"/>
    <w:rsid w:val="0072108E"/>
    <w:rsid w:val="007210B6"/>
    <w:rsid w:val="0072159C"/>
    <w:rsid w:val="007215E5"/>
    <w:rsid w:val="007216B7"/>
    <w:rsid w:val="00721767"/>
    <w:rsid w:val="0072179B"/>
    <w:rsid w:val="00721826"/>
    <w:rsid w:val="00721A20"/>
    <w:rsid w:val="00721A3E"/>
    <w:rsid w:val="00721C77"/>
    <w:rsid w:val="00721C94"/>
    <w:rsid w:val="00721F0C"/>
    <w:rsid w:val="00721F1B"/>
    <w:rsid w:val="0072211B"/>
    <w:rsid w:val="007223B8"/>
    <w:rsid w:val="007223D1"/>
    <w:rsid w:val="0072279C"/>
    <w:rsid w:val="007228EC"/>
    <w:rsid w:val="0072295D"/>
    <w:rsid w:val="0072299A"/>
    <w:rsid w:val="00722B70"/>
    <w:rsid w:val="00722BF1"/>
    <w:rsid w:val="00722D6F"/>
    <w:rsid w:val="00722DF0"/>
    <w:rsid w:val="00723062"/>
    <w:rsid w:val="007231DD"/>
    <w:rsid w:val="00723557"/>
    <w:rsid w:val="00723770"/>
    <w:rsid w:val="00723BCF"/>
    <w:rsid w:val="007241BE"/>
    <w:rsid w:val="0072447B"/>
    <w:rsid w:val="007245A7"/>
    <w:rsid w:val="00724786"/>
    <w:rsid w:val="00724D0E"/>
    <w:rsid w:val="00725013"/>
    <w:rsid w:val="0072512A"/>
    <w:rsid w:val="00725190"/>
    <w:rsid w:val="00725356"/>
    <w:rsid w:val="0072565F"/>
    <w:rsid w:val="0072578C"/>
    <w:rsid w:val="00725913"/>
    <w:rsid w:val="00725966"/>
    <w:rsid w:val="00725B97"/>
    <w:rsid w:val="00725F2F"/>
    <w:rsid w:val="00726101"/>
    <w:rsid w:val="007261CF"/>
    <w:rsid w:val="007261D6"/>
    <w:rsid w:val="00726384"/>
    <w:rsid w:val="007264B1"/>
    <w:rsid w:val="00726731"/>
    <w:rsid w:val="00726A7D"/>
    <w:rsid w:val="00726AE2"/>
    <w:rsid w:val="00726C80"/>
    <w:rsid w:val="00726F11"/>
    <w:rsid w:val="00726FDC"/>
    <w:rsid w:val="00727159"/>
    <w:rsid w:val="00727309"/>
    <w:rsid w:val="00727363"/>
    <w:rsid w:val="007273BC"/>
    <w:rsid w:val="00727529"/>
    <w:rsid w:val="00727930"/>
    <w:rsid w:val="00727AAD"/>
    <w:rsid w:val="00727F22"/>
    <w:rsid w:val="007300CB"/>
    <w:rsid w:val="00730245"/>
    <w:rsid w:val="00730451"/>
    <w:rsid w:val="0073072C"/>
    <w:rsid w:val="00730C61"/>
    <w:rsid w:val="00730EEA"/>
    <w:rsid w:val="00730F04"/>
    <w:rsid w:val="0073110F"/>
    <w:rsid w:val="007312F9"/>
    <w:rsid w:val="0073130B"/>
    <w:rsid w:val="00731580"/>
    <w:rsid w:val="007315C0"/>
    <w:rsid w:val="0073168B"/>
    <w:rsid w:val="00731769"/>
    <w:rsid w:val="007319F8"/>
    <w:rsid w:val="00731BD7"/>
    <w:rsid w:val="00731EE6"/>
    <w:rsid w:val="0073211A"/>
    <w:rsid w:val="00732487"/>
    <w:rsid w:val="0073257A"/>
    <w:rsid w:val="0073271E"/>
    <w:rsid w:val="007328C1"/>
    <w:rsid w:val="0073296C"/>
    <w:rsid w:val="00732BB7"/>
    <w:rsid w:val="00732C26"/>
    <w:rsid w:val="00732C2F"/>
    <w:rsid w:val="00732D7D"/>
    <w:rsid w:val="00733081"/>
    <w:rsid w:val="007332E2"/>
    <w:rsid w:val="0073347A"/>
    <w:rsid w:val="00733526"/>
    <w:rsid w:val="0073356D"/>
    <w:rsid w:val="0073359C"/>
    <w:rsid w:val="00733744"/>
    <w:rsid w:val="0073377B"/>
    <w:rsid w:val="00733E86"/>
    <w:rsid w:val="00733EA2"/>
    <w:rsid w:val="007341CF"/>
    <w:rsid w:val="00734249"/>
    <w:rsid w:val="00734289"/>
    <w:rsid w:val="0073435D"/>
    <w:rsid w:val="007343D5"/>
    <w:rsid w:val="0073441B"/>
    <w:rsid w:val="00734420"/>
    <w:rsid w:val="0073482D"/>
    <w:rsid w:val="0073494C"/>
    <w:rsid w:val="00734B8E"/>
    <w:rsid w:val="00734D16"/>
    <w:rsid w:val="00734F40"/>
    <w:rsid w:val="00734FA3"/>
    <w:rsid w:val="00735025"/>
    <w:rsid w:val="007355A6"/>
    <w:rsid w:val="00735C36"/>
    <w:rsid w:val="00735E0B"/>
    <w:rsid w:val="00735F43"/>
    <w:rsid w:val="00736110"/>
    <w:rsid w:val="00736675"/>
    <w:rsid w:val="007367D5"/>
    <w:rsid w:val="007368D0"/>
    <w:rsid w:val="00736915"/>
    <w:rsid w:val="007369D1"/>
    <w:rsid w:val="00736D9D"/>
    <w:rsid w:val="00736E5C"/>
    <w:rsid w:val="00736F45"/>
    <w:rsid w:val="007370AA"/>
    <w:rsid w:val="007371C6"/>
    <w:rsid w:val="007371D7"/>
    <w:rsid w:val="00737503"/>
    <w:rsid w:val="007379A7"/>
    <w:rsid w:val="00737E19"/>
    <w:rsid w:val="00737F87"/>
    <w:rsid w:val="00740325"/>
    <w:rsid w:val="00740368"/>
    <w:rsid w:val="00740410"/>
    <w:rsid w:val="0074060D"/>
    <w:rsid w:val="0074074B"/>
    <w:rsid w:val="00740934"/>
    <w:rsid w:val="00740992"/>
    <w:rsid w:val="00740A71"/>
    <w:rsid w:val="00740B12"/>
    <w:rsid w:val="00740E94"/>
    <w:rsid w:val="00740FA6"/>
    <w:rsid w:val="007410DA"/>
    <w:rsid w:val="007410E0"/>
    <w:rsid w:val="00741120"/>
    <w:rsid w:val="00741167"/>
    <w:rsid w:val="00741293"/>
    <w:rsid w:val="0074146C"/>
    <w:rsid w:val="00741576"/>
    <w:rsid w:val="00741745"/>
    <w:rsid w:val="007417AB"/>
    <w:rsid w:val="00741A31"/>
    <w:rsid w:val="00741AE5"/>
    <w:rsid w:val="00741C17"/>
    <w:rsid w:val="00741F81"/>
    <w:rsid w:val="007420C7"/>
    <w:rsid w:val="00742227"/>
    <w:rsid w:val="0074223A"/>
    <w:rsid w:val="00742349"/>
    <w:rsid w:val="007423A4"/>
    <w:rsid w:val="007423E1"/>
    <w:rsid w:val="00742532"/>
    <w:rsid w:val="00742648"/>
    <w:rsid w:val="00742790"/>
    <w:rsid w:val="00742BC2"/>
    <w:rsid w:val="00742D87"/>
    <w:rsid w:val="00742DFE"/>
    <w:rsid w:val="00742FFB"/>
    <w:rsid w:val="00743047"/>
    <w:rsid w:val="0074351A"/>
    <w:rsid w:val="007439CC"/>
    <w:rsid w:val="00743CAC"/>
    <w:rsid w:val="00743CC3"/>
    <w:rsid w:val="00743E88"/>
    <w:rsid w:val="00743F25"/>
    <w:rsid w:val="00743F31"/>
    <w:rsid w:val="00744015"/>
    <w:rsid w:val="00744041"/>
    <w:rsid w:val="00744062"/>
    <w:rsid w:val="0074436B"/>
    <w:rsid w:val="0074470B"/>
    <w:rsid w:val="007447AE"/>
    <w:rsid w:val="007447D8"/>
    <w:rsid w:val="007448A6"/>
    <w:rsid w:val="00744906"/>
    <w:rsid w:val="00744E10"/>
    <w:rsid w:val="007450A5"/>
    <w:rsid w:val="007453BE"/>
    <w:rsid w:val="007453E9"/>
    <w:rsid w:val="007458D5"/>
    <w:rsid w:val="00745C92"/>
    <w:rsid w:val="00745EB3"/>
    <w:rsid w:val="00745F07"/>
    <w:rsid w:val="00745F5D"/>
    <w:rsid w:val="007460DA"/>
    <w:rsid w:val="007463FB"/>
    <w:rsid w:val="0074665F"/>
    <w:rsid w:val="00746947"/>
    <w:rsid w:val="00746977"/>
    <w:rsid w:val="00747126"/>
    <w:rsid w:val="007472F4"/>
    <w:rsid w:val="007476A0"/>
    <w:rsid w:val="007477C5"/>
    <w:rsid w:val="0074792C"/>
    <w:rsid w:val="00747938"/>
    <w:rsid w:val="00747C81"/>
    <w:rsid w:val="00747FBD"/>
    <w:rsid w:val="007506F2"/>
    <w:rsid w:val="00750919"/>
    <w:rsid w:val="007509F8"/>
    <w:rsid w:val="00750A48"/>
    <w:rsid w:val="00750BF6"/>
    <w:rsid w:val="00750EC3"/>
    <w:rsid w:val="00750FCF"/>
    <w:rsid w:val="00751174"/>
    <w:rsid w:val="007512B3"/>
    <w:rsid w:val="007512C3"/>
    <w:rsid w:val="00751445"/>
    <w:rsid w:val="00751551"/>
    <w:rsid w:val="007515D1"/>
    <w:rsid w:val="007517DA"/>
    <w:rsid w:val="007518C9"/>
    <w:rsid w:val="00751B95"/>
    <w:rsid w:val="00751C61"/>
    <w:rsid w:val="00751F36"/>
    <w:rsid w:val="00752013"/>
    <w:rsid w:val="0075204A"/>
    <w:rsid w:val="007521C4"/>
    <w:rsid w:val="00752AC4"/>
    <w:rsid w:val="00752B57"/>
    <w:rsid w:val="00752BEB"/>
    <w:rsid w:val="00752D13"/>
    <w:rsid w:val="00752DD8"/>
    <w:rsid w:val="00752F78"/>
    <w:rsid w:val="0075312C"/>
    <w:rsid w:val="00753226"/>
    <w:rsid w:val="007532FA"/>
    <w:rsid w:val="0075345E"/>
    <w:rsid w:val="00753510"/>
    <w:rsid w:val="00753671"/>
    <w:rsid w:val="00753757"/>
    <w:rsid w:val="0075377A"/>
    <w:rsid w:val="00753A38"/>
    <w:rsid w:val="00753C23"/>
    <w:rsid w:val="00753D0A"/>
    <w:rsid w:val="00754026"/>
    <w:rsid w:val="007541E4"/>
    <w:rsid w:val="007542CE"/>
    <w:rsid w:val="007542E8"/>
    <w:rsid w:val="00754511"/>
    <w:rsid w:val="0075469A"/>
    <w:rsid w:val="00754CF6"/>
    <w:rsid w:val="00754D69"/>
    <w:rsid w:val="007552D6"/>
    <w:rsid w:val="00755310"/>
    <w:rsid w:val="00755467"/>
    <w:rsid w:val="00755817"/>
    <w:rsid w:val="0075594B"/>
    <w:rsid w:val="00755A6D"/>
    <w:rsid w:val="00755A7A"/>
    <w:rsid w:val="00755B12"/>
    <w:rsid w:val="00755D93"/>
    <w:rsid w:val="00755DCB"/>
    <w:rsid w:val="00755E5C"/>
    <w:rsid w:val="007560D7"/>
    <w:rsid w:val="0075645E"/>
    <w:rsid w:val="007567B6"/>
    <w:rsid w:val="007567C7"/>
    <w:rsid w:val="00756A7B"/>
    <w:rsid w:val="00756EE7"/>
    <w:rsid w:val="00757035"/>
    <w:rsid w:val="00757085"/>
    <w:rsid w:val="00757186"/>
    <w:rsid w:val="0075760D"/>
    <w:rsid w:val="007578E1"/>
    <w:rsid w:val="00757A6A"/>
    <w:rsid w:val="00757CF3"/>
    <w:rsid w:val="0076006D"/>
    <w:rsid w:val="0076045C"/>
    <w:rsid w:val="00760517"/>
    <w:rsid w:val="00760768"/>
    <w:rsid w:val="00760791"/>
    <w:rsid w:val="00760988"/>
    <w:rsid w:val="00760A17"/>
    <w:rsid w:val="00760A5B"/>
    <w:rsid w:val="00760BCC"/>
    <w:rsid w:val="0076106B"/>
    <w:rsid w:val="00761256"/>
    <w:rsid w:val="00761316"/>
    <w:rsid w:val="00761336"/>
    <w:rsid w:val="00761744"/>
    <w:rsid w:val="00761830"/>
    <w:rsid w:val="00761A7B"/>
    <w:rsid w:val="00761B62"/>
    <w:rsid w:val="00761BC3"/>
    <w:rsid w:val="00761CA7"/>
    <w:rsid w:val="00761EAC"/>
    <w:rsid w:val="00761EFD"/>
    <w:rsid w:val="007621FF"/>
    <w:rsid w:val="00762224"/>
    <w:rsid w:val="00762283"/>
    <w:rsid w:val="0076256D"/>
    <w:rsid w:val="0076290A"/>
    <w:rsid w:val="00762AFB"/>
    <w:rsid w:val="00762C07"/>
    <w:rsid w:val="007630F5"/>
    <w:rsid w:val="0076311E"/>
    <w:rsid w:val="00763165"/>
    <w:rsid w:val="00763275"/>
    <w:rsid w:val="00763388"/>
    <w:rsid w:val="00763575"/>
    <w:rsid w:val="00763605"/>
    <w:rsid w:val="00763690"/>
    <w:rsid w:val="00763758"/>
    <w:rsid w:val="007637BC"/>
    <w:rsid w:val="007638D0"/>
    <w:rsid w:val="007639D9"/>
    <w:rsid w:val="00763C59"/>
    <w:rsid w:val="00763D2E"/>
    <w:rsid w:val="00763E29"/>
    <w:rsid w:val="00763F4D"/>
    <w:rsid w:val="007640AF"/>
    <w:rsid w:val="0076440A"/>
    <w:rsid w:val="007644F6"/>
    <w:rsid w:val="0076475B"/>
    <w:rsid w:val="007647C7"/>
    <w:rsid w:val="00764B31"/>
    <w:rsid w:val="00764B5D"/>
    <w:rsid w:val="00764D00"/>
    <w:rsid w:val="00764D3E"/>
    <w:rsid w:val="00764EED"/>
    <w:rsid w:val="00764FD5"/>
    <w:rsid w:val="007655A9"/>
    <w:rsid w:val="007656A1"/>
    <w:rsid w:val="007656CA"/>
    <w:rsid w:val="00765755"/>
    <w:rsid w:val="00765956"/>
    <w:rsid w:val="00765A07"/>
    <w:rsid w:val="00765ADA"/>
    <w:rsid w:val="00765BA8"/>
    <w:rsid w:val="00765CAF"/>
    <w:rsid w:val="00765CB0"/>
    <w:rsid w:val="00765DC1"/>
    <w:rsid w:val="00765ECE"/>
    <w:rsid w:val="00766007"/>
    <w:rsid w:val="00766150"/>
    <w:rsid w:val="007664F7"/>
    <w:rsid w:val="007665BF"/>
    <w:rsid w:val="0076673B"/>
    <w:rsid w:val="00766765"/>
    <w:rsid w:val="0076691A"/>
    <w:rsid w:val="007669BE"/>
    <w:rsid w:val="00766C18"/>
    <w:rsid w:val="00766C75"/>
    <w:rsid w:val="00767193"/>
    <w:rsid w:val="007671E6"/>
    <w:rsid w:val="007673C8"/>
    <w:rsid w:val="00767768"/>
    <w:rsid w:val="007677C8"/>
    <w:rsid w:val="0076784F"/>
    <w:rsid w:val="00767BF3"/>
    <w:rsid w:val="00767D9C"/>
    <w:rsid w:val="00767FFC"/>
    <w:rsid w:val="0077018F"/>
    <w:rsid w:val="00770502"/>
    <w:rsid w:val="0077093A"/>
    <w:rsid w:val="00770A26"/>
    <w:rsid w:val="00770FA5"/>
    <w:rsid w:val="00770FC6"/>
    <w:rsid w:val="0077107E"/>
    <w:rsid w:val="007710B3"/>
    <w:rsid w:val="007712FF"/>
    <w:rsid w:val="007714F2"/>
    <w:rsid w:val="00771608"/>
    <w:rsid w:val="0077163A"/>
    <w:rsid w:val="00771737"/>
    <w:rsid w:val="007717E4"/>
    <w:rsid w:val="00771BBA"/>
    <w:rsid w:val="00771FB5"/>
    <w:rsid w:val="007723F5"/>
    <w:rsid w:val="007724A7"/>
    <w:rsid w:val="007725F3"/>
    <w:rsid w:val="0077263F"/>
    <w:rsid w:val="007726FA"/>
    <w:rsid w:val="007727F8"/>
    <w:rsid w:val="00772916"/>
    <w:rsid w:val="00772945"/>
    <w:rsid w:val="0077297F"/>
    <w:rsid w:val="00772E0C"/>
    <w:rsid w:val="00772FA8"/>
    <w:rsid w:val="007730BE"/>
    <w:rsid w:val="007731BC"/>
    <w:rsid w:val="00773240"/>
    <w:rsid w:val="0077330B"/>
    <w:rsid w:val="00773328"/>
    <w:rsid w:val="00773481"/>
    <w:rsid w:val="00773913"/>
    <w:rsid w:val="00773970"/>
    <w:rsid w:val="007739DA"/>
    <w:rsid w:val="00773C3D"/>
    <w:rsid w:val="00773EC1"/>
    <w:rsid w:val="0077402C"/>
    <w:rsid w:val="007741E7"/>
    <w:rsid w:val="007746ED"/>
    <w:rsid w:val="00774814"/>
    <w:rsid w:val="00774982"/>
    <w:rsid w:val="007749AB"/>
    <w:rsid w:val="00774B93"/>
    <w:rsid w:val="00774EAF"/>
    <w:rsid w:val="00774F5A"/>
    <w:rsid w:val="00774FC7"/>
    <w:rsid w:val="00775231"/>
    <w:rsid w:val="007754C3"/>
    <w:rsid w:val="0077554D"/>
    <w:rsid w:val="00775567"/>
    <w:rsid w:val="007755D0"/>
    <w:rsid w:val="007757C6"/>
    <w:rsid w:val="00775A1B"/>
    <w:rsid w:val="00775AC5"/>
    <w:rsid w:val="00775C40"/>
    <w:rsid w:val="00775C59"/>
    <w:rsid w:val="00775C99"/>
    <w:rsid w:val="00775D9D"/>
    <w:rsid w:val="00775E6D"/>
    <w:rsid w:val="0077629F"/>
    <w:rsid w:val="007762BC"/>
    <w:rsid w:val="00776335"/>
    <w:rsid w:val="0077645D"/>
    <w:rsid w:val="00776542"/>
    <w:rsid w:val="007765A9"/>
    <w:rsid w:val="00776749"/>
    <w:rsid w:val="0077694C"/>
    <w:rsid w:val="00776986"/>
    <w:rsid w:val="00776AD4"/>
    <w:rsid w:val="00776E2E"/>
    <w:rsid w:val="00776ED2"/>
    <w:rsid w:val="00777442"/>
    <w:rsid w:val="00777451"/>
    <w:rsid w:val="007774BD"/>
    <w:rsid w:val="007779A3"/>
    <w:rsid w:val="00777ADC"/>
    <w:rsid w:val="00777AF0"/>
    <w:rsid w:val="00777B8A"/>
    <w:rsid w:val="00777CB4"/>
    <w:rsid w:val="007802E7"/>
    <w:rsid w:val="007806CD"/>
    <w:rsid w:val="00780987"/>
    <w:rsid w:val="00780B1A"/>
    <w:rsid w:val="00780B57"/>
    <w:rsid w:val="00780D45"/>
    <w:rsid w:val="00780F3F"/>
    <w:rsid w:val="007812D0"/>
    <w:rsid w:val="007812E7"/>
    <w:rsid w:val="00781315"/>
    <w:rsid w:val="007813A5"/>
    <w:rsid w:val="007814B3"/>
    <w:rsid w:val="0078159F"/>
    <w:rsid w:val="0078165F"/>
    <w:rsid w:val="007816BC"/>
    <w:rsid w:val="007819ED"/>
    <w:rsid w:val="00781A97"/>
    <w:rsid w:val="00781B08"/>
    <w:rsid w:val="00781E7D"/>
    <w:rsid w:val="00782065"/>
    <w:rsid w:val="007822EE"/>
    <w:rsid w:val="007823B0"/>
    <w:rsid w:val="00782419"/>
    <w:rsid w:val="007824BC"/>
    <w:rsid w:val="00782BD1"/>
    <w:rsid w:val="00782D2D"/>
    <w:rsid w:val="00782D9F"/>
    <w:rsid w:val="00782DFC"/>
    <w:rsid w:val="00782EC4"/>
    <w:rsid w:val="00782EEE"/>
    <w:rsid w:val="00783153"/>
    <w:rsid w:val="007837FF"/>
    <w:rsid w:val="00783930"/>
    <w:rsid w:val="00783A16"/>
    <w:rsid w:val="00783A74"/>
    <w:rsid w:val="00783AE5"/>
    <w:rsid w:val="00783CE4"/>
    <w:rsid w:val="0078407B"/>
    <w:rsid w:val="007841DB"/>
    <w:rsid w:val="00784680"/>
    <w:rsid w:val="007846FD"/>
    <w:rsid w:val="007848B6"/>
    <w:rsid w:val="007849C3"/>
    <w:rsid w:val="00784AF0"/>
    <w:rsid w:val="00784B30"/>
    <w:rsid w:val="00784B98"/>
    <w:rsid w:val="00784E35"/>
    <w:rsid w:val="00785285"/>
    <w:rsid w:val="00785346"/>
    <w:rsid w:val="0078539C"/>
    <w:rsid w:val="00785777"/>
    <w:rsid w:val="007858EE"/>
    <w:rsid w:val="00785C83"/>
    <w:rsid w:val="00785D43"/>
    <w:rsid w:val="00785F60"/>
    <w:rsid w:val="00786412"/>
    <w:rsid w:val="007864DA"/>
    <w:rsid w:val="007867A4"/>
    <w:rsid w:val="007867D1"/>
    <w:rsid w:val="00786AFD"/>
    <w:rsid w:val="00786D43"/>
    <w:rsid w:val="00786D61"/>
    <w:rsid w:val="00786ED8"/>
    <w:rsid w:val="00786FE6"/>
    <w:rsid w:val="0078735D"/>
    <w:rsid w:val="00787491"/>
    <w:rsid w:val="0078759B"/>
    <w:rsid w:val="00787807"/>
    <w:rsid w:val="00787A15"/>
    <w:rsid w:val="00787CC0"/>
    <w:rsid w:val="00787CF3"/>
    <w:rsid w:val="00787D20"/>
    <w:rsid w:val="00787FD1"/>
    <w:rsid w:val="0079001F"/>
    <w:rsid w:val="00790362"/>
    <w:rsid w:val="007903FA"/>
    <w:rsid w:val="00790463"/>
    <w:rsid w:val="007904EA"/>
    <w:rsid w:val="007905F4"/>
    <w:rsid w:val="0079065C"/>
    <w:rsid w:val="007906A9"/>
    <w:rsid w:val="00790767"/>
    <w:rsid w:val="00790833"/>
    <w:rsid w:val="00790929"/>
    <w:rsid w:val="00790A36"/>
    <w:rsid w:val="00790A3B"/>
    <w:rsid w:val="00790B5F"/>
    <w:rsid w:val="0079108A"/>
    <w:rsid w:val="007910FF"/>
    <w:rsid w:val="007911B6"/>
    <w:rsid w:val="00791449"/>
    <w:rsid w:val="0079173A"/>
    <w:rsid w:val="00791BF5"/>
    <w:rsid w:val="00792061"/>
    <w:rsid w:val="007920FE"/>
    <w:rsid w:val="00792431"/>
    <w:rsid w:val="00792538"/>
    <w:rsid w:val="00792A6A"/>
    <w:rsid w:val="00792A96"/>
    <w:rsid w:val="00792F9C"/>
    <w:rsid w:val="007930B7"/>
    <w:rsid w:val="007931DF"/>
    <w:rsid w:val="00793237"/>
    <w:rsid w:val="00793541"/>
    <w:rsid w:val="0079365F"/>
    <w:rsid w:val="00793C59"/>
    <w:rsid w:val="00793E50"/>
    <w:rsid w:val="00794382"/>
    <w:rsid w:val="007944E0"/>
    <w:rsid w:val="007946AA"/>
    <w:rsid w:val="007947AF"/>
    <w:rsid w:val="007947DF"/>
    <w:rsid w:val="00794D41"/>
    <w:rsid w:val="00794E4A"/>
    <w:rsid w:val="00794E6A"/>
    <w:rsid w:val="00794F2F"/>
    <w:rsid w:val="00794F5F"/>
    <w:rsid w:val="0079507E"/>
    <w:rsid w:val="00795174"/>
    <w:rsid w:val="007953AE"/>
    <w:rsid w:val="007954CF"/>
    <w:rsid w:val="00795730"/>
    <w:rsid w:val="007957B4"/>
    <w:rsid w:val="007957FD"/>
    <w:rsid w:val="007958E5"/>
    <w:rsid w:val="0079595D"/>
    <w:rsid w:val="0079598A"/>
    <w:rsid w:val="00795A03"/>
    <w:rsid w:val="00795DA6"/>
    <w:rsid w:val="00795DF5"/>
    <w:rsid w:val="00795E2E"/>
    <w:rsid w:val="00796006"/>
    <w:rsid w:val="00796410"/>
    <w:rsid w:val="007965AF"/>
    <w:rsid w:val="0079691E"/>
    <w:rsid w:val="007969E4"/>
    <w:rsid w:val="00796CD0"/>
    <w:rsid w:val="00796E32"/>
    <w:rsid w:val="00796E5B"/>
    <w:rsid w:val="00796E96"/>
    <w:rsid w:val="00797093"/>
    <w:rsid w:val="007970C0"/>
    <w:rsid w:val="0079776F"/>
    <w:rsid w:val="00797CD7"/>
    <w:rsid w:val="00797D11"/>
    <w:rsid w:val="007A0003"/>
    <w:rsid w:val="007A0131"/>
    <w:rsid w:val="007A01F2"/>
    <w:rsid w:val="007A04E1"/>
    <w:rsid w:val="007A06CB"/>
    <w:rsid w:val="007A08CD"/>
    <w:rsid w:val="007A08CE"/>
    <w:rsid w:val="007A092C"/>
    <w:rsid w:val="007A09D6"/>
    <w:rsid w:val="007A0BC8"/>
    <w:rsid w:val="007A0F3F"/>
    <w:rsid w:val="007A0F7D"/>
    <w:rsid w:val="007A1364"/>
    <w:rsid w:val="007A1785"/>
    <w:rsid w:val="007A1886"/>
    <w:rsid w:val="007A1889"/>
    <w:rsid w:val="007A1939"/>
    <w:rsid w:val="007A1F2D"/>
    <w:rsid w:val="007A2286"/>
    <w:rsid w:val="007A22A3"/>
    <w:rsid w:val="007A2485"/>
    <w:rsid w:val="007A24A0"/>
    <w:rsid w:val="007A2720"/>
    <w:rsid w:val="007A2769"/>
    <w:rsid w:val="007A2824"/>
    <w:rsid w:val="007A28EC"/>
    <w:rsid w:val="007A2938"/>
    <w:rsid w:val="007A2BF4"/>
    <w:rsid w:val="007A2CCB"/>
    <w:rsid w:val="007A2D5A"/>
    <w:rsid w:val="007A2DB0"/>
    <w:rsid w:val="007A2E83"/>
    <w:rsid w:val="007A3061"/>
    <w:rsid w:val="007A332C"/>
    <w:rsid w:val="007A34A5"/>
    <w:rsid w:val="007A35AC"/>
    <w:rsid w:val="007A3B9A"/>
    <w:rsid w:val="007A3E73"/>
    <w:rsid w:val="007A3FC1"/>
    <w:rsid w:val="007A4171"/>
    <w:rsid w:val="007A41A1"/>
    <w:rsid w:val="007A41B9"/>
    <w:rsid w:val="007A4377"/>
    <w:rsid w:val="007A45F3"/>
    <w:rsid w:val="007A4637"/>
    <w:rsid w:val="007A48CA"/>
    <w:rsid w:val="007A4AB2"/>
    <w:rsid w:val="007A4D9C"/>
    <w:rsid w:val="007A4E13"/>
    <w:rsid w:val="007A5027"/>
    <w:rsid w:val="007A56D8"/>
    <w:rsid w:val="007A56DB"/>
    <w:rsid w:val="007A58DD"/>
    <w:rsid w:val="007A5E68"/>
    <w:rsid w:val="007A5FF8"/>
    <w:rsid w:val="007A602B"/>
    <w:rsid w:val="007A608A"/>
    <w:rsid w:val="007A63C9"/>
    <w:rsid w:val="007A64DE"/>
    <w:rsid w:val="007A68B9"/>
    <w:rsid w:val="007A6BC9"/>
    <w:rsid w:val="007A6CFC"/>
    <w:rsid w:val="007A6E07"/>
    <w:rsid w:val="007A6F60"/>
    <w:rsid w:val="007A6F69"/>
    <w:rsid w:val="007A71CE"/>
    <w:rsid w:val="007A73B1"/>
    <w:rsid w:val="007A7442"/>
    <w:rsid w:val="007A749D"/>
    <w:rsid w:val="007A74D5"/>
    <w:rsid w:val="007A7567"/>
    <w:rsid w:val="007A7825"/>
    <w:rsid w:val="007A791E"/>
    <w:rsid w:val="007A7925"/>
    <w:rsid w:val="007A7E8C"/>
    <w:rsid w:val="007A7F42"/>
    <w:rsid w:val="007B03A3"/>
    <w:rsid w:val="007B08C9"/>
    <w:rsid w:val="007B0A22"/>
    <w:rsid w:val="007B0CAC"/>
    <w:rsid w:val="007B0E20"/>
    <w:rsid w:val="007B0FEF"/>
    <w:rsid w:val="007B14CA"/>
    <w:rsid w:val="007B14FD"/>
    <w:rsid w:val="007B1560"/>
    <w:rsid w:val="007B15A6"/>
    <w:rsid w:val="007B17E9"/>
    <w:rsid w:val="007B18D5"/>
    <w:rsid w:val="007B1B6D"/>
    <w:rsid w:val="007B1BF7"/>
    <w:rsid w:val="007B1DA8"/>
    <w:rsid w:val="007B1EF8"/>
    <w:rsid w:val="007B1FB5"/>
    <w:rsid w:val="007B265A"/>
    <w:rsid w:val="007B27BE"/>
    <w:rsid w:val="007B2892"/>
    <w:rsid w:val="007B2AF0"/>
    <w:rsid w:val="007B2E72"/>
    <w:rsid w:val="007B2FD6"/>
    <w:rsid w:val="007B3073"/>
    <w:rsid w:val="007B321C"/>
    <w:rsid w:val="007B335B"/>
    <w:rsid w:val="007B33E5"/>
    <w:rsid w:val="007B36BF"/>
    <w:rsid w:val="007B37F5"/>
    <w:rsid w:val="007B3C14"/>
    <w:rsid w:val="007B3D0B"/>
    <w:rsid w:val="007B454A"/>
    <w:rsid w:val="007B46A6"/>
    <w:rsid w:val="007B4A59"/>
    <w:rsid w:val="007B4D42"/>
    <w:rsid w:val="007B51AA"/>
    <w:rsid w:val="007B54F7"/>
    <w:rsid w:val="007B5502"/>
    <w:rsid w:val="007B55E5"/>
    <w:rsid w:val="007B55F9"/>
    <w:rsid w:val="007B5684"/>
    <w:rsid w:val="007B577C"/>
    <w:rsid w:val="007B579C"/>
    <w:rsid w:val="007B598C"/>
    <w:rsid w:val="007B5A2F"/>
    <w:rsid w:val="007B5B27"/>
    <w:rsid w:val="007B5B32"/>
    <w:rsid w:val="007B5C75"/>
    <w:rsid w:val="007B5DF1"/>
    <w:rsid w:val="007B5EA9"/>
    <w:rsid w:val="007B6026"/>
    <w:rsid w:val="007B610F"/>
    <w:rsid w:val="007B629E"/>
    <w:rsid w:val="007B63CF"/>
    <w:rsid w:val="007B64FE"/>
    <w:rsid w:val="007B6780"/>
    <w:rsid w:val="007B680A"/>
    <w:rsid w:val="007B6932"/>
    <w:rsid w:val="007B69D8"/>
    <w:rsid w:val="007B6AEE"/>
    <w:rsid w:val="007B6B12"/>
    <w:rsid w:val="007B6C67"/>
    <w:rsid w:val="007B6F49"/>
    <w:rsid w:val="007B6F53"/>
    <w:rsid w:val="007B713D"/>
    <w:rsid w:val="007B7160"/>
    <w:rsid w:val="007B745C"/>
    <w:rsid w:val="007B7472"/>
    <w:rsid w:val="007B7573"/>
    <w:rsid w:val="007B7717"/>
    <w:rsid w:val="007B7782"/>
    <w:rsid w:val="007B7A13"/>
    <w:rsid w:val="007B7AAB"/>
    <w:rsid w:val="007B7EF3"/>
    <w:rsid w:val="007C02A9"/>
    <w:rsid w:val="007C03BB"/>
    <w:rsid w:val="007C05AB"/>
    <w:rsid w:val="007C06B2"/>
    <w:rsid w:val="007C0731"/>
    <w:rsid w:val="007C07FD"/>
    <w:rsid w:val="007C0CC5"/>
    <w:rsid w:val="007C0F81"/>
    <w:rsid w:val="007C124F"/>
    <w:rsid w:val="007C1337"/>
    <w:rsid w:val="007C15B0"/>
    <w:rsid w:val="007C1AD4"/>
    <w:rsid w:val="007C1D02"/>
    <w:rsid w:val="007C1D67"/>
    <w:rsid w:val="007C1D9D"/>
    <w:rsid w:val="007C2286"/>
    <w:rsid w:val="007C229C"/>
    <w:rsid w:val="007C246E"/>
    <w:rsid w:val="007C27D1"/>
    <w:rsid w:val="007C2848"/>
    <w:rsid w:val="007C28CF"/>
    <w:rsid w:val="007C2941"/>
    <w:rsid w:val="007C29D7"/>
    <w:rsid w:val="007C2A9E"/>
    <w:rsid w:val="007C2B91"/>
    <w:rsid w:val="007C2FC6"/>
    <w:rsid w:val="007C3215"/>
    <w:rsid w:val="007C3336"/>
    <w:rsid w:val="007C336D"/>
    <w:rsid w:val="007C34DE"/>
    <w:rsid w:val="007C3740"/>
    <w:rsid w:val="007C38B5"/>
    <w:rsid w:val="007C3934"/>
    <w:rsid w:val="007C3B33"/>
    <w:rsid w:val="007C403E"/>
    <w:rsid w:val="007C404B"/>
    <w:rsid w:val="007C4187"/>
    <w:rsid w:val="007C41A0"/>
    <w:rsid w:val="007C44E4"/>
    <w:rsid w:val="007C4A68"/>
    <w:rsid w:val="007C4BAE"/>
    <w:rsid w:val="007C4BEE"/>
    <w:rsid w:val="007C4D5B"/>
    <w:rsid w:val="007C4D64"/>
    <w:rsid w:val="007C4EF0"/>
    <w:rsid w:val="007C4FAE"/>
    <w:rsid w:val="007C4FF1"/>
    <w:rsid w:val="007C507C"/>
    <w:rsid w:val="007C5243"/>
    <w:rsid w:val="007C53DD"/>
    <w:rsid w:val="007C548F"/>
    <w:rsid w:val="007C5658"/>
    <w:rsid w:val="007C5667"/>
    <w:rsid w:val="007C57B9"/>
    <w:rsid w:val="007C57C2"/>
    <w:rsid w:val="007C5BA9"/>
    <w:rsid w:val="007C5F32"/>
    <w:rsid w:val="007C62A6"/>
    <w:rsid w:val="007C62AC"/>
    <w:rsid w:val="007C63C0"/>
    <w:rsid w:val="007C667A"/>
    <w:rsid w:val="007C67C0"/>
    <w:rsid w:val="007C6A37"/>
    <w:rsid w:val="007C6A89"/>
    <w:rsid w:val="007C6A99"/>
    <w:rsid w:val="007C6D50"/>
    <w:rsid w:val="007C6F2E"/>
    <w:rsid w:val="007C73CF"/>
    <w:rsid w:val="007C7499"/>
    <w:rsid w:val="007C7547"/>
    <w:rsid w:val="007C764E"/>
    <w:rsid w:val="007C7666"/>
    <w:rsid w:val="007C77C5"/>
    <w:rsid w:val="007C786C"/>
    <w:rsid w:val="007C7B24"/>
    <w:rsid w:val="007C7E37"/>
    <w:rsid w:val="007C7E74"/>
    <w:rsid w:val="007D0089"/>
    <w:rsid w:val="007D017C"/>
    <w:rsid w:val="007D01AF"/>
    <w:rsid w:val="007D044C"/>
    <w:rsid w:val="007D047B"/>
    <w:rsid w:val="007D078E"/>
    <w:rsid w:val="007D0872"/>
    <w:rsid w:val="007D0A6E"/>
    <w:rsid w:val="007D1010"/>
    <w:rsid w:val="007D10C8"/>
    <w:rsid w:val="007D1269"/>
    <w:rsid w:val="007D139A"/>
    <w:rsid w:val="007D1406"/>
    <w:rsid w:val="007D1A53"/>
    <w:rsid w:val="007D1D3B"/>
    <w:rsid w:val="007D1D49"/>
    <w:rsid w:val="007D1DF0"/>
    <w:rsid w:val="007D20B0"/>
    <w:rsid w:val="007D22D7"/>
    <w:rsid w:val="007D24CF"/>
    <w:rsid w:val="007D2505"/>
    <w:rsid w:val="007D2626"/>
    <w:rsid w:val="007D2A15"/>
    <w:rsid w:val="007D2A1D"/>
    <w:rsid w:val="007D2CA5"/>
    <w:rsid w:val="007D2F9E"/>
    <w:rsid w:val="007D303F"/>
    <w:rsid w:val="007D3165"/>
    <w:rsid w:val="007D31C1"/>
    <w:rsid w:val="007D32B3"/>
    <w:rsid w:val="007D34EB"/>
    <w:rsid w:val="007D3560"/>
    <w:rsid w:val="007D3742"/>
    <w:rsid w:val="007D3777"/>
    <w:rsid w:val="007D38C3"/>
    <w:rsid w:val="007D3D06"/>
    <w:rsid w:val="007D3DF2"/>
    <w:rsid w:val="007D3F95"/>
    <w:rsid w:val="007D4068"/>
    <w:rsid w:val="007D4284"/>
    <w:rsid w:val="007D43DC"/>
    <w:rsid w:val="007D4567"/>
    <w:rsid w:val="007D4621"/>
    <w:rsid w:val="007D47A8"/>
    <w:rsid w:val="007D4982"/>
    <w:rsid w:val="007D4D87"/>
    <w:rsid w:val="007D4E55"/>
    <w:rsid w:val="007D4EA6"/>
    <w:rsid w:val="007D4F87"/>
    <w:rsid w:val="007D5215"/>
    <w:rsid w:val="007D52EF"/>
    <w:rsid w:val="007D54A2"/>
    <w:rsid w:val="007D554C"/>
    <w:rsid w:val="007D5696"/>
    <w:rsid w:val="007D56D8"/>
    <w:rsid w:val="007D56E9"/>
    <w:rsid w:val="007D5787"/>
    <w:rsid w:val="007D5960"/>
    <w:rsid w:val="007D5A8A"/>
    <w:rsid w:val="007D5A97"/>
    <w:rsid w:val="007D5E49"/>
    <w:rsid w:val="007D6002"/>
    <w:rsid w:val="007D606A"/>
    <w:rsid w:val="007D65F6"/>
    <w:rsid w:val="007D6728"/>
    <w:rsid w:val="007D6AC3"/>
    <w:rsid w:val="007D6B0A"/>
    <w:rsid w:val="007D6C0C"/>
    <w:rsid w:val="007D7025"/>
    <w:rsid w:val="007D7882"/>
    <w:rsid w:val="007D78C7"/>
    <w:rsid w:val="007D7921"/>
    <w:rsid w:val="007D7C3C"/>
    <w:rsid w:val="007D7C53"/>
    <w:rsid w:val="007D7D31"/>
    <w:rsid w:val="007D7F3C"/>
    <w:rsid w:val="007E01F6"/>
    <w:rsid w:val="007E025A"/>
    <w:rsid w:val="007E02CC"/>
    <w:rsid w:val="007E02E6"/>
    <w:rsid w:val="007E0521"/>
    <w:rsid w:val="007E078D"/>
    <w:rsid w:val="007E0D25"/>
    <w:rsid w:val="007E114E"/>
    <w:rsid w:val="007E134D"/>
    <w:rsid w:val="007E15F0"/>
    <w:rsid w:val="007E1665"/>
    <w:rsid w:val="007E178B"/>
    <w:rsid w:val="007E17DC"/>
    <w:rsid w:val="007E17FA"/>
    <w:rsid w:val="007E1F9C"/>
    <w:rsid w:val="007E224E"/>
    <w:rsid w:val="007E2313"/>
    <w:rsid w:val="007E235C"/>
    <w:rsid w:val="007E270B"/>
    <w:rsid w:val="007E273A"/>
    <w:rsid w:val="007E2836"/>
    <w:rsid w:val="007E28F6"/>
    <w:rsid w:val="007E29F2"/>
    <w:rsid w:val="007E2AFF"/>
    <w:rsid w:val="007E2B82"/>
    <w:rsid w:val="007E2DD3"/>
    <w:rsid w:val="007E33B9"/>
    <w:rsid w:val="007E3460"/>
    <w:rsid w:val="007E3588"/>
    <w:rsid w:val="007E36ED"/>
    <w:rsid w:val="007E378E"/>
    <w:rsid w:val="007E3D1C"/>
    <w:rsid w:val="007E42E6"/>
    <w:rsid w:val="007E46BF"/>
    <w:rsid w:val="007E4794"/>
    <w:rsid w:val="007E484D"/>
    <w:rsid w:val="007E487F"/>
    <w:rsid w:val="007E48AE"/>
    <w:rsid w:val="007E4A0D"/>
    <w:rsid w:val="007E4B2D"/>
    <w:rsid w:val="007E4C3F"/>
    <w:rsid w:val="007E4F49"/>
    <w:rsid w:val="007E5388"/>
    <w:rsid w:val="007E53F2"/>
    <w:rsid w:val="007E54E0"/>
    <w:rsid w:val="007E57A5"/>
    <w:rsid w:val="007E57DA"/>
    <w:rsid w:val="007E57EA"/>
    <w:rsid w:val="007E587D"/>
    <w:rsid w:val="007E587E"/>
    <w:rsid w:val="007E58C0"/>
    <w:rsid w:val="007E5A6C"/>
    <w:rsid w:val="007E5B82"/>
    <w:rsid w:val="007E5CE8"/>
    <w:rsid w:val="007E5D0F"/>
    <w:rsid w:val="007E5D77"/>
    <w:rsid w:val="007E5DB2"/>
    <w:rsid w:val="007E6069"/>
    <w:rsid w:val="007E6127"/>
    <w:rsid w:val="007E6401"/>
    <w:rsid w:val="007E6447"/>
    <w:rsid w:val="007E659A"/>
    <w:rsid w:val="007E6757"/>
    <w:rsid w:val="007E6785"/>
    <w:rsid w:val="007E68C0"/>
    <w:rsid w:val="007E6A71"/>
    <w:rsid w:val="007E6C27"/>
    <w:rsid w:val="007E6D75"/>
    <w:rsid w:val="007E6D9B"/>
    <w:rsid w:val="007E6DE7"/>
    <w:rsid w:val="007E706A"/>
    <w:rsid w:val="007E706B"/>
    <w:rsid w:val="007E7124"/>
    <w:rsid w:val="007E71E9"/>
    <w:rsid w:val="007E71EA"/>
    <w:rsid w:val="007E732D"/>
    <w:rsid w:val="007E738A"/>
    <w:rsid w:val="007E74E3"/>
    <w:rsid w:val="007E76CB"/>
    <w:rsid w:val="007E7721"/>
    <w:rsid w:val="007E7A5A"/>
    <w:rsid w:val="007E7A68"/>
    <w:rsid w:val="007E7B1C"/>
    <w:rsid w:val="007E7C5C"/>
    <w:rsid w:val="007E7CB2"/>
    <w:rsid w:val="007E7CF2"/>
    <w:rsid w:val="007E7E7C"/>
    <w:rsid w:val="007F0252"/>
    <w:rsid w:val="007F02B2"/>
    <w:rsid w:val="007F02C7"/>
    <w:rsid w:val="007F032B"/>
    <w:rsid w:val="007F059E"/>
    <w:rsid w:val="007F088C"/>
    <w:rsid w:val="007F0CBE"/>
    <w:rsid w:val="007F10CC"/>
    <w:rsid w:val="007F12E0"/>
    <w:rsid w:val="007F147F"/>
    <w:rsid w:val="007F160D"/>
    <w:rsid w:val="007F1873"/>
    <w:rsid w:val="007F19F3"/>
    <w:rsid w:val="007F1BFB"/>
    <w:rsid w:val="007F1C81"/>
    <w:rsid w:val="007F1D06"/>
    <w:rsid w:val="007F1D18"/>
    <w:rsid w:val="007F1D7E"/>
    <w:rsid w:val="007F1DAB"/>
    <w:rsid w:val="007F1DF4"/>
    <w:rsid w:val="007F1ECD"/>
    <w:rsid w:val="007F28EE"/>
    <w:rsid w:val="007F2C54"/>
    <w:rsid w:val="007F2C72"/>
    <w:rsid w:val="007F2EB2"/>
    <w:rsid w:val="007F2EB6"/>
    <w:rsid w:val="007F2F7E"/>
    <w:rsid w:val="007F2FE3"/>
    <w:rsid w:val="007F3034"/>
    <w:rsid w:val="007F344C"/>
    <w:rsid w:val="007F35C3"/>
    <w:rsid w:val="007F3606"/>
    <w:rsid w:val="007F3745"/>
    <w:rsid w:val="007F375E"/>
    <w:rsid w:val="007F37FD"/>
    <w:rsid w:val="007F4C58"/>
    <w:rsid w:val="007F5186"/>
    <w:rsid w:val="007F5287"/>
    <w:rsid w:val="007F5799"/>
    <w:rsid w:val="007F586E"/>
    <w:rsid w:val="007F5A11"/>
    <w:rsid w:val="007F5BF1"/>
    <w:rsid w:val="007F619F"/>
    <w:rsid w:val="007F62F3"/>
    <w:rsid w:val="007F6305"/>
    <w:rsid w:val="007F651C"/>
    <w:rsid w:val="007F65BA"/>
    <w:rsid w:val="007F66F4"/>
    <w:rsid w:val="007F68DC"/>
    <w:rsid w:val="007F68DF"/>
    <w:rsid w:val="007F6B28"/>
    <w:rsid w:val="007F6B51"/>
    <w:rsid w:val="007F6BE0"/>
    <w:rsid w:val="007F6BE1"/>
    <w:rsid w:val="007F6D6C"/>
    <w:rsid w:val="007F70B9"/>
    <w:rsid w:val="007F7137"/>
    <w:rsid w:val="007F72E5"/>
    <w:rsid w:val="007F73BA"/>
    <w:rsid w:val="007F74AA"/>
    <w:rsid w:val="007F750D"/>
    <w:rsid w:val="007F7626"/>
    <w:rsid w:val="007F7A75"/>
    <w:rsid w:val="007F7AF4"/>
    <w:rsid w:val="007F7C48"/>
    <w:rsid w:val="007F7ECC"/>
    <w:rsid w:val="007F7F28"/>
    <w:rsid w:val="007F7F6D"/>
    <w:rsid w:val="0080006E"/>
    <w:rsid w:val="0080017A"/>
    <w:rsid w:val="008003EB"/>
    <w:rsid w:val="00800439"/>
    <w:rsid w:val="00800462"/>
    <w:rsid w:val="0080048C"/>
    <w:rsid w:val="00800629"/>
    <w:rsid w:val="00800977"/>
    <w:rsid w:val="00800E62"/>
    <w:rsid w:val="00800F35"/>
    <w:rsid w:val="0080106C"/>
    <w:rsid w:val="008010D7"/>
    <w:rsid w:val="0080128D"/>
    <w:rsid w:val="008013A1"/>
    <w:rsid w:val="0080147D"/>
    <w:rsid w:val="008015A0"/>
    <w:rsid w:val="008016CA"/>
    <w:rsid w:val="008017B6"/>
    <w:rsid w:val="00801857"/>
    <w:rsid w:val="00801B93"/>
    <w:rsid w:val="00801CCE"/>
    <w:rsid w:val="00801DB0"/>
    <w:rsid w:val="00801E7E"/>
    <w:rsid w:val="00802A65"/>
    <w:rsid w:val="00802DF1"/>
    <w:rsid w:val="008030AC"/>
    <w:rsid w:val="00803238"/>
    <w:rsid w:val="00803432"/>
    <w:rsid w:val="00803443"/>
    <w:rsid w:val="008034E1"/>
    <w:rsid w:val="00803542"/>
    <w:rsid w:val="008036C0"/>
    <w:rsid w:val="00803CCA"/>
    <w:rsid w:val="00803FB9"/>
    <w:rsid w:val="00804131"/>
    <w:rsid w:val="00804144"/>
    <w:rsid w:val="008041DE"/>
    <w:rsid w:val="0080450E"/>
    <w:rsid w:val="00804530"/>
    <w:rsid w:val="008046EC"/>
    <w:rsid w:val="00804704"/>
    <w:rsid w:val="008048F5"/>
    <w:rsid w:val="00804A6F"/>
    <w:rsid w:val="00804B1E"/>
    <w:rsid w:val="00804CBB"/>
    <w:rsid w:val="00804D52"/>
    <w:rsid w:val="00804D66"/>
    <w:rsid w:val="00804E9E"/>
    <w:rsid w:val="00804ED6"/>
    <w:rsid w:val="00805159"/>
    <w:rsid w:val="0080516A"/>
    <w:rsid w:val="008053BE"/>
    <w:rsid w:val="00805748"/>
    <w:rsid w:val="00805930"/>
    <w:rsid w:val="00805A27"/>
    <w:rsid w:val="00805D9C"/>
    <w:rsid w:val="00805FBC"/>
    <w:rsid w:val="00806118"/>
    <w:rsid w:val="008061D6"/>
    <w:rsid w:val="008062D1"/>
    <w:rsid w:val="0080646D"/>
    <w:rsid w:val="0080651B"/>
    <w:rsid w:val="00806654"/>
    <w:rsid w:val="0080680D"/>
    <w:rsid w:val="00806B8B"/>
    <w:rsid w:val="00806FFB"/>
    <w:rsid w:val="00807138"/>
    <w:rsid w:val="00807150"/>
    <w:rsid w:val="0080719B"/>
    <w:rsid w:val="00807633"/>
    <w:rsid w:val="0080786A"/>
    <w:rsid w:val="008078E4"/>
    <w:rsid w:val="00807AA3"/>
    <w:rsid w:val="00807F10"/>
    <w:rsid w:val="00810041"/>
    <w:rsid w:val="00810139"/>
    <w:rsid w:val="00810552"/>
    <w:rsid w:val="008105B3"/>
    <w:rsid w:val="00810612"/>
    <w:rsid w:val="008107D6"/>
    <w:rsid w:val="00810990"/>
    <w:rsid w:val="00810AA7"/>
    <w:rsid w:val="008110A3"/>
    <w:rsid w:val="008111CF"/>
    <w:rsid w:val="00811516"/>
    <w:rsid w:val="00811536"/>
    <w:rsid w:val="00811CEA"/>
    <w:rsid w:val="00811D79"/>
    <w:rsid w:val="00812240"/>
    <w:rsid w:val="0081236E"/>
    <w:rsid w:val="008127F9"/>
    <w:rsid w:val="00812A4B"/>
    <w:rsid w:val="00812C05"/>
    <w:rsid w:val="00812CD5"/>
    <w:rsid w:val="00812DF0"/>
    <w:rsid w:val="00812EA0"/>
    <w:rsid w:val="00812FA4"/>
    <w:rsid w:val="00813037"/>
    <w:rsid w:val="008130B3"/>
    <w:rsid w:val="008130C4"/>
    <w:rsid w:val="0081322A"/>
    <w:rsid w:val="008135FC"/>
    <w:rsid w:val="00813641"/>
    <w:rsid w:val="00813665"/>
    <w:rsid w:val="00813678"/>
    <w:rsid w:val="0081367C"/>
    <w:rsid w:val="008137B6"/>
    <w:rsid w:val="0081398E"/>
    <w:rsid w:val="00813A02"/>
    <w:rsid w:val="00813AD2"/>
    <w:rsid w:val="00813B8D"/>
    <w:rsid w:val="00813C26"/>
    <w:rsid w:val="00813D19"/>
    <w:rsid w:val="00813DC9"/>
    <w:rsid w:val="00813E16"/>
    <w:rsid w:val="00813E36"/>
    <w:rsid w:val="008140EB"/>
    <w:rsid w:val="0081423C"/>
    <w:rsid w:val="00814672"/>
    <w:rsid w:val="00814693"/>
    <w:rsid w:val="00814746"/>
    <w:rsid w:val="008147C4"/>
    <w:rsid w:val="008148C2"/>
    <w:rsid w:val="00814C3F"/>
    <w:rsid w:val="00814D2B"/>
    <w:rsid w:val="00814D2C"/>
    <w:rsid w:val="00814E0F"/>
    <w:rsid w:val="00814FB7"/>
    <w:rsid w:val="00814FFC"/>
    <w:rsid w:val="00815055"/>
    <w:rsid w:val="008151CC"/>
    <w:rsid w:val="0081521F"/>
    <w:rsid w:val="008153C9"/>
    <w:rsid w:val="00815617"/>
    <w:rsid w:val="0081568E"/>
    <w:rsid w:val="00815DBD"/>
    <w:rsid w:val="00815E12"/>
    <w:rsid w:val="008162AB"/>
    <w:rsid w:val="008164EB"/>
    <w:rsid w:val="00816560"/>
    <w:rsid w:val="008166C0"/>
    <w:rsid w:val="00816932"/>
    <w:rsid w:val="008169C0"/>
    <w:rsid w:val="008169E7"/>
    <w:rsid w:val="00816DE7"/>
    <w:rsid w:val="00816E7C"/>
    <w:rsid w:val="008171C6"/>
    <w:rsid w:val="0081766B"/>
    <w:rsid w:val="00817A08"/>
    <w:rsid w:val="00817A68"/>
    <w:rsid w:val="00817B10"/>
    <w:rsid w:val="00817F29"/>
    <w:rsid w:val="00820071"/>
    <w:rsid w:val="008200C4"/>
    <w:rsid w:val="008201C3"/>
    <w:rsid w:val="00820281"/>
    <w:rsid w:val="008203C0"/>
    <w:rsid w:val="00820695"/>
    <w:rsid w:val="00820BB1"/>
    <w:rsid w:val="00820BC4"/>
    <w:rsid w:val="0082130E"/>
    <w:rsid w:val="00821334"/>
    <w:rsid w:val="00821398"/>
    <w:rsid w:val="00821473"/>
    <w:rsid w:val="00821747"/>
    <w:rsid w:val="00821947"/>
    <w:rsid w:val="00821C6A"/>
    <w:rsid w:val="00821EE3"/>
    <w:rsid w:val="00822048"/>
    <w:rsid w:val="0082253F"/>
    <w:rsid w:val="00822C19"/>
    <w:rsid w:val="00822C58"/>
    <w:rsid w:val="00822D55"/>
    <w:rsid w:val="00822D96"/>
    <w:rsid w:val="00822E37"/>
    <w:rsid w:val="008230C1"/>
    <w:rsid w:val="0082353F"/>
    <w:rsid w:val="008235C6"/>
    <w:rsid w:val="00823611"/>
    <w:rsid w:val="00823AEB"/>
    <w:rsid w:val="00823C1E"/>
    <w:rsid w:val="00823C4B"/>
    <w:rsid w:val="00823E03"/>
    <w:rsid w:val="00823E43"/>
    <w:rsid w:val="00823ED5"/>
    <w:rsid w:val="00823F22"/>
    <w:rsid w:val="00823F9D"/>
    <w:rsid w:val="00823FEC"/>
    <w:rsid w:val="00824151"/>
    <w:rsid w:val="008249A1"/>
    <w:rsid w:val="00824E21"/>
    <w:rsid w:val="00824F80"/>
    <w:rsid w:val="00825094"/>
    <w:rsid w:val="008252B1"/>
    <w:rsid w:val="008252C7"/>
    <w:rsid w:val="008253BF"/>
    <w:rsid w:val="008256B0"/>
    <w:rsid w:val="008256F6"/>
    <w:rsid w:val="00825933"/>
    <w:rsid w:val="00825B4A"/>
    <w:rsid w:val="00825CD6"/>
    <w:rsid w:val="0082604B"/>
    <w:rsid w:val="00826220"/>
    <w:rsid w:val="0082633E"/>
    <w:rsid w:val="008263B2"/>
    <w:rsid w:val="008264F4"/>
    <w:rsid w:val="00826747"/>
    <w:rsid w:val="008267DA"/>
    <w:rsid w:val="008268B0"/>
    <w:rsid w:val="00826952"/>
    <w:rsid w:val="008269FF"/>
    <w:rsid w:val="00826C83"/>
    <w:rsid w:val="00826D47"/>
    <w:rsid w:val="00826FCB"/>
    <w:rsid w:val="00827171"/>
    <w:rsid w:val="0082730D"/>
    <w:rsid w:val="00827368"/>
    <w:rsid w:val="0082770C"/>
    <w:rsid w:val="00827AAC"/>
    <w:rsid w:val="00827C83"/>
    <w:rsid w:val="00827D6E"/>
    <w:rsid w:val="00827DC0"/>
    <w:rsid w:val="00827DEF"/>
    <w:rsid w:val="00827F0B"/>
    <w:rsid w:val="00827F65"/>
    <w:rsid w:val="00830040"/>
    <w:rsid w:val="008300C9"/>
    <w:rsid w:val="0083010F"/>
    <w:rsid w:val="008302B7"/>
    <w:rsid w:val="00830340"/>
    <w:rsid w:val="008303A5"/>
    <w:rsid w:val="00830647"/>
    <w:rsid w:val="00830A36"/>
    <w:rsid w:val="00830F45"/>
    <w:rsid w:val="0083115E"/>
    <w:rsid w:val="00831279"/>
    <w:rsid w:val="00831768"/>
    <w:rsid w:val="00831864"/>
    <w:rsid w:val="00831974"/>
    <w:rsid w:val="00831A0C"/>
    <w:rsid w:val="00831E46"/>
    <w:rsid w:val="00831FC2"/>
    <w:rsid w:val="0083256E"/>
    <w:rsid w:val="0083269B"/>
    <w:rsid w:val="00832B42"/>
    <w:rsid w:val="00832BB0"/>
    <w:rsid w:val="00832D79"/>
    <w:rsid w:val="00832F98"/>
    <w:rsid w:val="00832FDB"/>
    <w:rsid w:val="008330FE"/>
    <w:rsid w:val="008331B0"/>
    <w:rsid w:val="008333AF"/>
    <w:rsid w:val="00833428"/>
    <w:rsid w:val="008337D2"/>
    <w:rsid w:val="00833836"/>
    <w:rsid w:val="00833B23"/>
    <w:rsid w:val="00833DDB"/>
    <w:rsid w:val="00833E6F"/>
    <w:rsid w:val="00833F3F"/>
    <w:rsid w:val="0083438F"/>
    <w:rsid w:val="00834429"/>
    <w:rsid w:val="008345D3"/>
    <w:rsid w:val="00834608"/>
    <w:rsid w:val="008346F0"/>
    <w:rsid w:val="00834755"/>
    <w:rsid w:val="008349B6"/>
    <w:rsid w:val="00834C38"/>
    <w:rsid w:val="00834C54"/>
    <w:rsid w:val="00834D4F"/>
    <w:rsid w:val="00834E68"/>
    <w:rsid w:val="0083508E"/>
    <w:rsid w:val="00835255"/>
    <w:rsid w:val="008355F4"/>
    <w:rsid w:val="0083582D"/>
    <w:rsid w:val="0083587C"/>
    <w:rsid w:val="00835938"/>
    <w:rsid w:val="008359E4"/>
    <w:rsid w:val="00835B07"/>
    <w:rsid w:val="00835E09"/>
    <w:rsid w:val="00835F6A"/>
    <w:rsid w:val="0083608A"/>
    <w:rsid w:val="0083608D"/>
    <w:rsid w:val="0083631F"/>
    <w:rsid w:val="0083639B"/>
    <w:rsid w:val="00836475"/>
    <w:rsid w:val="0083681C"/>
    <w:rsid w:val="00836CEF"/>
    <w:rsid w:val="00836D98"/>
    <w:rsid w:val="0083793B"/>
    <w:rsid w:val="00837AA4"/>
    <w:rsid w:val="00837C48"/>
    <w:rsid w:val="008400E5"/>
    <w:rsid w:val="0084018D"/>
    <w:rsid w:val="0084024B"/>
    <w:rsid w:val="00840397"/>
    <w:rsid w:val="00840868"/>
    <w:rsid w:val="00840A83"/>
    <w:rsid w:val="00840CA5"/>
    <w:rsid w:val="00841309"/>
    <w:rsid w:val="00841326"/>
    <w:rsid w:val="008414C4"/>
    <w:rsid w:val="00841533"/>
    <w:rsid w:val="0084159D"/>
    <w:rsid w:val="00841B13"/>
    <w:rsid w:val="00841BB8"/>
    <w:rsid w:val="00841C0F"/>
    <w:rsid w:val="00841E92"/>
    <w:rsid w:val="0084213D"/>
    <w:rsid w:val="00842514"/>
    <w:rsid w:val="0084272E"/>
    <w:rsid w:val="00842989"/>
    <w:rsid w:val="00842A26"/>
    <w:rsid w:val="00842AB6"/>
    <w:rsid w:val="00842E09"/>
    <w:rsid w:val="00842EB9"/>
    <w:rsid w:val="00843016"/>
    <w:rsid w:val="0084325E"/>
    <w:rsid w:val="00843577"/>
    <w:rsid w:val="00843752"/>
    <w:rsid w:val="00843BC0"/>
    <w:rsid w:val="00843E6F"/>
    <w:rsid w:val="00843FFB"/>
    <w:rsid w:val="0084412B"/>
    <w:rsid w:val="008441CE"/>
    <w:rsid w:val="008443E7"/>
    <w:rsid w:val="008444F0"/>
    <w:rsid w:val="00844890"/>
    <w:rsid w:val="00844970"/>
    <w:rsid w:val="00844A90"/>
    <w:rsid w:val="00844B50"/>
    <w:rsid w:val="00844D9A"/>
    <w:rsid w:val="00844E29"/>
    <w:rsid w:val="00844E7A"/>
    <w:rsid w:val="00844F83"/>
    <w:rsid w:val="00844FE1"/>
    <w:rsid w:val="0084524A"/>
    <w:rsid w:val="0084539A"/>
    <w:rsid w:val="00845487"/>
    <w:rsid w:val="00845499"/>
    <w:rsid w:val="008455C6"/>
    <w:rsid w:val="0084567E"/>
    <w:rsid w:val="008456CE"/>
    <w:rsid w:val="00845881"/>
    <w:rsid w:val="00845AAC"/>
    <w:rsid w:val="00845C75"/>
    <w:rsid w:val="008460D6"/>
    <w:rsid w:val="008463C2"/>
    <w:rsid w:val="00846477"/>
    <w:rsid w:val="00846A68"/>
    <w:rsid w:val="00846B9E"/>
    <w:rsid w:val="00846C00"/>
    <w:rsid w:val="00846C81"/>
    <w:rsid w:val="00846E05"/>
    <w:rsid w:val="00846E25"/>
    <w:rsid w:val="00846E4A"/>
    <w:rsid w:val="008473FA"/>
    <w:rsid w:val="0084754F"/>
    <w:rsid w:val="00847756"/>
    <w:rsid w:val="00847774"/>
    <w:rsid w:val="0084777D"/>
    <w:rsid w:val="008479BB"/>
    <w:rsid w:val="008479E3"/>
    <w:rsid w:val="00847C2B"/>
    <w:rsid w:val="00847D87"/>
    <w:rsid w:val="00847D92"/>
    <w:rsid w:val="00847DFA"/>
    <w:rsid w:val="00850128"/>
    <w:rsid w:val="0085032B"/>
    <w:rsid w:val="008503D0"/>
    <w:rsid w:val="00850581"/>
    <w:rsid w:val="00850832"/>
    <w:rsid w:val="00850AE2"/>
    <w:rsid w:val="00850DBC"/>
    <w:rsid w:val="00851046"/>
    <w:rsid w:val="00851100"/>
    <w:rsid w:val="00851111"/>
    <w:rsid w:val="0085127C"/>
    <w:rsid w:val="0085147D"/>
    <w:rsid w:val="00851654"/>
    <w:rsid w:val="008519A3"/>
    <w:rsid w:val="00851AF5"/>
    <w:rsid w:val="00851C37"/>
    <w:rsid w:val="00851DAA"/>
    <w:rsid w:val="00851DD1"/>
    <w:rsid w:val="00851E3A"/>
    <w:rsid w:val="00851EA9"/>
    <w:rsid w:val="00851FB5"/>
    <w:rsid w:val="008521DB"/>
    <w:rsid w:val="008522D5"/>
    <w:rsid w:val="008523B5"/>
    <w:rsid w:val="008523C7"/>
    <w:rsid w:val="0085257E"/>
    <w:rsid w:val="00852677"/>
    <w:rsid w:val="00852766"/>
    <w:rsid w:val="008527CF"/>
    <w:rsid w:val="008527D1"/>
    <w:rsid w:val="00852A40"/>
    <w:rsid w:val="00852A56"/>
    <w:rsid w:val="00852B97"/>
    <w:rsid w:val="00852D72"/>
    <w:rsid w:val="00852DB9"/>
    <w:rsid w:val="00852E18"/>
    <w:rsid w:val="00852E2D"/>
    <w:rsid w:val="00852EC6"/>
    <w:rsid w:val="00852FD6"/>
    <w:rsid w:val="008533EE"/>
    <w:rsid w:val="00853508"/>
    <w:rsid w:val="00853558"/>
    <w:rsid w:val="008537A3"/>
    <w:rsid w:val="00853984"/>
    <w:rsid w:val="00853B98"/>
    <w:rsid w:val="0085404C"/>
    <w:rsid w:val="008542DB"/>
    <w:rsid w:val="00854332"/>
    <w:rsid w:val="008543AB"/>
    <w:rsid w:val="00854658"/>
    <w:rsid w:val="00854670"/>
    <w:rsid w:val="00854724"/>
    <w:rsid w:val="00854BB0"/>
    <w:rsid w:val="00854DAA"/>
    <w:rsid w:val="00854DDA"/>
    <w:rsid w:val="00854F3D"/>
    <w:rsid w:val="00854F86"/>
    <w:rsid w:val="00854FE8"/>
    <w:rsid w:val="008550CB"/>
    <w:rsid w:val="00855513"/>
    <w:rsid w:val="00855761"/>
    <w:rsid w:val="008559DD"/>
    <w:rsid w:val="00855A05"/>
    <w:rsid w:val="00855B60"/>
    <w:rsid w:val="00855E0B"/>
    <w:rsid w:val="00855F5C"/>
    <w:rsid w:val="00855FD4"/>
    <w:rsid w:val="008560B9"/>
    <w:rsid w:val="008561E8"/>
    <w:rsid w:val="008565D8"/>
    <w:rsid w:val="0085660C"/>
    <w:rsid w:val="00856A20"/>
    <w:rsid w:val="00856A5C"/>
    <w:rsid w:val="00856A70"/>
    <w:rsid w:val="00856BBD"/>
    <w:rsid w:val="00856D81"/>
    <w:rsid w:val="00856F56"/>
    <w:rsid w:val="008570DB"/>
    <w:rsid w:val="0085710F"/>
    <w:rsid w:val="0085718B"/>
    <w:rsid w:val="008571CC"/>
    <w:rsid w:val="008573A8"/>
    <w:rsid w:val="008575E9"/>
    <w:rsid w:val="00857632"/>
    <w:rsid w:val="00857810"/>
    <w:rsid w:val="00857897"/>
    <w:rsid w:val="00857A69"/>
    <w:rsid w:val="00857AC9"/>
    <w:rsid w:val="00857CA2"/>
    <w:rsid w:val="00857FE0"/>
    <w:rsid w:val="00860088"/>
    <w:rsid w:val="008603CB"/>
    <w:rsid w:val="00860698"/>
    <w:rsid w:val="00860793"/>
    <w:rsid w:val="008608A3"/>
    <w:rsid w:val="0086092E"/>
    <w:rsid w:val="00860A48"/>
    <w:rsid w:val="00860B4C"/>
    <w:rsid w:val="00860D6C"/>
    <w:rsid w:val="00861215"/>
    <w:rsid w:val="008612B7"/>
    <w:rsid w:val="0086169D"/>
    <w:rsid w:val="0086178B"/>
    <w:rsid w:val="00861B3D"/>
    <w:rsid w:val="00861B8D"/>
    <w:rsid w:val="00862196"/>
    <w:rsid w:val="008622FB"/>
    <w:rsid w:val="008623D9"/>
    <w:rsid w:val="0086242C"/>
    <w:rsid w:val="008626B9"/>
    <w:rsid w:val="00862721"/>
    <w:rsid w:val="00862856"/>
    <w:rsid w:val="0086287C"/>
    <w:rsid w:val="008628B4"/>
    <w:rsid w:val="008628C0"/>
    <w:rsid w:val="008629FE"/>
    <w:rsid w:val="00862A9D"/>
    <w:rsid w:val="00862BB2"/>
    <w:rsid w:val="0086362C"/>
    <w:rsid w:val="008637F8"/>
    <w:rsid w:val="0086396F"/>
    <w:rsid w:val="00863A17"/>
    <w:rsid w:val="00863B8D"/>
    <w:rsid w:val="008642B3"/>
    <w:rsid w:val="008642E8"/>
    <w:rsid w:val="0086447F"/>
    <w:rsid w:val="00864671"/>
    <w:rsid w:val="008647DE"/>
    <w:rsid w:val="008648C5"/>
    <w:rsid w:val="00864A8A"/>
    <w:rsid w:val="00864B95"/>
    <w:rsid w:val="00864DEB"/>
    <w:rsid w:val="00864E48"/>
    <w:rsid w:val="0086549E"/>
    <w:rsid w:val="008656A2"/>
    <w:rsid w:val="00865737"/>
    <w:rsid w:val="008657C5"/>
    <w:rsid w:val="00865884"/>
    <w:rsid w:val="00865E72"/>
    <w:rsid w:val="00865F33"/>
    <w:rsid w:val="00866142"/>
    <w:rsid w:val="00866277"/>
    <w:rsid w:val="008662E4"/>
    <w:rsid w:val="0086631B"/>
    <w:rsid w:val="00866562"/>
    <w:rsid w:val="0086663F"/>
    <w:rsid w:val="00866788"/>
    <w:rsid w:val="008667B8"/>
    <w:rsid w:val="008668F6"/>
    <w:rsid w:val="00866A85"/>
    <w:rsid w:val="00866B2E"/>
    <w:rsid w:val="00866BDD"/>
    <w:rsid w:val="00866D0C"/>
    <w:rsid w:val="00866EFA"/>
    <w:rsid w:val="00867003"/>
    <w:rsid w:val="00867488"/>
    <w:rsid w:val="00867A99"/>
    <w:rsid w:val="00867C61"/>
    <w:rsid w:val="00867D1C"/>
    <w:rsid w:val="00867DA2"/>
    <w:rsid w:val="00867E19"/>
    <w:rsid w:val="00867E33"/>
    <w:rsid w:val="00870120"/>
    <w:rsid w:val="00870122"/>
    <w:rsid w:val="0087058A"/>
    <w:rsid w:val="008705D6"/>
    <w:rsid w:val="008706BB"/>
    <w:rsid w:val="00870B66"/>
    <w:rsid w:val="00870BFB"/>
    <w:rsid w:val="00870C2B"/>
    <w:rsid w:val="008712E0"/>
    <w:rsid w:val="008713BA"/>
    <w:rsid w:val="008715A9"/>
    <w:rsid w:val="0087167A"/>
    <w:rsid w:val="00871936"/>
    <w:rsid w:val="00871C23"/>
    <w:rsid w:val="00871C35"/>
    <w:rsid w:val="00871C8A"/>
    <w:rsid w:val="00871C95"/>
    <w:rsid w:val="00871DDA"/>
    <w:rsid w:val="00871F10"/>
    <w:rsid w:val="00871FF2"/>
    <w:rsid w:val="00872175"/>
    <w:rsid w:val="00872295"/>
    <w:rsid w:val="0087232D"/>
    <w:rsid w:val="008723B7"/>
    <w:rsid w:val="0087249F"/>
    <w:rsid w:val="008725CB"/>
    <w:rsid w:val="00872735"/>
    <w:rsid w:val="008727F1"/>
    <w:rsid w:val="00872A31"/>
    <w:rsid w:val="008731C9"/>
    <w:rsid w:val="0087326F"/>
    <w:rsid w:val="008735BD"/>
    <w:rsid w:val="00873620"/>
    <w:rsid w:val="008736CE"/>
    <w:rsid w:val="00873BDE"/>
    <w:rsid w:val="00873C67"/>
    <w:rsid w:val="00873CA6"/>
    <w:rsid w:val="00873EDC"/>
    <w:rsid w:val="00873EFF"/>
    <w:rsid w:val="00873F87"/>
    <w:rsid w:val="00873FBC"/>
    <w:rsid w:val="00874159"/>
    <w:rsid w:val="008742EE"/>
    <w:rsid w:val="0087441B"/>
    <w:rsid w:val="008745BF"/>
    <w:rsid w:val="008747A6"/>
    <w:rsid w:val="00874ABD"/>
    <w:rsid w:val="00874DB0"/>
    <w:rsid w:val="00874E64"/>
    <w:rsid w:val="00874F72"/>
    <w:rsid w:val="0087506E"/>
    <w:rsid w:val="0087545D"/>
    <w:rsid w:val="00875578"/>
    <w:rsid w:val="008759CA"/>
    <w:rsid w:val="00875A14"/>
    <w:rsid w:val="00875A5A"/>
    <w:rsid w:val="00875A72"/>
    <w:rsid w:val="00875FE2"/>
    <w:rsid w:val="008760EF"/>
    <w:rsid w:val="00876356"/>
    <w:rsid w:val="00876445"/>
    <w:rsid w:val="008764F4"/>
    <w:rsid w:val="0087651F"/>
    <w:rsid w:val="00876567"/>
    <w:rsid w:val="0087693A"/>
    <w:rsid w:val="00876A5E"/>
    <w:rsid w:val="00876B8D"/>
    <w:rsid w:val="00876B96"/>
    <w:rsid w:val="00876F19"/>
    <w:rsid w:val="00877030"/>
    <w:rsid w:val="00877051"/>
    <w:rsid w:val="008771EA"/>
    <w:rsid w:val="00877277"/>
    <w:rsid w:val="008773A1"/>
    <w:rsid w:val="00877727"/>
    <w:rsid w:val="00877A91"/>
    <w:rsid w:val="00877B1A"/>
    <w:rsid w:val="00877C12"/>
    <w:rsid w:val="00877DC5"/>
    <w:rsid w:val="00877E7E"/>
    <w:rsid w:val="00877E9C"/>
    <w:rsid w:val="008800AA"/>
    <w:rsid w:val="008800D3"/>
    <w:rsid w:val="00880159"/>
    <w:rsid w:val="008804C1"/>
    <w:rsid w:val="008807BD"/>
    <w:rsid w:val="008808C1"/>
    <w:rsid w:val="00880B39"/>
    <w:rsid w:val="00880C56"/>
    <w:rsid w:val="00880CB5"/>
    <w:rsid w:val="00880D8E"/>
    <w:rsid w:val="00880F1A"/>
    <w:rsid w:val="0088105D"/>
    <w:rsid w:val="0088120B"/>
    <w:rsid w:val="00881275"/>
    <w:rsid w:val="008812AB"/>
    <w:rsid w:val="0088141F"/>
    <w:rsid w:val="008816A8"/>
    <w:rsid w:val="00881A51"/>
    <w:rsid w:val="00881ADB"/>
    <w:rsid w:val="00881B11"/>
    <w:rsid w:val="00881B16"/>
    <w:rsid w:val="00881C85"/>
    <w:rsid w:val="00881DA2"/>
    <w:rsid w:val="00881EDA"/>
    <w:rsid w:val="00882181"/>
    <w:rsid w:val="008822E0"/>
    <w:rsid w:val="0088236F"/>
    <w:rsid w:val="00882748"/>
    <w:rsid w:val="008827C0"/>
    <w:rsid w:val="00882807"/>
    <w:rsid w:val="00882831"/>
    <w:rsid w:val="00882AE6"/>
    <w:rsid w:val="00882B6B"/>
    <w:rsid w:val="00882D12"/>
    <w:rsid w:val="00882E4F"/>
    <w:rsid w:val="00882F68"/>
    <w:rsid w:val="008831D1"/>
    <w:rsid w:val="00883B56"/>
    <w:rsid w:val="00883BA5"/>
    <w:rsid w:val="00883CA4"/>
    <w:rsid w:val="00883E2B"/>
    <w:rsid w:val="00883EC1"/>
    <w:rsid w:val="008841C5"/>
    <w:rsid w:val="00884784"/>
    <w:rsid w:val="00884846"/>
    <w:rsid w:val="00884EA2"/>
    <w:rsid w:val="00884F67"/>
    <w:rsid w:val="00884FF8"/>
    <w:rsid w:val="00885258"/>
    <w:rsid w:val="008853B4"/>
    <w:rsid w:val="008853C7"/>
    <w:rsid w:val="008854ED"/>
    <w:rsid w:val="00885825"/>
    <w:rsid w:val="00885B9B"/>
    <w:rsid w:val="00885CFA"/>
    <w:rsid w:val="00885D7E"/>
    <w:rsid w:val="00885E0D"/>
    <w:rsid w:val="00885E58"/>
    <w:rsid w:val="00886030"/>
    <w:rsid w:val="00886250"/>
    <w:rsid w:val="008864B2"/>
    <w:rsid w:val="00886501"/>
    <w:rsid w:val="00886531"/>
    <w:rsid w:val="008868EA"/>
    <w:rsid w:val="00886A3E"/>
    <w:rsid w:val="00886CDD"/>
    <w:rsid w:val="00886F36"/>
    <w:rsid w:val="00886F38"/>
    <w:rsid w:val="00886FF6"/>
    <w:rsid w:val="008870FA"/>
    <w:rsid w:val="00887274"/>
    <w:rsid w:val="00887462"/>
    <w:rsid w:val="0088786A"/>
    <w:rsid w:val="00887874"/>
    <w:rsid w:val="008878A4"/>
    <w:rsid w:val="008879A9"/>
    <w:rsid w:val="00887A37"/>
    <w:rsid w:val="00887E1E"/>
    <w:rsid w:val="00887E99"/>
    <w:rsid w:val="00887FA9"/>
    <w:rsid w:val="00887FC6"/>
    <w:rsid w:val="00890205"/>
    <w:rsid w:val="008902FA"/>
    <w:rsid w:val="0089036D"/>
    <w:rsid w:val="00890536"/>
    <w:rsid w:val="00890560"/>
    <w:rsid w:val="00890888"/>
    <w:rsid w:val="008911C8"/>
    <w:rsid w:val="008912E9"/>
    <w:rsid w:val="008914FB"/>
    <w:rsid w:val="008915B6"/>
    <w:rsid w:val="008917FF"/>
    <w:rsid w:val="008918D2"/>
    <w:rsid w:val="00891D47"/>
    <w:rsid w:val="00891DD9"/>
    <w:rsid w:val="008920DC"/>
    <w:rsid w:val="0089214D"/>
    <w:rsid w:val="008922AD"/>
    <w:rsid w:val="00892529"/>
    <w:rsid w:val="00892859"/>
    <w:rsid w:val="00892884"/>
    <w:rsid w:val="00892B2D"/>
    <w:rsid w:val="00892E03"/>
    <w:rsid w:val="00892FA3"/>
    <w:rsid w:val="00893585"/>
    <w:rsid w:val="008935DB"/>
    <w:rsid w:val="00893710"/>
    <w:rsid w:val="00893C0D"/>
    <w:rsid w:val="00893D72"/>
    <w:rsid w:val="00894081"/>
    <w:rsid w:val="00894125"/>
    <w:rsid w:val="00894143"/>
    <w:rsid w:val="0089435A"/>
    <w:rsid w:val="00894781"/>
    <w:rsid w:val="0089485F"/>
    <w:rsid w:val="00894A50"/>
    <w:rsid w:val="00894CFA"/>
    <w:rsid w:val="00894E3A"/>
    <w:rsid w:val="00894F13"/>
    <w:rsid w:val="008950EF"/>
    <w:rsid w:val="008954F9"/>
    <w:rsid w:val="00895508"/>
    <w:rsid w:val="0089560A"/>
    <w:rsid w:val="00895653"/>
    <w:rsid w:val="008957DD"/>
    <w:rsid w:val="0089638B"/>
    <w:rsid w:val="00896449"/>
    <w:rsid w:val="008965FA"/>
    <w:rsid w:val="008966CF"/>
    <w:rsid w:val="00896EF3"/>
    <w:rsid w:val="00897194"/>
    <w:rsid w:val="0089724F"/>
    <w:rsid w:val="008973C8"/>
    <w:rsid w:val="0089754C"/>
    <w:rsid w:val="0089778C"/>
    <w:rsid w:val="00897B01"/>
    <w:rsid w:val="00897B5E"/>
    <w:rsid w:val="00897BC6"/>
    <w:rsid w:val="00897D8B"/>
    <w:rsid w:val="00897DC3"/>
    <w:rsid w:val="00897F0C"/>
    <w:rsid w:val="008A002A"/>
    <w:rsid w:val="008A014D"/>
    <w:rsid w:val="008A02EC"/>
    <w:rsid w:val="008A086F"/>
    <w:rsid w:val="008A0E11"/>
    <w:rsid w:val="008A12ED"/>
    <w:rsid w:val="008A1597"/>
    <w:rsid w:val="008A15C2"/>
    <w:rsid w:val="008A1713"/>
    <w:rsid w:val="008A18A9"/>
    <w:rsid w:val="008A1B0F"/>
    <w:rsid w:val="008A1BB7"/>
    <w:rsid w:val="008A1DF7"/>
    <w:rsid w:val="008A1ECC"/>
    <w:rsid w:val="008A2012"/>
    <w:rsid w:val="008A20DA"/>
    <w:rsid w:val="008A21C0"/>
    <w:rsid w:val="008A273B"/>
    <w:rsid w:val="008A28B1"/>
    <w:rsid w:val="008A297B"/>
    <w:rsid w:val="008A298B"/>
    <w:rsid w:val="008A2AAE"/>
    <w:rsid w:val="008A2D0B"/>
    <w:rsid w:val="008A2D18"/>
    <w:rsid w:val="008A3081"/>
    <w:rsid w:val="008A3163"/>
    <w:rsid w:val="008A31CE"/>
    <w:rsid w:val="008A36C1"/>
    <w:rsid w:val="008A381F"/>
    <w:rsid w:val="008A3BA7"/>
    <w:rsid w:val="008A3CC4"/>
    <w:rsid w:val="008A3DAB"/>
    <w:rsid w:val="008A3F55"/>
    <w:rsid w:val="008A3F9C"/>
    <w:rsid w:val="008A4019"/>
    <w:rsid w:val="008A4310"/>
    <w:rsid w:val="008A436D"/>
    <w:rsid w:val="008A4424"/>
    <w:rsid w:val="008A448A"/>
    <w:rsid w:val="008A49E2"/>
    <w:rsid w:val="008A4AEB"/>
    <w:rsid w:val="008A4B8B"/>
    <w:rsid w:val="008A4C2A"/>
    <w:rsid w:val="008A4D27"/>
    <w:rsid w:val="008A4E10"/>
    <w:rsid w:val="008A501F"/>
    <w:rsid w:val="008A5095"/>
    <w:rsid w:val="008A534C"/>
    <w:rsid w:val="008A5616"/>
    <w:rsid w:val="008A56D9"/>
    <w:rsid w:val="008A581A"/>
    <w:rsid w:val="008A590D"/>
    <w:rsid w:val="008A59FB"/>
    <w:rsid w:val="008A5E02"/>
    <w:rsid w:val="008A5EC6"/>
    <w:rsid w:val="008A5FB5"/>
    <w:rsid w:val="008A612D"/>
    <w:rsid w:val="008A6285"/>
    <w:rsid w:val="008A6323"/>
    <w:rsid w:val="008A6395"/>
    <w:rsid w:val="008A6AEB"/>
    <w:rsid w:val="008A6B2C"/>
    <w:rsid w:val="008A6B43"/>
    <w:rsid w:val="008A6D56"/>
    <w:rsid w:val="008A6D58"/>
    <w:rsid w:val="008A6E5D"/>
    <w:rsid w:val="008A6F56"/>
    <w:rsid w:val="008A71FC"/>
    <w:rsid w:val="008A73C5"/>
    <w:rsid w:val="008A7873"/>
    <w:rsid w:val="008A7878"/>
    <w:rsid w:val="008A7966"/>
    <w:rsid w:val="008A7B9E"/>
    <w:rsid w:val="008A7C16"/>
    <w:rsid w:val="008A7CA8"/>
    <w:rsid w:val="008A7FE2"/>
    <w:rsid w:val="008B0164"/>
    <w:rsid w:val="008B0222"/>
    <w:rsid w:val="008B0254"/>
    <w:rsid w:val="008B03A2"/>
    <w:rsid w:val="008B044E"/>
    <w:rsid w:val="008B0526"/>
    <w:rsid w:val="008B059C"/>
    <w:rsid w:val="008B066A"/>
    <w:rsid w:val="008B0879"/>
    <w:rsid w:val="008B0CA2"/>
    <w:rsid w:val="008B0F41"/>
    <w:rsid w:val="008B1126"/>
    <w:rsid w:val="008B199C"/>
    <w:rsid w:val="008B1ABF"/>
    <w:rsid w:val="008B1F63"/>
    <w:rsid w:val="008B1F85"/>
    <w:rsid w:val="008B20E3"/>
    <w:rsid w:val="008B2299"/>
    <w:rsid w:val="008B22E8"/>
    <w:rsid w:val="008B2305"/>
    <w:rsid w:val="008B233D"/>
    <w:rsid w:val="008B2432"/>
    <w:rsid w:val="008B259C"/>
    <w:rsid w:val="008B261F"/>
    <w:rsid w:val="008B2636"/>
    <w:rsid w:val="008B2B14"/>
    <w:rsid w:val="008B2BEE"/>
    <w:rsid w:val="008B2D71"/>
    <w:rsid w:val="008B2FC0"/>
    <w:rsid w:val="008B30E8"/>
    <w:rsid w:val="008B31A5"/>
    <w:rsid w:val="008B31C9"/>
    <w:rsid w:val="008B3612"/>
    <w:rsid w:val="008B3745"/>
    <w:rsid w:val="008B3750"/>
    <w:rsid w:val="008B3821"/>
    <w:rsid w:val="008B3C5E"/>
    <w:rsid w:val="008B3D4A"/>
    <w:rsid w:val="008B3FE1"/>
    <w:rsid w:val="008B4026"/>
    <w:rsid w:val="008B406E"/>
    <w:rsid w:val="008B4093"/>
    <w:rsid w:val="008B40F2"/>
    <w:rsid w:val="008B4201"/>
    <w:rsid w:val="008B4255"/>
    <w:rsid w:val="008B4595"/>
    <w:rsid w:val="008B5047"/>
    <w:rsid w:val="008B51C9"/>
    <w:rsid w:val="008B540E"/>
    <w:rsid w:val="008B5488"/>
    <w:rsid w:val="008B56A3"/>
    <w:rsid w:val="008B5923"/>
    <w:rsid w:val="008B5C8F"/>
    <w:rsid w:val="008B5DD6"/>
    <w:rsid w:val="008B5F16"/>
    <w:rsid w:val="008B5F79"/>
    <w:rsid w:val="008B5F7B"/>
    <w:rsid w:val="008B5FFB"/>
    <w:rsid w:val="008B637E"/>
    <w:rsid w:val="008B6385"/>
    <w:rsid w:val="008B6B1E"/>
    <w:rsid w:val="008B6B95"/>
    <w:rsid w:val="008B6BCE"/>
    <w:rsid w:val="008B6F7C"/>
    <w:rsid w:val="008B6FB3"/>
    <w:rsid w:val="008B7183"/>
    <w:rsid w:val="008B7451"/>
    <w:rsid w:val="008B752E"/>
    <w:rsid w:val="008B7722"/>
    <w:rsid w:val="008B7785"/>
    <w:rsid w:val="008B77CE"/>
    <w:rsid w:val="008B7868"/>
    <w:rsid w:val="008B786F"/>
    <w:rsid w:val="008B792C"/>
    <w:rsid w:val="008B7945"/>
    <w:rsid w:val="008B7A00"/>
    <w:rsid w:val="008B7B8E"/>
    <w:rsid w:val="008B7BFB"/>
    <w:rsid w:val="008B7DBB"/>
    <w:rsid w:val="008B7EAB"/>
    <w:rsid w:val="008B7F9A"/>
    <w:rsid w:val="008C0029"/>
    <w:rsid w:val="008C0127"/>
    <w:rsid w:val="008C02BE"/>
    <w:rsid w:val="008C02E7"/>
    <w:rsid w:val="008C0421"/>
    <w:rsid w:val="008C0475"/>
    <w:rsid w:val="008C0488"/>
    <w:rsid w:val="008C0779"/>
    <w:rsid w:val="008C07DA"/>
    <w:rsid w:val="008C093A"/>
    <w:rsid w:val="008C0AFA"/>
    <w:rsid w:val="008C0B11"/>
    <w:rsid w:val="008C0B17"/>
    <w:rsid w:val="008C0CAE"/>
    <w:rsid w:val="008C0CB9"/>
    <w:rsid w:val="008C0DAB"/>
    <w:rsid w:val="008C0E5C"/>
    <w:rsid w:val="008C12CF"/>
    <w:rsid w:val="008C1373"/>
    <w:rsid w:val="008C16C4"/>
    <w:rsid w:val="008C184B"/>
    <w:rsid w:val="008C1879"/>
    <w:rsid w:val="008C18BC"/>
    <w:rsid w:val="008C1ADE"/>
    <w:rsid w:val="008C1B45"/>
    <w:rsid w:val="008C1C43"/>
    <w:rsid w:val="008C1D32"/>
    <w:rsid w:val="008C1E2C"/>
    <w:rsid w:val="008C1E46"/>
    <w:rsid w:val="008C2352"/>
    <w:rsid w:val="008C2357"/>
    <w:rsid w:val="008C26ED"/>
    <w:rsid w:val="008C27C4"/>
    <w:rsid w:val="008C28AC"/>
    <w:rsid w:val="008C28D0"/>
    <w:rsid w:val="008C2901"/>
    <w:rsid w:val="008C2BB5"/>
    <w:rsid w:val="008C2C43"/>
    <w:rsid w:val="008C32F2"/>
    <w:rsid w:val="008C343F"/>
    <w:rsid w:val="008C36BD"/>
    <w:rsid w:val="008C3915"/>
    <w:rsid w:val="008C39E1"/>
    <w:rsid w:val="008C3ACD"/>
    <w:rsid w:val="008C3B3A"/>
    <w:rsid w:val="008C3BD9"/>
    <w:rsid w:val="008C3C63"/>
    <w:rsid w:val="008C4206"/>
    <w:rsid w:val="008C436E"/>
    <w:rsid w:val="008C43E2"/>
    <w:rsid w:val="008C441A"/>
    <w:rsid w:val="008C4581"/>
    <w:rsid w:val="008C45ED"/>
    <w:rsid w:val="008C4669"/>
    <w:rsid w:val="008C489E"/>
    <w:rsid w:val="008C4B70"/>
    <w:rsid w:val="008C4FA9"/>
    <w:rsid w:val="008C504D"/>
    <w:rsid w:val="008C5109"/>
    <w:rsid w:val="008C552F"/>
    <w:rsid w:val="008C5940"/>
    <w:rsid w:val="008C59DF"/>
    <w:rsid w:val="008C5D76"/>
    <w:rsid w:val="008C5EE3"/>
    <w:rsid w:val="008C6358"/>
    <w:rsid w:val="008C6829"/>
    <w:rsid w:val="008C684C"/>
    <w:rsid w:val="008C6B32"/>
    <w:rsid w:val="008C6CB5"/>
    <w:rsid w:val="008C6E40"/>
    <w:rsid w:val="008C6F52"/>
    <w:rsid w:val="008C7138"/>
    <w:rsid w:val="008C73B9"/>
    <w:rsid w:val="008C73D8"/>
    <w:rsid w:val="008C7524"/>
    <w:rsid w:val="008C7584"/>
    <w:rsid w:val="008C7589"/>
    <w:rsid w:val="008C79A1"/>
    <w:rsid w:val="008C7A0C"/>
    <w:rsid w:val="008C7ACB"/>
    <w:rsid w:val="008C7C57"/>
    <w:rsid w:val="008C7DCE"/>
    <w:rsid w:val="008C7F92"/>
    <w:rsid w:val="008C7FAB"/>
    <w:rsid w:val="008D01ED"/>
    <w:rsid w:val="008D024D"/>
    <w:rsid w:val="008D0369"/>
    <w:rsid w:val="008D0519"/>
    <w:rsid w:val="008D0532"/>
    <w:rsid w:val="008D0902"/>
    <w:rsid w:val="008D0939"/>
    <w:rsid w:val="008D0A04"/>
    <w:rsid w:val="008D0B43"/>
    <w:rsid w:val="008D0D23"/>
    <w:rsid w:val="008D0ED4"/>
    <w:rsid w:val="008D100D"/>
    <w:rsid w:val="008D1040"/>
    <w:rsid w:val="008D118E"/>
    <w:rsid w:val="008D1373"/>
    <w:rsid w:val="008D1497"/>
    <w:rsid w:val="008D15C2"/>
    <w:rsid w:val="008D15D2"/>
    <w:rsid w:val="008D1C1A"/>
    <w:rsid w:val="008D1D0D"/>
    <w:rsid w:val="008D1FB9"/>
    <w:rsid w:val="008D2099"/>
    <w:rsid w:val="008D20F6"/>
    <w:rsid w:val="008D23CF"/>
    <w:rsid w:val="008D248E"/>
    <w:rsid w:val="008D264B"/>
    <w:rsid w:val="008D274F"/>
    <w:rsid w:val="008D283F"/>
    <w:rsid w:val="008D2BD2"/>
    <w:rsid w:val="008D2D85"/>
    <w:rsid w:val="008D312A"/>
    <w:rsid w:val="008D3269"/>
    <w:rsid w:val="008D32FC"/>
    <w:rsid w:val="008D335A"/>
    <w:rsid w:val="008D348B"/>
    <w:rsid w:val="008D3716"/>
    <w:rsid w:val="008D39C6"/>
    <w:rsid w:val="008D3C94"/>
    <w:rsid w:val="008D3F93"/>
    <w:rsid w:val="008D4269"/>
    <w:rsid w:val="008D4442"/>
    <w:rsid w:val="008D44BA"/>
    <w:rsid w:val="008D4629"/>
    <w:rsid w:val="008D4658"/>
    <w:rsid w:val="008D46EE"/>
    <w:rsid w:val="008D48D4"/>
    <w:rsid w:val="008D4A17"/>
    <w:rsid w:val="008D4E5B"/>
    <w:rsid w:val="008D4E65"/>
    <w:rsid w:val="008D4F5B"/>
    <w:rsid w:val="008D5106"/>
    <w:rsid w:val="008D55D1"/>
    <w:rsid w:val="008D5705"/>
    <w:rsid w:val="008D5824"/>
    <w:rsid w:val="008D5856"/>
    <w:rsid w:val="008D635F"/>
    <w:rsid w:val="008D6367"/>
    <w:rsid w:val="008D6600"/>
    <w:rsid w:val="008D6782"/>
    <w:rsid w:val="008D6BEC"/>
    <w:rsid w:val="008D6C04"/>
    <w:rsid w:val="008D6D34"/>
    <w:rsid w:val="008D704F"/>
    <w:rsid w:val="008D75D2"/>
    <w:rsid w:val="008D78A6"/>
    <w:rsid w:val="008D7958"/>
    <w:rsid w:val="008D7CD8"/>
    <w:rsid w:val="008D7DA0"/>
    <w:rsid w:val="008D7EE9"/>
    <w:rsid w:val="008E0026"/>
    <w:rsid w:val="008E005C"/>
    <w:rsid w:val="008E006C"/>
    <w:rsid w:val="008E0102"/>
    <w:rsid w:val="008E027A"/>
    <w:rsid w:val="008E04E4"/>
    <w:rsid w:val="008E0629"/>
    <w:rsid w:val="008E07EB"/>
    <w:rsid w:val="008E08E0"/>
    <w:rsid w:val="008E0964"/>
    <w:rsid w:val="008E097D"/>
    <w:rsid w:val="008E10B7"/>
    <w:rsid w:val="008E14F9"/>
    <w:rsid w:val="008E1619"/>
    <w:rsid w:val="008E16B1"/>
    <w:rsid w:val="008E188B"/>
    <w:rsid w:val="008E1B8E"/>
    <w:rsid w:val="008E1BF5"/>
    <w:rsid w:val="008E1E7B"/>
    <w:rsid w:val="008E1FC2"/>
    <w:rsid w:val="008E2102"/>
    <w:rsid w:val="008E2136"/>
    <w:rsid w:val="008E230B"/>
    <w:rsid w:val="008E27A2"/>
    <w:rsid w:val="008E2BCD"/>
    <w:rsid w:val="008E2BE4"/>
    <w:rsid w:val="008E2C92"/>
    <w:rsid w:val="008E2CBC"/>
    <w:rsid w:val="008E2D39"/>
    <w:rsid w:val="008E2D87"/>
    <w:rsid w:val="008E3191"/>
    <w:rsid w:val="008E345C"/>
    <w:rsid w:val="008E35FE"/>
    <w:rsid w:val="008E38A9"/>
    <w:rsid w:val="008E3B97"/>
    <w:rsid w:val="008E3ED5"/>
    <w:rsid w:val="008E3F84"/>
    <w:rsid w:val="008E406B"/>
    <w:rsid w:val="008E41BE"/>
    <w:rsid w:val="008E4254"/>
    <w:rsid w:val="008E4464"/>
    <w:rsid w:val="008E456A"/>
    <w:rsid w:val="008E47AC"/>
    <w:rsid w:val="008E49F3"/>
    <w:rsid w:val="008E4A37"/>
    <w:rsid w:val="008E4A4B"/>
    <w:rsid w:val="008E4A5B"/>
    <w:rsid w:val="008E4E39"/>
    <w:rsid w:val="008E4EFB"/>
    <w:rsid w:val="008E4FAE"/>
    <w:rsid w:val="008E5047"/>
    <w:rsid w:val="008E5175"/>
    <w:rsid w:val="008E53A2"/>
    <w:rsid w:val="008E564D"/>
    <w:rsid w:val="008E5786"/>
    <w:rsid w:val="008E5842"/>
    <w:rsid w:val="008E58F0"/>
    <w:rsid w:val="008E5B20"/>
    <w:rsid w:val="008E5BB8"/>
    <w:rsid w:val="008E62D2"/>
    <w:rsid w:val="008E6381"/>
    <w:rsid w:val="008E66B3"/>
    <w:rsid w:val="008E68E5"/>
    <w:rsid w:val="008E6B4E"/>
    <w:rsid w:val="008E6B79"/>
    <w:rsid w:val="008E6CBD"/>
    <w:rsid w:val="008E6CE6"/>
    <w:rsid w:val="008E6DC0"/>
    <w:rsid w:val="008E6E67"/>
    <w:rsid w:val="008E6F40"/>
    <w:rsid w:val="008E72EE"/>
    <w:rsid w:val="008E7455"/>
    <w:rsid w:val="008E7481"/>
    <w:rsid w:val="008E77EA"/>
    <w:rsid w:val="008E787E"/>
    <w:rsid w:val="008E7970"/>
    <w:rsid w:val="008E7B40"/>
    <w:rsid w:val="008E7B85"/>
    <w:rsid w:val="008E7C34"/>
    <w:rsid w:val="008E7DC5"/>
    <w:rsid w:val="008E7F4A"/>
    <w:rsid w:val="008F0155"/>
    <w:rsid w:val="008F03A7"/>
    <w:rsid w:val="008F04EA"/>
    <w:rsid w:val="008F0679"/>
    <w:rsid w:val="008F0762"/>
    <w:rsid w:val="008F0B57"/>
    <w:rsid w:val="008F0C36"/>
    <w:rsid w:val="008F0CD6"/>
    <w:rsid w:val="008F0E10"/>
    <w:rsid w:val="008F0EB2"/>
    <w:rsid w:val="008F0FD9"/>
    <w:rsid w:val="008F1016"/>
    <w:rsid w:val="008F107F"/>
    <w:rsid w:val="008F10B1"/>
    <w:rsid w:val="008F10B3"/>
    <w:rsid w:val="008F10D9"/>
    <w:rsid w:val="008F10DD"/>
    <w:rsid w:val="008F166E"/>
    <w:rsid w:val="008F1959"/>
    <w:rsid w:val="008F1BDA"/>
    <w:rsid w:val="008F1C38"/>
    <w:rsid w:val="008F1DBF"/>
    <w:rsid w:val="008F204A"/>
    <w:rsid w:val="008F20F7"/>
    <w:rsid w:val="008F21B8"/>
    <w:rsid w:val="008F258F"/>
    <w:rsid w:val="008F2847"/>
    <w:rsid w:val="008F2880"/>
    <w:rsid w:val="008F2D46"/>
    <w:rsid w:val="008F2F7D"/>
    <w:rsid w:val="008F328D"/>
    <w:rsid w:val="008F3387"/>
    <w:rsid w:val="008F344B"/>
    <w:rsid w:val="008F344E"/>
    <w:rsid w:val="008F34BD"/>
    <w:rsid w:val="008F36E2"/>
    <w:rsid w:val="008F3775"/>
    <w:rsid w:val="008F377B"/>
    <w:rsid w:val="008F37A3"/>
    <w:rsid w:val="008F3B45"/>
    <w:rsid w:val="008F3C4B"/>
    <w:rsid w:val="008F3D22"/>
    <w:rsid w:val="008F3D94"/>
    <w:rsid w:val="008F3EC6"/>
    <w:rsid w:val="008F431F"/>
    <w:rsid w:val="008F43F5"/>
    <w:rsid w:val="008F45B9"/>
    <w:rsid w:val="008F45EF"/>
    <w:rsid w:val="008F47E0"/>
    <w:rsid w:val="008F4823"/>
    <w:rsid w:val="008F4835"/>
    <w:rsid w:val="008F48F6"/>
    <w:rsid w:val="008F4AE6"/>
    <w:rsid w:val="008F4CAE"/>
    <w:rsid w:val="008F4E23"/>
    <w:rsid w:val="008F4EE5"/>
    <w:rsid w:val="008F4FC9"/>
    <w:rsid w:val="008F50A6"/>
    <w:rsid w:val="008F51DA"/>
    <w:rsid w:val="008F53FA"/>
    <w:rsid w:val="008F56DE"/>
    <w:rsid w:val="008F56EA"/>
    <w:rsid w:val="008F574A"/>
    <w:rsid w:val="008F5C5E"/>
    <w:rsid w:val="008F5CC0"/>
    <w:rsid w:val="008F5D89"/>
    <w:rsid w:val="008F5E4C"/>
    <w:rsid w:val="008F61A0"/>
    <w:rsid w:val="008F621C"/>
    <w:rsid w:val="008F654F"/>
    <w:rsid w:val="008F657A"/>
    <w:rsid w:val="008F6649"/>
    <w:rsid w:val="008F679D"/>
    <w:rsid w:val="008F67CC"/>
    <w:rsid w:val="008F6AD6"/>
    <w:rsid w:val="008F6DDE"/>
    <w:rsid w:val="008F75BF"/>
    <w:rsid w:val="008F7689"/>
    <w:rsid w:val="008F7D98"/>
    <w:rsid w:val="00900259"/>
    <w:rsid w:val="00900384"/>
    <w:rsid w:val="0090059C"/>
    <w:rsid w:val="009005D4"/>
    <w:rsid w:val="009007FC"/>
    <w:rsid w:val="009008FB"/>
    <w:rsid w:val="00900A9F"/>
    <w:rsid w:val="00900B47"/>
    <w:rsid w:val="00900C35"/>
    <w:rsid w:val="00901012"/>
    <w:rsid w:val="009011CE"/>
    <w:rsid w:val="009014D5"/>
    <w:rsid w:val="009017A1"/>
    <w:rsid w:val="00901A0E"/>
    <w:rsid w:val="00901C05"/>
    <w:rsid w:val="00901D41"/>
    <w:rsid w:val="00901D5C"/>
    <w:rsid w:val="00901EE8"/>
    <w:rsid w:val="0090205F"/>
    <w:rsid w:val="0090252A"/>
    <w:rsid w:val="0090258C"/>
    <w:rsid w:val="009025AB"/>
    <w:rsid w:val="00902C00"/>
    <w:rsid w:val="00902CA5"/>
    <w:rsid w:val="00902D4F"/>
    <w:rsid w:val="009030E3"/>
    <w:rsid w:val="009031DE"/>
    <w:rsid w:val="009034B9"/>
    <w:rsid w:val="00903519"/>
    <w:rsid w:val="009036E9"/>
    <w:rsid w:val="00903764"/>
    <w:rsid w:val="00903FB3"/>
    <w:rsid w:val="009041FA"/>
    <w:rsid w:val="00904690"/>
    <w:rsid w:val="00904A84"/>
    <w:rsid w:val="00904B6B"/>
    <w:rsid w:val="00904C65"/>
    <w:rsid w:val="00905045"/>
    <w:rsid w:val="009051D5"/>
    <w:rsid w:val="00905336"/>
    <w:rsid w:val="00905461"/>
    <w:rsid w:val="0090572B"/>
    <w:rsid w:val="009057B7"/>
    <w:rsid w:val="00905F9B"/>
    <w:rsid w:val="009060FF"/>
    <w:rsid w:val="00906370"/>
    <w:rsid w:val="009066DC"/>
    <w:rsid w:val="00906944"/>
    <w:rsid w:val="0090695E"/>
    <w:rsid w:val="00906A2E"/>
    <w:rsid w:val="00906A84"/>
    <w:rsid w:val="00906E22"/>
    <w:rsid w:val="00906E57"/>
    <w:rsid w:val="00906FE3"/>
    <w:rsid w:val="0090728D"/>
    <w:rsid w:val="00907441"/>
    <w:rsid w:val="00907583"/>
    <w:rsid w:val="0090758F"/>
    <w:rsid w:val="0090766F"/>
    <w:rsid w:val="009076CA"/>
    <w:rsid w:val="0090779A"/>
    <w:rsid w:val="0090780A"/>
    <w:rsid w:val="00907ABC"/>
    <w:rsid w:val="00907ECD"/>
    <w:rsid w:val="009101D7"/>
    <w:rsid w:val="009102B4"/>
    <w:rsid w:val="009102C6"/>
    <w:rsid w:val="009103E1"/>
    <w:rsid w:val="0091052B"/>
    <w:rsid w:val="00910715"/>
    <w:rsid w:val="009107FF"/>
    <w:rsid w:val="00910873"/>
    <w:rsid w:val="0091091D"/>
    <w:rsid w:val="0091110F"/>
    <w:rsid w:val="009111D3"/>
    <w:rsid w:val="00911327"/>
    <w:rsid w:val="009116DE"/>
    <w:rsid w:val="00911E11"/>
    <w:rsid w:val="00911F7E"/>
    <w:rsid w:val="009122DB"/>
    <w:rsid w:val="00912664"/>
    <w:rsid w:val="00912722"/>
    <w:rsid w:val="00912848"/>
    <w:rsid w:val="009128B6"/>
    <w:rsid w:val="00912B56"/>
    <w:rsid w:val="00912C69"/>
    <w:rsid w:val="00912C6F"/>
    <w:rsid w:val="00912E50"/>
    <w:rsid w:val="00912E6B"/>
    <w:rsid w:val="00912FFC"/>
    <w:rsid w:val="00913053"/>
    <w:rsid w:val="009133D4"/>
    <w:rsid w:val="009133D8"/>
    <w:rsid w:val="009133EA"/>
    <w:rsid w:val="009136D9"/>
    <w:rsid w:val="009138B0"/>
    <w:rsid w:val="00913F98"/>
    <w:rsid w:val="0091409B"/>
    <w:rsid w:val="00914136"/>
    <w:rsid w:val="009143E4"/>
    <w:rsid w:val="0091446C"/>
    <w:rsid w:val="0091485C"/>
    <w:rsid w:val="00914AB2"/>
    <w:rsid w:val="00914D25"/>
    <w:rsid w:val="00914D48"/>
    <w:rsid w:val="00915269"/>
    <w:rsid w:val="00915512"/>
    <w:rsid w:val="00915B19"/>
    <w:rsid w:val="00915D74"/>
    <w:rsid w:val="00915E19"/>
    <w:rsid w:val="00916223"/>
    <w:rsid w:val="009163A0"/>
    <w:rsid w:val="009165A9"/>
    <w:rsid w:val="009168E7"/>
    <w:rsid w:val="0091696F"/>
    <w:rsid w:val="00916B85"/>
    <w:rsid w:val="00916C99"/>
    <w:rsid w:val="00916EB8"/>
    <w:rsid w:val="00916EE9"/>
    <w:rsid w:val="00916F8A"/>
    <w:rsid w:val="00917159"/>
    <w:rsid w:val="00917210"/>
    <w:rsid w:val="009175A4"/>
    <w:rsid w:val="00917C84"/>
    <w:rsid w:val="00917D6B"/>
    <w:rsid w:val="009200B5"/>
    <w:rsid w:val="009201A6"/>
    <w:rsid w:val="009201E8"/>
    <w:rsid w:val="00920260"/>
    <w:rsid w:val="00920395"/>
    <w:rsid w:val="00920482"/>
    <w:rsid w:val="00920515"/>
    <w:rsid w:val="00920596"/>
    <w:rsid w:val="00920618"/>
    <w:rsid w:val="00920CF9"/>
    <w:rsid w:val="00920F74"/>
    <w:rsid w:val="00920FCF"/>
    <w:rsid w:val="0092119F"/>
    <w:rsid w:val="009213A0"/>
    <w:rsid w:val="009218A2"/>
    <w:rsid w:val="0092191B"/>
    <w:rsid w:val="00921B0F"/>
    <w:rsid w:val="00921D40"/>
    <w:rsid w:val="00921D63"/>
    <w:rsid w:val="00921D80"/>
    <w:rsid w:val="00921D86"/>
    <w:rsid w:val="00921F1C"/>
    <w:rsid w:val="00921FE8"/>
    <w:rsid w:val="0092241F"/>
    <w:rsid w:val="009224A3"/>
    <w:rsid w:val="009224B7"/>
    <w:rsid w:val="0092261B"/>
    <w:rsid w:val="00922812"/>
    <w:rsid w:val="009229AE"/>
    <w:rsid w:val="00922A9B"/>
    <w:rsid w:val="00922AF1"/>
    <w:rsid w:val="00922B51"/>
    <w:rsid w:val="00922C64"/>
    <w:rsid w:val="00922CF4"/>
    <w:rsid w:val="00922D0B"/>
    <w:rsid w:val="00922E1B"/>
    <w:rsid w:val="00922E3B"/>
    <w:rsid w:val="00922FD8"/>
    <w:rsid w:val="009230B4"/>
    <w:rsid w:val="00923170"/>
    <w:rsid w:val="00923261"/>
    <w:rsid w:val="009233C3"/>
    <w:rsid w:val="009233CC"/>
    <w:rsid w:val="00923509"/>
    <w:rsid w:val="00923551"/>
    <w:rsid w:val="00923633"/>
    <w:rsid w:val="00923651"/>
    <w:rsid w:val="0092383E"/>
    <w:rsid w:val="00923C11"/>
    <w:rsid w:val="00923CB4"/>
    <w:rsid w:val="00923D14"/>
    <w:rsid w:val="00923F15"/>
    <w:rsid w:val="0092400C"/>
    <w:rsid w:val="009240D8"/>
    <w:rsid w:val="009240FF"/>
    <w:rsid w:val="009243D8"/>
    <w:rsid w:val="00924502"/>
    <w:rsid w:val="0092498A"/>
    <w:rsid w:val="00924AA7"/>
    <w:rsid w:val="00924AE6"/>
    <w:rsid w:val="00924E29"/>
    <w:rsid w:val="00924EC9"/>
    <w:rsid w:val="0092518C"/>
    <w:rsid w:val="009251A7"/>
    <w:rsid w:val="0092523D"/>
    <w:rsid w:val="009256C9"/>
    <w:rsid w:val="0092571D"/>
    <w:rsid w:val="0092586A"/>
    <w:rsid w:val="009259B7"/>
    <w:rsid w:val="00925E68"/>
    <w:rsid w:val="00925E6F"/>
    <w:rsid w:val="00925EF6"/>
    <w:rsid w:val="00925F7F"/>
    <w:rsid w:val="0092604C"/>
    <w:rsid w:val="0092606A"/>
    <w:rsid w:val="009260FB"/>
    <w:rsid w:val="009261C2"/>
    <w:rsid w:val="00926262"/>
    <w:rsid w:val="00926354"/>
    <w:rsid w:val="009264CA"/>
    <w:rsid w:val="00926670"/>
    <w:rsid w:val="009268B6"/>
    <w:rsid w:val="00926CAF"/>
    <w:rsid w:val="00926E6B"/>
    <w:rsid w:val="00926F34"/>
    <w:rsid w:val="00927038"/>
    <w:rsid w:val="0092717B"/>
    <w:rsid w:val="009271D0"/>
    <w:rsid w:val="009272EB"/>
    <w:rsid w:val="0092785A"/>
    <w:rsid w:val="0092789F"/>
    <w:rsid w:val="00927A08"/>
    <w:rsid w:val="00927B96"/>
    <w:rsid w:val="00927CA4"/>
    <w:rsid w:val="00927CA5"/>
    <w:rsid w:val="00927F26"/>
    <w:rsid w:val="00927FCB"/>
    <w:rsid w:val="00930076"/>
    <w:rsid w:val="009301C8"/>
    <w:rsid w:val="009303C3"/>
    <w:rsid w:val="009304E4"/>
    <w:rsid w:val="0093066B"/>
    <w:rsid w:val="0093069F"/>
    <w:rsid w:val="009306D9"/>
    <w:rsid w:val="009306EB"/>
    <w:rsid w:val="00930745"/>
    <w:rsid w:val="00930751"/>
    <w:rsid w:val="00930812"/>
    <w:rsid w:val="009308E5"/>
    <w:rsid w:val="00930948"/>
    <w:rsid w:val="00930A39"/>
    <w:rsid w:val="00930A74"/>
    <w:rsid w:val="00930B2F"/>
    <w:rsid w:val="00930BE1"/>
    <w:rsid w:val="00930E1C"/>
    <w:rsid w:val="00930EA1"/>
    <w:rsid w:val="009310EB"/>
    <w:rsid w:val="00931112"/>
    <w:rsid w:val="0093121B"/>
    <w:rsid w:val="00931338"/>
    <w:rsid w:val="009316A4"/>
    <w:rsid w:val="0093176E"/>
    <w:rsid w:val="00931852"/>
    <w:rsid w:val="00931B3D"/>
    <w:rsid w:val="00931B5E"/>
    <w:rsid w:val="00932100"/>
    <w:rsid w:val="0093218E"/>
    <w:rsid w:val="009324FE"/>
    <w:rsid w:val="00932509"/>
    <w:rsid w:val="00932835"/>
    <w:rsid w:val="00932929"/>
    <w:rsid w:val="00932983"/>
    <w:rsid w:val="009329B0"/>
    <w:rsid w:val="009329B2"/>
    <w:rsid w:val="00932D90"/>
    <w:rsid w:val="00932FCF"/>
    <w:rsid w:val="009330EB"/>
    <w:rsid w:val="00933200"/>
    <w:rsid w:val="009332E2"/>
    <w:rsid w:val="00933817"/>
    <w:rsid w:val="00933A35"/>
    <w:rsid w:val="00933FE3"/>
    <w:rsid w:val="009343C1"/>
    <w:rsid w:val="00934B9E"/>
    <w:rsid w:val="00934EAC"/>
    <w:rsid w:val="00934F34"/>
    <w:rsid w:val="009350E4"/>
    <w:rsid w:val="009354E5"/>
    <w:rsid w:val="00935753"/>
    <w:rsid w:val="009359DF"/>
    <w:rsid w:val="009359FB"/>
    <w:rsid w:val="00935A5A"/>
    <w:rsid w:val="00935FA6"/>
    <w:rsid w:val="0093603E"/>
    <w:rsid w:val="00936095"/>
    <w:rsid w:val="009360D7"/>
    <w:rsid w:val="00936158"/>
    <w:rsid w:val="009362C9"/>
    <w:rsid w:val="00936794"/>
    <w:rsid w:val="00936A97"/>
    <w:rsid w:val="0093709C"/>
    <w:rsid w:val="009370C4"/>
    <w:rsid w:val="00937336"/>
    <w:rsid w:val="0093743C"/>
    <w:rsid w:val="00937498"/>
    <w:rsid w:val="00937509"/>
    <w:rsid w:val="0093753F"/>
    <w:rsid w:val="00937935"/>
    <w:rsid w:val="00937BDA"/>
    <w:rsid w:val="00937E54"/>
    <w:rsid w:val="00937F3B"/>
    <w:rsid w:val="0094001E"/>
    <w:rsid w:val="009404D7"/>
    <w:rsid w:val="009405A4"/>
    <w:rsid w:val="009405F4"/>
    <w:rsid w:val="009407AA"/>
    <w:rsid w:val="00940A44"/>
    <w:rsid w:val="00940AD1"/>
    <w:rsid w:val="00940E50"/>
    <w:rsid w:val="00940F39"/>
    <w:rsid w:val="00941026"/>
    <w:rsid w:val="00941326"/>
    <w:rsid w:val="0094148C"/>
    <w:rsid w:val="00941536"/>
    <w:rsid w:val="00941588"/>
    <w:rsid w:val="00941754"/>
    <w:rsid w:val="00941769"/>
    <w:rsid w:val="009417E4"/>
    <w:rsid w:val="00941D13"/>
    <w:rsid w:val="00942058"/>
    <w:rsid w:val="0094218A"/>
    <w:rsid w:val="00942226"/>
    <w:rsid w:val="00942341"/>
    <w:rsid w:val="00942387"/>
    <w:rsid w:val="009425F8"/>
    <w:rsid w:val="00942A1E"/>
    <w:rsid w:val="00942D6F"/>
    <w:rsid w:val="00942EC7"/>
    <w:rsid w:val="00943136"/>
    <w:rsid w:val="0094380C"/>
    <w:rsid w:val="0094385A"/>
    <w:rsid w:val="009438FE"/>
    <w:rsid w:val="00943A5E"/>
    <w:rsid w:val="00943AC2"/>
    <w:rsid w:val="00943AD9"/>
    <w:rsid w:val="00943AE3"/>
    <w:rsid w:val="00943F16"/>
    <w:rsid w:val="00944236"/>
    <w:rsid w:val="00944614"/>
    <w:rsid w:val="0094479D"/>
    <w:rsid w:val="009447F2"/>
    <w:rsid w:val="009448CC"/>
    <w:rsid w:val="009448DF"/>
    <w:rsid w:val="00944959"/>
    <w:rsid w:val="00944BF3"/>
    <w:rsid w:val="00944EAE"/>
    <w:rsid w:val="00944F2F"/>
    <w:rsid w:val="00945015"/>
    <w:rsid w:val="009450F7"/>
    <w:rsid w:val="0094517F"/>
    <w:rsid w:val="009451A4"/>
    <w:rsid w:val="0094553C"/>
    <w:rsid w:val="00945609"/>
    <w:rsid w:val="00945613"/>
    <w:rsid w:val="009457B0"/>
    <w:rsid w:val="0094597A"/>
    <w:rsid w:val="00945D86"/>
    <w:rsid w:val="00945EF3"/>
    <w:rsid w:val="00945FD8"/>
    <w:rsid w:val="00946019"/>
    <w:rsid w:val="0094612E"/>
    <w:rsid w:val="0094616E"/>
    <w:rsid w:val="0094626F"/>
    <w:rsid w:val="009462D2"/>
    <w:rsid w:val="009463D0"/>
    <w:rsid w:val="00946846"/>
    <w:rsid w:val="0094692B"/>
    <w:rsid w:val="00946A1D"/>
    <w:rsid w:val="00946D25"/>
    <w:rsid w:val="00946D60"/>
    <w:rsid w:val="009472D2"/>
    <w:rsid w:val="009476AB"/>
    <w:rsid w:val="009478D2"/>
    <w:rsid w:val="0094792F"/>
    <w:rsid w:val="009479A6"/>
    <w:rsid w:val="00947E56"/>
    <w:rsid w:val="00950934"/>
    <w:rsid w:val="00950A20"/>
    <w:rsid w:val="00950CD5"/>
    <w:rsid w:val="00950D16"/>
    <w:rsid w:val="00950ED9"/>
    <w:rsid w:val="0095118D"/>
    <w:rsid w:val="00951195"/>
    <w:rsid w:val="0095144C"/>
    <w:rsid w:val="009515F4"/>
    <w:rsid w:val="0095165B"/>
    <w:rsid w:val="0095168C"/>
    <w:rsid w:val="0095180F"/>
    <w:rsid w:val="00951B66"/>
    <w:rsid w:val="00951BD0"/>
    <w:rsid w:val="00952548"/>
    <w:rsid w:val="00952844"/>
    <w:rsid w:val="009531B5"/>
    <w:rsid w:val="009535D6"/>
    <w:rsid w:val="00953825"/>
    <w:rsid w:val="009538C2"/>
    <w:rsid w:val="00953A3B"/>
    <w:rsid w:val="00953D79"/>
    <w:rsid w:val="00953D91"/>
    <w:rsid w:val="00954003"/>
    <w:rsid w:val="00954148"/>
    <w:rsid w:val="009542ED"/>
    <w:rsid w:val="0095434A"/>
    <w:rsid w:val="0095445D"/>
    <w:rsid w:val="00954939"/>
    <w:rsid w:val="00954A89"/>
    <w:rsid w:val="00954B61"/>
    <w:rsid w:val="00954BC5"/>
    <w:rsid w:val="00954BE5"/>
    <w:rsid w:val="00954E2D"/>
    <w:rsid w:val="009553DD"/>
    <w:rsid w:val="0095554D"/>
    <w:rsid w:val="0095571A"/>
    <w:rsid w:val="00955943"/>
    <w:rsid w:val="00955956"/>
    <w:rsid w:val="0095598A"/>
    <w:rsid w:val="009559B8"/>
    <w:rsid w:val="00955AC4"/>
    <w:rsid w:val="00955C0B"/>
    <w:rsid w:val="00955CA3"/>
    <w:rsid w:val="00955DF3"/>
    <w:rsid w:val="00955F8A"/>
    <w:rsid w:val="009561D4"/>
    <w:rsid w:val="0095623F"/>
    <w:rsid w:val="009563D1"/>
    <w:rsid w:val="00956422"/>
    <w:rsid w:val="0095654C"/>
    <w:rsid w:val="0095686C"/>
    <w:rsid w:val="009568A4"/>
    <w:rsid w:val="00956C1D"/>
    <w:rsid w:val="00956C4E"/>
    <w:rsid w:val="00956D2B"/>
    <w:rsid w:val="00956FA7"/>
    <w:rsid w:val="009570B7"/>
    <w:rsid w:val="009571DC"/>
    <w:rsid w:val="009573B1"/>
    <w:rsid w:val="0095751D"/>
    <w:rsid w:val="00957569"/>
    <w:rsid w:val="009578C9"/>
    <w:rsid w:val="00957A77"/>
    <w:rsid w:val="00957CC7"/>
    <w:rsid w:val="00957D5D"/>
    <w:rsid w:val="00957F9F"/>
    <w:rsid w:val="0096002A"/>
    <w:rsid w:val="0096011C"/>
    <w:rsid w:val="009601C6"/>
    <w:rsid w:val="00960239"/>
    <w:rsid w:val="009608B3"/>
    <w:rsid w:val="00960A61"/>
    <w:rsid w:val="00960CE4"/>
    <w:rsid w:val="00960FF8"/>
    <w:rsid w:val="0096111A"/>
    <w:rsid w:val="00961623"/>
    <w:rsid w:val="00961773"/>
    <w:rsid w:val="009618AE"/>
    <w:rsid w:val="009619B3"/>
    <w:rsid w:val="00961D26"/>
    <w:rsid w:val="00961DF3"/>
    <w:rsid w:val="00961F98"/>
    <w:rsid w:val="00961F9F"/>
    <w:rsid w:val="00961FF0"/>
    <w:rsid w:val="00962323"/>
    <w:rsid w:val="009626AC"/>
    <w:rsid w:val="009627AF"/>
    <w:rsid w:val="0096297B"/>
    <w:rsid w:val="009629CB"/>
    <w:rsid w:val="009629FF"/>
    <w:rsid w:val="00962D7C"/>
    <w:rsid w:val="00962F60"/>
    <w:rsid w:val="009630BE"/>
    <w:rsid w:val="009632C8"/>
    <w:rsid w:val="009633D7"/>
    <w:rsid w:val="009634A1"/>
    <w:rsid w:val="00963539"/>
    <w:rsid w:val="009637F5"/>
    <w:rsid w:val="00963959"/>
    <w:rsid w:val="00963ACD"/>
    <w:rsid w:val="00963B85"/>
    <w:rsid w:val="00963BDC"/>
    <w:rsid w:val="00963BEC"/>
    <w:rsid w:val="00963CB0"/>
    <w:rsid w:val="00963DA9"/>
    <w:rsid w:val="00964723"/>
    <w:rsid w:val="009649E6"/>
    <w:rsid w:val="00964A1C"/>
    <w:rsid w:val="00964A79"/>
    <w:rsid w:val="00964B9F"/>
    <w:rsid w:val="00964C14"/>
    <w:rsid w:val="00964C2F"/>
    <w:rsid w:val="00964CF1"/>
    <w:rsid w:val="00964D6E"/>
    <w:rsid w:val="009651EA"/>
    <w:rsid w:val="009652D5"/>
    <w:rsid w:val="00965A7E"/>
    <w:rsid w:val="00965DA8"/>
    <w:rsid w:val="00965EFF"/>
    <w:rsid w:val="00965F48"/>
    <w:rsid w:val="00966464"/>
    <w:rsid w:val="009664FD"/>
    <w:rsid w:val="00966B95"/>
    <w:rsid w:val="00966C16"/>
    <w:rsid w:val="00966CA9"/>
    <w:rsid w:val="00966D01"/>
    <w:rsid w:val="00966DF1"/>
    <w:rsid w:val="00966E26"/>
    <w:rsid w:val="009673BF"/>
    <w:rsid w:val="00967414"/>
    <w:rsid w:val="00967485"/>
    <w:rsid w:val="00967508"/>
    <w:rsid w:val="009675E4"/>
    <w:rsid w:val="0096761A"/>
    <w:rsid w:val="009677F8"/>
    <w:rsid w:val="00967C39"/>
    <w:rsid w:val="00967D72"/>
    <w:rsid w:val="0097036B"/>
    <w:rsid w:val="0097054C"/>
    <w:rsid w:val="009705FE"/>
    <w:rsid w:val="00970910"/>
    <w:rsid w:val="00970C46"/>
    <w:rsid w:val="00970D1A"/>
    <w:rsid w:val="00970D3F"/>
    <w:rsid w:val="00970E55"/>
    <w:rsid w:val="00970E88"/>
    <w:rsid w:val="00970EC3"/>
    <w:rsid w:val="00970EF1"/>
    <w:rsid w:val="00970F09"/>
    <w:rsid w:val="00970F7A"/>
    <w:rsid w:val="00970FAA"/>
    <w:rsid w:val="00971146"/>
    <w:rsid w:val="00971229"/>
    <w:rsid w:val="009713E2"/>
    <w:rsid w:val="009713EB"/>
    <w:rsid w:val="009713F0"/>
    <w:rsid w:val="00971517"/>
    <w:rsid w:val="009717F0"/>
    <w:rsid w:val="009718C4"/>
    <w:rsid w:val="00971940"/>
    <w:rsid w:val="00971980"/>
    <w:rsid w:val="0097198B"/>
    <w:rsid w:val="00971AA1"/>
    <w:rsid w:val="00971C26"/>
    <w:rsid w:val="00971C3A"/>
    <w:rsid w:val="00971DC0"/>
    <w:rsid w:val="0097220C"/>
    <w:rsid w:val="00972270"/>
    <w:rsid w:val="00972278"/>
    <w:rsid w:val="009723EC"/>
    <w:rsid w:val="009725F2"/>
    <w:rsid w:val="00972636"/>
    <w:rsid w:val="00972847"/>
    <w:rsid w:val="00972916"/>
    <w:rsid w:val="00972A9A"/>
    <w:rsid w:val="00972AA3"/>
    <w:rsid w:val="00972AFF"/>
    <w:rsid w:val="00972B99"/>
    <w:rsid w:val="00972D66"/>
    <w:rsid w:val="00973507"/>
    <w:rsid w:val="009735F7"/>
    <w:rsid w:val="009735FB"/>
    <w:rsid w:val="0097374B"/>
    <w:rsid w:val="0097386B"/>
    <w:rsid w:val="00973C85"/>
    <w:rsid w:val="0097429B"/>
    <w:rsid w:val="009746C6"/>
    <w:rsid w:val="00974981"/>
    <w:rsid w:val="009749F7"/>
    <w:rsid w:val="00974AD4"/>
    <w:rsid w:val="00974B78"/>
    <w:rsid w:val="00974B8A"/>
    <w:rsid w:val="00974BB4"/>
    <w:rsid w:val="0097513A"/>
    <w:rsid w:val="00975154"/>
    <w:rsid w:val="009757B3"/>
    <w:rsid w:val="00975830"/>
    <w:rsid w:val="00975894"/>
    <w:rsid w:val="00975A92"/>
    <w:rsid w:val="00975B8C"/>
    <w:rsid w:val="00975C3E"/>
    <w:rsid w:val="00975FB5"/>
    <w:rsid w:val="0097600B"/>
    <w:rsid w:val="009765D1"/>
    <w:rsid w:val="0097691F"/>
    <w:rsid w:val="009769C3"/>
    <w:rsid w:val="00977060"/>
    <w:rsid w:val="00977263"/>
    <w:rsid w:val="00977A34"/>
    <w:rsid w:val="00977A6E"/>
    <w:rsid w:val="00977D75"/>
    <w:rsid w:val="0098004D"/>
    <w:rsid w:val="009803FF"/>
    <w:rsid w:val="009805DD"/>
    <w:rsid w:val="00980840"/>
    <w:rsid w:val="009808D9"/>
    <w:rsid w:val="00980949"/>
    <w:rsid w:val="009809DC"/>
    <w:rsid w:val="00980A30"/>
    <w:rsid w:val="00980F27"/>
    <w:rsid w:val="00981126"/>
    <w:rsid w:val="0098193C"/>
    <w:rsid w:val="00981A28"/>
    <w:rsid w:val="00981BF0"/>
    <w:rsid w:val="00981C05"/>
    <w:rsid w:val="00981E75"/>
    <w:rsid w:val="00981F25"/>
    <w:rsid w:val="009820EC"/>
    <w:rsid w:val="009821F9"/>
    <w:rsid w:val="00982346"/>
    <w:rsid w:val="00982435"/>
    <w:rsid w:val="00982559"/>
    <w:rsid w:val="00982627"/>
    <w:rsid w:val="00982719"/>
    <w:rsid w:val="00982745"/>
    <w:rsid w:val="00982BF1"/>
    <w:rsid w:val="00982D0E"/>
    <w:rsid w:val="00982E02"/>
    <w:rsid w:val="0098307E"/>
    <w:rsid w:val="00983096"/>
    <w:rsid w:val="0098324D"/>
    <w:rsid w:val="0098338D"/>
    <w:rsid w:val="0098345B"/>
    <w:rsid w:val="00983A0F"/>
    <w:rsid w:val="00983C31"/>
    <w:rsid w:val="00983C3E"/>
    <w:rsid w:val="00983DFB"/>
    <w:rsid w:val="00983E7E"/>
    <w:rsid w:val="00983EF1"/>
    <w:rsid w:val="0098401C"/>
    <w:rsid w:val="009841C1"/>
    <w:rsid w:val="0098461A"/>
    <w:rsid w:val="00984720"/>
    <w:rsid w:val="00984783"/>
    <w:rsid w:val="009848A3"/>
    <w:rsid w:val="009849A8"/>
    <w:rsid w:val="00984A1E"/>
    <w:rsid w:val="00984AA8"/>
    <w:rsid w:val="00984B7D"/>
    <w:rsid w:val="00984E8C"/>
    <w:rsid w:val="00984EDE"/>
    <w:rsid w:val="00985121"/>
    <w:rsid w:val="0098513A"/>
    <w:rsid w:val="0098541B"/>
    <w:rsid w:val="0098586A"/>
    <w:rsid w:val="00985963"/>
    <w:rsid w:val="00985C4A"/>
    <w:rsid w:val="00985CAC"/>
    <w:rsid w:val="00985E04"/>
    <w:rsid w:val="00985EE6"/>
    <w:rsid w:val="00986255"/>
    <w:rsid w:val="0098643F"/>
    <w:rsid w:val="00986453"/>
    <w:rsid w:val="0098645D"/>
    <w:rsid w:val="009865DA"/>
    <w:rsid w:val="009866A4"/>
    <w:rsid w:val="00986783"/>
    <w:rsid w:val="00986884"/>
    <w:rsid w:val="0098698A"/>
    <w:rsid w:val="00986A62"/>
    <w:rsid w:val="00986D7B"/>
    <w:rsid w:val="00986F3C"/>
    <w:rsid w:val="00987008"/>
    <w:rsid w:val="0098700B"/>
    <w:rsid w:val="00987347"/>
    <w:rsid w:val="009874D7"/>
    <w:rsid w:val="0098765E"/>
    <w:rsid w:val="00987979"/>
    <w:rsid w:val="00987A6D"/>
    <w:rsid w:val="00987B2A"/>
    <w:rsid w:val="00987BAC"/>
    <w:rsid w:val="00987BB1"/>
    <w:rsid w:val="00987C50"/>
    <w:rsid w:val="00987DCA"/>
    <w:rsid w:val="00990063"/>
    <w:rsid w:val="00990166"/>
    <w:rsid w:val="00990169"/>
    <w:rsid w:val="009902F9"/>
    <w:rsid w:val="00990314"/>
    <w:rsid w:val="009905FF"/>
    <w:rsid w:val="00990672"/>
    <w:rsid w:val="009906ED"/>
    <w:rsid w:val="00990BBB"/>
    <w:rsid w:val="00990CF1"/>
    <w:rsid w:val="00990D2A"/>
    <w:rsid w:val="00990D40"/>
    <w:rsid w:val="00990EDD"/>
    <w:rsid w:val="00990F98"/>
    <w:rsid w:val="00991182"/>
    <w:rsid w:val="0099129C"/>
    <w:rsid w:val="00991675"/>
    <w:rsid w:val="0099188A"/>
    <w:rsid w:val="00991C24"/>
    <w:rsid w:val="00991EED"/>
    <w:rsid w:val="00992008"/>
    <w:rsid w:val="00992287"/>
    <w:rsid w:val="009928FE"/>
    <w:rsid w:val="00992A0D"/>
    <w:rsid w:val="00992B05"/>
    <w:rsid w:val="00992BBD"/>
    <w:rsid w:val="00992BC7"/>
    <w:rsid w:val="00992ED6"/>
    <w:rsid w:val="0099304B"/>
    <w:rsid w:val="00993387"/>
    <w:rsid w:val="00993431"/>
    <w:rsid w:val="0099364B"/>
    <w:rsid w:val="00993811"/>
    <w:rsid w:val="0099387C"/>
    <w:rsid w:val="00993BD7"/>
    <w:rsid w:val="00993DAF"/>
    <w:rsid w:val="00993DC8"/>
    <w:rsid w:val="00993E1E"/>
    <w:rsid w:val="00993E84"/>
    <w:rsid w:val="00993EC9"/>
    <w:rsid w:val="00993F9C"/>
    <w:rsid w:val="00994540"/>
    <w:rsid w:val="009945B4"/>
    <w:rsid w:val="00994767"/>
    <w:rsid w:val="0099478E"/>
    <w:rsid w:val="0099499F"/>
    <w:rsid w:val="00994B8D"/>
    <w:rsid w:val="00994CDE"/>
    <w:rsid w:val="00994F2E"/>
    <w:rsid w:val="00995008"/>
    <w:rsid w:val="0099513F"/>
    <w:rsid w:val="00995533"/>
    <w:rsid w:val="00995563"/>
    <w:rsid w:val="0099566F"/>
    <w:rsid w:val="00995800"/>
    <w:rsid w:val="00995CCD"/>
    <w:rsid w:val="00995CD9"/>
    <w:rsid w:val="00995D8B"/>
    <w:rsid w:val="00995F67"/>
    <w:rsid w:val="0099606C"/>
    <w:rsid w:val="009960CA"/>
    <w:rsid w:val="009960E3"/>
    <w:rsid w:val="009962BD"/>
    <w:rsid w:val="00996343"/>
    <w:rsid w:val="00996409"/>
    <w:rsid w:val="00996499"/>
    <w:rsid w:val="009965BC"/>
    <w:rsid w:val="00996682"/>
    <w:rsid w:val="00996750"/>
    <w:rsid w:val="0099688B"/>
    <w:rsid w:val="0099699D"/>
    <w:rsid w:val="009969D4"/>
    <w:rsid w:val="00996ACD"/>
    <w:rsid w:val="00996B1A"/>
    <w:rsid w:val="00996BB0"/>
    <w:rsid w:val="00996BED"/>
    <w:rsid w:val="00996D00"/>
    <w:rsid w:val="00996D57"/>
    <w:rsid w:val="00996FBC"/>
    <w:rsid w:val="009971F4"/>
    <w:rsid w:val="0099752F"/>
    <w:rsid w:val="00997B48"/>
    <w:rsid w:val="009A0382"/>
    <w:rsid w:val="009A03DC"/>
    <w:rsid w:val="009A0481"/>
    <w:rsid w:val="009A058D"/>
    <w:rsid w:val="009A0B89"/>
    <w:rsid w:val="009A0C25"/>
    <w:rsid w:val="009A0C7A"/>
    <w:rsid w:val="009A0FD4"/>
    <w:rsid w:val="009A12B7"/>
    <w:rsid w:val="009A13CA"/>
    <w:rsid w:val="009A1655"/>
    <w:rsid w:val="009A1683"/>
    <w:rsid w:val="009A16C3"/>
    <w:rsid w:val="009A17E5"/>
    <w:rsid w:val="009A18BB"/>
    <w:rsid w:val="009A1993"/>
    <w:rsid w:val="009A2200"/>
    <w:rsid w:val="009A2217"/>
    <w:rsid w:val="009A228E"/>
    <w:rsid w:val="009A22E5"/>
    <w:rsid w:val="009A2480"/>
    <w:rsid w:val="009A2607"/>
    <w:rsid w:val="009A2700"/>
    <w:rsid w:val="009A286E"/>
    <w:rsid w:val="009A2BA0"/>
    <w:rsid w:val="009A2C6B"/>
    <w:rsid w:val="009A2C92"/>
    <w:rsid w:val="009A2F1B"/>
    <w:rsid w:val="009A31F1"/>
    <w:rsid w:val="009A3215"/>
    <w:rsid w:val="009A34D9"/>
    <w:rsid w:val="009A35A7"/>
    <w:rsid w:val="009A35F7"/>
    <w:rsid w:val="009A3710"/>
    <w:rsid w:val="009A397A"/>
    <w:rsid w:val="009A3D6B"/>
    <w:rsid w:val="009A4008"/>
    <w:rsid w:val="009A41A1"/>
    <w:rsid w:val="009A4364"/>
    <w:rsid w:val="009A44B5"/>
    <w:rsid w:val="009A44BB"/>
    <w:rsid w:val="009A45AD"/>
    <w:rsid w:val="009A48BF"/>
    <w:rsid w:val="009A4A81"/>
    <w:rsid w:val="009A4FBA"/>
    <w:rsid w:val="009A567A"/>
    <w:rsid w:val="009A5800"/>
    <w:rsid w:val="009A6037"/>
    <w:rsid w:val="009A61E4"/>
    <w:rsid w:val="009A61F6"/>
    <w:rsid w:val="009A6224"/>
    <w:rsid w:val="009A6342"/>
    <w:rsid w:val="009A6473"/>
    <w:rsid w:val="009A69FE"/>
    <w:rsid w:val="009A6B8A"/>
    <w:rsid w:val="009A6CF3"/>
    <w:rsid w:val="009A6E49"/>
    <w:rsid w:val="009A7199"/>
    <w:rsid w:val="009A7397"/>
    <w:rsid w:val="009A74E4"/>
    <w:rsid w:val="009A75F2"/>
    <w:rsid w:val="009A7631"/>
    <w:rsid w:val="009A76F7"/>
    <w:rsid w:val="009A78B1"/>
    <w:rsid w:val="009A7999"/>
    <w:rsid w:val="009A7DFC"/>
    <w:rsid w:val="009B0134"/>
    <w:rsid w:val="009B01BB"/>
    <w:rsid w:val="009B04A3"/>
    <w:rsid w:val="009B0655"/>
    <w:rsid w:val="009B0658"/>
    <w:rsid w:val="009B0821"/>
    <w:rsid w:val="009B083D"/>
    <w:rsid w:val="009B08A0"/>
    <w:rsid w:val="009B0D1F"/>
    <w:rsid w:val="009B0E88"/>
    <w:rsid w:val="009B15DD"/>
    <w:rsid w:val="009B1617"/>
    <w:rsid w:val="009B170B"/>
    <w:rsid w:val="009B195E"/>
    <w:rsid w:val="009B1A42"/>
    <w:rsid w:val="009B1A57"/>
    <w:rsid w:val="009B1A60"/>
    <w:rsid w:val="009B1B2D"/>
    <w:rsid w:val="009B1CB2"/>
    <w:rsid w:val="009B1F03"/>
    <w:rsid w:val="009B201D"/>
    <w:rsid w:val="009B2020"/>
    <w:rsid w:val="009B22BC"/>
    <w:rsid w:val="009B24F2"/>
    <w:rsid w:val="009B252F"/>
    <w:rsid w:val="009B2670"/>
    <w:rsid w:val="009B2785"/>
    <w:rsid w:val="009B2B67"/>
    <w:rsid w:val="009B2DBA"/>
    <w:rsid w:val="009B3133"/>
    <w:rsid w:val="009B328C"/>
    <w:rsid w:val="009B3504"/>
    <w:rsid w:val="009B3606"/>
    <w:rsid w:val="009B366F"/>
    <w:rsid w:val="009B3685"/>
    <w:rsid w:val="009B38BC"/>
    <w:rsid w:val="009B406E"/>
    <w:rsid w:val="009B421A"/>
    <w:rsid w:val="009B42DD"/>
    <w:rsid w:val="009B43BF"/>
    <w:rsid w:val="009B449D"/>
    <w:rsid w:val="009B4693"/>
    <w:rsid w:val="009B499F"/>
    <w:rsid w:val="009B4A2D"/>
    <w:rsid w:val="009B4A90"/>
    <w:rsid w:val="009B540B"/>
    <w:rsid w:val="009B5480"/>
    <w:rsid w:val="009B54E0"/>
    <w:rsid w:val="009B55E8"/>
    <w:rsid w:val="009B56F9"/>
    <w:rsid w:val="009B58C4"/>
    <w:rsid w:val="009B591D"/>
    <w:rsid w:val="009B597A"/>
    <w:rsid w:val="009B5A07"/>
    <w:rsid w:val="009B5CD6"/>
    <w:rsid w:val="009B5D9D"/>
    <w:rsid w:val="009B64A3"/>
    <w:rsid w:val="009B64D1"/>
    <w:rsid w:val="009B655D"/>
    <w:rsid w:val="009B66C6"/>
    <w:rsid w:val="009B6884"/>
    <w:rsid w:val="009B6BC6"/>
    <w:rsid w:val="009B6C4D"/>
    <w:rsid w:val="009B6DFF"/>
    <w:rsid w:val="009B6EAB"/>
    <w:rsid w:val="009B7096"/>
    <w:rsid w:val="009B74D3"/>
    <w:rsid w:val="009B757A"/>
    <w:rsid w:val="009B7980"/>
    <w:rsid w:val="009B7A2A"/>
    <w:rsid w:val="009B7B55"/>
    <w:rsid w:val="009B7EDC"/>
    <w:rsid w:val="009B7FA1"/>
    <w:rsid w:val="009C044A"/>
    <w:rsid w:val="009C04C4"/>
    <w:rsid w:val="009C065D"/>
    <w:rsid w:val="009C091C"/>
    <w:rsid w:val="009C09C4"/>
    <w:rsid w:val="009C09D5"/>
    <w:rsid w:val="009C0D78"/>
    <w:rsid w:val="009C1151"/>
    <w:rsid w:val="009C130D"/>
    <w:rsid w:val="009C1363"/>
    <w:rsid w:val="009C14A4"/>
    <w:rsid w:val="009C151D"/>
    <w:rsid w:val="009C165F"/>
    <w:rsid w:val="009C16B9"/>
    <w:rsid w:val="009C17D8"/>
    <w:rsid w:val="009C18B8"/>
    <w:rsid w:val="009C1B3C"/>
    <w:rsid w:val="009C1B99"/>
    <w:rsid w:val="009C1CEA"/>
    <w:rsid w:val="009C1E01"/>
    <w:rsid w:val="009C1E0B"/>
    <w:rsid w:val="009C2259"/>
    <w:rsid w:val="009C2669"/>
    <w:rsid w:val="009C26C9"/>
    <w:rsid w:val="009C2864"/>
    <w:rsid w:val="009C2871"/>
    <w:rsid w:val="009C2EC7"/>
    <w:rsid w:val="009C2F02"/>
    <w:rsid w:val="009C3213"/>
    <w:rsid w:val="009C330C"/>
    <w:rsid w:val="009C3770"/>
    <w:rsid w:val="009C3CEB"/>
    <w:rsid w:val="009C3EEF"/>
    <w:rsid w:val="009C3FB1"/>
    <w:rsid w:val="009C40DA"/>
    <w:rsid w:val="009C4268"/>
    <w:rsid w:val="009C42C6"/>
    <w:rsid w:val="009C442C"/>
    <w:rsid w:val="009C4851"/>
    <w:rsid w:val="009C4884"/>
    <w:rsid w:val="009C4984"/>
    <w:rsid w:val="009C49CE"/>
    <w:rsid w:val="009C4A9D"/>
    <w:rsid w:val="009C4AD3"/>
    <w:rsid w:val="009C4B7A"/>
    <w:rsid w:val="009C4D1F"/>
    <w:rsid w:val="009C4DF4"/>
    <w:rsid w:val="009C50EA"/>
    <w:rsid w:val="009C52A7"/>
    <w:rsid w:val="009C5421"/>
    <w:rsid w:val="009C56C2"/>
    <w:rsid w:val="009C57A4"/>
    <w:rsid w:val="009C5883"/>
    <w:rsid w:val="009C5A46"/>
    <w:rsid w:val="009C5AAD"/>
    <w:rsid w:val="009C5AFF"/>
    <w:rsid w:val="009C5F0F"/>
    <w:rsid w:val="009C5F16"/>
    <w:rsid w:val="009C601F"/>
    <w:rsid w:val="009C62F8"/>
    <w:rsid w:val="009C6764"/>
    <w:rsid w:val="009C6BFA"/>
    <w:rsid w:val="009C6C19"/>
    <w:rsid w:val="009C6FCA"/>
    <w:rsid w:val="009C7143"/>
    <w:rsid w:val="009C73CB"/>
    <w:rsid w:val="009C77FA"/>
    <w:rsid w:val="009C785F"/>
    <w:rsid w:val="009C7951"/>
    <w:rsid w:val="009C7B64"/>
    <w:rsid w:val="009C7B7D"/>
    <w:rsid w:val="009C7E32"/>
    <w:rsid w:val="009C7F43"/>
    <w:rsid w:val="009D02B6"/>
    <w:rsid w:val="009D03C0"/>
    <w:rsid w:val="009D03E1"/>
    <w:rsid w:val="009D04EA"/>
    <w:rsid w:val="009D057F"/>
    <w:rsid w:val="009D0581"/>
    <w:rsid w:val="009D07C3"/>
    <w:rsid w:val="009D0946"/>
    <w:rsid w:val="009D097D"/>
    <w:rsid w:val="009D09FF"/>
    <w:rsid w:val="009D0D3A"/>
    <w:rsid w:val="009D0E0F"/>
    <w:rsid w:val="009D0E7D"/>
    <w:rsid w:val="009D0F03"/>
    <w:rsid w:val="009D1146"/>
    <w:rsid w:val="009D15C6"/>
    <w:rsid w:val="009D1729"/>
    <w:rsid w:val="009D17B9"/>
    <w:rsid w:val="009D1928"/>
    <w:rsid w:val="009D1A67"/>
    <w:rsid w:val="009D1ED1"/>
    <w:rsid w:val="009D1F69"/>
    <w:rsid w:val="009D2165"/>
    <w:rsid w:val="009D2362"/>
    <w:rsid w:val="009D2398"/>
    <w:rsid w:val="009D23A8"/>
    <w:rsid w:val="009D23F9"/>
    <w:rsid w:val="009D2788"/>
    <w:rsid w:val="009D281E"/>
    <w:rsid w:val="009D2A6D"/>
    <w:rsid w:val="009D2D10"/>
    <w:rsid w:val="009D31D6"/>
    <w:rsid w:val="009D3253"/>
    <w:rsid w:val="009D3355"/>
    <w:rsid w:val="009D365A"/>
    <w:rsid w:val="009D38F7"/>
    <w:rsid w:val="009D3B8E"/>
    <w:rsid w:val="009D3DD0"/>
    <w:rsid w:val="009D3FC5"/>
    <w:rsid w:val="009D3FD7"/>
    <w:rsid w:val="009D406F"/>
    <w:rsid w:val="009D478D"/>
    <w:rsid w:val="009D4A0B"/>
    <w:rsid w:val="009D4ACE"/>
    <w:rsid w:val="009D4B1D"/>
    <w:rsid w:val="009D4E31"/>
    <w:rsid w:val="009D4E62"/>
    <w:rsid w:val="009D5037"/>
    <w:rsid w:val="009D545A"/>
    <w:rsid w:val="009D558A"/>
    <w:rsid w:val="009D5865"/>
    <w:rsid w:val="009D5BCD"/>
    <w:rsid w:val="009D5BF0"/>
    <w:rsid w:val="009D5DFA"/>
    <w:rsid w:val="009D5E81"/>
    <w:rsid w:val="009D6321"/>
    <w:rsid w:val="009D6373"/>
    <w:rsid w:val="009D6416"/>
    <w:rsid w:val="009D6606"/>
    <w:rsid w:val="009D669A"/>
    <w:rsid w:val="009D6B83"/>
    <w:rsid w:val="009D6B9B"/>
    <w:rsid w:val="009D6CDA"/>
    <w:rsid w:val="009D6D44"/>
    <w:rsid w:val="009D6EC7"/>
    <w:rsid w:val="009D6FAC"/>
    <w:rsid w:val="009D6FD6"/>
    <w:rsid w:val="009D71CB"/>
    <w:rsid w:val="009D7225"/>
    <w:rsid w:val="009D7227"/>
    <w:rsid w:val="009D72F9"/>
    <w:rsid w:val="009D7330"/>
    <w:rsid w:val="009D77BA"/>
    <w:rsid w:val="009D77D8"/>
    <w:rsid w:val="009D7B18"/>
    <w:rsid w:val="009D7B96"/>
    <w:rsid w:val="009D7CC3"/>
    <w:rsid w:val="009D7DC8"/>
    <w:rsid w:val="009E00EA"/>
    <w:rsid w:val="009E01D7"/>
    <w:rsid w:val="009E02D1"/>
    <w:rsid w:val="009E02E3"/>
    <w:rsid w:val="009E037D"/>
    <w:rsid w:val="009E050C"/>
    <w:rsid w:val="009E0593"/>
    <w:rsid w:val="009E0B8D"/>
    <w:rsid w:val="009E0CC9"/>
    <w:rsid w:val="009E0E4C"/>
    <w:rsid w:val="009E0EF8"/>
    <w:rsid w:val="009E0F4D"/>
    <w:rsid w:val="009E10D6"/>
    <w:rsid w:val="009E11F6"/>
    <w:rsid w:val="009E165F"/>
    <w:rsid w:val="009E1705"/>
    <w:rsid w:val="009E19A3"/>
    <w:rsid w:val="009E19E6"/>
    <w:rsid w:val="009E1A54"/>
    <w:rsid w:val="009E1C9C"/>
    <w:rsid w:val="009E1CCF"/>
    <w:rsid w:val="009E1F4C"/>
    <w:rsid w:val="009E1F85"/>
    <w:rsid w:val="009E1FED"/>
    <w:rsid w:val="009E2199"/>
    <w:rsid w:val="009E22FA"/>
    <w:rsid w:val="009E233C"/>
    <w:rsid w:val="009E2352"/>
    <w:rsid w:val="009E2688"/>
    <w:rsid w:val="009E278A"/>
    <w:rsid w:val="009E2D9C"/>
    <w:rsid w:val="009E2E6B"/>
    <w:rsid w:val="009E3EAF"/>
    <w:rsid w:val="009E3F46"/>
    <w:rsid w:val="009E3FA9"/>
    <w:rsid w:val="009E44DA"/>
    <w:rsid w:val="009E4734"/>
    <w:rsid w:val="009E4744"/>
    <w:rsid w:val="009E47E0"/>
    <w:rsid w:val="009E4878"/>
    <w:rsid w:val="009E4BB4"/>
    <w:rsid w:val="009E4CB5"/>
    <w:rsid w:val="009E4CBA"/>
    <w:rsid w:val="009E4EC9"/>
    <w:rsid w:val="009E4FA3"/>
    <w:rsid w:val="009E4FC2"/>
    <w:rsid w:val="009E5542"/>
    <w:rsid w:val="009E5682"/>
    <w:rsid w:val="009E58B0"/>
    <w:rsid w:val="009E5C7A"/>
    <w:rsid w:val="009E5D00"/>
    <w:rsid w:val="009E5D5A"/>
    <w:rsid w:val="009E60EA"/>
    <w:rsid w:val="009E6206"/>
    <w:rsid w:val="009E67D2"/>
    <w:rsid w:val="009E67F6"/>
    <w:rsid w:val="009E6876"/>
    <w:rsid w:val="009E6C87"/>
    <w:rsid w:val="009E6CA7"/>
    <w:rsid w:val="009E6D30"/>
    <w:rsid w:val="009E6DB6"/>
    <w:rsid w:val="009E7043"/>
    <w:rsid w:val="009E72AD"/>
    <w:rsid w:val="009E73FE"/>
    <w:rsid w:val="009E74FA"/>
    <w:rsid w:val="009E7814"/>
    <w:rsid w:val="009E784E"/>
    <w:rsid w:val="009E7CF7"/>
    <w:rsid w:val="009E7D45"/>
    <w:rsid w:val="009E7F68"/>
    <w:rsid w:val="009F00F9"/>
    <w:rsid w:val="009F023B"/>
    <w:rsid w:val="009F0265"/>
    <w:rsid w:val="009F0320"/>
    <w:rsid w:val="009F0446"/>
    <w:rsid w:val="009F0630"/>
    <w:rsid w:val="009F0984"/>
    <w:rsid w:val="009F0A29"/>
    <w:rsid w:val="009F0AAE"/>
    <w:rsid w:val="009F0B36"/>
    <w:rsid w:val="009F0D0D"/>
    <w:rsid w:val="009F1137"/>
    <w:rsid w:val="009F1180"/>
    <w:rsid w:val="009F1758"/>
    <w:rsid w:val="009F1C84"/>
    <w:rsid w:val="009F2010"/>
    <w:rsid w:val="009F2114"/>
    <w:rsid w:val="009F21A5"/>
    <w:rsid w:val="009F2262"/>
    <w:rsid w:val="009F227A"/>
    <w:rsid w:val="009F2588"/>
    <w:rsid w:val="009F28E2"/>
    <w:rsid w:val="009F28F0"/>
    <w:rsid w:val="009F299F"/>
    <w:rsid w:val="009F2A1C"/>
    <w:rsid w:val="009F2C2D"/>
    <w:rsid w:val="009F32B0"/>
    <w:rsid w:val="009F3315"/>
    <w:rsid w:val="009F3377"/>
    <w:rsid w:val="009F3683"/>
    <w:rsid w:val="009F3881"/>
    <w:rsid w:val="009F38AC"/>
    <w:rsid w:val="009F3ACB"/>
    <w:rsid w:val="009F3BCC"/>
    <w:rsid w:val="009F3FC1"/>
    <w:rsid w:val="009F4071"/>
    <w:rsid w:val="009F4171"/>
    <w:rsid w:val="009F42E8"/>
    <w:rsid w:val="009F441E"/>
    <w:rsid w:val="009F4583"/>
    <w:rsid w:val="009F4701"/>
    <w:rsid w:val="009F4749"/>
    <w:rsid w:val="009F47CE"/>
    <w:rsid w:val="009F4995"/>
    <w:rsid w:val="009F4A66"/>
    <w:rsid w:val="009F4ADA"/>
    <w:rsid w:val="009F4BA8"/>
    <w:rsid w:val="009F4BFE"/>
    <w:rsid w:val="009F4D60"/>
    <w:rsid w:val="009F4ECC"/>
    <w:rsid w:val="009F510E"/>
    <w:rsid w:val="009F52A3"/>
    <w:rsid w:val="009F55B2"/>
    <w:rsid w:val="009F5858"/>
    <w:rsid w:val="009F590D"/>
    <w:rsid w:val="009F5ADA"/>
    <w:rsid w:val="009F5F14"/>
    <w:rsid w:val="009F5FB2"/>
    <w:rsid w:val="009F6239"/>
    <w:rsid w:val="009F6658"/>
    <w:rsid w:val="009F6A0D"/>
    <w:rsid w:val="009F6BF2"/>
    <w:rsid w:val="009F6C05"/>
    <w:rsid w:val="009F6EE7"/>
    <w:rsid w:val="009F6FB2"/>
    <w:rsid w:val="009F7089"/>
    <w:rsid w:val="009F7100"/>
    <w:rsid w:val="009F7294"/>
    <w:rsid w:val="009F734C"/>
    <w:rsid w:val="009F742A"/>
    <w:rsid w:val="009F746A"/>
    <w:rsid w:val="009F76A9"/>
    <w:rsid w:val="009F7C9B"/>
    <w:rsid w:val="009F7C9C"/>
    <w:rsid w:val="009F7E25"/>
    <w:rsid w:val="009F7E8C"/>
    <w:rsid w:val="009F7FB3"/>
    <w:rsid w:val="00A001B2"/>
    <w:rsid w:val="00A0062B"/>
    <w:rsid w:val="00A009F4"/>
    <w:rsid w:val="00A00BA5"/>
    <w:rsid w:val="00A00D6A"/>
    <w:rsid w:val="00A00F0A"/>
    <w:rsid w:val="00A0106E"/>
    <w:rsid w:val="00A011BE"/>
    <w:rsid w:val="00A013E2"/>
    <w:rsid w:val="00A014FE"/>
    <w:rsid w:val="00A017A8"/>
    <w:rsid w:val="00A018C2"/>
    <w:rsid w:val="00A0194B"/>
    <w:rsid w:val="00A01AAD"/>
    <w:rsid w:val="00A01B15"/>
    <w:rsid w:val="00A01BA3"/>
    <w:rsid w:val="00A01CA2"/>
    <w:rsid w:val="00A01EAA"/>
    <w:rsid w:val="00A024D7"/>
    <w:rsid w:val="00A02567"/>
    <w:rsid w:val="00A025C6"/>
    <w:rsid w:val="00A028E5"/>
    <w:rsid w:val="00A02B53"/>
    <w:rsid w:val="00A02D4D"/>
    <w:rsid w:val="00A02EE7"/>
    <w:rsid w:val="00A02F04"/>
    <w:rsid w:val="00A02FD1"/>
    <w:rsid w:val="00A0313B"/>
    <w:rsid w:val="00A03573"/>
    <w:rsid w:val="00A03595"/>
    <w:rsid w:val="00A03917"/>
    <w:rsid w:val="00A03A2A"/>
    <w:rsid w:val="00A03A43"/>
    <w:rsid w:val="00A03D76"/>
    <w:rsid w:val="00A03F67"/>
    <w:rsid w:val="00A040C3"/>
    <w:rsid w:val="00A0447C"/>
    <w:rsid w:val="00A04505"/>
    <w:rsid w:val="00A045C6"/>
    <w:rsid w:val="00A046B5"/>
    <w:rsid w:val="00A04712"/>
    <w:rsid w:val="00A0479F"/>
    <w:rsid w:val="00A048DD"/>
    <w:rsid w:val="00A04AC6"/>
    <w:rsid w:val="00A04CFA"/>
    <w:rsid w:val="00A04D9F"/>
    <w:rsid w:val="00A05069"/>
    <w:rsid w:val="00A050D7"/>
    <w:rsid w:val="00A051D4"/>
    <w:rsid w:val="00A0534B"/>
    <w:rsid w:val="00A053A0"/>
    <w:rsid w:val="00A054D4"/>
    <w:rsid w:val="00A05511"/>
    <w:rsid w:val="00A0573A"/>
    <w:rsid w:val="00A05837"/>
    <w:rsid w:val="00A0584B"/>
    <w:rsid w:val="00A059CA"/>
    <w:rsid w:val="00A05C9B"/>
    <w:rsid w:val="00A05E46"/>
    <w:rsid w:val="00A05FF4"/>
    <w:rsid w:val="00A06020"/>
    <w:rsid w:val="00A0638A"/>
    <w:rsid w:val="00A0672B"/>
    <w:rsid w:val="00A06819"/>
    <w:rsid w:val="00A069D1"/>
    <w:rsid w:val="00A06C63"/>
    <w:rsid w:val="00A06E2E"/>
    <w:rsid w:val="00A070B7"/>
    <w:rsid w:val="00A074B6"/>
    <w:rsid w:val="00A074B7"/>
    <w:rsid w:val="00A0782A"/>
    <w:rsid w:val="00A07991"/>
    <w:rsid w:val="00A079A5"/>
    <w:rsid w:val="00A07ACD"/>
    <w:rsid w:val="00A07B27"/>
    <w:rsid w:val="00A07B6F"/>
    <w:rsid w:val="00A07C0E"/>
    <w:rsid w:val="00A07CB4"/>
    <w:rsid w:val="00A07D38"/>
    <w:rsid w:val="00A07D86"/>
    <w:rsid w:val="00A07F1F"/>
    <w:rsid w:val="00A07F24"/>
    <w:rsid w:val="00A1008B"/>
    <w:rsid w:val="00A10272"/>
    <w:rsid w:val="00A104CE"/>
    <w:rsid w:val="00A10629"/>
    <w:rsid w:val="00A106AC"/>
    <w:rsid w:val="00A10714"/>
    <w:rsid w:val="00A1092B"/>
    <w:rsid w:val="00A109A6"/>
    <w:rsid w:val="00A10CDE"/>
    <w:rsid w:val="00A10D75"/>
    <w:rsid w:val="00A111B2"/>
    <w:rsid w:val="00A1135A"/>
    <w:rsid w:val="00A11545"/>
    <w:rsid w:val="00A11E05"/>
    <w:rsid w:val="00A11EAA"/>
    <w:rsid w:val="00A1203E"/>
    <w:rsid w:val="00A121DC"/>
    <w:rsid w:val="00A1231E"/>
    <w:rsid w:val="00A12799"/>
    <w:rsid w:val="00A12CBB"/>
    <w:rsid w:val="00A12D4F"/>
    <w:rsid w:val="00A12DE8"/>
    <w:rsid w:val="00A12F1D"/>
    <w:rsid w:val="00A12FE0"/>
    <w:rsid w:val="00A1344C"/>
    <w:rsid w:val="00A1350C"/>
    <w:rsid w:val="00A137EE"/>
    <w:rsid w:val="00A13919"/>
    <w:rsid w:val="00A139FC"/>
    <w:rsid w:val="00A13A89"/>
    <w:rsid w:val="00A13C16"/>
    <w:rsid w:val="00A13C82"/>
    <w:rsid w:val="00A13CDD"/>
    <w:rsid w:val="00A13DB5"/>
    <w:rsid w:val="00A13E76"/>
    <w:rsid w:val="00A1407B"/>
    <w:rsid w:val="00A14274"/>
    <w:rsid w:val="00A143E1"/>
    <w:rsid w:val="00A143F0"/>
    <w:rsid w:val="00A14598"/>
    <w:rsid w:val="00A145C0"/>
    <w:rsid w:val="00A14748"/>
    <w:rsid w:val="00A147E5"/>
    <w:rsid w:val="00A1480F"/>
    <w:rsid w:val="00A14887"/>
    <w:rsid w:val="00A14AAC"/>
    <w:rsid w:val="00A14B2F"/>
    <w:rsid w:val="00A14DA1"/>
    <w:rsid w:val="00A14DE8"/>
    <w:rsid w:val="00A150BE"/>
    <w:rsid w:val="00A15235"/>
    <w:rsid w:val="00A15246"/>
    <w:rsid w:val="00A152E5"/>
    <w:rsid w:val="00A1594B"/>
    <w:rsid w:val="00A15BD1"/>
    <w:rsid w:val="00A15E85"/>
    <w:rsid w:val="00A15F04"/>
    <w:rsid w:val="00A15F6E"/>
    <w:rsid w:val="00A160A9"/>
    <w:rsid w:val="00A1621E"/>
    <w:rsid w:val="00A16270"/>
    <w:rsid w:val="00A165E2"/>
    <w:rsid w:val="00A1678E"/>
    <w:rsid w:val="00A1680D"/>
    <w:rsid w:val="00A168D9"/>
    <w:rsid w:val="00A16A45"/>
    <w:rsid w:val="00A16CA1"/>
    <w:rsid w:val="00A16E47"/>
    <w:rsid w:val="00A16EA7"/>
    <w:rsid w:val="00A1716C"/>
    <w:rsid w:val="00A1749D"/>
    <w:rsid w:val="00A17519"/>
    <w:rsid w:val="00A1765A"/>
    <w:rsid w:val="00A176FF"/>
    <w:rsid w:val="00A178D3"/>
    <w:rsid w:val="00A17CC1"/>
    <w:rsid w:val="00A17D17"/>
    <w:rsid w:val="00A17FD5"/>
    <w:rsid w:val="00A202E7"/>
    <w:rsid w:val="00A20743"/>
    <w:rsid w:val="00A20AE3"/>
    <w:rsid w:val="00A20B59"/>
    <w:rsid w:val="00A20BD9"/>
    <w:rsid w:val="00A21028"/>
    <w:rsid w:val="00A210FC"/>
    <w:rsid w:val="00A212CF"/>
    <w:rsid w:val="00A216CF"/>
    <w:rsid w:val="00A2190F"/>
    <w:rsid w:val="00A21962"/>
    <w:rsid w:val="00A21A94"/>
    <w:rsid w:val="00A21B20"/>
    <w:rsid w:val="00A21BF8"/>
    <w:rsid w:val="00A21C80"/>
    <w:rsid w:val="00A21D6F"/>
    <w:rsid w:val="00A21DA9"/>
    <w:rsid w:val="00A21DDD"/>
    <w:rsid w:val="00A21EDD"/>
    <w:rsid w:val="00A22037"/>
    <w:rsid w:val="00A222CC"/>
    <w:rsid w:val="00A223C5"/>
    <w:rsid w:val="00A2264A"/>
    <w:rsid w:val="00A22BA1"/>
    <w:rsid w:val="00A2320C"/>
    <w:rsid w:val="00A233AA"/>
    <w:rsid w:val="00A233EE"/>
    <w:rsid w:val="00A23718"/>
    <w:rsid w:val="00A23764"/>
    <w:rsid w:val="00A238F3"/>
    <w:rsid w:val="00A23AB0"/>
    <w:rsid w:val="00A23DCA"/>
    <w:rsid w:val="00A23F01"/>
    <w:rsid w:val="00A23FA3"/>
    <w:rsid w:val="00A241A2"/>
    <w:rsid w:val="00A24949"/>
    <w:rsid w:val="00A24AA2"/>
    <w:rsid w:val="00A24B5F"/>
    <w:rsid w:val="00A24C0B"/>
    <w:rsid w:val="00A2507A"/>
    <w:rsid w:val="00A25563"/>
    <w:rsid w:val="00A25747"/>
    <w:rsid w:val="00A257F0"/>
    <w:rsid w:val="00A25D3B"/>
    <w:rsid w:val="00A25E01"/>
    <w:rsid w:val="00A26698"/>
    <w:rsid w:val="00A266C5"/>
    <w:rsid w:val="00A26704"/>
    <w:rsid w:val="00A26778"/>
    <w:rsid w:val="00A26B02"/>
    <w:rsid w:val="00A26B03"/>
    <w:rsid w:val="00A26C43"/>
    <w:rsid w:val="00A26D60"/>
    <w:rsid w:val="00A26D63"/>
    <w:rsid w:val="00A26E70"/>
    <w:rsid w:val="00A2712F"/>
    <w:rsid w:val="00A27303"/>
    <w:rsid w:val="00A27448"/>
    <w:rsid w:val="00A278DB"/>
    <w:rsid w:val="00A27932"/>
    <w:rsid w:val="00A27D9E"/>
    <w:rsid w:val="00A3020D"/>
    <w:rsid w:val="00A3026A"/>
    <w:rsid w:val="00A3052D"/>
    <w:rsid w:val="00A30545"/>
    <w:rsid w:val="00A30754"/>
    <w:rsid w:val="00A308B2"/>
    <w:rsid w:val="00A308DE"/>
    <w:rsid w:val="00A309C6"/>
    <w:rsid w:val="00A309D1"/>
    <w:rsid w:val="00A30BC0"/>
    <w:rsid w:val="00A30BC6"/>
    <w:rsid w:val="00A30C55"/>
    <w:rsid w:val="00A30F98"/>
    <w:rsid w:val="00A31139"/>
    <w:rsid w:val="00A3115A"/>
    <w:rsid w:val="00A313F8"/>
    <w:rsid w:val="00A31657"/>
    <w:rsid w:val="00A31734"/>
    <w:rsid w:val="00A31778"/>
    <w:rsid w:val="00A317A3"/>
    <w:rsid w:val="00A3187D"/>
    <w:rsid w:val="00A318BC"/>
    <w:rsid w:val="00A31B33"/>
    <w:rsid w:val="00A31C8F"/>
    <w:rsid w:val="00A31EA8"/>
    <w:rsid w:val="00A31F7E"/>
    <w:rsid w:val="00A32002"/>
    <w:rsid w:val="00A320F5"/>
    <w:rsid w:val="00A32148"/>
    <w:rsid w:val="00A32266"/>
    <w:rsid w:val="00A3227D"/>
    <w:rsid w:val="00A323DF"/>
    <w:rsid w:val="00A3253B"/>
    <w:rsid w:val="00A326F2"/>
    <w:rsid w:val="00A3277F"/>
    <w:rsid w:val="00A32992"/>
    <w:rsid w:val="00A32AFC"/>
    <w:rsid w:val="00A32D23"/>
    <w:rsid w:val="00A32E4E"/>
    <w:rsid w:val="00A32FDB"/>
    <w:rsid w:val="00A33019"/>
    <w:rsid w:val="00A3301F"/>
    <w:rsid w:val="00A3334A"/>
    <w:rsid w:val="00A333F6"/>
    <w:rsid w:val="00A335DA"/>
    <w:rsid w:val="00A336E7"/>
    <w:rsid w:val="00A3377D"/>
    <w:rsid w:val="00A339F8"/>
    <w:rsid w:val="00A33BAE"/>
    <w:rsid w:val="00A33D3C"/>
    <w:rsid w:val="00A33D71"/>
    <w:rsid w:val="00A33F9C"/>
    <w:rsid w:val="00A34123"/>
    <w:rsid w:val="00A34292"/>
    <w:rsid w:val="00A3430F"/>
    <w:rsid w:val="00A3443F"/>
    <w:rsid w:val="00A34538"/>
    <w:rsid w:val="00A34744"/>
    <w:rsid w:val="00A34752"/>
    <w:rsid w:val="00A347CC"/>
    <w:rsid w:val="00A34882"/>
    <w:rsid w:val="00A3492C"/>
    <w:rsid w:val="00A349DD"/>
    <w:rsid w:val="00A34AF7"/>
    <w:rsid w:val="00A34D12"/>
    <w:rsid w:val="00A34D14"/>
    <w:rsid w:val="00A34DB2"/>
    <w:rsid w:val="00A351D9"/>
    <w:rsid w:val="00A35254"/>
    <w:rsid w:val="00A354E8"/>
    <w:rsid w:val="00A3553E"/>
    <w:rsid w:val="00A35750"/>
    <w:rsid w:val="00A357C1"/>
    <w:rsid w:val="00A358C4"/>
    <w:rsid w:val="00A35ACA"/>
    <w:rsid w:val="00A35B65"/>
    <w:rsid w:val="00A35F88"/>
    <w:rsid w:val="00A36400"/>
    <w:rsid w:val="00A3647F"/>
    <w:rsid w:val="00A36493"/>
    <w:rsid w:val="00A36533"/>
    <w:rsid w:val="00A3662E"/>
    <w:rsid w:val="00A366A1"/>
    <w:rsid w:val="00A36842"/>
    <w:rsid w:val="00A36A6E"/>
    <w:rsid w:val="00A36BDD"/>
    <w:rsid w:val="00A36C43"/>
    <w:rsid w:val="00A36C9C"/>
    <w:rsid w:val="00A370A1"/>
    <w:rsid w:val="00A372A5"/>
    <w:rsid w:val="00A3756C"/>
    <w:rsid w:val="00A37574"/>
    <w:rsid w:val="00A37860"/>
    <w:rsid w:val="00A378A2"/>
    <w:rsid w:val="00A378FE"/>
    <w:rsid w:val="00A37CBD"/>
    <w:rsid w:val="00A37E02"/>
    <w:rsid w:val="00A40051"/>
    <w:rsid w:val="00A40280"/>
    <w:rsid w:val="00A40325"/>
    <w:rsid w:val="00A40578"/>
    <w:rsid w:val="00A4089E"/>
    <w:rsid w:val="00A40AE8"/>
    <w:rsid w:val="00A40C27"/>
    <w:rsid w:val="00A40C76"/>
    <w:rsid w:val="00A40CBD"/>
    <w:rsid w:val="00A40FE5"/>
    <w:rsid w:val="00A4103C"/>
    <w:rsid w:val="00A4109C"/>
    <w:rsid w:val="00A4142B"/>
    <w:rsid w:val="00A4155F"/>
    <w:rsid w:val="00A415E6"/>
    <w:rsid w:val="00A41726"/>
    <w:rsid w:val="00A41980"/>
    <w:rsid w:val="00A41A39"/>
    <w:rsid w:val="00A41B00"/>
    <w:rsid w:val="00A41D03"/>
    <w:rsid w:val="00A41FA4"/>
    <w:rsid w:val="00A42026"/>
    <w:rsid w:val="00A422DB"/>
    <w:rsid w:val="00A42463"/>
    <w:rsid w:val="00A427D6"/>
    <w:rsid w:val="00A42847"/>
    <w:rsid w:val="00A428FB"/>
    <w:rsid w:val="00A42A63"/>
    <w:rsid w:val="00A42AF7"/>
    <w:rsid w:val="00A42BED"/>
    <w:rsid w:val="00A42D65"/>
    <w:rsid w:val="00A42D88"/>
    <w:rsid w:val="00A42EFE"/>
    <w:rsid w:val="00A42FA9"/>
    <w:rsid w:val="00A43030"/>
    <w:rsid w:val="00A43098"/>
    <w:rsid w:val="00A430F7"/>
    <w:rsid w:val="00A43242"/>
    <w:rsid w:val="00A4327B"/>
    <w:rsid w:val="00A432F6"/>
    <w:rsid w:val="00A43530"/>
    <w:rsid w:val="00A435C2"/>
    <w:rsid w:val="00A43B68"/>
    <w:rsid w:val="00A43E70"/>
    <w:rsid w:val="00A43EF4"/>
    <w:rsid w:val="00A44066"/>
    <w:rsid w:val="00A440C4"/>
    <w:rsid w:val="00A441CE"/>
    <w:rsid w:val="00A443EC"/>
    <w:rsid w:val="00A445E5"/>
    <w:rsid w:val="00A44625"/>
    <w:rsid w:val="00A44C65"/>
    <w:rsid w:val="00A44C91"/>
    <w:rsid w:val="00A44EA7"/>
    <w:rsid w:val="00A44ED4"/>
    <w:rsid w:val="00A451A0"/>
    <w:rsid w:val="00A4542B"/>
    <w:rsid w:val="00A4585C"/>
    <w:rsid w:val="00A45D10"/>
    <w:rsid w:val="00A45D9D"/>
    <w:rsid w:val="00A45FF3"/>
    <w:rsid w:val="00A464C8"/>
    <w:rsid w:val="00A46811"/>
    <w:rsid w:val="00A46B5F"/>
    <w:rsid w:val="00A47281"/>
    <w:rsid w:val="00A4736D"/>
    <w:rsid w:val="00A47542"/>
    <w:rsid w:val="00A4765F"/>
    <w:rsid w:val="00A476CF"/>
    <w:rsid w:val="00A47868"/>
    <w:rsid w:val="00A47AE6"/>
    <w:rsid w:val="00A47B26"/>
    <w:rsid w:val="00A47BF1"/>
    <w:rsid w:val="00A47CD5"/>
    <w:rsid w:val="00A47D63"/>
    <w:rsid w:val="00A47D85"/>
    <w:rsid w:val="00A47ECE"/>
    <w:rsid w:val="00A502D2"/>
    <w:rsid w:val="00A50328"/>
    <w:rsid w:val="00A504C0"/>
    <w:rsid w:val="00A505DE"/>
    <w:rsid w:val="00A506D9"/>
    <w:rsid w:val="00A50ADC"/>
    <w:rsid w:val="00A50C14"/>
    <w:rsid w:val="00A50C97"/>
    <w:rsid w:val="00A50CDF"/>
    <w:rsid w:val="00A50D3F"/>
    <w:rsid w:val="00A50D81"/>
    <w:rsid w:val="00A50D97"/>
    <w:rsid w:val="00A50DBB"/>
    <w:rsid w:val="00A50E04"/>
    <w:rsid w:val="00A50EE8"/>
    <w:rsid w:val="00A5102B"/>
    <w:rsid w:val="00A51114"/>
    <w:rsid w:val="00A51164"/>
    <w:rsid w:val="00A512FF"/>
    <w:rsid w:val="00A51738"/>
    <w:rsid w:val="00A51818"/>
    <w:rsid w:val="00A519C1"/>
    <w:rsid w:val="00A51A3F"/>
    <w:rsid w:val="00A51C93"/>
    <w:rsid w:val="00A51F0E"/>
    <w:rsid w:val="00A525F4"/>
    <w:rsid w:val="00A52857"/>
    <w:rsid w:val="00A529E8"/>
    <w:rsid w:val="00A5301B"/>
    <w:rsid w:val="00A5314F"/>
    <w:rsid w:val="00A531BB"/>
    <w:rsid w:val="00A5321C"/>
    <w:rsid w:val="00A5327C"/>
    <w:rsid w:val="00A5331B"/>
    <w:rsid w:val="00A53803"/>
    <w:rsid w:val="00A53A7F"/>
    <w:rsid w:val="00A53AE7"/>
    <w:rsid w:val="00A53D07"/>
    <w:rsid w:val="00A53D51"/>
    <w:rsid w:val="00A53F6A"/>
    <w:rsid w:val="00A54056"/>
    <w:rsid w:val="00A541D6"/>
    <w:rsid w:val="00A54439"/>
    <w:rsid w:val="00A5474F"/>
    <w:rsid w:val="00A5480B"/>
    <w:rsid w:val="00A549DA"/>
    <w:rsid w:val="00A554BB"/>
    <w:rsid w:val="00A554C2"/>
    <w:rsid w:val="00A554ED"/>
    <w:rsid w:val="00A558F9"/>
    <w:rsid w:val="00A55B2C"/>
    <w:rsid w:val="00A55BC3"/>
    <w:rsid w:val="00A55F1D"/>
    <w:rsid w:val="00A5607B"/>
    <w:rsid w:val="00A561B9"/>
    <w:rsid w:val="00A5688B"/>
    <w:rsid w:val="00A56A1B"/>
    <w:rsid w:val="00A56AC3"/>
    <w:rsid w:val="00A56AC9"/>
    <w:rsid w:val="00A56C71"/>
    <w:rsid w:val="00A56D89"/>
    <w:rsid w:val="00A56F23"/>
    <w:rsid w:val="00A5721C"/>
    <w:rsid w:val="00A57434"/>
    <w:rsid w:val="00A57458"/>
    <w:rsid w:val="00A574FA"/>
    <w:rsid w:val="00A577C4"/>
    <w:rsid w:val="00A57978"/>
    <w:rsid w:val="00A57B66"/>
    <w:rsid w:val="00A57D0B"/>
    <w:rsid w:val="00A57EB4"/>
    <w:rsid w:val="00A601AB"/>
    <w:rsid w:val="00A6036F"/>
    <w:rsid w:val="00A60384"/>
    <w:rsid w:val="00A6055E"/>
    <w:rsid w:val="00A60563"/>
    <w:rsid w:val="00A608F7"/>
    <w:rsid w:val="00A60A26"/>
    <w:rsid w:val="00A60A8C"/>
    <w:rsid w:val="00A60BB9"/>
    <w:rsid w:val="00A60C1D"/>
    <w:rsid w:val="00A60C97"/>
    <w:rsid w:val="00A60CF4"/>
    <w:rsid w:val="00A611D9"/>
    <w:rsid w:val="00A61239"/>
    <w:rsid w:val="00A61446"/>
    <w:rsid w:val="00A6146C"/>
    <w:rsid w:val="00A614EB"/>
    <w:rsid w:val="00A614EC"/>
    <w:rsid w:val="00A6165A"/>
    <w:rsid w:val="00A61705"/>
    <w:rsid w:val="00A61AC4"/>
    <w:rsid w:val="00A61BF8"/>
    <w:rsid w:val="00A61E6C"/>
    <w:rsid w:val="00A61F47"/>
    <w:rsid w:val="00A62241"/>
    <w:rsid w:val="00A62293"/>
    <w:rsid w:val="00A62552"/>
    <w:rsid w:val="00A62781"/>
    <w:rsid w:val="00A627EF"/>
    <w:rsid w:val="00A62984"/>
    <w:rsid w:val="00A62C81"/>
    <w:rsid w:val="00A62D5D"/>
    <w:rsid w:val="00A62FC9"/>
    <w:rsid w:val="00A6304E"/>
    <w:rsid w:val="00A6318B"/>
    <w:rsid w:val="00A631F7"/>
    <w:rsid w:val="00A63410"/>
    <w:rsid w:val="00A63500"/>
    <w:rsid w:val="00A63669"/>
    <w:rsid w:val="00A63CA6"/>
    <w:rsid w:val="00A63D22"/>
    <w:rsid w:val="00A63F85"/>
    <w:rsid w:val="00A64125"/>
    <w:rsid w:val="00A64769"/>
    <w:rsid w:val="00A65106"/>
    <w:rsid w:val="00A6542C"/>
    <w:rsid w:val="00A654E7"/>
    <w:rsid w:val="00A65587"/>
    <w:rsid w:val="00A655A6"/>
    <w:rsid w:val="00A656B5"/>
    <w:rsid w:val="00A6591E"/>
    <w:rsid w:val="00A65C97"/>
    <w:rsid w:val="00A65DAD"/>
    <w:rsid w:val="00A65E23"/>
    <w:rsid w:val="00A65FAC"/>
    <w:rsid w:val="00A6608F"/>
    <w:rsid w:val="00A661CC"/>
    <w:rsid w:val="00A66226"/>
    <w:rsid w:val="00A66234"/>
    <w:rsid w:val="00A662BC"/>
    <w:rsid w:val="00A6633A"/>
    <w:rsid w:val="00A666BE"/>
    <w:rsid w:val="00A66C65"/>
    <w:rsid w:val="00A66D34"/>
    <w:rsid w:val="00A66DE4"/>
    <w:rsid w:val="00A67034"/>
    <w:rsid w:val="00A670EE"/>
    <w:rsid w:val="00A67215"/>
    <w:rsid w:val="00A677B9"/>
    <w:rsid w:val="00A678BE"/>
    <w:rsid w:val="00A67913"/>
    <w:rsid w:val="00A67969"/>
    <w:rsid w:val="00A67A73"/>
    <w:rsid w:val="00A67B22"/>
    <w:rsid w:val="00A67DAB"/>
    <w:rsid w:val="00A7070C"/>
    <w:rsid w:val="00A70878"/>
    <w:rsid w:val="00A7092B"/>
    <w:rsid w:val="00A70B7C"/>
    <w:rsid w:val="00A70D18"/>
    <w:rsid w:val="00A70F62"/>
    <w:rsid w:val="00A7113E"/>
    <w:rsid w:val="00A71179"/>
    <w:rsid w:val="00A713D0"/>
    <w:rsid w:val="00A714FB"/>
    <w:rsid w:val="00A716BA"/>
    <w:rsid w:val="00A71A6C"/>
    <w:rsid w:val="00A71AAA"/>
    <w:rsid w:val="00A71AE0"/>
    <w:rsid w:val="00A71D19"/>
    <w:rsid w:val="00A71FB1"/>
    <w:rsid w:val="00A72252"/>
    <w:rsid w:val="00A722A2"/>
    <w:rsid w:val="00A723D2"/>
    <w:rsid w:val="00A72432"/>
    <w:rsid w:val="00A726F1"/>
    <w:rsid w:val="00A72F33"/>
    <w:rsid w:val="00A732EA"/>
    <w:rsid w:val="00A73704"/>
    <w:rsid w:val="00A7391E"/>
    <w:rsid w:val="00A73E86"/>
    <w:rsid w:val="00A73F8A"/>
    <w:rsid w:val="00A7402D"/>
    <w:rsid w:val="00A74064"/>
    <w:rsid w:val="00A7413D"/>
    <w:rsid w:val="00A74260"/>
    <w:rsid w:val="00A743F1"/>
    <w:rsid w:val="00A743F8"/>
    <w:rsid w:val="00A74599"/>
    <w:rsid w:val="00A7483E"/>
    <w:rsid w:val="00A748F0"/>
    <w:rsid w:val="00A74934"/>
    <w:rsid w:val="00A74A7E"/>
    <w:rsid w:val="00A74AA1"/>
    <w:rsid w:val="00A74B48"/>
    <w:rsid w:val="00A74B9B"/>
    <w:rsid w:val="00A74C3A"/>
    <w:rsid w:val="00A74C82"/>
    <w:rsid w:val="00A74D21"/>
    <w:rsid w:val="00A74D60"/>
    <w:rsid w:val="00A74F50"/>
    <w:rsid w:val="00A750EE"/>
    <w:rsid w:val="00A75868"/>
    <w:rsid w:val="00A75892"/>
    <w:rsid w:val="00A759D5"/>
    <w:rsid w:val="00A75A1F"/>
    <w:rsid w:val="00A75CC3"/>
    <w:rsid w:val="00A75EEB"/>
    <w:rsid w:val="00A76522"/>
    <w:rsid w:val="00A766E4"/>
    <w:rsid w:val="00A766FF"/>
    <w:rsid w:val="00A76A81"/>
    <w:rsid w:val="00A76BFF"/>
    <w:rsid w:val="00A76D5C"/>
    <w:rsid w:val="00A76E52"/>
    <w:rsid w:val="00A770B2"/>
    <w:rsid w:val="00A7736A"/>
    <w:rsid w:val="00A77C21"/>
    <w:rsid w:val="00A77D6D"/>
    <w:rsid w:val="00A77F59"/>
    <w:rsid w:val="00A8006A"/>
    <w:rsid w:val="00A80115"/>
    <w:rsid w:val="00A8014C"/>
    <w:rsid w:val="00A802AA"/>
    <w:rsid w:val="00A80481"/>
    <w:rsid w:val="00A80851"/>
    <w:rsid w:val="00A808DB"/>
    <w:rsid w:val="00A80B1D"/>
    <w:rsid w:val="00A80B2C"/>
    <w:rsid w:val="00A80B3C"/>
    <w:rsid w:val="00A80BAA"/>
    <w:rsid w:val="00A80D85"/>
    <w:rsid w:val="00A80E71"/>
    <w:rsid w:val="00A80FF2"/>
    <w:rsid w:val="00A8122F"/>
    <w:rsid w:val="00A81252"/>
    <w:rsid w:val="00A812B4"/>
    <w:rsid w:val="00A81818"/>
    <w:rsid w:val="00A81A94"/>
    <w:rsid w:val="00A81D28"/>
    <w:rsid w:val="00A81D45"/>
    <w:rsid w:val="00A81F64"/>
    <w:rsid w:val="00A8223B"/>
    <w:rsid w:val="00A82458"/>
    <w:rsid w:val="00A824C8"/>
    <w:rsid w:val="00A82534"/>
    <w:rsid w:val="00A8259C"/>
    <w:rsid w:val="00A82948"/>
    <w:rsid w:val="00A82BA1"/>
    <w:rsid w:val="00A82BE0"/>
    <w:rsid w:val="00A82C5B"/>
    <w:rsid w:val="00A82D8E"/>
    <w:rsid w:val="00A82F2D"/>
    <w:rsid w:val="00A8329D"/>
    <w:rsid w:val="00A83631"/>
    <w:rsid w:val="00A8364E"/>
    <w:rsid w:val="00A836A4"/>
    <w:rsid w:val="00A83A1D"/>
    <w:rsid w:val="00A83ACF"/>
    <w:rsid w:val="00A83FB0"/>
    <w:rsid w:val="00A843C4"/>
    <w:rsid w:val="00A844AB"/>
    <w:rsid w:val="00A845F6"/>
    <w:rsid w:val="00A8462B"/>
    <w:rsid w:val="00A84C0C"/>
    <w:rsid w:val="00A84D50"/>
    <w:rsid w:val="00A84E12"/>
    <w:rsid w:val="00A84FB7"/>
    <w:rsid w:val="00A8517D"/>
    <w:rsid w:val="00A85346"/>
    <w:rsid w:val="00A854F7"/>
    <w:rsid w:val="00A8566C"/>
    <w:rsid w:val="00A8589E"/>
    <w:rsid w:val="00A859FA"/>
    <w:rsid w:val="00A85B60"/>
    <w:rsid w:val="00A85D0F"/>
    <w:rsid w:val="00A85EDA"/>
    <w:rsid w:val="00A86039"/>
    <w:rsid w:val="00A860BF"/>
    <w:rsid w:val="00A860F3"/>
    <w:rsid w:val="00A86C7B"/>
    <w:rsid w:val="00A86CFD"/>
    <w:rsid w:val="00A86E2E"/>
    <w:rsid w:val="00A87150"/>
    <w:rsid w:val="00A87178"/>
    <w:rsid w:val="00A87332"/>
    <w:rsid w:val="00A876B6"/>
    <w:rsid w:val="00A878B9"/>
    <w:rsid w:val="00A87926"/>
    <w:rsid w:val="00A8793E"/>
    <w:rsid w:val="00A87989"/>
    <w:rsid w:val="00A87CE2"/>
    <w:rsid w:val="00A87DD8"/>
    <w:rsid w:val="00A87E06"/>
    <w:rsid w:val="00A87F1D"/>
    <w:rsid w:val="00A87FF6"/>
    <w:rsid w:val="00A90093"/>
    <w:rsid w:val="00A90503"/>
    <w:rsid w:val="00A908F9"/>
    <w:rsid w:val="00A90B83"/>
    <w:rsid w:val="00A9108B"/>
    <w:rsid w:val="00A91135"/>
    <w:rsid w:val="00A9119A"/>
    <w:rsid w:val="00A911AE"/>
    <w:rsid w:val="00A911F3"/>
    <w:rsid w:val="00A912E7"/>
    <w:rsid w:val="00A912F8"/>
    <w:rsid w:val="00A91585"/>
    <w:rsid w:val="00A917F7"/>
    <w:rsid w:val="00A918F1"/>
    <w:rsid w:val="00A91A98"/>
    <w:rsid w:val="00A91C06"/>
    <w:rsid w:val="00A91C26"/>
    <w:rsid w:val="00A91CB3"/>
    <w:rsid w:val="00A91E7C"/>
    <w:rsid w:val="00A92037"/>
    <w:rsid w:val="00A921D3"/>
    <w:rsid w:val="00A9248B"/>
    <w:rsid w:val="00A9263B"/>
    <w:rsid w:val="00A926BB"/>
    <w:rsid w:val="00A927C2"/>
    <w:rsid w:val="00A9289F"/>
    <w:rsid w:val="00A92A30"/>
    <w:rsid w:val="00A92FEF"/>
    <w:rsid w:val="00A93036"/>
    <w:rsid w:val="00A930D5"/>
    <w:rsid w:val="00A93463"/>
    <w:rsid w:val="00A93636"/>
    <w:rsid w:val="00A93749"/>
    <w:rsid w:val="00A93895"/>
    <w:rsid w:val="00A9396C"/>
    <w:rsid w:val="00A93DAA"/>
    <w:rsid w:val="00A93E77"/>
    <w:rsid w:val="00A93F21"/>
    <w:rsid w:val="00A940D1"/>
    <w:rsid w:val="00A9453E"/>
    <w:rsid w:val="00A949AE"/>
    <w:rsid w:val="00A94BD9"/>
    <w:rsid w:val="00A94C0D"/>
    <w:rsid w:val="00A94C15"/>
    <w:rsid w:val="00A94EE3"/>
    <w:rsid w:val="00A94F3E"/>
    <w:rsid w:val="00A94F56"/>
    <w:rsid w:val="00A9501B"/>
    <w:rsid w:val="00A9513E"/>
    <w:rsid w:val="00A951C7"/>
    <w:rsid w:val="00A951CD"/>
    <w:rsid w:val="00A9522D"/>
    <w:rsid w:val="00A95300"/>
    <w:rsid w:val="00A95357"/>
    <w:rsid w:val="00A956B1"/>
    <w:rsid w:val="00A95932"/>
    <w:rsid w:val="00A95A19"/>
    <w:rsid w:val="00A95D13"/>
    <w:rsid w:val="00A95DED"/>
    <w:rsid w:val="00A9612B"/>
    <w:rsid w:val="00A96152"/>
    <w:rsid w:val="00A961DE"/>
    <w:rsid w:val="00A9627A"/>
    <w:rsid w:val="00A962F1"/>
    <w:rsid w:val="00A96445"/>
    <w:rsid w:val="00A964CB"/>
    <w:rsid w:val="00A9663C"/>
    <w:rsid w:val="00A967D4"/>
    <w:rsid w:val="00A9681E"/>
    <w:rsid w:val="00A9684D"/>
    <w:rsid w:val="00A96A38"/>
    <w:rsid w:val="00A96CDB"/>
    <w:rsid w:val="00A96E4B"/>
    <w:rsid w:val="00A97670"/>
    <w:rsid w:val="00A97948"/>
    <w:rsid w:val="00A97A0B"/>
    <w:rsid w:val="00A97A2F"/>
    <w:rsid w:val="00A97B74"/>
    <w:rsid w:val="00A97B82"/>
    <w:rsid w:val="00A97DBE"/>
    <w:rsid w:val="00A97DF3"/>
    <w:rsid w:val="00A97E96"/>
    <w:rsid w:val="00AA0079"/>
    <w:rsid w:val="00AA007A"/>
    <w:rsid w:val="00AA013B"/>
    <w:rsid w:val="00AA0235"/>
    <w:rsid w:val="00AA02FE"/>
    <w:rsid w:val="00AA088F"/>
    <w:rsid w:val="00AA096D"/>
    <w:rsid w:val="00AA0D6A"/>
    <w:rsid w:val="00AA0E8A"/>
    <w:rsid w:val="00AA10AF"/>
    <w:rsid w:val="00AA12B3"/>
    <w:rsid w:val="00AA12C5"/>
    <w:rsid w:val="00AA1321"/>
    <w:rsid w:val="00AA196E"/>
    <w:rsid w:val="00AA1AC2"/>
    <w:rsid w:val="00AA1C89"/>
    <w:rsid w:val="00AA1E89"/>
    <w:rsid w:val="00AA227C"/>
    <w:rsid w:val="00AA255D"/>
    <w:rsid w:val="00AA274B"/>
    <w:rsid w:val="00AA2A60"/>
    <w:rsid w:val="00AA2BE4"/>
    <w:rsid w:val="00AA353F"/>
    <w:rsid w:val="00AA35B4"/>
    <w:rsid w:val="00AA3603"/>
    <w:rsid w:val="00AA3B49"/>
    <w:rsid w:val="00AA3B57"/>
    <w:rsid w:val="00AA3E14"/>
    <w:rsid w:val="00AA3E53"/>
    <w:rsid w:val="00AA42F2"/>
    <w:rsid w:val="00AA4388"/>
    <w:rsid w:val="00AA4509"/>
    <w:rsid w:val="00AA46F0"/>
    <w:rsid w:val="00AA47C4"/>
    <w:rsid w:val="00AA47E4"/>
    <w:rsid w:val="00AA48D7"/>
    <w:rsid w:val="00AA48F0"/>
    <w:rsid w:val="00AA4CCC"/>
    <w:rsid w:val="00AA4DB7"/>
    <w:rsid w:val="00AA4DD2"/>
    <w:rsid w:val="00AA4E1D"/>
    <w:rsid w:val="00AA4E64"/>
    <w:rsid w:val="00AA4ECE"/>
    <w:rsid w:val="00AA4F96"/>
    <w:rsid w:val="00AA5069"/>
    <w:rsid w:val="00AA53B3"/>
    <w:rsid w:val="00AA5443"/>
    <w:rsid w:val="00AA559A"/>
    <w:rsid w:val="00AA57E7"/>
    <w:rsid w:val="00AA5BE1"/>
    <w:rsid w:val="00AA5CF6"/>
    <w:rsid w:val="00AA5F1A"/>
    <w:rsid w:val="00AA5F2E"/>
    <w:rsid w:val="00AA5F75"/>
    <w:rsid w:val="00AA607B"/>
    <w:rsid w:val="00AA6586"/>
    <w:rsid w:val="00AA685A"/>
    <w:rsid w:val="00AA6C3C"/>
    <w:rsid w:val="00AA6E6C"/>
    <w:rsid w:val="00AA70FE"/>
    <w:rsid w:val="00AA7225"/>
    <w:rsid w:val="00AA7350"/>
    <w:rsid w:val="00AA73C3"/>
    <w:rsid w:val="00AA756E"/>
    <w:rsid w:val="00AA75F7"/>
    <w:rsid w:val="00AA7713"/>
    <w:rsid w:val="00AA783A"/>
    <w:rsid w:val="00AA7CD8"/>
    <w:rsid w:val="00AA7DB5"/>
    <w:rsid w:val="00AA7DEE"/>
    <w:rsid w:val="00AA7E3A"/>
    <w:rsid w:val="00AB0075"/>
    <w:rsid w:val="00AB0431"/>
    <w:rsid w:val="00AB04C1"/>
    <w:rsid w:val="00AB067C"/>
    <w:rsid w:val="00AB073E"/>
    <w:rsid w:val="00AB0950"/>
    <w:rsid w:val="00AB0989"/>
    <w:rsid w:val="00AB0AAB"/>
    <w:rsid w:val="00AB100E"/>
    <w:rsid w:val="00AB1125"/>
    <w:rsid w:val="00AB11B0"/>
    <w:rsid w:val="00AB13AF"/>
    <w:rsid w:val="00AB14AE"/>
    <w:rsid w:val="00AB14D7"/>
    <w:rsid w:val="00AB164D"/>
    <w:rsid w:val="00AB16B0"/>
    <w:rsid w:val="00AB1A05"/>
    <w:rsid w:val="00AB1A13"/>
    <w:rsid w:val="00AB1D66"/>
    <w:rsid w:val="00AB1E40"/>
    <w:rsid w:val="00AB21ED"/>
    <w:rsid w:val="00AB239A"/>
    <w:rsid w:val="00AB240C"/>
    <w:rsid w:val="00AB24C5"/>
    <w:rsid w:val="00AB2506"/>
    <w:rsid w:val="00AB251C"/>
    <w:rsid w:val="00AB25BF"/>
    <w:rsid w:val="00AB26E7"/>
    <w:rsid w:val="00AB29E8"/>
    <w:rsid w:val="00AB2A2E"/>
    <w:rsid w:val="00AB2E87"/>
    <w:rsid w:val="00AB3173"/>
    <w:rsid w:val="00AB31BC"/>
    <w:rsid w:val="00AB31F0"/>
    <w:rsid w:val="00AB326C"/>
    <w:rsid w:val="00AB342A"/>
    <w:rsid w:val="00AB3C52"/>
    <w:rsid w:val="00AB3D00"/>
    <w:rsid w:val="00AB3D7C"/>
    <w:rsid w:val="00AB3E6C"/>
    <w:rsid w:val="00AB3FBA"/>
    <w:rsid w:val="00AB40AB"/>
    <w:rsid w:val="00AB424B"/>
    <w:rsid w:val="00AB44C6"/>
    <w:rsid w:val="00AB45ED"/>
    <w:rsid w:val="00AB47DC"/>
    <w:rsid w:val="00AB4E3F"/>
    <w:rsid w:val="00AB4E79"/>
    <w:rsid w:val="00AB4E9F"/>
    <w:rsid w:val="00AB506E"/>
    <w:rsid w:val="00AB536C"/>
    <w:rsid w:val="00AB53F2"/>
    <w:rsid w:val="00AB5493"/>
    <w:rsid w:val="00AB54D6"/>
    <w:rsid w:val="00AB5666"/>
    <w:rsid w:val="00AB56E0"/>
    <w:rsid w:val="00AB5887"/>
    <w:rsid w:val="00AB5999"/>
    <w:rsid w:val="00AB5AE7"/>
    <w:rsid w:val="00AB5CDF"/>
    <w:rsid w:val="00AB5D40"/>
    <w:rsid w:val="00AB60E2"/>
    <w:rsid w:val="00AB63B3"/>
    <w:rsid w:val="00AB65AE"/>
    <w:rsid w:val="00AB65B0"/>
    <w:rsid w:val="00AB6B3F"/>
    <w:rsid w:val="00AB6E87"/>
    <w:rsid w:val="00AB6F67"/>
    <w:rsid w:val="00AB6FFE"/>
    <w:rsid w:val="00AB732A"/>
    <w:rsid w:val="00AB7837"/>
    <w:rsid w:val="00AB797E"/>
    <w:rsid w:val="00AB7A2F"/>
    <w:rsid w:val="00AB7AF0"/>
    <w:rsid w:val="00AB7F54"/>
    <w:rsid w:val="00AC00C4"/>
    <w:rsid w:val="00AC0158"/>
    <w:rsid w:val="00AC03C4"/>
    <w:rsid w:val="00AC0529"/>
    <w:rsid w:val="00AC07DD"/>
    <w:rsid w:val="00AC0901"/>
    <w:rsid w:val="00AC0947"/>
    <w:rsid w:val="00AC0A1D"/>
    <w:rsid w:val="00AC0B0B"/>
    <w:rsid w:val="00AC0CE2"/>
    <w:rsid w:val="00AC1141"/>
    <w:rsid w:val="00AC116F"/>
    <w:rsid w:val="00AC1225"/>
    <w:rsid w:val="00AC1257"/>
    <w:rsid w:val="00AC126F"/>
    <w:rsid w:val="00AC1736"/>
    <w:rsid w:val="00AC190C"/>
    <w:rsid w:val="00AC1C55"/>
    <w:rsid w:val="00AC1D2B"/>
    <w:rsid w:val="00AC1E4A"/>
    <w:rsid w:val="00AC1E98"/>
    <w:rsid w:val="00AC210F"/>
    <w:rsid w:val="00AC2212"/>
    <w:rsid w:val="00AC27FF"/>
    <w:rsid w:val="00AC2A31"/>
    <w:rsid w:val="00AC2A55"/>
    <w:rsid w:val="00AC2A72"/>
    <w:rsid w:val="00AC2AD1"/>
    <w:rsid w:val="00AC2E2E"/>
    <w:rsid w:val="00AC2F92"/>
    <w:rsid w:val="00AC3010"/>
    <w:rsid w:val="00AC315E"/>
    <w:rsid w:val="00AC319E"/>
    <w:rsid w:val="00AC328F"/>
    <w:rsid w:val="00AC3380"/>
    <w:rsid w:val="00AC35FD"/>
    <w:rsid w:val="00AC3613"/>
    <w:rsid w:val="00AC3685"/>
    <w:rsid w:val="00AC3764"/>
    <w:rsid w:val="00AC38DA"/>
    <w:rsid w:val="00AC3D80"/>
    <w:rsid w:val="00AC3F70"/>
    <w:rsid w:val="00AC42D2"/>
    <w:rsid w:val="00AC42ED"/>
    <w:rsid w:val="00AC446F"/>
    <w:rsid w:val="00AC4659"/>
    <w:rsid w:val="00AC48B8"/>
    <w:rsid w:val="00AC49BB"/>
    <w:rsid w:val="00AC4BB9"/>
    <w:rsid w:val="00AC4BC9"/>
    <w:rsid w:val="00AC4CC2"/>
    <w:rsid w:val="00AC50BA"/>
    <w:rsid w:val="00AC5120"/>
    <w:rsid w:val="00AC5238"/>
    <w:rsid w:val="00AC53AD"/>
    <w:rsid w:val="00AC53AF"/>
    <w:rsid w:val="00AC5B1B"/>
    <w:rsid w:val="00AC5D5A"/>
    <w:rsid w:val="00AC5D6E"/>
    <w:rsid w:val="00AC624F"/>
    <w:rsid w:val="00AC64B0"/>
    <w:rsid w:val="00AC6737"/>
    <w:rsid w:val="00AC68E1"/>
    <w:rsid w:val="00AC6A39"/>
    <w:rsid w:val="00AC6B22"/>
    <w:rsid w:val="00AC6BCD"/>
    <w:rsid w:val="00AC6C7E"/>
    <w:rsid w:val="00AC6F02"/>
    <w:rsid w:val="00AC6F7A"/>
    <w:rsid w:val="00AC71D6"/>
    <w:rsid w:val="00AC71D8"/>
    <w:rsid w:val="00AC7218"/>
    <w:rsid w:val="00AC7404"/>
    <w:rsid w:val="00AC7665"/>
    <w:rsid w:val="00AC7812"/>
    <w:rsid w:val="00AC79CC"/>
    <w:rsid w:val="00AC7A7C"/>
    <w:rsid w:val="00AC7AAA"/>
    <w:rsid w:val="00AC7D5E"/>
    <w:rsid w:val="00AC7D89"/>
    <w:rsid w:val="00AD00B6"/>
    <w:rsid w:val="00AD0180"/>
    <w:rsid w:val="00AD0326"/>
    <w:rsid w:val="00AD06BC"/>
    <w:rsid w:val="00AD096E"/>
    <w:rsid w:val="00AD09B3"/>
    <w:rsid w:val="00AD0B7F"/>
    <w:rsid w:val="00AD0CF7"/>
    <w:rsid w:val="00AD0D65"/>
    <w:rsid w:val="00AD0E4D"/>
    <w:rsid w:val="00AD0FE4"/>
    <w:rsid w:val="00AD10A0"/>
    <w:rsid w:val="00AD129A"/>
    <w:rsid w:val="00AD165B"/>
    <w:rsid w:val="00AD1972"/>
    <w:rsid w:val="00AD1B56"/>
    <w:rsid w:val="00AD1C47"/>
    <w:rsid w:val="00AD1C76"/>
    <w:rsid w:val="00AD21A1"/>
    <w:rsid w:val="00AD222C"/>
    <w:rsid w:val="00AD225A"/>
    <w:rsid w:val="00AD2294"/>
    <w:rsid w:val="00AD2390"/>
    <w:rsid w:val="00AD2AC9"/>
    <w:rsid w:val="00AD30A0"/>
    <w:rsid w:val="00AD30BE"/>
    <w:rsid w:val="00AD30DB"/>
    <w:rsid w:val="00AD30F3"/>
    <w:rsid w:val="00AD325C"/>
    <w:rsid w:val="00AD32B5"/>
    <w:rsid w:val="00AD34F4"/>
    <w:rsid w:val="00AD353F"/>
    <w:rsid w:val="00AD35C2"/>
    <w:rsid w:val="00AD36AA"/>
    <w:rsid w:val="00AD37C4"/>
    <w:rsid w:val="00AD386C"/>
    <w:rsid w:val="00AD38A2"/>
    <w:rsid w:val="00AD3D3C"/>
    <w:rsid w:val="00AD3DC5"/>
    <w:rsid w:val="00AD3F5E"/>
    <w:rsid w:val="00AD3FC6"/>
    <w:rsid w:val="00AD4492"/>
    <w:rsid w:val="00AD44B1"/>
    <w:rsid w:val="00AD47E6"/>
    <w:rsid w:val="00AD48B1"/>
    <w:rsid w:val="00AD494E"/>
    <w:rsid w:val="00AD4BE5"/>
    <w:rsid w:val="00AD4ED4"/>
    <w:rsid w:val="00AD50AD"/>
    <w:rsid w:val="00AD51A5"/>
    <w:rsid w:val="00AD52A9"/>
    <w:rsid w:val="00AD54E9"/>
    <w:rsid w:val="00AD5A30"/>
    <w:rsid w:val="00AD5EEC"/>
    <w:rsid w:val="00AD5F24"/>
    <w:rsid w:val="00AD5FB9"/>
    <w:rsid w:val="00AD5FE2"/>
    <w:rsid w:val="00AD6131"/>
    <w:rsid w:val="00AD6529"/>
    <w:rsid w:val="00AD658D"/>
    <w:rsid w:val="00AD668E"/>
    <w:rsid w:val="00AD66BE"/>
    <w:rsid w:val="00AD675E"/>
    <w:rsid w:val="00AD68D3"/>
    <w:rsid w:val="00AD6988"/>
    <w:rsid w:val="00AD6AD3"/>
    <w:rsid w:val="00AD6D52"/>
    <w:rsid w:val="00AD6E34"/>
    <w:rsid w:val="00AD6E42"/>
    <w:rsid w:val="00AD7195"/>
    <w:rsid w:val="00AD722A"/>
    <w:rsid w:val="00AD7230"/>
    <w:rsid w:val="00AD7244"/>
    <w:rsid w:val="00AD7286"/>
    <w:rsid w:val="00AD737F"/>
    <w:rsid w:val="00AD746D"/>
    <w:rsid w:val="00AD748A"/>
    <w:rsid w:val="00AD754F"/>
    <w:rsid w:val="00AD79F0"/>
    <w:rsid w:val="00AD7A9E"/>
    <w:rsid w:val="00AD7F4A"/>
    <w:rsid w:val="00AD7FE9"/>
    <w:rsid w:val="00AE005A"/>
    <w:rsid w:val="00AE0356"/>
    <w:rsid w:val="00AE045C"/>
    <w:rsid w:val="00AE04BC"/>
    <w:rsid w:val="00AE0728"/>
    <w:rsid w:val="00AE0896"/>
    <w:rsid w:val="00AE0918"/>
    <w:rsid w:val="00AE0961"/>
    <w:rsid w:val="00AE09FB"/>
    <w:rsid w:val="00AE0A2D"/>
    <w:rsid w:val="00AE0B4D"/>
    <w:rsid w:val="00AE0B90"/>
    <w:rsid w:val="00AE11CA"/>
    <w:rsid w:val="00AE1529"/>
    <w:rsid w:val="00AE15E1"/>
    <w:rsid w:val="00AE1743"/>
    <w:rsid w:val="00AE1B01"/>
    <w:rsid w:val="00AE2422"/>
    <w:rsid w:val="00AE28E4"/>
    <w:rsid w:val="00AE2AF7"/>
    <w:rsid w:val="00AE2B5B"/>
    <w:rsid w:val="00AE2DFD"/>
    <w:rsid w:val="00AE2EF1"/>
    <w:rsid w:val="00AE309D"/>
    <w:rsid w:val="00AE30B2"/>
    <w:rsid w:val="00AE313D"/>
    <w:rsid w:val="00AE3455"/>
    <w:rsid w:val="00AE3739"/>
    <w:rsid w:val="00AE38A7"/>
    <w:rsid w:val="00AE3A1E"/>
    <w:rsid w:val="00AE3AA3"/>
    <w:rsid w:val="00AE3AAB"/>
    <w:rsid w:val="00AE3D37"/>
    <w:rsid w:val="00AE3E29"/>
    <w:rsid w:val="00AE4066"/>
    <w:rsid w:val="00AE4395"/>
    <w:rsid w:val="00AE4520"/>
    <w:rsid w:val="00AE4673"/>
    <w:rsid w:val="00AE498B"/>
    <w:rsid w:val="00AE4AC3"/>
    <w:rsid w:val="00AE4C6B"/>
    <w:rsid w:val="00AE4D0D"/>
    <w:rsid w:val="00AE50BD"/>
    <w:rsid w:val="00AE50CD"/>
    <w:rsid w:val="00AE5337"/>
    <w:rsid w:val="00AE537D"/>
    <w:rsid w:val="00AE54DE"/>
    <w:rsid w:val="00AE55BE"/>
    <w:rsid w:val="00AE56DB"/>
    <w:rsid w:val="00AE578C"/>
    <w:rsid w:val="00AE5938"/>
    <w:rsid w:val="00AE5BBB"/>
    <w:rsid w:val="00AE5CCE"/>
    <w:rsid w:val="00AE5F32"/>
    <w:rsid w:val="00AE5F4E"/>
    <w:rsid w:val="00AE64DF"/>
    <w:rsid w:val="00AE6898"/>
    <w:rsid w:val="00AE68F7"/>
    <w:rsid w:val="00AE69A7"/>
    <w:rsid w:val="00AE69E3"/>
    <w:rsid w:val="00AE6BC0"/>
    <w:rsid w:val="00AE6C0D"/>
    <w:rsid w:val="00AE6CD0"/>
    <w:rsid w:val="00AE6DF9"/>
    <w:rsid w:val="00AE6EBA"/>
    <w:rsid w:val="00AE7038"/>
    <w:rsid w:val="00AE7137"/>
    <w:rsid w:val="00AE72DD"/>
    <w:rsid w:val="00AE72EC"/>
    <w:rsid w:val="00AE734F"/>
    <w:rsid w:val="00AE761B"/>
    <w:rsid w:val="00AE7661"/>
    <w:rsid w:val="00AE76EA"/>
    <w:rsid w:val="00AE791D"/>
    <w:rsid w:val="00AE7DFB"/>
    <w:rsid w:val="00AE7EF8"/>
    <w:rsid w:val="00AE7F77"/>
    <w:rsid w:val="00AF018C"/>
    <w:rsid w:val="00AF0308"/>
    <w:rsid w:val="00AF0368"/>
    <w:rsid w:val="00AF0406"/>
    <w:rsid w:val="00AF067A"/>
    <w:rsid w:val="00AF0718"/>
    <w:rsid w:val="00AF07B2"/>
    <w:rsid w:val="00AF07B5"/>
    <w:rsid w:val="00AF0DE0"/>
    <w:rsid w:val="00AF0F8C"/>
    <w:rsid w:val="00AF109E"/>
    <w:rsid w:val="00AF12C6"/>
    <w:rsid w:val="00AF1347"/>
    <w:rsid w:val="00AF18AB"/>
    <w:rsid w:val="00AF1A2D"/>
    <w:rsid w:val="00AF1D8E"/>
    <w:rsid w:val="00AF2656"/>
    <w:rsid w:val="00AF294A"/>
    <w:rsid w:val="00AF2992"/>
    <w:rsid w:val="00AF2C0B"/>
    <w:rsid w:val="00AF2DBC"/>
    <w:rsid w:val="00AF2EFD"/>
    <w:rsid w:val="00AF2FCC"/>
    <w:rsid w:val="00AF300E"/>
    <w:rsid w:val="00AF30BA"/>
    <w:rsid w:val="00AF335E"/>
    <w:rsid w:val="00AF35C5"/>
    <w:rsid w:val="00AF3824"/>
    <w:rsid w:val="00AF3887"/>
    <w:rsid w:val="00AF3C42"/>
    <w:rsid w:val="00AF3CEC"/>
    <w:rsid w:val="00AF3D60"/>
    <w:rsid w:val="00AF3DFE"/>
    <w:rsid w:val="00AF3E8F"/>
    <w:rsid w:val="00AF4019"/>
    <w:rsid w:val="00AF4158"/>
    <w:rsid w:val="00AF4170"/>
    <w:rsid w:val="00AF4820"/>
    <w:rsid w:val="00AF4D2B"/>
    <w:rsid w:val="00AF4DBF"/>
    <w:rsid w:val="00AF4EF7"/>
    <w:rsid w:val="00AF4FD5"/>
    <w:rsid w:val="00AF5052"/>
    <w:rsid w:val="00AF5090"/>
    <w:rsid w:val="00AF5296"/>
    <w:rsid w:val="00AF5781"/>
    <w:rsid w:val="00AF57E0"/>
    <w:rsid w:val="00AF584A"/>
    <w:rsid w:val="00AF5A7E"/>
    <w:rsid w:val="00AF5ACD"/>
    <w:rsid w:val="00AF5C45"/>
    <w:rsid w:val="00AF5FBB"/>
    <w:rsid w:val="00AF6110"/>
    <w:rsid w:val="00AF6226"/>
    <w:rsid w:val="00AF63E9"/>
    <w:rsid w:val="00AF6425"/>
    <w:rsid w:val="00AF646E"/>
    <w:rsid w:val="00AF663A"/>
    <w:rsid w:val="00AF685D"/>
    <w:rsid w:val="00AF6AC6"/>
    <w:rsid w:val="00AF6AD6"/>
    <w:rsid w:val="00AF6AE2"/>
    <w:rsid w:val="00AF6C8A"/>
    <w:rsid w:val="00AF6F52"/>
    <w:rsid w:val="00AF7095"/>
    <w:rsid w:val="00AF70D8"/>
    <w:rsid w:val="00AF719C"/>
    <w:rsid w:val="00AF71C9"/>
    <w:rsid w:val="00AF723F"/>
    <w:rsid w:val="00AF72E9"/>
    <w:rsid w:val="00AF7701"/>
    <w:rsid w:val="00AF7A96"/>
    <w:rsid w:val="00AF7AE8"/>
    <w:rsid w:val="00AF7C5C"/>
    <w:rsid w:val="00AF7D99"/>
    <w:rsid w:val="00AF7E82"/>
    <w:rsid w:val="00AF7FB8"/>
    <w:rsid w:val="00B00014"/>
    <w:rsid w:val="00B001AF"/>
    <w:rsid w:val="00B001BF"/>
    <w:rsid w:val="00B00488"/>
    <w:rsid w:val="00B00611"/>
    <w:rsid w:val="00B00E1A"/>
    <w:rsid w:val="00B00E8D"/>
    <w:rsid w:val="00B00FD0"/>
    <w:rsid w:val="00B013E3"/>
    <w:rsid w:val="00B0146A"/>
    <w:rsid w:val="00B015F5"/>
    <w:rsid w:val="00B01AA6"/>
    <w:rsid w:val="00B01C6B"/>
    <w:rsid w:val="00B01CB6"/>
    <w:rsid w:val="00B01F1F"/>
    <w:rsid w:val="00B020B2"/>
    <w:rsid w:val="00B02141"/>
    <w:rsid w:val="00B023E6"/>
    <w:rsid w:val="00B02944"/>
    <w:rsid w:val="00B02B88"/>
    <w:rsid w:val="00B02BCE"/>
    <w:rsid w:val="00B02DD8"/>
    <w:rsid w:val="00B03037"/>
    <w:rsid w:val="00B0334E"/>
    <w:rsid w:val="00B03484"/>
    <w:rsid w:val="00B03719"/>
    <w:rsid w:val="00B03744"/>
    <w:rsid w:val="00B03813"/>
    <w:rsid w:val="00B038A6"/>
    <w:rsid w:val="00B03A5A"/>
    <w:rsid w:val="00B03A82"/>
    <w:rsid w:val="00B03CED"/>
    <w:rsid w:val="00B04354"/>
    <w:rsid w:val="00B04534"/>
    <w:rsid w:val="00B04602"/>
    <w:rsid w:val="00B0461C"/>
    <w:rsid w:val="00B04663"/>
    <w:rsid w:val="00B04757"/>
    <w:rsid w:val="00B047C3"/>
    <w:rsid w:val="00B04894"/>
    <w:rsid w:val="00B048DB"/>
    <w:rsid w:val="00B049C5"/>
    <w:rsid w:val="00B04A0C"/>
    <w:rsid w:val="00B04FD7"/>
    <w:rsid w:val="00B050A4"/>
    <w:rsid w:val="00B05316"/>
    <w:rsid w:val="00B05507"/>
    <w:rsid w:val="00B0551C"/>
    <w:rsid w:val="00B055D3"/>
    <w:rsid w:val="00B05686"/>
    <w:rsid w:val="00B05973"/>
    <w:rsid w:val="00B059F5"/>
    <w:rsid w:val="00B05A04"/>
    <w:rsid w:val="00B05A2F"/>
    <w:rsid w:val="00B060BF"/>
    <w:rsid w:val="00B06224"/>
    <w:rsid w:val="00B065B9"/>
    <w:rsid w:val="00B067BF"/>
    <w:rsid w:val="00B0684A"/>
    <w:rsid w:val="00B06A6C"/>
    <w:rsid w:val="00B06BA4"/>
    <w:rsid w:val="00B06BDC"/>
    <w:rsid w:val="00B06C9E"/>
    <w:rsid w:val="00B06CB8"/>
    <w:rsid w:val="00B06DB4"/>
    <w:rsid w:val="00B06E77"/>
    <w:rsid w:val="00B071C1"/>
    <w:rsid w:val="00B0770C"/>
    <w:rsid w:val="00B07752"/>
    <w:rsid w:val="00B079F8"/>
    <w:rsid w:val="00B07D14"/>
    <w:rsid w:val="00B07DB8"/>
    <w:rsid w:val="00B10118"/>
    <w:rsid w:val="00B101C7"/>
    <w:rsid w:val="00B101E6"/>
    <w:rsid w:val="00B101EC"/>
    <w:rsid w:val="00B10250"/>
    <w:rsid w:val="00B10367"/>
    <w:rsid w:val="00B1038D"/>
    <w:rsid w:val="00B10737"/>
    <w:rsid w:val="00B10837"/>
    <w:rsid w:val="00B10A5D"/>
    <w:rsid w:val="00B10C56"/>
    <w:rsid w:val="00B10D0C"/>
    <w:rsid w:val="00B10D51"/>
    <w:rsid w:val="00B10D6B"/>
    <w:rsid w:val="00B110DB"/>
    <w:rsid w:val="00B11706"/>
    <w:rsid w:val="00B118D9"/>
    <w:rsid w:val="00B11B7E"/>
    <w:rsid w:val="00B11BAA"/>
    <w:rsid w:val="00B11BCB"/>
    <w:rsid w:val="00B11D09"/>
    <w:rsid w:val="00B11D88"/>
    <w:rsid w:val="00B11E11"/>
    <w:rsid w:val="00B11E5A"/>
    <w:rsid w:val="00B1232A"/>
    <w:rsid w:val="00B123A6"/>
    <w:rsid w:val="00B12695"/>
    <w:rsid w:val="00B12AF2"/>
    <w:rsid w:val="00B12B6A"/>
    <w:rsid w:val="00B13013"/>
    <w:rsid w:val="00B130BC"/>
    <w:rsid w:val="00B130C1"/>
    <w:rsid w:val="00B130FC"/>
    <w:rsid w:val="00B1325A"/>
    <w:rsid w:val="00B134DD"/>
    <w:rsid w:val="00B1372B"/>
    <w:rsid w:val="00B13743"/>
    <w:rsid w:val="00B138D5"/>
    <w:rsid w:val="00B13BB6"/>
    <w:rsid w:val="00B13C3E"/>
    <w:rsid w:val="00B13C94"/>
    <w:rsid w:val="00B13DCB"/>
    <w:rsid w:val="00B142EC"/>
    <w:rsid w:val="00B14506"/>
    <w:rsid w:val="00B146E4"/>
    <w:rsid w:val="00B14BB1"/>
    <w:rsid w:val="00B151D3"/>
    <w:rsid w:val="00B151ED"/>
    <w:rsid w:val="00B154F0"/>
    <w:rsid w:val="00B156E4"/>
    <w:rsid w:val="00B157A5"/>
    <w:rsid w:val="00B157B6"/>
    <w:rsid w:val="00B157F7"/>
    <w:rsid w:val="00B15B1B"/>
    <w:rsid w:val="00B15B7C"/>
    <w:rsid w:val="00B15BA3"/>
    <w:rsid w:val="00B15BAF"/>
    <w:rsid w:val="00B15BC6"/>
    <w:rsid w:val="00B15DFC"/>
    <w:rsid w:val="00B15ED6"/>
    <w:rsid w:val="00B15FEB"/>
    <w:rsid w:val="00B160CA"/>
    <w:rsid w:val="00B16126"/>
    <w:rsid w:val="00B163C7"/>
    <w:rsid w:val="00B16420"/>
    <w:rsid w:val="00B164E0"/>
    <w:rsid w:val="00B16BCB"/>
    <w:rsid w:val="00B16D7F"/>
    <w:rsid w:val="00B16F6B"/>
    <w:rsid w:val="00B17341"/>
    <w:rsid w:val="00B17479"/>
    <w:rsid w:val="00B174CF"/>
    <w:rsid w:val="00B175EF"/>
    <w:rsid w:val="00B1765A"/>
    <w:rsid w:val="00B17695"/>
    <w:rsid w:val="00B17883"/>
    <w:rsid w:val="00B17896"/>
    <w:rsid w:val="00B17D28"/>
    <w:rsid w:val="00B17E4F"/>
    <w:rsid w:val="00B17FBC"/>
    <w:rsid w:val="00B200E0"/>
    <w:rsid w:val="00B20278"/>
    <w:rsid w:val="00B2074B"/>
    <w:rsid w:val="00B20C13"/>
    <w:rsid w:val="00B20CCB"/>
    <w:rsid w:val="00B215D5"/>
    <w:rsid w:val="00B215E4"/>
    <w:rsid w:val="00B2181B"/>
    <w:rsid w:val="00B21C27"/>
    <w:rsid w:val="00B21DF9"/>
    <w:rsid w:val="00B21F04"/>
    <w:rsid w:val="00B21FDA"/>
    <w:rsid w:val="00B22173"/>
    <w:rsid w:val="00B221B5"/>
    <w:rsid w:val="00B2234B"/>
    <w:rsid w:val="00B223EF"/>
    <w:rsid w:val="00B22759"/>
    <w:rsid w:val="00B2283A"/>
    <w:rsid w:val="00B22C9D"/>
    <w:rsid w:val="00B231C2"/>
    <w:rsid w:val="00B2324E"/>
    <w:rsid w:val="00B232D8"/>
    <w:rsid w:val="00B23494"/>
    <w:rsid w:val="00B237DF"/>
    <w:rsid w:val="00B238E4"/>
    <w:rsid w:val="00B23A6B"/>
    <w:rsid w:val="00B23C92"/>
    <w:rsid w:val="00B24364"/>
    <w:rsid w:val="00B243B0"/>
    <w:rsid w:val="00B244E9"/>
    <w:rsid w:val="00B2462E"/>
    <w:rsid w:val="00B24655"/>
    <w:rsid w:val="00B2484E"/>
    <w:rsid w:val="00B249FC"/>
    <w:rsid w:val="00B24A2D"/>
    <w:rsid w:val="00B24CE9"/>
    <w:rsid w:val="00B2501B"/>
    <w:rsid w:val="00B25147"/>
    <w:rsid w:val="00B254B8"/>
    <w:rsid w:val="00B259DE"/>
    <w:rsid w:val="00B25C8C"/>
    <w:rsid w:val="00B25E97"/>
    <w:rsid w:val="00B2634D"/>
    <w:rsid w:val="00B266DF"/>
    <w:rsid w:val="00B268A9"/>
    <w:rsid w:val="00B26A74"/>
    <w:rsid w:val="00B26C41"/>
    <w:rsid w:val="00B27156"/>
    <w:rsid w:val="00B27212"/>
    <w:rsid w:val="00B27375"/>
    <w:rsid w:val="00B2765E"/>
    <w:rsid w:val="00B27731"/>
    <w:rsid w:val="00B27740"/>
    <w:rsid w:val="00B27975"/>
    <w:rsid w:val="00B27D04"/>
    <w:rsid w:val="00B27FC2"/>
    <w:rsid w:val="00B302DE"/>
    <w:rsid w:val="00B30372"/>
    <w:rsid w:val="00B30411"/>
    <w:rsid w:val="00B30B4F"/>
    <w:rsid w:val="00B30D78"/>
    <w:rsid w:val="00B31035"/>
    <w:rsid w:val="00B31552"/>
    <w:rsid w:val="00B317E7"/>
    <w:rsid w:val="00B31A96"/>
    <w:rsid w:val="00B31C0F"/>
    <w:rsid w:val="00B320BC"/>
    <w:rsid w:val="00B3210C"/>
    <w:rsid w:val="00B328AA"/>
    <w:rsid w:val="00B32B64"/>
    <w:rsid w:val="00B32E70"/>
    <w:rsid w:val="00B32FB1"/>
    <w:rsid w:val="00B332D7"/>
    <w:rsid w:val="00B33856"/>
    <w:rsid w:val="00B338FB"/>
    <w:rsid w:val="00B33A0F"/>
    <w:rsid w:val="00B33A57"/>
    <w:rsid w:val="00B33F7D"/>
    <w:rsid w:val="00B34083"/>
    <w:rsid w:val="00B340D6"/>
    <w:rsid w:val="00B34131"/>
    <w:rsid w:val="00B34191"/>
    <w:rsid w:val="00B34226"/>
    <w:rsid w:val="00B34298"/>
    <w:rsid w:val="00B3453E"/>
    <w:rsid w:val="00B34744"/>
    <w:rsid w:val="00B349B2"/>
    <w:rsid w:val="00B34BD6"/>
    <w:rsid w:val="00B34C57"/>
    <w:rsid w:val="00B34DB6"/>
    <w:rsid w:val="00B34F11"/>
    <w:rsid w:val="00B34F90"/>
    <w:rsid w:val="00B34FFF"/>
    <w:rsid w:val="00B35025"/>
    <w:rsid w:val="00B35056"/>
    <w:rsid w:val="00B3514C"/>
    <w:rsid w:val="00B351EC"/>
    <w:rsid w:val="00B35392"/>
    <w:rsid w:val="00B35BC4"/>
    <w:rsid w:val="00B35C7E"/>
    <w:rsid w:val="00B35CB7"/>
    <w:rsid w:val="00B361A7"/>
    <w:rsid w:val="00B36447"/>
    <w:rsid w:val="00B3650E"/>
    <w:rsid w:val="00B3658A"/>
    <w:rsid w:val="00B365A0"/>
    <w:rsid w:val="00B3660F"/>
    <w:rsid w:val="00B3669F"/>
    <w:rsid w:val="00B36704"/>
    <w:rsid w:val="00B3678D"/>
    <w:rsid w:val="00B3693B"/>
    <w:rsid w:val="00B36AAB"/>
    <w:rsid w:val="00B36C36"/>
    <w:rsid w:val="00B372A3"/>
    <w:rsid w:val="00B37430"/>
    <w:rsid w:val="00B37514"/>
    <w:rsid w:val="00B37728"/>
    <w:rsid w:val="00B3772F"/>
    <w:rsid w:val="00B37935"/>
    <w:rsid w:val="00B3799E"/>
    <w:rsid w:val="00B37E37"/>
    <w:rsid w:val="00B37E88"/>
    <w:rsid w:val="00B400E0"/>
    <w:rsid w:val="00B4020A"/>
    <w:rsid w:val="00B404C4"/>
    <w:rsid w:val="00B4060E"/>
    <w:rsid w:val="00B40949"/>
    <w:rsid w:val="00B40A88"/>
    <w:rsid w:val="00B40AD3"/>
    <w:rsid w:val="00B41288"/>
    <w:rsid w:val="00B41563"/>
    <w:rsid w:val="00B418AF"/>
    <w:rsid w:val="00B41B52"/>
    <w:rsid w:val="00B41BD8"/>
    <w:rsid w:val="00B4241B"/>
    <w:rsid w:val="00B42470"/>
    <w:rsid w:val="00B4263E"/>
    <w:rsid w:val="00B4291E"/>
    <w:rsid w:val="00B42A18"/>
    <w:rsid w:val="00B42ADE"/>
    <w:rsid w:val="00B42EA7"/>
    <w:rsid w:val="00B42F07"/>
    <w:rsid w:val="00B42F8C"/>
    <w:rsid w:val="00B4300F"/>
    <w:rsid w:val="00B432C6"/>
    <w:rsid w:val="00B432E8"/>
    <w:rsid w:val="00B4338B"/>
    <w:rsid w:val="00B433DA"/>
    <w:rsid w:val="00B43476"/>
    <w:rsid w:val="00B435E3"/>
    <w:rsid w:val="00B43769"/>
    <w:rsid w:val="00B43827"/>
    <w:rsid w:val="00B43C7F"/>
    <w:rsid w:val="00B43E60"/>
    <w:rsid w:val="00B43EEA"/>
    <w:rsid w:val="00B43F32"/>
    <w:rsid w:val="00B4406E"/>
    <w:rsid w:val="00B44205"/>
    <w:rsid w:val="00B444AF"/>
    <w:rsid w:val="00B444B2"/>
    <w:rsid w:val="00B449E9"/>
    <w:rsid w:val="00B44C94"/>
    <w:rsid w:val="00B44F50"/>
    <w:rsid w:val="00B44F9C"/>
    <w:rsid w:val="00B450AB"/>
    <w:rsid w:val="00B45275"/>
    <w:rsid w:val="00B45373"/>
    <w:rsid w:val="00B4541C"/>
    <w:rsid w:val="00B4554E"/>
    <w:rsid w:val="00B45702"/>
    <w:rsid w:val="00B458E7"/>
    <w:rsid w:val="00B45960"/>
    <w:rsid w:val="00B45AA3"/>
    <w:rsid w:val="00B45C64"/>
    <w:rsid w:val="00B45D9A"/>
    <w:rsid w:val="00B45DB8"/>
    <w:rsid w:val="00B45DFF"/>
    <w:rsid w:val="00B45E9D"/>
    <w:rsid w:val="00B45FDD"/>
    <w:rsid w:val="00B460FB"/>
    <w:rsid w:val="00B46207"/>
    <w:rsid w:val="00B466F6"/>
    <w:rsid w:val="00B4678F"/>
    <w:rsid w:val="00B46A32"/>
    <w:rsid w:val="00B46B29"/>
    <w:rsid w:val="00B46E56"/>
    <w:rsid w:val="00B46EF4"/>
    <w:rsid w:val="00B46FE3"/>
    <w:rsid w:val="00B47298"/>
    <w:rsid w:val="00B47507"/>
    <w:rsid w:val="00B475C2"/>
    <w:rsid w:val="00B476B0"/>
    <w:rsid w:val="00B476E0"/>
    <w:rsid w:val="00B47896"/>
    <w:rsid w:val="00B47954"/>
    <w:rsid w:val="00B4799F"/>
    <w:rsid w:val="00B47B85"/>
    <w:rsid w:val="00B47BF7"/>
    <w:rsid w:val="00B47C01"/>
    <w:rsid w:val="00B47D59"/>
    <w:rsid w:val="00B47F39"/>
    <w:rsid w:val="00B505F3"/>
    <w:rsid w:val="00B50765"/>
    <w:rsid w:val="00B50A37"/>
    <w:rsid w:val="00B50A40"/>
    <w:rsid w:val="00B50AE7"/>
    <w:rsid w:val="00B50E9E"/>
    <w:rsid w:val="00B50F75"/>
    <w:rsid w:val="00B51177"/>
    <w:rsid w:val="00B51220"/>
    <w:rsid w:val="00B513B9"/>
    <w:rsid w:val="00B5152E"/>
    <w:rsid w:val="00B51742"/>
    <w:rsid w:val="00B51B06"/>
    <w:rsid w:val="00B51B18"/>
    <w:rsid w:val="00B51B46"/>
    <w:rsid w:val="00B51C4F"/>
    <w:rsid w:val="00B51D59"/>
    <w:rsid w:val="00B51E1A"/>
    <w:rsid w:val="00B52183"/>
    <w:rsid w:val="00B52193"/>
    <w:rsid w:val="00B5230B"/>
    <w:rsid w:val="00B5243B"/>
    <w:rsid w:val="00B52869"/>
    <w:rsid w:val="00B528DF"/>
    <w:rsid w:val="00B52934"/>
    <w:rsid w:val="00B529FF"/>
    <w:rsid w:val="00B52ABC"/>
    <w:rsid w:val="00B52BE4"/>
    <w:rsid w:val="00B52E18"/>
    <w:rsid w:val="00B5308E"/>
    <w:rsid w:val="00B5322F"/>
    <w:rsid w:val="00B533ED"/>
    <w:rsid w:val="00B53547"/>
    <w:rsid w:val="00B53597"/>
    <w:rsid w:val="00B536C6"/>
    <w:rsid w:val="00B53784"/>
    <w:rsid w:val="00B537D4"/>
    <w:rsid w:val="00B537EF"/>
    <w:rsid w:val="00B539BA"/>
    <w:rsid w:val="00B53C02"/>
    <w:rsid w:val="00B53DEE"/>
    <w:rsid w:val="00B53F3F"/>
    <w:rsid w:val="00B54569"/>
    <w:rsid w:val="00B54690"/>
    <w:rsid w:val="00B5494B"/>
    <w:rsid w:val="00B54A2D"/>
    <w:rsid w:val="00B54C75"/>
    <w:rsid w:val="00B54F2D"/>
    <w:rsid w:val="00B550D8"/>
    <w:rsid w:val="00B55114"/>
    <w:rsid w:val="00B5524F"/>
    <w:rsid w:val="00B55322"/>
    <w:rsid w:val="00B55378"/>
    <w:rsid w:val="00B554CA"/>
    <w:rsid w:val="00B55741"/>
    <w:rsid w:val="00B55860"/>
    <w:rsid w:val="00B559E1"/>
    <w:rsid w:val="00B55BA9"/>
    <w:rsid w:val="00B55BF9"/>
    <w:rsid w:val="00B55D3E"/>
    <w:rsid w:val="00B56500"/>
    <w:rsid w:val="00B567EA"/>
    <w:rsid w:val="00B5696F"/>
    <w:rsid w:val="00B56D8B"/>
    <w:rsid w:val="00B56D96"/>
    <w:rsid w:val="00B56E77"/>
    <w:rsid w:val="00B56F38"/>
    <w:rsid w:val="00B5706B"/>
    <w:rsid w:val="00B570B7"/>
    <w:rsid w:val="00B5711C"/>
    <w:rsid w:val="00B5717B"/>
    <w:rsid w:val="00B5719D"/>
    <w:rsid w:val="00B57642"/>
    <w:rsid w:val="00B577E6"/>
    <w:rsid w:val="00B5791A"/>
    <w:rsid w:val="00B57921"/>
    <w:rsid w:val="00B57938"/>
    <w:rsid w:val="00B57B22"/>
    <w:rsid w:val="00B57B8D"/>
    <w:rsid w:val="00B57C0C"/>
    <w:rsid w:val="00B57E77"/>
    <w:rsid w:val="00B60122"/>
    <w:rsid w:val="00B602A0"/>
    <w:rsid w:val="00B607A7"/>
    <w:rsid w:val="00B608B1"/>
    <w:rsid w:val="00B60BF9"/>
    <w:rsid w:val="00B6109F"/>
    <w:rsid w:val="00B610F4"/>
    <w:rsid w:val="00B613EC"/>
    <w:rsid w:val="00B6141E"/>
    <w:rsid w:val="00B61619"/>
    <w:rsid w:val="00B617B2"/>
    <w:rsid w:val="00B61945"/>
    <w:rsid w:val="00B619F4"/>
    <w:rsid w:val="00B61A01"/>
    <w:rsid w:val="00B61A19"/>
    <w:rsid w:val="00B61C2A"/>
    <w:rsid w:val="00B61F4E"/>
    <w:rsid w:val="00B62360"/>
    <w:rsid w:val="00B6241B"/>
    <w:rsid w:val="00B62590"/>
    <w:rsid w:val="00B6269B"/>
    <w:rsid w:val="00B626C0"/>
    <w:rsid w:val="00B62700"/>
    <w:rsid w:val="00B6283C"/>
    <w:rsid w:val="00B62B8F"/>
    <w:rsid w:val="00B62CC0"/>
    <w:rsid w:val="00B62F20"/>
    <w:rsid w:val="00B6327D"/>
    <w:rsid w:val="00B632FF"/>
    <w:rsid w:val="00B63598"/>
    <w:rsid w:val="00B63909"/>
    <w:rsid w:val="00B6393A"/>
    <w:rsid w:val="00B63970"/>
    <w:rsid w:val="00B63B5F"/>
    <w:rsid w:val="00B63D51"/>
    <w:rsid w:val="00B641D3"/>
    <w:rsid w:val="00B64559"/>
    <w:rsid w:val="00B646A9"/>
    <w:rsid w:val="00B64AA0"/>
    <w:rsid w:val="00B64C7F"/>
    <w:rsid w:val="00B64D73"/>
    <w:rsid w:val="00B64DF6"/>
    <w:rsid w:val="00B64F9F"/>
    <w:rsid w:val="00B65027"/>
    <w:rsid w:val="00B651B5"/>
    <w:rsid w:val="00B65453"/>
    <w:rsid w:val="00B65613"/>
    <w:rsid w:val="00B65AF3"/>
    <w:rsid w:val="00B65B33"/>
    <w:rsid w:val="00B65EFB"/>
    <w:rsid w:val="00B65FD3"/>
    <w:rsid w:val="00B66252"/>
    <w:rsid w:val="00B6634B"/>
    <w:rsid w:val="00B66381"/>
    <w:rsid w:val="00B663F1"/>
    <w:rsid w:val="00B663FD"/>
    <w:rsid w:val="00B6641C"/>
    <w:rsid w:val="00B666CB"/>
    <w:rsid w:val="00B66827"/>
    <w:rsid w:val="00B6684C"/>
    <w:rsid w:val="00B66B43"/>
    <w:rsid w:val="00B66CEE"/>
    <w:rsid w:val="00B66F29"/>
    <w:rsid w:val="00B670BA"/>
    <w:rsid w:val="00B67271"/>
    <w:rsid w:val="00B6729F"/>
    <w:rsid w:val="00B676E1"/>
    <w:rsid w:val="00B6786D"/>
    <w:rsid w:val="00B67887"/>
    <w:rsid w:val="00B67AB1"/>
    <w:rsid w:val="00B7006C"/>
    <w:rsid w:val="00B70143"/>
    <w:rsid w:val="00B701F0"/>
    <w:rsid w:val="00B7036A"/>
    <w:rsid w:val="00B704A0"/>
    <w:rsid w:val="00B706E2"/>
    <w:rsid w:val="00B70A46"/>
    <w:rsid w:val="00B70A8C"/>
    <w:rsid w:val="00B70BA7"/>
    <w:rsid w:val="00B70C57"/>
    <w:rsid w:val="00B70F15"/>
    <w:rsid w:val="00B70FC2"/>
    <w:rsid w:val="00B710B8"/>
    <w:rsid w:val="00B713D9"/>
    <w:rsid w:val="00B7144E"/>
    <w:rsid w:val="00B71843"/>
    <w:rsid w:val="00B718EA"/>
    <w:rsid w:val="00B7196D"/>
    <w:rsid w:val="00B720D4"/>
    <w:rsid w:val="00B721B4"/>
    <w:rsid w:val="00B7222D"/>
    <w:rsid w:val="00B722EB"/>
    <w:rsid w:val="00B724A4"/>
    <w:rsid w:val="00B7267A"/>
    <w:rsid w:val="00B727F8"/>
    <w:rsid w:val="00B72988"/>
    <w:rsid w:val="00B72A4D"/>
    <w:rsid w:val="00B72B71"/>
    <w:rsid w:val="00B730C2"/>
    <w:rsid w:val="00B730DC"/>
    <w:rsid w:val="00B73270"/>
    <w:rsid w:val="00B735B8"/>
    <w:rsid w:val="00B7361F"/>
    <w:rsid w:val="00B73788"/>
    <w:rsid w:val="00B7386D"/>
    <w:rsid w:val="00B73C22"/>
    <w:rsid w:val="00B74089"/>
    <w:rsid w:val="00B74254"/>
    <w:rsid w:val="00B742DF"/>
    <w:rsid w:val="00B74BA0"/>
    <w:rsid w:val="00B74CF7"/>
    <w:rsid w:val="00B74E9A"/>
    <w:rsid w:val="00B750B3"/>
    <w:rsid w:val="00B752D0"/>
    <w:rsid w:val="00B754A4"/>
    <w:rsid w:val="00B755BB"/>
    <w:rsid w:val="00B755D4"/>
    <w:rsid w:val="00B755ED"/>
    <w:rsid w:val="00B75608"/>
    <w:rsid w:val="00B75640"/>
    <w:rsid w:val="00B75682"/>
    <w:rsid w:val="00B7575E"/>
    <w:rsid w:val="00B757F1"/>
    <w:rsid w:val="00B758C1"/>
    <w:rsid w:val="00B759AA"/>
    <w:rsid w:val="00B75B4F"/>
    <w:rsid w:val="00B75DB8"/>
    <w:rsid w:val="00B760B4"/>
    <w:rsid w:val="00B76292"/>
    <w:rsid w:val="00B76707"/>
    <w:rsid w:val="00B768C2"/>
    <w:rsid w:val="00B76AD8"/>
    <w:rsid w:val="00B76ADA"/>
    <w:rsid w:val="00B76BB3"/>
    <w:rsid w:val="00B76BDD"/>
    <w:rsid w:val="00B76C7B"/>
    <w:rsid w:val="00B76D3B"/>
    <w:rsid w:val="00B76D57"/>
    <w:rsid w:val="00B76DBB"/>
    <w:rsid w:val="00B76EEB"/>
    <w:rsid w:val="00B772BB"/>
    <w:rsid w:val="00B776E3"/>
    <w:rsid w:val="00B7789E"/>
    <w:rsid w:val="00B77A40"/>
    <w:rsid w:val="00B77B49"/>
    <w:rsid w:val="00B77BBF"/>
    <w:rsid w:val="00B77D2C"/>
    <w:rsid w:val="00B77F1D"/>
    <w:rsid w:val="00B77F57"/>
    <w:rsid w:val="00B80214"/>
    <w:rsid w:val="00B80772"/>
    <w:rsid w:val="00B809DB"/>
    <w:rsid w:val="00B80B50"/>
    <w:rsid w:val="00B80CC5"/>
    <w:rsid w:val="00B80D68"/>
    <w:rsid w:val="00B80FF5"/>
    <w:rsid w:val="00B812BB"/>
    <w:rsid w:val="00B81389"/>
    <w:rsid w:val="00B81919"/>
    <w:rsid w:val="00B81AA6"/>
    <w:rsid w:val="00B81C20"/>
    <w:rsid w:val="00B81C48"/>
    <w:rsid w:val="00B81E4F"/>
    <w:rsid w:val="00B81F24"/>
    <w:rsid w:val="00B823A7"/>
    <w:rsid w:val="00B8249D"/>
    <w:rsid w:val="00B82567"/>
    <w:rsid w:val="00B82627"/>
    <w:rsid w:val="00B8267F"/>
    <w:rsid w:val="00B82D02"/>
    <w:rsid w:val="00B82F87"/>
    <w:rsid w:val="00B82FD3"/>
    <w:rsid w:val="00B83298"/>
    <w:rsid w:val="00B83403"/>
    <w:rsid w:val="00B8340C"/>
    <w:rsid w:val="00B83519"/>
    <w:rsid w:val="00B8358F"/>
    <w:rsid w:val="00B83842"/>
    <w:rsid w:val="00B83A4B"/>
    <w:rsid w:val="00B83F9F"/>
    <w:rsid w:val="00B842DF"/>
    <w:rsid w:val="00B84331"/>
    <w:rsid w:val="00B84913"/>
    <w:rsid w:val="00B84A8E"/>
    <w:rsid w:val="00B84A94"/>
    <w:rsid w:val="00B84B30"/>
    <w:rsid w:val="00B84B6C"/>
    <w:rsid w:val="00B84DB6"/>
    <w:rsid w:val="00B84EED"/>
    <w:rsid w:val="00B84F29"/>
    <w:rsid w:val="00B8508D"/>
    <w:rsid w:val="00B85271"/>
    <w:rsid w:val="00B8528E"/>
    <w:rsid w:val="00B857F8"/>
    <w:rsid w:val="00B85A53"/>
    <w:rsid w:val="00B85B1A"/>
    <w:rsid w:val="00B85E58"/>
    <w:rsid w:val="00B85F04"/>
    <w:rsid w:val="00B85FB7"/>
    <w:rsid w:val="00B86068"/>
    <w:rsid w:val="00B8624B"/>
    <w:rsid w:val="00B86372"/>
    <w:rsid w:val="00B86650"/>
    <w:rsid w:val="00B86804"/>
    <w:rsid w:val="00B86886"/>
    <w:rsid w:val="00B8693B"/>
    <w:rsid w:val="00B86978"/>
    <w:rsid w:val="00B86AF9"/>
    <w:rsid w:val="00B86BA0"/>
    <w:rsid w:val="00B86BB2"/>
    <w:rsid w:val="00B86C13"/>
    <w:rsid w:val="00B86EA1"/>
    <w:rsid w:val="00B86F77"/>
    <w:rsid w:val="00B871F0"/>
    <w:rsid w:val="00B87403"/>
    <w:rsid w:val="00B8751C"/>
    <w:rsid w:val="00B875DD"/>
    <w:rsid w:val="00B87802"/>
    <w:rsid w:val="00B878BC"/>
    <w:rsid w:val="00B87951"/>
    <w:rsid w:val="00B879BB"/>
    <w:rsid w:val="00B879CE"/>
    <w:rsid w:val="00B87BCE"/>
    <w:rsid w:val="00B9047D"/>
    <w:rsid w:val="00B90754"/>
    <w:rsid w:val="00B90A0B"/>
    <w:rsid w:val="00B90AA7"/>
    <w:rsid w:val="00B90D03"/>
    <w:rsid w:val="00B90E07"/>
    <w:rsid w:val="00B91184"/>
    <w:rsid w:val="00B9137B"/>
    <w:rsid w:val="00B91453"/>
    <w:rsid w:val="00B915D6"/>
    <w:rsid w:val="00B919A4"/>
    <w:rsid w:val="00B91A26"/>
    <w:rsid w:val="00B91A27"/>
    <w:rsid w:val="00B91C9D"/>
    <w:rsid w:val="00B91CE0"/>
    <w:rsid w:val="00B92081"/>
    <w:rsid w:val="00B9224B"/>
    <w:rsid w:val="00B9230F"/>
    <w:rsid w:val="00B92368"/>
    <w:rsid w:val="00B923CA"/>
    <w:rsid w:val="00B925CD"/>
    <w:rsid w:val="00B926F6"/>
    <w:rsid w:val="00B92825"/>
    <w:rsid w:val="00B92842"/>
    <w:rsid w:val="00B929FF"/>
    <w:rsid w:val="00B92B39"/>
    <w:rsid w:val="00B93051"/>
    <w:rsid w:val="00B93311"/>
    <w:rsid w:val="00B935FC"/>
    <w:rsid w:val="00B93798"/>
    <w:rsid w:val="00B937BA"/>
    <w:rsid w:val="00B93809"/>
    <w:rsid w:val="00B93898"/>
    <w:rsid w:val="00B938DC"/>
    <w:rsid w:val="00B93AAF"/>
    <w:rsid w:val="00B93D33"/>
    <w:rsid w:val="00B93FF9"/>
    <w:rsid w:val="00B940CE"/>
    <w:rsid w:val="00B940D0"/>
    <w:rsid w:val="00B941ED"/>
    <w:rsid w:val="00B94335"/>
    <w:rsid w:val="00B944A0"/>
    <w:rsid w:val="00B94569"/>
    <w:rsid w:val="00B94879"/>
    <w:rsid w:val="00B94887"/>
    <w:rsid w:val="00B948E8"/>
    <w:rsid w:val="00B94BCD"/>
    <w:rsid w:val="00B94D92"/>
    <w:rsid w:val="00B9501D"/>
    <w:rsid w:val="00B95273"/>
    <w:rsid w:val="00B957B9"/>
    <w:rsid w:val="00B958B5"/>
    <w:rsid w:val="00B95999"/>
    <w:rsid w:val="00B95AD0"/>
    <w:rsid w:val="00B95BC9"/>
    <w:rsid w:val="00B95FBC"/>
    <w:rsid w:val="00B9655A"/>
    <w:rsid w:val="00B965DE"/>
    <w:rsid w:val="00B9660A"/>
    <w:rsid w:val="00B96777"/>
    <w:rsid w:val="00B96A15"/>
    <w:rsid w:val="00B96B31"/>
    <w:rsid w:val="00B96CDE"/>
    <w:rsid w:val="00B96E12"/>
    <w:rsid w:val="00B97033"/>
    <w:rsid w:val="00B97702"/>
    <w:rsid w:val="00B97943"/>
    <w:rsid w:val="00B979EE"/>
    <w:rsid w:val="00B97A8A"/>
    <w:rsid w:val="00B97ACA"/>
    <w:rsid w:val="00B97AD7"/>
    <w:rsid w:val="00B97EB0"/>
    <w:rsid w:val="00BA0002"/>
    <w:rsid w:val="00BA0033"/>
    <w:rsid w:val="00BA012A"/>
    <w:rsid w:val="00BA0152"/>
    <w:rsid w:val="00BA0568"/>
    <w:rsid w:val="00BA08F9"/>
    <w:rsid w:val="00BA097E"/>
    <w:rsid w:val="00BA0ACC"/>
    <w:rsid w:val="00BA0B59"/>
    <w:rsid w:val="00BA0D13"/>
    <w:rsid w:val="00BA0D38"/>
    <w:rsid w:val="00BA0FC7"/>
    <w:rsid w:val="00BA116C"/>
    <w:rsid w:val="00BA12A2"/>
    <w:rsid w:val="00BA168B"/>
    <w:rsid w:val="00BA17DE"/>
    <w:rsid w:val="00BA1810"/>
    <w:rsid w:val="00BA18C8"/>
    <w:rsid w:val="00BA1904"/>
    <w:rsid w:val="00BA1AA5"/>
    <w:rsid w:val="00BA1C31"/>
    <w:rsid w:val="00BA1EE2"/>
    <w:rsid w:val="00BA206E"/>
    <w:rsid w:val="00BA2181"/>
    <w:rsid w:val="00BA230D"/>
    <w:rsid w:val="00BA2398"/>
    <w:rsid w:val="00BA23CC"/>
    <w:rsid w:val="00BA24E0"/>
    <w:rsid w:val="00BA24EC"/>
    <w:rsid w:val="00BA26E8"/>
    <w:rsid w:val="00BA2837"/>
    <w:rsid w:val="00BA2952"/>
    <w:rsid w:val="00BA2A7F"/>
    <w:rsid w:val="00BA2C95"/>
    <w:rsid w:val="00BA2F1E"/>
    <w:rsid w:val="00BA2F90"/>
    <w:rsid w:val="00BA2F9B"/>
    <w:rsid w:val="00BA3015"/>
    <w:rsid w:val="00BA303A"/>
    <w:rsid w:val="00BA31E4"/>
    <w:rsid w:val="00BA32B2"/>
    <w:rsid w:val="00BA3359"/>
    <w:rsid w:val="00BA35C7"/>
    <w:rsid w:val="00BA36B5"/>
    <w:rsid w:val="00BA3717"/>
    <w:rsid w:val="00BA386D"/>
    <w:rsid w:val="00BA38C4"/>
    <w:rsid w:val="00BA38F6"/>
    <w:rsid w:val="00BA3A47"/>
    <w:rsid w:val="00BA3CEF"/>
    <w:rsid w:val="00BA3D7A"/>
    <w:rsid w:val="00BA3DA3"/>
    <w:rsid w:val="00BA4006"/>
    <w:rsid w:val="00BA40EA"/>
    <w:rsid w:val="00BA4BE3"/>
    <w:rsid w:val="00BA4C08"/>
    <w:rsid w:val="00BA4C59"/>
    <w:rsid w:val="00BA4C9E"/>
    <w:rsid w:val="00BA4EC4"/>
    <w:rsid w:val="00BA5220"/>
    <w:rsid w:val="00BA535D"/>
    <w:rsid w:val="00BA549C"/>
    <w:rsid w:val="00BA55A6"/>
    <w:rsid w:val="00BA561E"/>
    <w:rsid w:val="00BA56C3"/>
    <w:rsid w:val="00BA5AD9"/>
    <w:rsid w:val="00BA5FA6"/>
    <w:rsid w:val="00BA60C8"/>
    <w:rsid w:val="00BA60E4"/>
    <w:rsid w:val="00BA659D"/>
    <w:rsid w:val="00BA65E5"/>
    <w:rsid w:val="00BA65F2"/>
    <w:rsid w:val="00BA68D1"/>
    <w:rsid w:val="00BA6902"/>
    <w:rsid w:val="00BA6A0B"/>
    <w:rsid w:val="00BA6C2D"/>
    <w:rsid w:val="00BA6CEE"/>
    <w:rsid w:val="00BA6F81"/>
    <w:rsid w:val="00BA70B4"/>
    <w:rsid w:val="00BA75E4"/>
    <w:rsid w:val="00BA76A8"/>
    <w:rsid w:val="00BA78F2"/>
    <w:rsid w:val="00BA78F7"/>
    <w:rsid w:val="00BA7903"/>
    <w:rsid w:val="00BA790D"/>
    <w:rsid w:val="00BA7A62"/>
    <w:rsid w:val="00BA7AD5"/>
    <w:rsid w:val="00BA7D37"/>
    <w:rsid w:val="00BA7DB3"/>
    <w:rsid w:val="00BA7E74"/>
    <w:rsid w:val="00BA7F32"/>
    <w:rsid w:val="00BB0386"/>
    <w:rsid w:val="00BB09DF"/>
    <w:rsid w:val="00BB0AEB"/>
    <w:rsid w:val="00BB0C73"/>
    <w:rsid w:val="00BB0D58"/>
    <w:rsid w:val="00BB0F3B"/>
    <w:rsid w:val="00BB0F75"/>
    <w:rsid w:val="00BB108F"/>
    <w:rsid w:val="00BB128A"/>
    <w:rsid w:val="00BB1321"/>
    <w:rsid w:val="00BB1348"/>
    <w:rsid w:val="00BB13D3"/>
    <w:rsid w:val="00BB14C9"/>
    <w:rsid w:val="00BB16DF"/>
    <w:rsid w:val="00BB1B43"/>
    <w:rsid w:val="00BB1B4C"/>
    <w:rsid w:val="00BB1CCD"/>
    <w:rsid w:val="00BB2028"/>
    <w:rsid w:val="00BB210A"/>
    <w:rsid w:val="00BB229B"/>
    <w:rsid w:val="00BB23C7"/>
    <w:rsid w:val="00BB23D2"/>
    <w:rsid w:val="00BB276D"/>
    <w:rsid w:val="00BB28DA"/>
    <w:rsid w:val="00BB2ACB"/>
    <w:rsid w:val="00BB2B29"/>
    <w:rsid w:val="00BB2BBC"/>
    <w:rsid w:val="00BB2CE8"/>
    <w:rsid w:val="00BB3342"/>
    <w:rsid w:val="00BB36E3"/>
    <w:rsid w:val="00BB3732"/>
    <w:rsid w:val="00BB37E6"/>
    <w:rsid w:val="00BB3B93"/>
    <w:rsid w:val="00BB3DBE"/>
    <w:rsid w:val="00BB3E07"/>
    <w:rsid w:val="00BB3F0C"/>
    <w:rsid w:val="00BB3FC5"/>
    <w:rsid w:val="00BB4226"/>
    <w:rsid w:val="00BB4305"/>
    <w:rsid w:val="00BB4456"/>
    <w:rsid w:val="00BB4627"/>
    <w:rsid w:val="00BB4664"/>
    <w:rsid w:val="00BB48D2"/>
    <w:rsid w:val="00BB4A61"/>
    <w:rsid w:val="00BB4BCA"/>
    <w:rsid w:val="00BB4C11"/>
    <w:rsid w:val="00BB53FA"/>
    <w:rsid w:val="00BB542C"/>
    <w:rsid w:val="00BB551D"/>
    <w:rsid w:val="00BB5AB7"/>
    <w:rsid w:val="00BB5D8E"/>
    <w:rsid w:val="00BB60A2"/>
    <w:rsid w:val="00BB6281"/>
    <w:rsid w:val="00BB638C"/>
    <w:rsid w:val="00BB6450"/>
    <w:rsid w:val="00BB64D6"/>
    <w:rsid w:val="00BB6510"/>
    <w:rsid w:val="00BB65A2"/>
    <w:rsid w:val="00BB6B54"/>
    <w:rsid w:val="00BB6F5C"/>
    <w:rsid w:val="00BB702E"/>
    <w:rsid w:val="00BB768D"/>
    <w:rsid w:val="00BB7751"/>
    <w:rsid w:val="00BB784B"/>
    <w:rsid w:val="00BB7B0E"/>
    <w:rsid w:val="00BB7B9C"/>
    <w:rsid w:val="00BB7D84"/>
    <w:rsid w:val="00BB7E46"/>
    <w:rsid w:val="00BC08D1"/>
    <w:rsid w:val="00BC09FB"/>
    <w:rsid w:val="00BC0A2C"/>
    <w:rsid w:val="00BC0A61"/>
    <w:rsid w:val="00BC132A"/>
    <w:rsid w:val="00BC14F5"/>
    <w:rsid w:val="00BC15BB"/>
    <w:rsid w:val="00BC1B14"/>
    <w:rsid w:val="00BC1E27"/>
    <w:rsid w:val="00BC2098"/>
    <w:rsid w:val="00BC20C8"/>
    <w:rsid w:val="00BC21C8"/>
    <w:rsid w:val="00BC231A"/>
    <w:rsid w:val="00BC24D8"/>
    <w:rsid w:val="00BC2605"/>
    <w:rsid w:val="00BC2790"/>
    <w:rsid w:val="00BC2803"/>
    <w:rsid w:val="00BC28D1"/>
    <w:rsid w:val="00BC2AC7"/>
    <w:rsid w:val="00BC2B3B"/>
    <w:rsid w:val="00BC2B7D"/>
    <w:rsid w:val="00BC2EFC"/>
    <w:rsid w:val="00BC30E1"/>
    <w:rsid w:val="00BC3188"/>
    <w:rsid w:val="00BC31AA"/>
    <w:rsid w:val="00BC3232"/>
    <w:rsid w:val="00BC36A7"/>
    <w:rsid w:val="00BC37EB"/>
    <w:rsid w:val="00BC39FC"/>
    <w:rsid w:val="00BC3A6A"/>
    <w:rsid w:val="00BC3FAB"/>
    <w:rsid w:val="00BC4008"/>
    <w:rsid w:val="00BC4198"/>
    <w:rsid w:val="00BC4579"/>
    <w:rsid w:val="00BC463D"/>
    <w:rsid w:val="00BC4661"/>
    <w:rsid w:val="00BC46A7"/>
    <w:rsid w:val="00BC47AE"/>
    <w:rsid w:val="00BC4926"/>
    <w:rsid w:val="00BC49B1"/>
    <w:rsid w:val="00BC4ACA"/>
    <w:rsid w:val="00BC4E9A"/>
    <w:rsid w:val="00BC4F8B"/>
    <w:rsid w:val="00BC50B6"/>
    <w:rsid w:val="00BC517D"/>
    <w:rsid w:val="00BC53C4"/>
    <w:rsid w:val="00BC5799"/>
    <w:rsid w:val="00BC597B"/>
    <w:rsid w:val="00BC6167"/>
    <w:rsid w:val="00BC6191"/>
    <w:rsid w:val="00BC6254"/>
    <w:rsid w:val="00BC65C6"/>
    <w:rsid w:val="00BC676C"/>
    <w:rsid w:val="00BC67FC"/>
    <w:rsid w:val="00BC695E"/>
    <w:rsid w:val="00BC6A0C"/>
    <w:rsid w:val="00BC6E8B"/>
    <w:rsid w:val="00BC6EBC"/>
    <w:rsid w:val="00BC6F17"/>
    <w:rsid w:val="00BC7261"/>
    <w:rsid w:val="00BC72DD"/>
    <w:rsid w:val="00BC7606"/>
    <w:rsid w:val="00BC79D1"/>
    <w:rsid w:val="00BC7A7E"/>
    <w:rsid w:val="00BC7D96"/>
    <w:rsid w:val="00BD0068"/>
    <w:rsid w:val="00BD01BF"/>
    <w:rsid w:val="00BD0475"/>
    <w:rsid w:val="00BD081B"/>
    <w:rsid w:val="00BD0B1B"/>
    <w:rsid w:val="00BD0BB6"/>
    <w:rsid w:val="00BD0CA8"/>
    <w:rsid w:val="00BD0F11"/>
    <w:rsid w:val="00BD106E"/>
    <w:rsid w:val="00BD10DA"/>
    <w:rsid w:val="00BD1124"/>
    <w:rsid w:val="00BD11D4"/>
    <w:rsid w:val="00BD13E7"/>
    <w:rsid w:val="00BD1464"/>
    <w:rsid w:val="00BD165F"/>
    <w:rsid w:val="00BD1940"/>
    <w:rsid w:val="00BD1BDE"/>
    <w:rsid w:val="00BD1BF9"/>
    <w:rsid w:val="00BD1E38"/>
    <w:rsid w:val="00BD21B0"/>
    <w:rsid w:val="00BD221D"/>
    <w:rsid w:val="00BD23BC"/>
    <w:rsid w:val="00BD2853"/>
    <w:rsid w:val="00BD29FC"/>
    <w:rsid w:val="00BD2ACD"/>
    <w:rsid w:val="00BD2BDB"/>
    <w:rsid w:val="00BD2C8C"/>
    <w:rsid w:val="00BD2E29"/>
    <w:rsid w:val="00BD2F79"/>
    <w:rsid w:val="00BD3139"/>
    <w:rsid w:val="00BD3737"/>
    <w:rsid w:val="00BD395C"/>
    <w:rsid w:val="00BD3A90"/>
    <w:rsid w:val="00BD3C60"/>
    <w:rsid w:val="00BD3D24"/>
    <w:rsid w:val="00BD4252"/>
    <w:rsid w:val="00BD4567"/>
    <w:rsid w:val="00BD464A"/>
    <w:rsid w:val="00BD469D"/>
    <w:rsid w:val="00BD49FD"/>
    <w:rsid w:val="00BD4A85"/>
    <w:rsid w:val="00BD4B1A"/>
    <w:rsid w:val="00BD4E42"/>
    <w:rsid w:val="00BD509A"/>
    <w:rsid w:val="00BD5C5C"/>
    <w:rsid w:val="00BD5F93"/>
    <w:rsid w:val="00BD62E0"/>
    <w:rsid w:val="00BD640F"/>
    <w:rsid w:val="00BD6551"/>
    <w:rsid w:val="00BD6651"/>
    <w:rsid w:val="00BD67FF"/>
    <w:rsid w:val="00BD6820"/>
    <w:rsid w:val="00BD6A77"/>
    <w:rsid w:val="00BD6C77"/>
    <w:rsid w:val="00BD6C86"/>
    <w:rsid w:val="00BD6DEB"/>
    <w:rsid w:val="00BD6EEE"/>
    <w:rsid w:val="00BD702D"/>
    <w:rsid w:val="00BD70DD"/>
    <w:rsid w:val="00BD73B8"/>
    <w:rsid w:val="00BD751F"/>
    <w:rsid w:val="00BD75A8"/>
    <w:rsid w:val="00BD7A01"/>
    <w:rsid w:val="00BD7B2F"/>
    <w:rsid w:val="00BD7B3E"/>
    <w:rsid w:val="00BD7B95"/>
    <w:rsid w:val="00BD7C26"/>
    <w:rsid w:val="00BD7D64"/>
    <w:rsid w:val="00BD7DB9"/>
    <w:rsid w:val="00BD7DD8"/>
    <w:rsid w:val="00BD7FB1"/>
    <w:rsid w:val="00BE01D1"/>
    <w:rsid w:val="00BE032B"/>
    <w:rsid w:val="00BE033B"/>
    <w:rsid w:val="00BE03D3"/>
    <w:rsid w:val="00BE05DF"/>
    <w:rsid w:val="00BE0854"/>
    <w:rsid w:val="00BE0C60"/>
    <w:rsid w:val="00BE0C99"/>
    <w:rsid w:val="00BE0CA9"/>
    <w:rsid w:val="00BE0E4F"/>
    <w:rsid w:val="00BE11A1"/>
    <w:rsid w:val="00BE1650"/>
    <w:rsid w:val="00BE1700"/>
    <w:rsid w:val="00BE17C9"/>
    <w:rsid w:val="00BE1ADE"/>
    <w:rsid w:val="00BE1E23"/>
    <w:rsid w:val="00BE1FDD"/>
    <w:rsid w:val="00BE206D"/>
    <w:rsid w:val="00BE23A4"/>
    <w:rsid w:val="00BE242E"/>
    <w:rsid w:val="00BE24E5"/>
    <w:rsid w:val="00BE2558"/>
    <w:rsid w:val="00BE27F2"/>
    <w:rsid w:val="00BE2855"/>
    <w:rsid w:val="00BE2A93"/>
    <w:rsid w:val="00BE2ACF"/>
    <w:rsid w:val="00BE2FE9"/>
    <w:rsid w:val="00BE31AA"/>
    <w:rsid w:val="00BE32F0"/>
    <w:rsid w:val="00BE36E0"/>
    <w:rsid w:val="00BE37A6"/>
    <w:rsid w:val="00BE37B3"/>
    <w:rsid w:val="00BE39B9"/>
    <w:rsid w:val="00BE3CCE"/>
    <w:rsid w:val="00BE3DFA"/>
    <w:rsid w:val="00BE3E6B"/>
    <w:rsid w:val="00BE409A"/>
    <w:rsid w:val="00BE464D"/>
    <w:rsid w:val="00BE4768"/>
    <w:rsid w:val="00BE47F9"/>
    <w:rsid w:val="00BE48AD"/>
    <w:rsid w:val="00BE491C"/>
    <w:rsid w:val="00BE4AFE"/>
    <w:rsid w:val="00BE4AFF"/>
    <w:rsid w:val="00BE4B81"/>
    <w:rsid w:val="00BE4CC7"/>
    <w:rsid w:val="00BE4D48"/>
    <w:rsid w:val="00BE4DE1"/>
    <w:rsid w:val="00BE5152"/>
    <w:rsid w:val="00BE5447"/>
    <w:rsid w:val="00BE5537"/>
    <w:rsid w:val="00BE55AE"/>
    <w:rsid w:val="00BE56A7"/>
    <w:rsid w:val="00BE5790"/>
    <w:rsid w:val="00BE59A1"/>
    <w:rsid w:val="00BE5A5F"/>
    <w:rsid w:val="00BE5F36"/>
    <w:rsid w:val="00BE6000"/>
    <w:rsid w:val="00BE63AF"/>
    <w:rsid w:val="00BE6EC8"/>
    <w:rsid w:val="00BE6FA7"/>
    <w:rsid w:val="00BE71AE"/>
    <w:rsid w:val="00BE7238"/>
    <w:rsid w:val="00BE7398"/>
    <w:rsid w:val="00BE7465"/>
    <w:rsid w:val="00BE769B"/>
    <w:rsid w:val="00BE7839"/>
    <w:rsid w:val="00BE79AD"/>
    <w:rsid w:val="00BE7C40"/>
    <w:rsid w:val="00BE7D5C"/>
    <w:rsid w:val="00BE7FFB"/>
    <w:rsid w:val="00BF01CB"/>
    <w:rsid w:val="00BF02A3"/>
    <w:rsid w:val="00BF0BA7"/>
    <w:rsid w:val="00BF0BD7"/>
    <w:rsid w:val="00BF0C46"/>
    <w:rsid w:val="00BF0CD1"/>
    <w:rsid w:val="00BF0D9D"/>
    <w:rsid w:val="00BF12CC"/>
    <w:rsid w:val="00BF1AF1"/>
    <w:rsid w:val="00BF1CBD"/>
    <w:rsid w:val="00BF1D37"/>
    <w:rsid w:val="00BF1FD8"/>
    <w:rsid w:val="00BF20E8"/>
    <w:rsid w:val="00BF221D"/>
    <w:rsid w:val="00BF262C"/>
    <w:rsid w:val="00BF2B74"/>
    <w:rsid w:val="00BF2C44"/>
    <w:rsid w:val="00BF2D81"/>
    <w:rsid w:val="00BF3260"/>
    <w:rsid w:val="00BF327F"/>
    <w:rsid w:val="00BF346E"/>
    <w:rsid w:val="00BF3782"/>
    <w:rsid w:val="00BF38CD"/>
    <w:rsid w:val="00BF38DC"/>
    <w:rsid w:val="00BF3AFD"/>
    <w:rsid w:val="00BF3BCA"/>
    <w:rsid w:val="00BF3C64"/>
    <w:rsid w:val="00BF3E2C"/>
    <w:rsid w:val="00BF3F76"/>
    <w:rsid w:val="00BF4284"/>
    <w:rsid w:val="00BF443B"/>
    <w:rsid w:val="00BF4472"/>
    <w:rsid w:val="00BF4534"/>
    <w:rsid w:val="00BF4598"/>
    <w:rsid w:val="00BF45B0"/>
    <w:rsid w:val="00BF4737"/>
    <w:rsid w:val="00BF4C05"/>
    <w:rsid w:val="00BF4DAF"/>
    <w:rsid w:val="00BF5314"/>
    <w:rsid w:val="00BF54B2"/>
    <w:rsid w:val="00BF5997"/>
    <w:rsid w:val="00BF59CA"/>
    <w:rsid w:val="00BF5A4B"/>
    <w:rsid w:val="00BF5A4C"/>
    <w:rsid w:val="00BF5B64"/>
    <w:rsid w:val="00BF5BDD"/>
    <w:rsid w:val="00BF5C35"/>
    <w:rsid w:val="00BF5C64"/>
    <w:rsid w:val="00BF5C7E"/>
    <w:rsid w:val="00BF5E28"/>
    <w:rsid w:val="00BF5F35"/>
    <w:rsid w:val="00BF5FA5"/>
    <w:rsid w:val="00BF6050"/>
    <w:rsid w:val="00BF62C7"/>
    <w:rsid w:val="00BF63B6"/>
    <w:rsid w:val="00BF6441"/>
    <w:rsid w:val="00BF651C"/>
    <w:rsid w:val="00BF6699"/>
    <w:rsid w:val="00BF66EE"/>
    <w:rsid w:val="00BF689F"/>
    <w:rsid w:val="00BF6D7E"/>
    <w:rsid w:val="00BF71A3"/>
    <w:rsid w:val="00BF72BF"/>
    <w:rsid w:val="00BF7490"/>
    <w:rsid w:val="00BF75A1"/>
    <w:rsid w:val="00BF7680"/>
    <w:rsid w:val="00BF76FB"/>
    <w:rsid w:val="00BF796C"/>
    <w:rsid w:val="00BF7A2C"/>
    <w:rsid w:val="00BF7A2E"/>
    <w:rsid w:val="00BF7A78"/>
    <w:rsid w:val="00BF7AC0"/>
    <w:rsid w:val="00BF7B38"/>
    <w:rsid w:val="00BF7D60"/>
    <w:rsid w:val="00BF7E8C"/>
    <w:rsid w:val="00C0018A"/>
    <w:rsid w:val="00C0033F"/>
    <w:rsid w:val="00C0037D"/>
    <w:rsid w:val="00C003B9"/>
    <w:rsid w:val="00C00435"/>
    <w:rsid w:val="00C0083B"/>
    <w:rsid w:val="00C008E3"/>
    <w:rsid w:val="00C00905"/>
    <w:rsid w:val="00C00A7C"/>
    <w:rsid w:val="00C00E35"/>
    <w:rsid w:val="00C0104C"/>
    <w:rsid w:val="00C01170"/>
    <w:rsid w:val="00C0156D"/>
    <w:rsid w:val="00C01892"/>
    <w:rsid w:val="00C018A1"/>
    <w:rsid w:val="00C01BBB"/>
    <w:rsid w:val="00C01FD1"/>
    <w:rsid w:val="00C02024"/>
    <w:rsid w:val="00C0203A"/>
    <w:rsid w:val="00C021A9"/>
    <w:rsid w:val="00C024A5"/>
    <w:rsid w:val="00C0268A"/>
    <w:rsid w:val="00C029AE"/>
    <w:rsid w:val="00C02C96"/>
    <w:rsid w:val="00C02CE1"/>
    <w:rsid w:val="00C02D1E"/>
    <w:rsid w:val="00C0305E"/>
    <w:rsid w:val="00C03089"/>
    <w:rsid w:val="00C0314D"/>
    <w:rsid w:val="00C03278"/>
    <w:rsid w:val="00C0331F"/>
    <w:rsid w:val="00C0345A"/>
    <w:rsid w:val="00C035B5"/>
    <w:rsid w:val="00C035F4"/>
    <w:rsid w:val="00C036AC"/>
    <w:rsid w:val="00C03865"/>
    <w:rsid w:val="00C03D5A"/>
    <w:rsid w:val="00C03D96"/>
    <w:rsid w:val="00C03F20"/>
    <w:rsid w:val="00C0406B"/>
    <w:rsid w:val="00C040FF"/>
    <w:rsid w:val="00C04227"/>
    <w:rsid w:val="00C043EC"/>
    <w:rsid w:val="00C044FA"/>
    <w:rsid w:val="00C04A19"/>
    <w:rsid w:val="00C04D47"/>
    <w:rsid w:val="00C04ECB"/>
    <w:rsid w:val="00C04EE0"/>
    <w:rsid w:val="00C04FA0"/>
    <w:rsid w:val="00C05276"/>
    <w:rsid w:val="00C052C0"/>
    <w:rsid w:val="00C053EB"/>
    <w:rsid w:val="00C054A3"/>
    <w:rsid w:val="00C055E1"/>
    <w:rsid w:val="00C05622"/>
    <w:rsid w:val="00C05752"/>
    <w:rsid w:val="00C057BF"/>
    <w:rsid w:val="00C0582D"/>
    <w:rsid w:val="00C05851"/>
    <w:rsid w:val="00C05E9F"/>
    <w:rsid w:val="00C05ECD"/>
    <w:rsid w:val="00C06094"/>
    <w:rsid w:val="00C06241"/>
    <w:rsid w:val="00C06288"/>
    <w:rsid w:val="00C06713"/>
    <w:rsid w:val="00C06BEC"/>
    <w:rsid w:val="00C07329"/>
    <w:rsid w:val="00C07620"/>
    <w:rsid w:val="00C07900"/>
    <w:rsid w:val="00C07AB6"/>
    <w:rsid w:val="00C07AC7"/>
    <w:rsid w:val="00C07ACB"/>
    <w:rsid w:val="00C07C00"/>
    <w:rsid w:val="00C07C87"/>
    <w:rsid w:val="00C102F3"/>
    <w:rsid w:val="00C106B8"/>
    <w:rsid w:val="00C10AFD"/>
    <w:rsid w:val="00C10B22"/>
    <w:rsid w:val="00C10B7F"/>
    <w:rsid w:val="00C10C3F"/>
    <w:rsid w:val="00C10C52"/>
    <w:rsid w:val="00C1117B"/>
    <w:rsid w:val="00C1119C"/>
    <w:rsid w:val="00C112F6"/>
    <w:rsid w:val="00C11623"/>
    <w:rsid w:val="00C1172F"/>
    <w:rsid w:val="00C119A0"/>
    <w:rsid w:val="00C11A3E"/>
    <w:rsid w:val="00C11A92"/>
    <w:rsid w:val="00C11ABD"/>
    <w:rsid w:val="00C11B1E"/>
    <w:rsid w:val="00C12706"/>
    <w:rsid w:val="00C129D9"/>
    <w:rsid w:val="00C12F0E"/>
    <w:rsid w:val="00C13089"/>
    <w:rsid w:val="00C13307"/>
    <w:rsid w:val="00C13363"/>
    <w:rsid w:val="00C134DA"/>
    <w:rsid w:val="00C13547"/>
    <w:rsid w:val="00C13B6F"/>
    <w:rsid w:val="00C13C06"/>
    <w:rsid w:val="00C13C84"/>
    <w:rsid w:val="00C13C90"/>
    <w:rsid w:val="00C13CF2"/>
    <w:rsid w:val="00C13EB9"/>
    <w:rsid w:val="00C14393"/>
    <w:rsid w:val="00C14597"/>
    <w:rsid w:val="00C148E7"/>
    <w:rsid w:val="00C149F6"/>
    <w:rsid w:val="00C14F19"/>
    <w:rsid w:val="00C14FB2"/>
    <w:rsid w:val="00C14FE8"/>
    <w:rsid w:val="00C150AD"/>
    <w:rsid w:val="00C15205"/>
    <w:rsid w:val="00C156FB"/>
    <w:rsid w:val="00C1575F"/>
    <w:rsid w:val="00C15A04"/>
    <w:rsid w:val="00C15B0C"/>
    <w:rsid w:val="00C15DE5"/>
    <w:rsid w:val="00C15EEF"/>
    <w:rsid w:val="00C16244"/>
    <w:rsid w:val="00C1626A"/>
    <w:rsid w:val="00C16621"/>
    <w:rsid w:val="00C1665F"/>
    <w:rsid w:val="00C168CF"/>
    <w:rsid w:val="00C16912"/>
    <w:rsid w:val="00C17007"/>
    <w:rsid w:val="00C1713A"/>
    <w:rsid w:val="00C171D8"/>
    <w:rsid w:val="00C17204"/>
    <w:rsid w:val="00C17304"/>
    <w:rsid w:val="00C1748F"/>
    <w:rsid w:val="00C176AC"/>
    <w:rsid w:val="00C176D9"/>
    <w:rsid w:val="00C17B5B"/>
    <w:rsid w:val="00C17CE1"/>
    <w:rsid w:val="00C17F2A"/>
    <w:rsid w:val="00C20289"/>
    <w:rsid w:val="00C2058B"/>
    <w:rsid w:val="00C20668"/>
    <w:rsid w:val="00C208B8"/>
    <w:rsid w:val="00C209AD"/>
    <w:rsid w:val="00C20B13"/>
    <w:rsid w:val="00C20CA3"/>
    <w:rsid w:val="00C20FDD"/>
    <w:rsid w:val="00C2103A"/>
    <w:rsid w:val="00C21051"/>
    <w:rsid w:val="00C2164B"/>
    <w:rsid w:val="00C217B3"/>
    <w:rsid w:val="00C21A6B"/>
    <w:rsid w:val="00C21ADC"/>
    <w:rsid w:val="00C21D1D"/>
    <w:rsid w:val="00C21DA3"/>
    <w:rsid w:val="00C21EF9"/>
    <w:rsid w:val="00C21FA7"/>
    <w:rsid w:val="00C21FE6"/>
    <w:rsid w:val="00C221C0"/>
    <w:rsid w:val="00C222A1"/>
    <w:rsid w:val="00C222F7"/>
    <w:rsid w:val="00C22397"/>
    <w:rsid w:val="00C224E3"/>
    <w:rsid w:val="00C22833"/>
    <w:rsid w:val="00C22A08"/>
    <w:rsid w:val="00C22AAB"/>
    <w:rsid w:val="00C22AB8"/>
    <w:rsid w:val="00C22EC2"/>
    <w:rsid w:val="00C22ECB"/>
    <w:rsid w:val="00C23795"/>
    <w:rsid w:val="00C23BA2"/>
    <w:rsid w:val="00C23BB4"/>
    <w:rsid w:val="00C23F47"/>
    <w:rsid w:val="00C242C1"/>
    <w:rsid w:val="00C24527"/>
    <w:rsid w:val="00C24589"/>
    <w:rsid w:val="00C245B5"/>
    <w:rsid w:val="00C24651"/>
    <w:rsid w:val="00C24707"/>
    <w:rsid w:val="00C24787"/>
    <w:rsid w:val="00C24792"/>
    <w:rsid w:val="00C24839"/>
    <w:rsid w:val="00C24983"/>
    <w:rsid w:val="00C24D35"/>
    <w:rsid w:val="00C24EF2"/>
    <w:rsid w:val="00C251E6"/>
    <w:rsid w:val="00C25220"/>
    <w:rsid w:val="00C2525E"/>
    <w:rsid w:val="00C25262"/>
    <w:rsid w:val="00C256B3"/>
    <w:rsid w:val="00C256CA"/>
    <w:rsid w:val="00C2584D"/>
    <w:rsid w:val="00C25F6E"/>
    <w:rsid w:val="00C25F77"/>
    <w:rsid w:val="00C26159"/>
    <w:rsid w:val="00C2629C"/>
    <w:rsid w:val="00C262ED"/>
    <w:rsid w:val="00C26548"/>
    <w:rsid w:val="00C265C9"/>
    <w:rsid w:val="00C2668F"/>
    <w:rsid w:val="00C26860"/>
    <w:rsid w:val="00C26968"/>
    <w:rsid w:val="00C269B7"/>
    <w:rsid w:val="00C26A69"/>
    <w:rsid w:val="00C26A9D"/>
    <w:rsid w:val="00C26BA9"/>
    <w:rsid w:val="00C26FD7"/>
    <w:rsid w:val="00C27037"/>
    <w:rsid w:val="00C2721F"/>
    <w:rsid w:val="00C276A9"/>
    <w:rsid w:val="00C27713"/>
    <w:rsid w:val="00C2779B"/>
    <w:rsid w:val="00C277B3"/>
    <w:rsid w:val="00C277DA"/>
    <w:rsid w:val="00C278F6"/>
    <w:rsid w:val="00C27C23"/>
    <w:rsid w:val="00C27C9B"/>
    <w:rsid w:val="00C30019"/>
    <w:rsid w:val="00C300B3"/>
    <w:rsid w:val="00C301CF"/>
    <w:rsid w:val="00C309E6"/>
    <w:rsid w:val="00C30B6D"/>
    <w:rsid w:val="00C30C05"/>
    <w:rsid w:val="00C30C46"/>
    <w:rsid w:val="00C30D8C"/>
    <w:rsid w:val="00C30FF2"/>
    <w:rsid w:val="00C31009"/>
    <w:rsid w:val="00C3110C"/>
    <w:rsid w:val="00C311E2"/>
    <w:rsid w:val="00C31439"/>
    <w:rsid w:val="00C31453"/>
    <w:rsid w:val="00C31460"/>
    <w:rsid w:val="00C31808"/>
    <w:rsid w:val="00C318EC"/>
    <w:rsid w:val="00C31ACA"/>
    <w:rsid w:val="00C31D03"/>
    <w:rsid w:val="00C31D26"/>
    <w:rsid w:val="00C31E1D"/>
    <w:rsid w:val="00C32039"/>
    <w:rsid w:val="00C32064"/>
    <w:rsid w:val="00C3223A"/>
    <w:rsid w:val="00C327B3"/>
    <w:rsid w:val="00C32C77"/>
    <w:rsid w:val="00C32CA7"/>
    <w:rsid w:val="00C32E58"/>
    <w:rsid w:val="00C330B7"/>
    <w:rsid w:val="00C33183"/>
    <w:rsid w:val="00C33271"/>
    <w:rsid w:val="00C336D6"/>
    <w:rsid w:val="00C33706"/>
    <w:rsid w:val="00C337DC"/>
    <w:rsid w:val="00C33A05"/>
    <w:rsid w:val="00C33B39"/>
    <w:rsid w:val="00C33F14"/>
    <w:rsid w:val="00C34120"/>
    <w:rsid w:val="00C34205"/>
    <w:rsid w:val="00C34350"/>
    <w:rsid w:val="00C34524"/>
    <w:rsid w:val="00C346D0"/>
    <w:rsid w:val="00C3475A"/>
    <w:rsid w:val="00C34760"/>
    <w:rsid w:val="00C34917"/>
    <w:rsid w:val="00C34D0A"/>
    <w:rsid w:val="00C35028"/>
    <w:rsid w:val="00C353F6"/>
    <w:rsid w:val="00C3562D"/>
    <w:rsid w:val="00C35742"/>
    <w:rsid w:val="00C357EA"/>
    <w:rsid w:val="00C358C4"/>
    <w:rsid w:val="00C35941"/>
    <w:rsid w:val="00C35A3D"/>
    <w:rsid w:val="00C35BCA"/>
    <w:rsid w:val="00C3616F"/>
    <w:rsid w:val="00C36420"/>
    <w:rsid w:val="00C36691"/>
    <w:rsid w:val="00C366C6"/>
    <w:rsid w:val="00C36A3F"/>
    <w:rsid w:val="00C36A9F"/>
    <w:rsid w:val="00C36C72"/>
    <w:rsid w:val="00C37278"/>
    <w:rsid w:val="00C374C1"/>
    <w:rsid w:val="00C37611"/>
    <w:rsid w:val="00C37666"/>
    <w:rsid w:val="00C377AB"/>
    <w:rsid w:val="00C37B9E"/>
    <w:rsid w:val="00C37BCC"/>
    <w:rsid w:val="00C37CF3"/>
    <w:rsid w:val="00C37E03"/>
    <w:rsid w:val="00C37E66"/>
    <w:rsid w:val="00C40013"/>
    <w:rsid w:val="00C4001E"/>
    <w:rsid w:val="00C40079"/>
    <w:rsid w:val="00C40290"/>
    <w:rsid w:val="00C4055A"/>
    <w:rsid w:val="00C40B00"/>
    <w:rsid w:val="00C40CFB"/>
    <w:rsid w:val="00C40FDE"/>
    <w:rsid w:val="00C410AB"/>
    <w:rsid w:val="00C411E9"/>
    <w:rsid w:val="00C414F4"/>
    <w:rsid w:val="00C416FD"/>
    <w:rsid w:val="00C417CC"/>
    <w:rsid w:val="00C417F5"/>
    <w:rsid w:val="00C41A61"/>
    <w:rsid w:val="00C41AFB"/>
    <w:rsid w:val="00C41C84"/>
    <w:rsid w:val="00C41CF2"/>
    <w:rsid w:val="00C41DF7"/>
    <w:rsid w:val="00C41E33"/>
    <w:rsid w:val="00C41F79"/>
    <w:rsid w:val="00C424DF"/>
    <w:rsid w:val="00C426CE"/>
    <w:rsid w:val="00C428FF"/>
    <w:rsid w:val="00C42C57"/>
    <w:rsid w:val="00C42C84"/>
    <w:rsid w:val="00C42FAA"/>
    <w:rsid w:val="00C43051"/>
    <w:rsid w:val="00C43090"/>
    <w:rsid w:val="00C43314"/>
    <w:rsid w:val="00C438C3"/>
    <w:rsid w:val="00C43EA9"/>
    <w:rsid w:val="00C4473A"/>
    <w:rsid w:val="00C44D46"/>
    <w:rsid w:val="00C44DED"/>
    <w:rsid w:val="00C44E1A"/>
    <w:rsid w:val="00C44F9B"/>
    <w:rsid w:val="00C4510A"/>
    <w:rsid w:val="00C45182"/>
    <w:rsid w:val="00C45195"/>
    <w:rsid w:val="00C45289"/>
    <w:rsid w:val="00C454D9"/>
    <w:rsid w:val="00C45525"/>
    <w:rsid w:val="00C45537"/>
    <w:rsid w:val="00C45779"/>
    <w:rsid w:val="00C45AA4"/>
    <w:rsid w:val="00C45C60"/>
    <w:rsid w:val="00C45C62"/>
    <w:rsid w:val="00C45E6D"/>
    <w:rsid w:val="00C4684C"/>
    <w:rsid w:val="00C469F2"/>
    <w:rsid w:val="00C46D29"/>
    <w:rsid w:val="00C46DC8"/>
    <w:rsid w:val="00C46DCA"/>
    <w:rsid w:val="00C46E19"/>
    <w:rsid w:val="00C4718D"/>
    <w:rsid w:val="00C471A6"/>
    <w:rsid w:val="00C4725B"/>
    <w:rsid w:val="00C4731B"/>
    <w:rsid w:val="00C47343"/>
    <w:rsid w:val="00C4751F"/>
    <w:rsid w:val="00C47541"/>
    <w:rsid w:val="00C475C7"/>
    <w:rsid w:val="00C475D5"/>
    <w:rsid w:val="00C47601"/>
    <w:rsid w:val="00C47C72"/>
    <w:rsid w:val="00C47DF2"/>
    <w:rsid w:val="00C502A0"/>
    <w:rsid w:val="00C50509"/>
    <w:rsid w:val="00C508A4"/>
    <w:rsid w:val="00C50A87"/>
    <w:rsid w:val="00C50AAE"/>
    <w:rsid w:val="00C50EA5"/>
    <w:rsid w:val="00C50F56"/>
    <w:rsid w:val="00C5119C"/>
    <w:rsid w:val="00C5138F"/>
    <w:rsid w:val="00C51404"/>
    <w:rsid w:val="00C51476"/>
    <w:rsid w:val="00C51591"/>
    <w:rsid w:val="00C515B0"/>
    <w:rsid w:val="00C51702"/>
    <w:rsid w:val="00C5171D"/>
    <w:rsid w:val="00C517ED"/>
    <w:rsid w:val="00C5181D"/>
    <w:rsid w:val="00C51A0D"/>
    <w:rsid w:val="00C51A96"/>
    <w:rsid w:val="00C51B08"/>
    <w:rsid w:val="00C51B16"/>
    <w:rsid w:val="00C51BA8"/>
    <w:rsid w:val="00C51C23"/>
    <w:rsid w:val="00C51C57"/>
    <w:rsid w:val="00C51DA7"/>
    <w:rsid w:val="00C51DB8"/>
    <w:rsid w:val="00C51FF9"/>
    <w:rsid w:val="00C52688"/>
    <w:rsid w:val="00C5298A"/>
    <w:rsid w:val="00C52D34"/>
    <w:rsid w:val="00C5304F"/>
    <w:rsid w:val="00C53513"/>
    <w:rsid w:val="00C53730"/>
    <w:rsid w:val="00C5385A"/>
    <w:rsid w:val="00C53998"/>
    <w:rsid w:val="00C53B21"/>
    <w:rsid w:val="00C53E49"/>
    <w:rsid w:val="00C53EAC"/>
    <w:rsid w:val="00C540B9"/>
    <w:rsid w:val="00C54398"/>
    <w:rsid w:val="00C54411"/>
    <w:rsid w:val="00C5449B"/>
    <w:rsid w:val="00C54702"/>
    <w:rsid w:val="00C5495C"/>
    <w:rsid w:val="00C54A73"/>
    <w:rsid w:val="00C54C13"/>
    <w:rsid w:val="00C54CC3"/>
    <w:rsid w:val="00C54D6E"/>
    <w:rsid w:val="00C54EE3"/>
    <w:rsid w:val="00C54F53"/>
    <w:rsid w:val="00C552F9"/>
    <w:rsid w:val="00C554D4"/>
    <w:rsid w:val="00C554D9"/>
    <w:rsid w:val="00C558A0"/>
    <w:rsid w:val="00C5597E"/>
    <w:rsid w:val="00C559A4"/>
    <w:rsid w:val="00C55B98"/>
    <w:rsid w:val="00C55DDF"/>
    <w:rsid w:val="00C55E3E"/>
    <w:rsid w:val="00C560DB"/>
    <w:rsid w:val="00C564D3"/>
    <w:rsid w:val="00C56503"/>
    <w:rsid w:val="00C56532"/>
    <w:rsid w:val="00C567D4"/>
    <w:rsid w:val="00C56CDB"/>
    <w:rsid w:val="00C56D39"/>
    <w:rsid w:val="00C56D6A"/>
    <w:rsid w:val="00C57155"/>
    <w:rsid w:val="00C5715C"/>
    <w:rsid w:val="00C57392"/>
    <w:rsid w:val="00C5772D"/>
    <w:rsid w:val="00C57981"/>
    <w:rsid w:val="00C57A92"/>
    <w:rsid w:val="00C57C0D"/>
    <w:rsid w:val="00C57E63"/>
    <w:rsid w:val="00C60093"/>
    <w:rsid w:val="00C6011B"/>
    <w:rsid w:val="00C60258"/>
    <w:rsid w:val="00C6069B"/>
    <w:rsid w:val="00C607D1"/>
    <w:rsid w:val="00C607DA"/>
    <w:rsid w:val="00C60A86"/>
    <w:rsid w:val="00C60A96"/>
    <w:rsid w:val="00C60C75"/>
    <w:rsid w:val="00C60CB5"/>
    <w:rsid w:val="00C60D11"/>
    <w:rsid w:val="00C60F21"/>
    <w:rsid w:val="00C60FBF"/>
    <w:rsid w:val="00C61109"/>
    <w:rsid w:val="00C61324"/>
    <w:rsid w:val="00C614B8"/>
    <w:rsid w:val="00C6183D"/>
    <w:rsid w:val="00C61AB2"/>
    <w:rsid w:val="00C61B02"/>
    <w:rsid w:val="00C61D5D"/>
    <w:rsid w:val="00C61E90"/>
    <w:rsid w:val="00C61F1C"/>
    <w:rsid w:val="00C61FD2"/>
    <w:rsid w:val="00C620D4"/>
    <w:rsid w:val="00C6222B"/>
    <w:rsid w:val="00C6276A"/>
    <w:rsid w:val="00C62798"/>
    <w:rsid w:val="00C62808"/>
    <w:rsid w:val="00C6297B"/>
    <w:rsid w:val="00C629E6"/>
    <w:rsid w:val="00C62AB4"/>
    <w:rsid w:val="00C62FDC"/>
    <w:rsid w:val="00C63019"/>
    <w:rsid w:val="00C63079"/>
    <w:rsid w:val="00C63387"/>
    <w:rsid w:val="00C633D4"/>
    <w:rsid w:val="00C635F4"/>
    <w:rsid w:val="00C636FB"/>
    <w:rsid w:val="00C638C5"/>
    <w:rsid w:val="00C63B25"/>
    <w:rsid w:val="00C63BFA"/>
    <w:rsid w:val="00C63DAA"/>
    <w:rsid w:val="00C64199"/>
    <w:rsid w:val="00C64208"/>
    <w:rsid w:val="00C643EB"/>
    <w:rsid w:val="00C644C4"/>
    <w:rsid w:val="00C644F2"/>
    <w:rsid w:val="00C64544"/>
    <w:rsid w:val="00C645AD"/>
    <w:rsid w:val="00C645FD"/>
    <w:rsid w:val="00C64768"/>
    <w:rsid w:val="00C64770"/>
    <w:rsid w:val="00C64868"/>
    <w:rsid w:val="00C64889"/>
    <w:rsid w:val="00C649A8"/>
    <w:rsid w:val="00C64B61"/>
    <w:rsid w:val="00C64BCD"/>
    <w:rsid w:val="00C64CDE"/>
    <w:rsid w:val="00C64DA3"/>
    <w:rsid w:val="00C64E8C"/>
    <w:rsid w:val="00C6513D"/>
    <w:rsid w:val="00C65288"/>
    <w:rsid w:val="00C6530E"/>
    <w:rsid w:val="00C65325"/>
    <w:rsid w:val="00C6532D"/>
    <w:rsid w:val="00C6537A"/>
    <w:rsid w:val="00C6539B"/>
    <w:rsid w:val="00C6540F"/>
    <w:rsid w:val="00C6551D"/>
    <w:rsid w:val="00C6562E"/>
    <w:rsid w:val="00C65840"/>
    <w:rsid w:val="00C658B7"/>
    <w:rsid w:val="00C65936"/>
    <w:rsid w:val="00C65D6D"/>
    <w:rsid w:val="00C65ECE"/>
    <w:rsid w:val="00C65FF3"/>
    <w:rsid w:val="00C6607E"/>
    <w:rsid w:val="00C6642E"/>
    <w:rsid w:val="00C66494"/>
    <w:rsid w:val="00C664AC"/>
    <w:rsid w:val="00C66594"/>
    <w:rsid w:val="00C66676"/>
    <w:rsid w:val="00C666B9"/>
    <w:rsid w:val="00C66780"/>
    <w:rsid w:val="00C669AF"/>
    <w:rsid w:val="00C66E98"/>
    <w:rsid w:val="00C66F78"/>
    <w:rsid w:val="00C6705F"/>
    <w:rsid w:val="00C670FC"/>
    <w:rsid w:val="00C672B7"/>
    <w:rsid w:val="00C672E1"/>
    <w:rsid w:val="00C67312"/>
    <w:rsid w:val="00C67950"/>
    <w:rsid w:val="00C6795F"/>
    <w:rsid w:val="00C67BCE"/>
    <w:rsid w:val="00C67CE3"/>
    <w:rsid w:val="00C70072"/>
    <w:rsid w:val="00C702A2"/>
    <w:rsid w:val="00C70370"/>
    <w:rsid w:val="00C70585"/>
    <w:rsid w:val="00C708B9"/>
    <w:rsid w:val="00C70915"/>
    <w:rsid w:val="00C70975"/>
    <w:rsid w:val="00C709F0"/>
    <w:rsid w:val="00C70CF7"/>
    <w:rsid w:val="00C71490"/>
    <w:rsid w:val="00C714B9"/>
    <w:rsid w:val="00C7157C"/>
    <w:rsid w:val="00C71766"/>
    <w:rsid w:val="00C71783"/>
    <w:rsid w:val="00C719A2"/>
    <w:rsid w:val="00C719F5"/>
    <w:rsid w:val="00C71A11"/>
    <w:rsid w:val="00C71A5A"/>
    <w:rsid w:val="00C71C75"/>
    <w:rsid w:val="00C71DC7"/>
    <w:rsid w:val="00C71F55"/>
    <w:rsid w:val="00C71F6D"/>
    <w:rsid w:val="00C7210F"/>
    <w:rsid w:val="00C72165"/>
    <w:rsid w:val="00C72184"/>
    <w:rsid w:val="00C7222F"/>
    <w:rsid w:val="00C7229E"/>
    <w:rsid w:val="00C72620"/>
    <w:rsid w:val="00C72773"/>
    <w:rsid w:val="00C7286F"/>
    <w:rsid w:val="00C72A19"/>
    <w:rsid w:val="00C72B8E"/>
    <w:rsid w:val="00C72BBA"/>
    <w:rsid w:val="00C72D7B"/>
    <w:rsid w:val="00C72DA2"/>
    <w:rsid w:val="00C72F28"/>
    <w:rsid w:val="00C730DD"/>
    <w:rsid w:val="00C732B0"/>
    <w:rsid w:val="00C733A6"/>
    <w:rsid w:val="00C73620"/>
    <w:rsid w:val="00C739B6"/>
    <w:rsid w:val="00C73AB0"/>
    <w:rsid w:val="00C73D66"/>
    <w:rsid w:val="00C73E04"/>
    <w:rsid w:val="00C73EA3"/>
    <w:rsid w:val="00C73F7A"/>
    <w:rsid w:val="00C74167"/>
    <w:rsid w:val="00C741D2"/>
    <w:rsid w:val="00C74331"/>
    <w:rsid w:val="00C74422"/>
    <w:rsid w:val="00C74694"/>
    <w:rsid w:val="00C746A5"/>
    <w:rsid w:val="00C7486E"/>
    <w:rsid w:val="00C74929"/>
    <w:rsid w:val="00C74A6F"/>
    <w:rsid w:val="00C74ABF"/>
    <w:rsid w:val="00C74CEB"/>
    <w:rsid w:val="00C74D98"/>
    <w:rsid w:val="00C75021"/>
    <w:rsid w:val="00C75064"/>
    <w:rsid w:val="00C750DC"/>
    <w:rsid w:val="00C7519D"/>
    <w:rsid w:val="00C75357"/>
    <w:rsid w:val="00C753E7"/>
    <w:rsid w:val="00C754E3"/>
    <w:rsid w:val="00C7574B"/>
    <w:rsid w:val="00C757AE"/>
    <w:rsid w:val="00C758BD"/>
    <w:rsid w:val="00C75A6D"/>
    <w:rsid w:val="00C75BCA"/>
    <w:rsid w:val="00C75CEB"/>
    <w:rsid w:val="00C7602B"/>
    <w:rsid w:val="00C76070"/>
    <w:rsid w:val="00C76247"/>
    <w:rsid w:val="00C76268"/>
    <w:rsid w:val="00C762C8"/>
    <w:rsid w:val="00C76310"/>
    <w:rsid w:val="00C7634E"/>
    <w:rsid w:val="00C76605"/>
    <w:rsid w:val="00C76624"/>
    <w:rsid w:val="00C76661"/>
    <w:rsid w:val="00C767F5"/>
    <w:rsid w:val="00C76827"/>
    <w:rsid w:val="00C7692D"/>
    <w:rsid w:val="00C76AAF"/>
    <w:rsid w:val="00C76AB6"/>
    <w:rsid w:val="00C76B12"/>
    <w:rsid w:val="00C76B5B"/>
    <w:rsid w:val="00C76C46"/>
    <w:rsid w:val="00C76E27"/>
    <w:rsid w:val="00C76E35"/>
    <w:rsid w:val="00C77478"/>
    <w:rsid w:val="00C774A1"/>
    <w:rsid w:val="00C775A0"/>
    <w:rsid w:val="00C775D3"/>
    <w:rsid w:val="00C77815"/>
    <w:rsid w:val="00C778E5"/>
    <w:rsid w:val="00C779C0"/>
    <w:rsid w:val="00C77E78"/>
    <w:rsid w:val="00C77F6E"/>
    <w:rsid w:val="00C804AA"/>
    <w:rsid w:val="00C80C41"/>
    <w:rsid w:val="00C80CEF"/>
    <w:rsid w:val="00C80E40"/>
    <w:rsid w:val="00C80F74"/>
    <w:rsid w:val="00C81120"/>
    <w:rsid w:val="00C81153"/>
    <w:rsid w:val="00C812CE"/>
    <w:rsid w:val="00C81432"/>
    <w:rsid w:val="00C814F4"/>
    <w:rsid w:val="00C81583"/>
    <w:rsid w:val="00C81923"/>
    <w:rsid w:val="00C82277"/>
    <w:rsid w:val="00C82287"/>
    <w:rsid w:val="00C82598"/>
    <w:rsid w:val="00C825FD"/>
    <w:rsid w:val="00C8289B"/>
    <w:rsid w:val="00C828B8"/>
    <w:rsid w:val="00C82994"/>
    <w:rsid w:val="00C82C47"/>
    <w:rsid w:val="00C82CA8"/>
    <w:rsid w:val="00C82E07"/>
    <w:rsid w:val="00C82EC5"/>
    <w:rsid w:val="00C83041"/>
    <w:rsid w:val="00C83562"/>
    <w:rsid w:val="00C83746"/>
    <w:rsid w:val="00C838B6"/>
    <w:rsid w:val="00C838C3"/>
    <w:rsid w:val="00C843EC"/>
    <w:rsid w:val="00C8452A"/>
    <w:rsid w:val="00C848A7"/>
    <w:rsid w:val="00C849C0"/>
    <w:rsid w:val="00C84E77"/>
    <w:rsid w:val="00C84F2E"/>
    <w:rsid w:val="00C85027"/>
    <w:rsid w:val="00C85035"/>
    <w:rsid w:val="00C8511A"/>
    <w:rsid w:val="00C851F6"/>
    <w:rsid w:val="00C855E3"/>
    <w:rsid w:val="00C858FF"/>
    <w:rsid w:val="00C85AE0"/>
    <w:rsid w:val="00C85BFB"/>
    <w:rsid w:val="00C85D7D"/>
    <w:rsid w:val="00C85E30"/>
    <w:rsid w:val="00C8678F"/>
    <w:rsid w:val="00C868B4"/>
    <w:rsid w:val="00C869E5"/>
    <w:rsid w:val="00C86AFE"/>
    <w:rsid w:val="00C86BFA"/>
    <w:rsid w:val="00C86E8E"/>
    <w:rsid w:val="00C86EBF"/>
    <w:rsid w:val="00C8712F"/>
    <w:rsid w:val="00C87563"/>
    <w:rsid w:val="00C876A0"/>
    <w:rsid w:val="00C878CA"/>
    <w:rsid w:val="00C87A3A"/>
    <w:rsid w:val="00C87AB0"/>
    <w:rsid w:val="00C87AE4"/>
    <w:rsid w:val="00C87AF2"/>
    <w:rsid w:val="00C87B57"/>
    <w:rsid w:val="00C87EA0"/>
    <w:rsid w:val="00C87EAB"/>
    <w:rsid w:val="00C87F1C"/>
    <w:rsid w:val="00C87FC6"/>
    <w:rsid w:val="00C87FD9"/>
    <w:rsid w:val="00C900D3"/>
    <w:rsid w:val="00C903D2"/>
    <w:rsid w:val="00C908C6"/>
    <w:rsid w:val="00C90997"/>
    <w:rsid w:val="00C909D4"/>
    <w:rsid w:val="00C90B42"/>
    <w:rsid w:val="00C9102C"/>
    <w:rsid w:val="00C91074"/>
    <w:rsid w:val="00C91084"/>
    <w:rsid w:val="00C91418"/>
    <w:rsid w:val="00C915B7"/>
    <w:rsid w:val="00C91751"/>
    <w:rsid w:val="00C9182B"/>
    <w:rsid w:val="00C91C5F"/>
    <w:rsid w:val="00C91F5D"/>
    <w:rsid w:val="00C920B0"/>
    <w:rsid w:val="00C9213E"/>
    <w:rsid w:val="00C921B5"/>
    <w:rsid w:val="00C9255D"/>
    <w:rsid w:val="00C92686"/>
    <w:rsid w:val="00C9278F"/>
    <w:rsid w:val="00C9296C"/>
    <w:rsid w:val="00C92977"/>
    <w:rsid w:val="00C92DFF"/>
    <w:rsid w:val="00C92FD2"/>
    <w:rsid w:val="00C93276"/>
    <w:rsid w:val="00C93309"/>
    <w:rsid w:val="00C93384"/>
    <w:rsid w:val="00C9387E"/>
    <w:rsid w:val="00C939C1"/>
    <w:rsid w:val="00C93D71"/>
    <w:rsid w:val="00C93E60"/>
    <w:rsid w:val="00C93FD8"/>
    <w:rsid w:val="00C94170"/>
    <w:rsid w:val="00C9419A"/>
    <w:rsid w:val="00C9432F"/>
    <w:rsid w:val="00C945C2"/>
    <w:rsid w:val="00C945EE"/>
    <w:rsid w:val="00C946B2"/>
    <w:rsid w:val="00C946F6"/>
    <w:rsid w:val="00C9475D"/>
    <w:rsid w:val="00C948CE"/>
    <w:rsid w:val="00C94921"/>
    <w:rsid w:val="00C94B1E"/>
    <w:rsid w:val="00C94F2B"/>
    <w:rsid w:val="00C95056"/>
    <w:rsid w:val="00C95115"/>
    <w:rsid w:val="00C951FD"/>
    <w:rsid w:val="00C952C3"/>
    <w:rsid w:val="00C9536E"/>
    <w:rsid w:val="00C95691"/>
    <w:rsid w:val="00C9584D"/>
    <w:rsid w:val="00C958B2"/>
    <w:rsid w:val="00C959AB"/>
    <w:rsid w:val="00C95A02"/>
    <w:rsid w:val="00C95A15"/>
    <w:rsid w:val="00C95A37"/>
    <w:rsid w:val="00C95D21"/>
    <w:rsid w:val="00C95D49"/>
    <w:rsid w:val="00C9610E"/>
    <w:rsid w:val="00C961DD"/>
    <w:rsid w:val="00C962F3"/>
    <w:rsid w:val="00C963BF"/>
    <w:rsid w:val="00C96413"/>
    <w:rsid w:val="00C96516"/>
    <w:rsid w:val="00C96754"/>
    <w:rsid w:val="00C96892"/>
    <w:rsid w:val="00C968BB"/>
    <w:rsid w:val="00C970A1"/>
    <w:rsid w:val="00C97397"/>
    <w:rsid w:val="00C975E6"/>
    <w:rsid w:val="00C97862"/>
    <w:rsid w:val="00C978FE"/>
    <w:rsid w:val="00C97D48"/>
    <w:rsid w:val="00C97EAC"/>
    <w:rsid w:val="00C97F4D"/>
    <w:rsid w:val="00CA03AD"/>
    <w:rsid w:val="00CA05B1"/>
    <w:rsid w:val="00CA087F"/>
    <w:rsid w:val="00CA0C2D"/>
    <w:rsid w:val="00CA0E09"/>
    <w:rsid w:val="00CA0E9B"/>
    <w:rsid w:val="00CA10D0"/>
    <w:rsid w:val="00CA1302"/>
    <w:rsid w:val="00CA1333"/>
    <w:rsid w:val="00CA13DE"/>
    <w:rsid w:val="00CA1458"/>
    <w:rsid w:val="00CA149E"/>
    <w:rsid w:val="00CA14A1"/>
    <w:rsid w:val="00CA175E"/>
    <w:rsid w:val="00CA19A9"/>
    <w:rsid w:val="00CA19CB"/>
    <w:rsid w:val="00CA1B16"/>
    <w:rsid w:val="00CA1D4E"/>
    <w:rsid w:val="00CA1E51"/>
    <w:rsid w:val="00CA21A9"/>
    <w:rsid w:val="00CA28DE"/>
    <w:rsid w:val="00CA2D7F"/>
    <w:rsid w:val="00CA2FD1"/>
    <w:rsid w:val="00CA30C4"/>
    <w:rsid w:val="00CA371C"/>
    <w:rsid w:val="00CA3911"/>
    <w:rsid w:val="00CA3DF6"/>
    <w:rsid w:val="00CA3F19"/>
    <w:rsid w:val="00CA424A"/>
    <w:rsid w:val="00CA43F9"/>
    <w:rsid w:val="00CA4458"/>
    <w:rsid w:val="00CA45FC"/>
    <w:rsid w:val="00CA46E0"/>
    <w:rsid w:val="00CA4815"/>
    <w:rsid w:val="00CA481B"/>
    <w:rsid w:val="00CA481F"/>
    <w:rsid w:val="00CA487E"/>
    <w:rsid w:val="00CA4FCB"/>
    <w:rsid w:val="00CA511A"/>
    <w:rsid w:val="00CA516C"/>
    <w:rsid w:val="00CA52B2"/>
    <w:rsid w:val="00CA5483"/>
    <w:rsid w:val="00CA55B2"/>
    <w:rsid w:val="00CA55BA"/>
    <w:rsid w:val="00CA56C5"/>
    <w:rsid w:val="00CA59C2"/>
    <w:rsid w:val="00CA59D9"/>
    <w:rsid w:val="00CA59E1"/>
    <w:rsid w:val="00CA5AF8"/>
    <w:rsid w:val="00CA5C23"/>
    <w:rsid w:val="00CA5C47"/>
    <w:rsid w:val="00CA5C82"/>
    <w:rsid w:val="00CA5D3F"/>
    <w:rsid w:val="00CA62EE"/>
    <w:rsid w:val="00CA638E"/>
    <w:rsid w:val="00CA6593"/>
    <w:rsid w:val="00CA65EF"/>
    <w:rsid w:val="00CA6647"/>
    <w:rsid w:val="00CA6763"/>
    <w:rsid w:val="00CA679A"/>
    <w:rsid w:val="00CA6862"/>
    <w:rsid w:val="00CA69E7"/>
    <w:rsid w:val="00CA6D57"/>
    <w:rsid w:val="00CA6F26"/>
    <w:rsid w:val="00CA7414"/>
    <w:rsid w:val="00CA74B1"/>
    <w:rsid w:val="00CA7632"/>
    <w:rsid w:val="00CA7682"/>
    <w:rsid w:val="00CA7854"/>
    <w:rsid w:val="00CA7A75"/>
    <w:rsid w:val="00CA7D5D"/>
    <w:rsid w:val="00CA7DC9"/>
    <w:rsid w:val="00CA7E03"/>
    <w:rsid w:val="00CA7F28"/>
    <w:rsid w:val="00CA7F39"/>
    <w:rsid w:val="00CB00EA"/>
    <w:rsid w:val="00CB0125"/>
    <w:rsid w:val="00CB01EF"/>
    <w:rsid w:val="00CB01F6"/>
    <w:rsid w:val="00CB0202"/>
    <w:rsid w:val="00CB0255"/>
    <w:rsid w:val="00CB029E"/>
    <w:rsid w:val="00CB046C"/>
    <w:rsid w:val="00CB0567"/>
    <w:rsid w:val="00CB0657"/>
    <w:rsid w:val="00CB0768"/>
    <w:rsid w:val="00CB0A1F"/>
    <w:rsid w:val="00CB0A3D"/>
    <w:rsid w:val="00CB0C7C"/>
    <w:rsid w:val="00CB0CE9"/>
    <w:rsid w:val="00CB11D0"/>
    <w:rsid w:val="00CB131F"/>
    <w:rsid w:val="00CB1320"/>
    <w:rsid w:val="00CB13C0"/>
    <w:rsid w:val="00CB14F2"/>
    <w:rsid w:val="00CB16C4"/>
    <w:rsid w:val="00CB1A00"/>
    <w:rsid w:val="00CB1A6B"/>
    <w:rsid w:val="00CB1D1A"/>
    <w:rsid w:val="00CB2042"/>
    <w:rsid w:val="00CB2121"/>
    <w:rsid w:val="00CB21AF"/>
    <w:rsid w:val="00CB221C"/>
    <w:rsid w:val="00CB2476"/>
    <w:rsid w:val="00CB27AD"/>
    <w:rsid w:val="00CB28FF"/>
    <w:rsid w:val="00CB29F1"/>
    <w:rsid w:val="00CB2B76"/>
    <w:rsid w:val="00CB2E15"/>
    <w:rsid w:val="00CB2E49"/>
    <w:rsid w:val="00CB2ECE"/>
    <w:rsid w:val="00CB329E"/>
    <w:rsid w:val="00CB3340"/>
    <w:rsid w:val="00CB33D0"/>
    <w:rsid w:val="00CB3555"/>
    <w:rsid w:val="00CB366E"/>
    <w:rsid w:val="00CB3693"/>
    <w:rsid w:val="00CB372C"/>
    <w:rsid w:val="00CB3E69"/>
    <w:rsid w:val="00CB434C"/>
    <w:rsid w:val="00CB439C"/>
    <w:rsid w:val="00CB44BA"/>
    <w:rsid w:val="00CB452B"/>
    <w:rsid w:val="00CB4900"/>
    <w:rsid w:val="00CB4AC3"/>
    <w:rsid w:val="00CB4D9B"/>
    <w:rsid w:val="00CB4DC2"/>
    <w:rsid w:val="00CB4DCD"/>
    <w:rsid w:val="00CB4E4B"/>
    <w:rsid w:val="00CB4F2D"/>
    <w:rsid w:val="00CB53F8"/>
    <w:rsid w:val="00CB544A"/>
    <w:rsid w:val="00CB58A0"/>
    <w:rsid w:val="00CB5BA4"/>
    <w:rsid w:val="00CB5D5E"/>
    <w:rsid w:val="00CB5E59"/>
    <w:rsid w:val="00CB5FD6"/>
    <w:rsid w:val="00CB5FF4"/>
    <w:rsid w:val="00CB603C"/>
    <w:rsid w:val="00CB6272"/>
    <w:rsid w:val="00CB65A5"/>
    <w:rsid w:val="00CB6B3F"/>
    <w:rsid w:val="00CB6C9D"/>
    <w:rsid w:val="00CB6CDC"/>
    <w:rsid w:val="00CB6DF8"/>
    <w:rsid w:val="00CB7350"/>
    <w:rsid w:val="00CB7418"/>
    <w:rsid w:val="00CB7439"/>
    <w:rsid w:val="00CB744A"/>
    <w:rsid w:val="00CB76FD"/>
    <w:rsid w:val="00CB797A"/>
    <w:rsid w:val="00CB797E"/>
    <w:rsid w:val="00CB7A7D"/>
    <w:rsid w:val="00CB7C49"/>
    <w:rsid w:val="00CB7D88"/>
    <w:rsid w:val="00CB7EC4"/>
    <w:rsid w:val="00CB7FF4"/>
    <w:rsid w:val="00CC00EF"/>
    <w:rsid w:val="00CC01EB"/>
    <w:rsid w:val="00CC03FB"/>
    <w:rsid w:val="00CC0670"/>
    <w:rsid w:val="00CC0694"/>
    <w:rsid w:val="00CC0743"/>
    <w:rsid w:val="00CC0BBE"/>
    <w:rsid w:val="00CC0BEF"/>
    <w:rsid w:val="00CC100B"/>
    <w:rsid w:val="00CC1311"/>
    <w:rsid w:val="00CC132B"/>
    <w:rsid w:val="00CC1690"/>
    <w:rsid w:val="00CC185A"/>
    <w:rsid w:val="00CC1969"/>
    <w:rsid w:val="00CC19DE"/>
    <w:rsid w:val="00CC2213"/>
    <w:rsid w:val="00CC2221"/>
    <w:rsid w:val="00CC23B3"/>
    <w:rsid w:val="00CC23E6"/>
    <w:rsid w:val="00CC24DC"/>
    <w:rsid w:val="00CC27FE"/>
    <w:rsid w:val="00CC2A78"/>
    <w:rsid w:val="00CC2BC1"/>
    <w:rsid w:val="00CC2C23"/>
    <w:rsid w:val="00CC2D98"/>
    <w:rsid w:val="00CC2E06"/>
    <w:rsid w:val="00CC2E1C"/>
    <w:rsid w:val="00CC3066"/>
    <w:rsid w:val="00CC3091"/>
    <w:rsid w:val="00CC3171"/>
    <w:rsid w:val="00CC31EC"/>
    <w:rsid w:val="00CC367D"/>
    <w:rsid w:val="00CC3681"/>
    <w:rsid w:val="00CC3A33"/>
    <w:rsid w:val="00CC3A69"/>
    <w:rsid w:val="00CC3D23"/>
    <w:rsid w:val="00CC4092"/>
    <w:rsid w:val="00CC4096"/>
    <w:rsid w:val="00CC4210"/>
    <w:rsid w:val="00CC4238"/>
    <w:rsid w:val="00CC44F1"/>
    <w:rsid w:val="00CC44FE"/>
    <w:rsid w:val="00CC470D"/>
    <w:rsid w:val="00CC478B"/>
    <w:rsid w:val="00CC4921"/>
    <w:rsid w:val="00CC4A75"/>
    <w:rsid w:val="00CC4B0D"/>
    <w:rsid w:val="00CC4B3F"/>
    <w:rsid w:val="00CC4DA5"/>
    <w:rsid w:val="00CC50A2"/>
    <w:rsid w:val="00CC52CD"/>
    <w:rsid w:val="00CC53BE"/>
    <w:rsid w:val="00CC5431"/>
    <w:rsid w:val="00CC547C"/>
    <w:rsid w:val="00CC5705"/>
    <w:rsid w:val="00CC5BE8"/>
    <w:rsid w:val="00CC5DD7"/>
    <w:rsid w:val="00CC632B"/>
    <w:rsid w:val="00CC644D"/>
    <w:rsid w:val="00CC658D"/>
    <w:rsid w:val="00CC665A"/>
    <w:rsid w:val="00CC66D6"/>
    <w:rsid w:val="00CC67EC"/>
    <w:rsid w:val="00CC6F0B"/>
    <w:rsid w:val="00CC6F3F"/>
    <w:rsid w:val="00CC6FB8"/>
    <w:rsid w:val="00CC70A1"/>
    <w:rsid w:val="00CC718D"/>
    <w:rsid w:val="00CC7210"/>
    <w:rsid w:val="00CC74A2"/>
    <w:rsid w:val="00CC7585"/>
    <w:rsid w:val="00CC7642"/>
    <w:rsid w:val="00CC779C"/>
    <w:rsid w:val="00CC77FB"/>
    <w:rsid w:val="00CC7A26"/>
    <w:rsid w:val="00CC7BDA"/>
    <w:rsid w:val="00CC7C4B"/>
    <w:rsid w:val="00CC7F36"/>
    <w:rsid w:val="00CC7FF2"/>
    <w:rsid w:val="00CD0335"/>
    <w:rsid w:val="00CD0492"/>
    <w:rsid w:val="00CD0518"/>
    <w:rsid w:val="00CD0593"/>
    <w:rsid w:val="00CD070B"/>
    <w:rsid w:val="00CD07CA"/>
    <w:rsid w:val="00CD07DE"/>
    <w:rsid w:val="00CD0C5D"/>
    <w:rsid w:val="00CD107A"/>
    <w:rsid w:val="00CD1150"/>
    <w:rsid w:val="00CD1184"/>
    <w:rsid w:val="00CD1311"/>
    <w:rsid w:val="00CD146B"/>
    <w:rsid w:val="00CD155B"/>
    <w:rsid w:val="00CD18EC"/>
    <w:rsid w:val="00CD1A3E"/>
    <w:rsid w:val="00CD1AD1"/>
    <w:rsid w:val="00CD1FD1"/>
    <w:rsid w:val="00CD20D4"/>
    <w:rsid w:val="00CD2187"/>
    <w:rsid w:val="00CD223F"/>
    <w:rsid w:val="00CD22FF"/>
    <w:rsid w:val="00CD23BF"/>
    <w:rsid w:val="00CD2409"/>
    <w:rsid w:val="00CD246B"/>
    <w:rsid w:val="00CD2495"/>
    <w:rsid w:val="00CD2519"/>
    <w:rsid w:val="00CD251C"/>
    <w:rsid w:val="00CD26D9"/>
    <w:rsid w:val="00CD2A99"/>
    <w:rsid w:val="00CD2AF3"/>
    <w:rsid w:val="00CD2AFC"/>
    <w:rsid w:val="00CD2C4E"/>
    <w:rsid w:val="00CD2C67"/>
    <w:rsid w:val="00CD2C94"/>
    <w:rsid w:val="00CD2CDC"/>
    <w:rsid w:val="00CD2F34"/>
    <w:rsid w:val="00CD32E0"/>
    <w:rsid w:val="00CD3406"/>
    <w:rsid w:val="00CD3A6D"/>
    <w:rsid w:val="00CD3B66"/>
    <w:rsid w:val="00CD4213"/>
    <w:rsid w:val="00CD4365"/>
    <w:rsid w:val="00CD4817"/>
    <w:rsid w:val="00CD48E0"/>
    <w:rsid w:val="00CD4CB3"/>
    <w:rsid w:val="00CD4F23"/>
    <w:rsid w:val="00CD4FC6"/>
    <w:rsid w:val="00CD520E"/>
    <w:rsid w:val="00CD5217"/>
    <w:rsid w:val="00CD5562"/>
    <w:rsid w:val="00CD558B"/>
    <w:rsid w:val="00CD55B3"/>
    <w:rsid w:val="00CD59D9"/>
    <w:rsid w:val="00CD5A05"/>
    <w:rsid w:val="00CD5AB2"/>
    <w:rsid w:val="00CD5B7D"/>
    <w:rsid w:val="00CD5CE6"/>
    <w:rsid w:val="00CD5D9A"/>
    <w:rsid w:val="00CD5DCF"/>
    <w:rsid w:val="00CD5F3B"/>
    <w:rsid w:val="00CD6761"/>
    <w:rsid w:val="00CD6ABC"/>
    <w:rsid w:val="00CD6B42"/>
    <w:rsid w:val="00CD72AD"/>
    <w:rsid w:val="00CD730E"/>
    <w:rsid w:val="00CD750A"/>
    <w:rsid w:val="00CD7566"/>
    <w:rsid w:val="00CD7CD0"/>
    <w:rsid w:val="00CD7E16"/>
    <w:rsid w:val="00CD7EE5"/>
    <w:rsid w:val="00CD7FD7"/>
    <w:rsid w:val="00CE0097"/>
    <w:rsid w:val="00CE0132"/>
    <w:rsid w:val="00CE0243"/>
    <w:rsid w:val="00CE04A0"/>
    <w:rsid w:val="00CE04BA"/>
    <w:rsid w:val="00CE05CE"/>
    <w:rsid w:val="00CE06BD"/>
    <w:rsid w:val="00CE07A2"/>
    <w:rsid w:val="00CE0855"/>
    <w:rsid w:val="00CE0B13"/>
    <w:rsid w:val="00CE0CB5"/>
    <w:rsid w:val="00CE0D80"/>
    <w:rsid w:val="00CE0FEB"/>
    <w:rsid w:val="00CE105A"/>
    <w:rsid w:val="00CE12E3"/>
    <w:rsid w:val="00CE19DF"/>
    <w:rsid w:val="00CE1AAD"/>
    <w:rsid w:val="00CE1D4E"/>
    <w:rsid w:val="00CE1D52"/>
    <w:rsid w:val="00CE1E36"/>
    <w:rsid w:val="00CE1E7D"/>
    <w:rsid w:val="00CE23B9"/>
    <w:rsid w:val="00CE24AC"/>
    <w:rsid w:val="00CE250C"/>
    <w:rsid w:val="00CE2656"/>
    <w:rsid w:val="00CE265B"/>
    <w:rsid w:val="00CE26DA"/>
    <w:rsid w:val="00CE2E0E"/>
    <w:rsid w:val="00CE3042"/>
    <w:rsid w:val="00CE30A7"/>
    <w:rsid w:val="00CE30B0"/>
    <w:rsid w:val="00CE30E6"/>
    <w:rsid w:val="00CE333D"/>
    <w:rsid w:val="00CE341F"/>
    <w:rsid w:val="00CE3430"/>
    <w:rsid w:val="00CE345F"/>
    <w:rsid w:val="00CE34DC"/>
    <w:rsid w:val="00CE368B"/>
    <w:rsid w:val="00CE36DD"/>
    <w:rsid w:val="00CE3AEF"/>
    <w:rsid w:val="00CE3BF2"/>
    <w:rsid w:val="00CE3D85"/>
    <w:rsid w:val="00CE3E34"/>
    <w:rsid w:val="00CE3E79"/>
    <w:rsid w:val="00CE3F11"/>
    <w:rsid w:val="00CE412E"/>
    <w:rsid w:val="00CE47A7"/>
    <w:rsid w:val="00CE4BBB"/>
    <w:rsid w:val="00CE4D3C"/>
    <w:rsid w:val="00CE4D9B"/>
    <w:rsid w:val="00CE4F0D"/>
    <w:rsid w:val="00CE5517"/>
    <w:rsid w:val="00CE5899"/>
    <w:rsid w:val="00CE589E"/>
    <w:rsid w:val="00CE593A"/>
    <w:rsid w:val="00CE593C"/>
    <w:rsid w:val="00CE5996"/>
    <w:rsid w:val="00CE5E76"/>
    <w:rsid w:val="00CE5E98"/>
    <w:rsid w:val="00CE5F30"/>
    <w:rsid w:val="00CE60CD"/>
    <w:rsid w:val="00CE652A"/>
    <w:rsid w:val="00CE6886"/>
    <w:rsid w:val="00CE69FC"/>
    <w:rsid w:val="00CE6A86"/>
    <w:rsid w:val="00CE6CC6"/>
    <w:rsid w:val="00CE6E7E"/>
    <w:rsid w:val="00CE6E81"/>
    <w:rsid w:val="00CE6FBC"/>
    <w:rsid w:val="00CE7549"/>
    <w:rsid w:val="00CE788B"/>
    <w:rsid w:val="00CE78DD"/>
    <w:rsid w:val="00CF0219"/>
    <w:rsid w:val="00CF04B4"/>
    <w:rsid w:val="00CF055D"/>
    <w:rsid w:val="00CF05DB"/>
    <w:rsid w:val="00CF0B33"/>
    <w:rsid w:val="00CF0B8C"/>
    <w:rsid w:val="00CF0BE3"/>
    <w:rsid w:val="00CF0C59"/>
    <w:rsid w:val="00CF0FAA"/>
    <w:rsid w:val="00CF0FC4"/>
    <w:rsid w:val="00CF1089"/>
    <w:rsid w:val="00CF1544"/>
    <w:rsid w:val="00CF1722"/>
    <w:rsid w:val="00CF19B2"/>
    <w:rsid w:val="00CF1B3A"/>
    <w:rsid w:val="00CF1C79"/>
    <w:rsid w:val="00CF1D89"/>
    <w:rsid w:val="00CF2157"/>
    <w:rsid w:val="00CF223A"/>
    <w:rsid w:val="00CF26C2"/>
    <w:rsid w:val="00CF2708"/>
    <w:rsid w:val="00CF2C08"/>
    <w:rsid w:val="00CF2C97"/>
    <w:rsid w:val="00CF2F64"/>
    <w:rsid w:val="00CF30DD"/>
    <w:rsid w:val="00CF3104"/>
    <w:rsid w:val="00CF311A"/>
    <w:rsid w:val="00CF3359"/>
    <w:rsid w:val="00CF3400"/>
    <w:rsid w:val="00CF34B1"/>
    <w:rsid w:val="00CF34E3"/>
    <w:rsid w:val="00CF354B"/>
    <w:rsid w:val="00CF379F"/>
    <w:rsid w:val="00CF3A0F"/>
    <w:rsid w:val="00CF3BDF"/>
    <w:rsid w:val="00CF3E05"/>
    <w:rsid w:val="00CF3EEB"/>
    <w:rsid w:val="00CF407D"/>
    <w:rsid w:val="00CF42DF"/>
    <w:rsid w:val="00CF4307"/>
    <w:rsid w:val="00CF434F"/>
    <w:rsid w:val="00CF4871"/>
    <w:rsid w:val="00CF4A54"/>
    <w:rsid w:val="00CF4B67"/>
    <w:rsid w:val="00CF5235"/>
    <w:rsid w:val="00CF570D"/>
    <w:rsid w:val="00CF5A06"/>
    <w:rsid w:val="00CF5B48"/>
    <w:rsid w:val="00CF5C80"/>
    <w:rsid w:val="00CF5CA2"/>
    <w:rsid w:val="00CF6B91"/>
    <w:rsid w:val="00CF6C42"/>
    <w:rsid w:val="00CF7110"/>
    <w:rsid w:val="00CF74E1"/>
    <w:rsid w:val="00CF77A8"/>
    <w:rsid w:val="00CF77C3"/>
    <w:rsid w:val="00CF7DB3"/>
    <w:rsid w:val="00CF7E4F"/>
    <w:rsid w:val="00CF7FAF"/>
    <w:rsid w:val="00D0008E"/>
    <w:rsid w:val="00D0017E"/>
    <w:rsid w:val="00D007CD"/>
    <w:rsid w:val="00D009E6"/>
    <w:rsid w:val="00D00EEC"/>
    <w:rsid w:val="00D01453"/>
    <w:rsid w:val="00D0158B"/>
    <w:rsid w:val="00D0167C"/>
    <w:rsid w:val="00D018FE"/>
    <w:rsid w:val="00D01954"/>
    <w:rsid w:val="00D01D2B"/>
    <w:rsid w:val="00D01DE5"/>
    <w:rsid w:val="00D01ED5"/>
    <w:rsid w:val="00D021F0"/>
    <w:rsid w:val="00D02271"/>
    <w:rsid w:val="00D02456"/>
    <w:rsid w:val="00D024A4"/>
    <w:rsid w:val="00D02605"/>
    <w:rsid w:val="00D026BC"/>
    <w:rsid w:val="00D027F0"/>
    <w:rsid w:val="00D02961"/>
    <w:rsid w:val="00D02AD7"/>
    <w:rsid w:val="00D02C47"/>
    <w:rsid w:val="00D02DC7"/>
    <w:rsid w:val="00D0317F"/>
    <w:rsid w:val="00D03458"/>
    <w:rsid w:val="00D0358C"/>
    <w:rsid w:val="00D03E7A"/>
    <w:rsid w:val="00D04827"/>
    <w:rsid w:val="00D04EFF"/>
    <w:rsid w:val="00D04F82"/>
    <w:rsid w:val="00D05076"/>
    <w:rsid w:val="00D051A6"/>
    <w:rsid w:val="00D051E5"/>
    <w:rsid w:val="00D05245"/>
    <w:rsid w:val="00D05258"/>
    <w:rsid w:val="00D05307"/>
    <w:rsid w:val="00D05361"/>
    <w:rsid w:val="00D0557C"/>
    <w:rsid w:val="00D0557D"/>
    <w:rsid w:val="00D05669"/>
    <w:rsid w:val="00D061DA"/>
    <w:rsid w:val="00D0630F"/>
    <w:rsid w:val="00D0681F"/>
    <w:rsid w:val="00D06878"/>
    <w:rsid w:val="00D06A55"/>
    <w:rsid w:val="00D06CBF"/>
    <w:rsid w:val="00D0713C"/>
    <w:rsid w:val="00D07182"/>
    <w:rsid w:val="00D071BE"/>
    <w:rsid w:val="00D075D8"/>
    <w:rsid w:val="00D07688"/>
    <w:rsid w:val="00D078C6"/>
    <w:rsid w:val="00D07A98"/>
    <w:rsid w:val="00D07C38"/>
    <w:rsid w:val="00D07FB4"/>
    <w:rsid w:val="00D100C6"/>
    <w:rsid w:val="00D1036E"/>
    <w:rsid w:val="00D10401"/>
    <w:rsid w:val="00D1059A"/>
    <w:rsid w:val="00D1060A"/>
    <w:rsid w:val="00D107E7"/>
    <w:rsid w:val="00D10844"/>
    <w:rsid w:val="00D109FC"/>
    <w:rsid w:val="00D10D0E"/>
    <w:rsid w:val="00D10E7B"/>
    <w:rsid w:val="00D10E91"/>
    <w:rsid w:val="00D1105A"/>
    <w:rsid w:val="00D1130C"/>
    <w:rsid w:val="00D1137B"/>
    <w:rsid w:val="00D114E3"/>
    <w:rsid w:val="00D119C1"/>
    <w:rsid w:val="00D11DB6"/>
    <w:rsid w:val="00D12010"/>
    <w:rsid w:val="00D120B8"/>
    <w:rsid w:val="00D121DB"/>
    <w:rsid w:val="00D122D7"/>
    <w:rsid w:val="00D12482"/>
    <w:rsid w:val="00D124C5"/>
    <w:rsid w:val="00D12700"/>
    <w:rsid w:val="00D1291A"/>
    <w:rsid w:val="00D1298F"/>
    <w:rsid w:val="00D12BB7"/>
    <w:rsid w:val="00D12FFD"/>
    <w:rsid w:val="00D132D5"/>
    <w:rsid w:val="00D13521"/>
    <w:rsid w:val="00D13621"/>
    <w:rsid w:val="00D1388D"/>
    <w:rsid w:val="00D13AC1"/>
    <w:rsid w:val="00D13CBE"/>
    <w:rsid w:val="00D13E53"/>
    <w:rsid w:val="00D13EE9"/>
    <w:rsid w:val="00D14153"/>
    <w:rsid w:val="00D1424B"/>
    <w:rsid w:val="00D143EF"/>
    <w:rsid w:val="00D1477F"/>
    <w:rsid w:val="00D14A0A"/>
    <w:rsid w:val="00D1506B"/>
    <w:rsid w:val="00D151EA"/>
    <w:rsid w:val="00D15303"/>
    <w:rsid w:val="00D15432"/>
    <w:rsid w:val="00D154EE"/>
    <w:rsid w:val="00D158B4"/>
    <w:rsid w:val="00D16051"/>
    <w:rsid w:val="00D160F7"/>
    <w:rsid w:val="00D161AB"/>
    <w:rsid w:val="00D16297"/>
    <w:rsid w:val="00D1665B"/>
    <w:rsid w:val="00D16816"/>
    <w:rsid w:val="00D168DB"/>
    <w:rsid w:val="00D16EF2"/>
    <w:rsid w:val="00D1703C"/>
    <w:rsid w:val="00D17621"/>
    <w:rsid w:val="00D176F7"/>
    <w:rsid w:val="00D17788"/>
    <w:rsid w:val="00D17948"/>
    <w:rsid w:val="00D17C41"/>
    <w:rsid w:val="00D20039"/>
    <w:rsid w:val="00D201BE"/>
    <w:rsid w:val="00D201FC"/>
    <w:rsid w:val="00D20461"/>
    <w:rsid w:val="00D20529"/>
    <w:rsid w:val="00D209C0"/>
    <w:rsid w:val="00D209CC"/>
    <w:rsid w:val="00D20B75"/>
    <w:rsid w:val="00D20D30"/>
    <w:rsid w:val="00D20EB0"/>
    <w:rsid w:val="00D21053"/>
    <w:rsid w:val="00D210EF"/>
    <w:rsid w:val="00D21121"/>
    <w:rsid w:val="00D21163"/>
    <w:rsid w:val="00D212EE"/>
    <w:rsid w:val="00D213CE"/>
    <w:rsid w:val="00D2148E"/>
    <w:rsid w:val="00D218BB"/>
    <w:rsid w:val="00D21A4A"/>
    <w:rsid w:val="00D21A6E"/>
    <w:rsid w:val="00D21FA8"/>
    <w:rsid w:val="00D220EF"/>
    <w:rsid w:val="00D22166"/>
    <w:rsid w:val="00D221C1"/>
    <w:rsid w:val="00D22213"/>
    <w:rsid w:val="00D22675"/>
    <w:rsid w:val="00D228AF"/>
    <w:rsid w:val="00D22B80"/>
    <w:rsid w:val="00D22B8A"/>
    <w:rsid w:val="00D22CF0"/>
    <w:rsid w:val="00D22DCA"/>
    <w:rsid w:val="00D22EA8"/>
    <w:rsid w:val="00D23136"/>
    <w:rsid w:val="00D23372"/>
    <w:rsid w:val="00D2339F"/>
    <w:rsid w:val="00D236B7"/>
    <w:rsid w:val="00D2379B"/>
    <w:rsid w:val="00D237E4"/>
    <w:rsid w:val="00D238E6"/>
    <w:rsid w:val="00D239F9"/>
    <w:rsid w:val="00D23A12"/>
    <w:rsid w:val="00D23BE3"/>
    <w:rsid w:val="00D23D1B"/>
    <w:rsid w:val="00D23E48"/>
    <w:rsid w:val="00D23F33"/>
    <w:rsid w:val="00D243CB"/>
    <w:rsid w:val="00D244BE"/>
    <w:rsid w:val="00D244CE"/>
    <w:rsid w:val="00D24537"/>
    <w:rsid w:val="00D24632"/>
    <w:rsid w:val="00D24640"/>
    <w:rsid w:val="00D2482F"/>
    <w:rsid w:val="00D24849"/>
    <w:rsid w:val="00D24B50"/>
    <w:rsid w:val="00D24B54"/>
    <w:rsid w:val="00D24C42"/>
    <w:rsid w:val="00D24C6D"/>
    <w:rsid w:val="00D25352"/>
    <w:rsid w:val="00D253BC"/>
    <w:rsid w:val="00D25410"/>
    <w:rsid w:val="00D25585"/>
    <w:rsid w:val="00D25964"/>
    <w:rsid w:val="00D25D86"/>
    <w:rsid w:val="00D25EC9"/>
    <w:rsid w:val="00D25FED"/>
    <w:rsid w:val="00D260DF"/>
    <w:rsid w:val="00D263FE"/>
    <w:rsid w:val="00D268D9"/>
    <w:rsid w:val="00D2692A"/>
    <w:rsid w:val="00D26949"/>
    <w:rsid w:val="00D26A83"/>
    <w:rsid w:val="00D26CEB"/>
    <w:rsid w:val="00D26D02"/>
    <w:rsid w:val="00D26D2F"/>
    <w:rsid w:val="00D26F1C"/>
    <w:rsid w:val="00D26F36"/>
    <w:rsid w:val="00D26FCB"/>
    <w:rsid w:val="00D27232"/>
    <w:rsid w:val="00D273C4"/>
    <w:rsid w:val="00D2762A"/>
    <w:rsid w:val="00D278E5"/>
    <w:rsid w:val="00D278F4"/>
    <w:rsid w:val="00D27A1D"/>
    <w:rsid w:val="00D27B83"/>
    <w:rsid w:val="00D27C25"/>
    <w:rsid w:val="00D27F2D"/>
    <w:rsid w:val="00D27FFC"/>
    <w:rsid w:val="00D300E9"/>
    <w:rsid w:val="00D30118"/>
    <w:rsid w:val="00D30334"/>
    <w:rsid w:val="00D3034A"/>
    <w:rsid w:val="00D304CF"/>
    <w:rsid w:val="00D305A4"/>
    <w:rsid w:val="00D3087F"/>
    <w:rsid w:val="00D3090A"/>
    <w:rsid w:val="00D30AB7"/>
    <w:rsid w:val="00D30CC0"/>
    <w:rsid w:val="00D30E03"/>
    <w:rsid w:val="00D30E2E"/>
    <w:rsid w:val="00D30EDF"/>
    <w:rsid w:val="00D30FFB"/>
    <w:rsid w:val="00D310F3"/>
    <w:rsid w:val="00D3111E"/>
    <w:rsid w:val="00D31221"/>
    <w:rsid w:val="00D31318"/>
    <w:rsid w:val="00D316DF"/>
    <w:rsid w:val="00D31700"/>
    <w:rsid w:val="00D3180A"/>
    <w:rsid w:val="00D31851"/>
    <w:rsid w:val="00D31858"/>
    <w:rsid w:val="00D3185B"/>
    <w:rsid w:val="00D31B45"/>
    <w:rsid w:val="00D31D62"/>
    <w:rsid w:val="00D31F8D"/>
    <w:rsid w:val="00D32070"/>
    <w:rsid w:val="00D320B6"/>
    <w:rsid w:val="00D323F9"/>
    <w:rsid w:val="00D32449"/>
    <w:rsid w:val="00D32664"/>
    <w:rsid w:val="00D326D0"/>
    <w:rsid w:val="00D32AFB"/>
    <w:rsid w:val="00D32D36"/>
    <w:rsid w:val="00D32EC8"/>
    <w:rsid w:val="00D32F38"/>
    <w:rsid w:val="00D32FA5"/>
    <w:rsid w:val="00D3300B"/>
    <w:rsid w:val="00D33090"/>
    <w:rsid w:val="00D336AD"/>
    <w:rsid w:val="00D33BBE"/>
    <w:rsid w:val="00D33C32"/>
    <w:rsid w:val="00D33EBE"/>
    <w:rsid w:val="00D34014"/>
    <w:rsid w:val="00D34058"/>
    <w:rsid w:val="00D34376"/>
    <w:rsid w:val="00D3454C"/>
    <w:rsid w:val="00D34615"/>
    <w:rsid w:val="00D34A59"/>
    <w:rsid w:val="00D34A6A"/>
    <w:rsid w:val="00D34EEE"/>
    <w:rsid w:val="00D35040"/>
    <w:rsid w:val="00D35053"/>
    <w:rsid w:val="00D350CF"/>
    <w:rsid w:val="00D351EB"/>
    <w:rsid w:val="00D35357"/>
    <w:rsid w:val="00D353B4"/>
    <w:rsid w:val="00D35755"/>
    <w:rsid w:val="00D358B0"/>
    <w:rsid w:val="00D35D9E"/>
    <w:rsid w:val="00D35E91"/>
    <w:rsid w:val="00D35EDA"/>
    <w:rsid w:val="00D35FE9"/>
    <w:rsid w:val="00D361D9"/>
    <w:rsid w:val="00D36207"/>
    <w:rsid w:val="00D3646A"/>
    <w:rsid w:val="00D3687F"/>
    <w:rsid w:val="00D36A10"/>
    <w:rsid w:val="00D36CB6"/>
    <w:rsid w:val="00D36CFB"/>
    <w:rsid w:val="00D37024"/>
    <w:rsid w:val="00D373FF"/>
    <w:rsid w:val="00D375EF"/>
    <w:rsid w:val="00D37807"/>
    <w:rsid w:val="00D37A3F"/>
    <w:rsid w:val="00D37ECC"/>
    <w:rsid w:val="00D40090"/>
    <w:rsid w:val="00D40139"/>
    <w:rsid w:val="00D401AB"/>
    <w:rsid w:val="00D401C6"/>
    <w:rsid w:val="00D40367"/>
    <w:rsid w:val="00D40439"/>
    <w:rsid w:val="00D40496"/>
    <w:rsid w:val="00D4049E"/>
    <w:rsid w:val="00D40508"/>
    <w:rsid w:val="00D40586"/>
    <w:rsid w:val="00D405C2"/>
    <w:rsid w:val="00D406B2"/>
    <w:rsid w:val="00D40B95"/>
    <w:rsid w:val="00D40EAE"/>
    <w:rsid w:val="00D40F15"/>
    <w:rsid w:val="00D40FFF"/>
    <w:rsid w:val="00D41102"/>
    <w:rsid w:val="00D4111E"/>
    <w:rsid w:val="00D411C9"/>
    <w:rsid w:val="00D411F8"/>
    <w:rsid w:val="00D413A9"/>
    <w:rsid w:val="00D413E3"/>
    <w:rsid w:val="00D414C7"/>
    <w:rsid w:val="00D4154C"/>
    <w:rsid w:val="00D41A59"/>
    <w:rsid w:val="00D41C79"/>
    <w:rsid w:val="00D41C8D"/>
    <w:rsid w:val="00D41CF9"/>
    <w:rsid w:val="00D41E77"/>
    <w:rsid w:val="00D41F04"/>
    <w:rsid w:val="00D422C6"/>
    <w:rsid w:val="00D4281E"/>
    <w:rsid w:val="00D429DF"/>
    <w:rsid w:val="00D42B97"/>
    <w:rsid w:val="00D42D12"/>
    <w:rsid w:val="00D43096"/>
    <w:rsid w:val="00D43300"/>
    <w:rsid w:val="00D43357"/>
    <w:rsid w:val="00D43370"/>
    <w:rsid w:val="00D433A7"/>
    <w:rsid w:val="00D43985"/>
    <w:rsid w:val="00D43B5E"/>
    <w:rsid w:val="00D43BC4"/>
    <w:rsid w:val="00D43D89"/>
    <w:rsid w:val="00D43DE4"/>
    <w:rsid w:val="00D43F83"/>
    <w:rsid w:val="00D445E0"/>
    <w:rsid w:val="00D44715"/>
    <w:rsid w:val="00D44A8E"/>
    <w:rsid w:val="00D44D79"/>
    <w:rsid w:val="00D44DEF"/>
    <w:rsid w:val="00D44FC7"/>
    <w:rsid w:val="00D45001"/>
    <w:rsid w:val="00D45800"/>
    <w:rsid w:val="00D458E5"/>
    <w:rsid w:val="00D45A7A"/>
    <w:rsid w:val="00D45B6A"/>
    <w:rsid w:val="00D45DA9"/>
    <w:rsid w:val="00D45DEB"/>
    <w:rsid w:val="00D45EEB"/>
    <w:rsid w:val="00D45FB5"/>
    <w:rsid w:val="00D4610D"/>
    <w:rsid w:val="00D46190"/>
    <w:rsid w:val="00D462C1"/>
    <w:rsid w:val="00D46324"/>
    <w:rsid w:val="00D4636F"/>
    <w:rsid w:val="00D463A2"/>
    <w:rsid w:val="00D46593"/>
    <w:rsid w:val="00D46759"/>
    <w:rsid w:val="00D46852"/>
    <w:rsid w:val="00D469D9"/>
    <w:rsid w:val="00D46AB2"/>
    <w:rsid w:val="00D46C90"/>
    <w:rsid w:val="00D46D50"/>
    <w:rsid w:val="00D471ED"/>
    <w:rsid w:val="00D47272"/>
    <w:rsid w:val="00D472D9"/>
    <w:rsid w:val="00D47331"/>
    <w:rsid w:val="00D47815"/>
    <w:rsid w:val="00D47A4F"/>
    <w:rsid w:val="00D47D2C"/>
    <w:rsid w:val="00D500D3"/>
    <w:rsid w:val="00D501AA"/>
    <w:rsid w:val="00D501FA"/>
    <w:rsid w:val="00D50214"/>
    <w:rsid w:val="00D50344"/>
    <w:rsid w:val="00D5038D"/>
    <w:rsid w:val="00D503A5"/>
    <w:rsid w:val="00D5050B"/>
    <w:rsid w:val="00D5063E"/>
    <w:rsid w:val="00D5069A"/>
    <w:rsid w:val="00D50A23"/>
    <w:rsid w:val="00D50AD5"/>
    <w:rsid w:val="00D5127A"/>
    <w:rsid w:val="00D51477"/>
    <w:rsid w:val="00D514E7"/>
    <w:rsid w:val="00D51647"/>
    <w:rsid w:val="00D51650"/>
    <w:rsid w:val="00D516BD"/>
    <w:rsid w:val="00D518A7"/>
    <w:rsid w:val="00D51BDC"/>
    <w:rsid w:val="00D51C2A"/>
    <w:rsid w:val="00D51F0F"/>
    <w:rsid w:val="00D5225F"/>
    <w:rsid w:val="00D52283"/>
    <w:rsid w:val="00D526F8"/>
    <w:rsid w:val="00D5276E"/>
    <w:rsid w:val="00D527C8"/>
    <w:rsid w:val="00D5287C"/>
    <w:rsid w:val="00D52B7E"/>
    <w:rsid w:val="00D52BBB"/>
    <w:rsid w:val="00D52BD8"/>
    <w:rsid w:val="00D52E6A"/>
    <w:rsid w:val="00D5314A"/>
    <w:rsid w:val="00D533C7"/>
    <w:rsid w:val="00D53509"/>
    <w:rsid w:val="00D53637"/>
    <w:rsid w:val="00D5376F"/>
    <w:rsid w:val="00D5392D"/>
    <w:rsid w:val="00D53953"/>
    <w:rsid w:val="00D5396D"/>
    <w:rsid w:val="00D53BC0"/>
    <w:rsid w:val="00D53CE6"/>
    <w:rsid w:val="00D54840"/>
    <w:rsid w:val="00D549B5"/>
    <w:rsid w:val="00D54B50"/>
    <w:rsid w:val="00D55297"/>
    <w:rsid w:val="00D552EE"/>
    <w:rsid w:val="00D5538D"/>
    <w:rsid w:val="00D555D0"/>
    <w:rsid w:val="00D5567E"/>
    <w:rsid w:val="00D556DD"/>
    <w:rsid w:val="00D556EF"/>
    <w:rsid w:val="00D557F0"/>
    <w:rsid w:val="00D55876"/>
    <w:rsid w:val="00D55928"/>
    <w:rsid w:val="00D55A62"/>
    <w:rsid w:val="00D55AF0"/>
    <w:rsid w:val="00D55DE9"/>
    <w:rsid w:val="00D55F0F"/>
    <w:rsid w:val="00D56357"/>
    <w:rsid w:val="00D5648E"/>
    <w:rsid w:val="00D565D4"/>
    <w:rsid w:val="00D567A6"/>
    <w:rsid w:val="00D56B70"/>
    <w:rsid w:val="00D56BC0"/>
    <w:rsid w:val="00D56D62"/>
    <w:rsid w:val="00D56F15"/>
    <w:rsid w:val="00D5713D"/>
    <w:rsid w:val="00D57180"/>
    <w:rsid w:val="00D573EC"/>
    <w:rsid w:val="00D57607"/>
    <w:rsid w:val="00D576EC"/>
    <w:rsid w:val="00D577B7"/>
    <w:rsid w:val="00D578F0"/>
    <w:rsid w:val="00D579A5"/>
    <w:rsid w:val="00D57AB1"/>
    <w:rsid w:val="00D57B11"/>
    <w:rsid w:val="00D60157"/>
    <w:rsid w:val="00D6048F"/>
    <w:rsid w:val="00D6057C"/>
    <w:rsid w:val="00D60805"/>
    <w:rsid w:val="00D60955"/>
    <w:rsid w:val="00D60A87"/>
    <w:rsid w:val="00D60C1F"/>
    <w:rsid w:val="00D61217"/>
    <w:rsid w:val="00D61423"/>
    <w:rsid w:val="00D614B7"/>
    <w:rsid w:val="00D616C5"/>
    <w:rsid w:val="00D6173B"/>
    <w:rsid w:val="00D61981"/>
    <w:rsid w:val="00D619FD"/>
    <w:rsid w:val="00D61B29"/>
    <w:rsid w:val="00D61B36"/>
    <w:rsid w:val="00D61D99"/>
    <w:rsid w:val="00D62221"/>
    <w:rsid w:val="00D62778"/>
    <w:rsid w:val="00D62A52"/>
    <w:rsid w:val="00D62DB6"/>
    <w:rsid w:val="00D62F1E"/>
    <w:rsid w:val="00D62F7C"/>
    <w:rsid w:val="00D6308C"/>
    <w:rsid w:val="00D63172"/>
    <w:rsid w:val="00D633AA"/>
    <w:rsid w:val="00D63447"/>
    <w:rsid w:val="00D6347A"/>
    <w:rsid w:val="00D6356D"/>
    <w:rsid w:val="00D635CE"/>
    <w:rsid w:val="00D636D3"/>
    <w:rsid w:val="00D636E4"/>
    <w:rsid w:val="00D63934"/>
    <w:rsid w:val="00D63ADB"/>
    <w:rsid w:val="00D63B98"/>
    <w:rsid w:val="00D63BD5"/>
    <w:rsid w:val="00D63DB4"/>
    <w:rsid w:val="00D63E4A"/>
    <w:rsid w:val="00D63E85"/>
    <w:rsid w:val="00D64050"/>
    <w:rsid w:val="00D64059"/>
    <w:rsid w:val="00D6428D"/>
    <w:rsid w:val="00D6437F"/>
    <w:rsid w:val="00D643EA"/>
    <w:rsid w:val="00D644C2"/>
    <w:rsid w:val="00D644EF"/>
    <w:rsid w:val="00D64529"/>
    <w:rsid w:val="00D64667"/>
    <w:rsid w:val="00D6469A"/>
    <w:rsid w:val="00D64833"/>
    <w:rsid w:val="00D648C7"/>
    <w:rsid w:val="00D6491C"/>
    <w:rsid w:val="00D649DA"/>
    <w:rsid w:val="00D64AA5"/>
    <w:rsid w:val="00D64EBC"/>
    <w:rsid w:val="00D64FBB"/>
    <w:rsid w:val="00D65425"/>
    <w:rsid w:val="00D6553D"/>
    <w:rsid w:val="00D655E5"/>
    <w:rsid w:val="00D656EB"/>
    <w:rsid w:val="00D65B4E"/>
    <w:rsid w:val="00D65D96"/>
    <w:rsid w:val="00D65F20"/>
    <w:rsid w:val="00D6610D"/>
    <w:rsid w:val="00D66181"/>
    <w:rsid w:val="00D661D4"/>
    <w:rsid w:val="00D66317"/>
    <w:rsid w:val="00D6686E"/>
    <w:rsid w:val="00D66BA4"/>
    <w:rsid w:val="00D66BF5"/>
    <w:rsid w:val="00D66CFF"/>
    <w:rsid w:val="00D66DA4"/>
    <w:rsid w:val="00D67345"/>
    <w:rsid w:val="00D675C7"/>
    <w:rsid w:val="00D67641"/>
    <w:rsid w:val="00D676F2"/>
    <w:rsid w:val="00D678A0"/>
    <w:rsid w:val="00D679FD"/>
    <w:rsid w:val="00D67AD7"/>
    <w:rsid w:val="00D67BD1"/>
    <w:rsid w:val="00D67BE2"/>
    <w:rsid w:val="00D67C2B"/>
    <w:rsid w:val="00D7015B"/>
    <w:rsid w:val="00D701E8"/>
    <w:rsid w:val="00D70222"/>
    <w:rsid w:val="00D703B9"/>
    <w:rsid w:val="00D703E4"/>
    <w:rsid w:val="00D70783"/>
    <w:rsid w:val="00D707A9"/>
    <w:rsid w:val="00D708E9"/>
    <w:rsid w:val="00D70B2B"/>
    <w:rsid w:val="00D70D43"/>
    <w:rsid w:val="00D70E5A"/>
    <w:rsid w:val="00D7101E"/>
    <w:rsid w:val="00D71026"/>
    <w:rsid w:val="00D710A0"/>
    <w:rsid w:val="00D71120"/>
    <w:rsid w:val="00D71359"/>
    <w:rsid w:val="00D7149A"/>
    <w:rsid w:val="00D71528"/>
    <w:rsid w:val="00D71534"/>
    <w:rsid w:val="00D71590"/>
    <w:rsid w:val="00D715B2"/>
    <w:rsid w:val="00D71908"/>
    <w:rsid w:val="00D71C59"/>
    <w:rsid w:val="00D72058"/>
    <w:rsid w:val="00D720DF"/>
    <w:rsid w:val="00D721E0"/>
    <w:rsid w:val="00D723D6"/>
    <w:rsid w:val="00D7250F"/>
    <w:rsid w:val="00D72544"/>
    <w:rsid w:val="00D729A4"/>
    <w:rsid w:val="00D72A83"/>
    <w:rsid w:val="00D72BF1"/>
    <w:rsid w:val="00D72CBF"/>
    <w:rsid w:val="00D72F28"/>
    <w:rsid w:val="00D72FDC"/>
    <w:rsid w:val="00D730B0"/>
    <w:rsid w:val="00D732C2"/>
    <w:rsid w:val="00D73385"/>
    <w:rsid w:val="00D73744"/>
    <w:rsid w:val="00D74031"/>
    <w:rsid w:val="00D740ED"/>
    <w:rsid w:val="00D74591"/>
    <w:rsid w:val="00D74720"/>
    <w:rsid w:val="00D749C1"/>
    <w:rsid w:val="00D74D67"/>
    <w:rsid w:val="00D7506D"/>
    <w:rsid w:val="00D7545F"/>
    <w:rsid w:val="00D7551F"/>
    <w:rsid w:val="00D7563F"/>
    <w:rsid w:val="00D75672"/>
    <w:rsid w:val="00D756C7"/>
    <w:rsid w:val="00D75855"/>
    <w:rsid w:val="00D75B70"/>
    <w:rsid w:val="00D75CE1"/>
    <w:rsid w:val="00D75D8E"/>
    <w:rsid w:val="00D7609B"/>
    <w:rsid w:val="00D760BF"/>
    <w:rsid w:val="00D76269"/>
    <w:rsid w:val="00D763BA"/>
    <w:rsid w:val="00D765A0"/>
    <w:rsid w:val="00D76663"/>
    <w:rsid w:val="00D76684"/>
    <w:rsid w:val="00D766AA"/>
    <w:rsid w:val="00D76809"/>
    <w:rsid w:val="00D76998"/>
    <w:rsid w:val="00D76A37"/>
    <w:rsid w:val="00D76AB5"/>
    <w:rsid w:val="00D76DAC"/>
    <w:rsid w:val="00D76EA3"/>
    <w:rsid w:val="00D771FD"/>
    <w:rsid w:val="00D77384"/>
    <w:rsid w:val="00D775B5"/>
    <w:rsid w:val="00D77782"/>
    <w:rsid w:val="00D777C8"/>
    <w:rsid w:val="00D778C6"/>
    <w:rsid w:val="00D7796D"/>
    <w:rsid w:val="00D77972"/>
    <w:rsid w:val="00D77FDB"/>
    <w:rsid w:val="00D77FF2"/>
    <w:rsid w:val="00D800F7"/>
    <w:rsid w:val="00D8024C"/>
    <w:rsid w:val="00D80267"/>
    <w:rsid w:val="00D80280"/>
    <w:rsid w:val="00D807B6"/>
    <w:rsid w:val="00D80855"/>
    <w:rsid w:val="00D80B1A"/>
    <w:rsid w:val="00D80C06"/>
    <w:rsid w:val="00D8111F"/>
    <w:rsid w:val="00D81135"/>
    <w:rsid w:val="00D812BB"/>
    <w:rsid w:val="00D812C7"/>
    <w:rsid w:val="00D813BE"/>
    <w:rsid w:val="00D81743"/>
    <w:rsid w:val="00D81B18"/>
    <w:rsid w:val="00D81C5A"/>
    <w:rsid w:val="00D81C8E"/>
    <w:rsid w:val="00D81F03"/>
    <w:rsid w:val="00D82189"/>
    <w:rsid w:val="00D82253"/>
    <w:rsid w:val="00D82666"/>
    <w:rsid w:val="00D82D4C"/>
    <w:rsid w:val="00D831DB"/>
    <w:rsid w:val="00D8327F"/>
    <w:rsid w:val="00D83541"/>
    <w:rsid w:val="00D836EA"/>
    <w:rsid w:val="00D836F8"/>
    <w:rsid w:val="00D83768"/>
    <w:rsid w:val="00D83915"/>
    <w:rsid w:val="00D83B15"/>
    <w:rsid w:val="00D83B1A"/>
    <w:rsid w:val="00D83BDA"/>
    <w:rsid w:val="00D83BF2"/>
    <w:rsid w:val="00D83D29"/>
    <w:rsid w:val="00D840DD"/>
    <w:rsid w:val="00D84296"/>
    <w:rsid w:val="00D8435E"/>
    <w:rsid w:val="00D843FC"/>
    <w:rsid w:val="00D84625"/>
    <w:rsid w:val="00D8466B"/>
    <w:rsid w:val="00D8487E"/>
    <w:rsid w:val="00D84B4D"/>
    <w:rsid w:val="00D84D05"/>
    <w:rsid w:val="00D84D85"/>
    <w:rsid w:val="00D84F41"/>
    <w:rsid w:val="00D8501A"/>
    <w:rsid w:val="00D85047"/>
    <w:rsid w:val="00D850BD"/>
    <w:rsid w:val="00D850C7"/>
    <w:rsid w:val="00D854CE"/>
    <w:rsid w:val="00D855E5"/>
    <w:rsid w:val="00D856AF"/>
    <w:rsid w:val="00D857C3"/>
    <w:rsid w:val="00D85B7D"/>
    <w:rsid w:val="00D85C7E"/>
    <w:rsid w:val="00D85F1D"/>
    <w:rsid w:val="00D86281"/>
    <w:rsid w:val="00D86421"/>
    <w:rsid w:val="00D8648F"/>
    <w:rsid w:val="00D865F1"/>
    <w:rsid w:val="00D865F5"/>
    <w:rsid w:val="00D86645"/>
    <w:rsid w:val="00D866A4"/>
    <w:rsid w:val="00D86757"/>
    <w:rsid w:val="00D86A60"/>
    <w:rsid w:val="00D86B61"/>
    <w:rsid w:val="00D86BED"/>
    <w:rsid w:val="00D86C18"/>
    <w:rsid w:val="00D86F9B"/>
    <w:rsid w:val="00D872D9"/>
    <w:rsid w:val="00D873DC"/>
    <w:rsid w:val="00D87453"/>
    <w:rsid w:val="00D876F5"/>
    <w:rsid w:val="00D8794E"/>
    <w:rsid w:val="00D87C14"/>
    <w:rsid w:val="00D87C68"/>
    <w:rsid w:val="00D87D4F"/>
    <w:rsid w:val="00D901AD"/>
    <w:rsid w:val="00D9027C"/>
    <w:rsid w:val="00D903DE"/>
    <w:rsid w:val="00D906D9"/>
    <w:rsid w:val="00D9084F"/>
    <w:rsid w:val="00D909C3"/>
    <w:rsid w:val="00D90C8D"/>
    <w:rsid w:val="00D910CF"/>
    <w:rsid w:val="00D91390"/>
    <w:rsid w:val="00D9146F"/>
    <w:rsid w:val="00D91540"/>
    <w:rsid w:val="00D91768"/>
    <w:rsid w:val="00D91790"/>
    <w:rsid w:val="00D91B3E"/>
    <w:rsid w:val="00D91F6E"/>
    <w:rsid w:val="00D92127"/>
    <w:rsid w:val="00D92148"/>
    <w:rsid w:val="00D921C8"/>
    <w:rsid w:val="00D9223B"/>
    <w:rsid w:val="00D922E4"/>
    <w:rsid w:val="00D927AC"/>
    <w:rsid w:val="00D927F3"/>
    <w:rsid w:val="00D92832"/>
    <w:rsid w:val="00D92A36"/>
    <w:rsid w:val="00D92A3A"/>
    <w:rsid w:val="00D92D5D"/>
    <w:rsid w:val="00D92D83"/>
    <w:rsid w:val="00D92E65"/>
    <w:rsid w:val="00D92ECF"/>
    <w:rsid w:val="00D92F49"/>
    <w:rsid w:val="00D92F9F"/>
    <w:rsid w:val="00D93224"/>
    <w:rsid w:val="00D933E9"/>
    <w:rsid w:val="00D9342B"/>
    <w:rsid w:val="00D93557"/>
    <w:rsid w:val="00D9355C"/>
    <w:rsid w:val="00D939A2"/>
    <w:rsid w:val="00D93A16"/>
    <w:rsid w:val="00D93AA1"/>
    <w:rsid w:val="00D93B28"/>
    <w:rsid w:val="00D93B89"/>
    <w:rsid w:val="00D93C1B"/>
    <w:rsid w:val="00D93CD5"/>
    <w:rsid w:val="00D93D55"/>
    <w:rsid w:val="00D93DB0"/>
    <w:rsid w:val="00D93E19"/>
    <w:rsid w:val="00D94017"/>
    <w:rsid w:val="00D94187"/>
    <w:rsid w:val="00D9435F"/>
    <w:rsid w:val="00D943F2"/>
    <w:rsid w:val="00D945AB"/>
    <w:rsid w:val="00D9496D"/>
    <w:rsid w:val="00D94A68"/>
    <w:rsid w:val="00D94E21"/>
    <w:rsid w:val="00D94E30"/>
    <w:rsid w:val="00D94E39"/>
    <w:rsid w:val="00D94E49"/>
    <w:rsid w:val="00D94F12"/>
    <w:rsid w:val="00D9500A"/>
    <w:rsid w:val="00D95309"/>
    <w:rsid w:val="00D95666"/>
    <w:rsid w:val="00D95C36"/>
    <w:rsid w:val="00D961AD"/>
    <w:rsid w:val="00D961B1"/>
    <w:rsid w:val="00D96288"/>
    <w:rsid w:val="00D96356"/>
    <w:rsid w:val="00D96699"/>
    <w:rsid w:val="00D967C7"/>
    <w:rsid w:val="00D967EA"/>
    <w:rsid w:val="00D968C0"/>
    <w:rsid w:val="00D96948"/>
    <w:rsid w:val="00D96B5A"/>
    <w:rsid w:val="00D96DBC"/>
    <w:rsid w:val="00D96DCC"/>
    <w:rsid w:val="00D96E5E"/>
    <w:rsid w:val="00D96E5F"/>
    <w:rsid w:val="00D96ED8"/>
    <w:rsid w:val="00D9724E"/>
    <w:rsid w:val="00D97252"/>
    <w:rsid w:val="00D975AB"/>
    <w:rsid w:val="00D977A3"/>
    <w:rsid w:val="00D97BEF"/>
    <w:rsid w:val="00D97CAF"/>
    <w:rsid w:val="00D97F9A"/>
    <w:rsid w:val="00DA004C"/>
    <w:rsid w:val="00DA00ED"/>
    <w:rsid w:val="00DA05D8"/>
    <w:rsid w:val="00DA0648"/>
    <w:rsid w:val="00DA0710"/>
    <w:rsid w:val="00DA0768"/>
    <w:rsid w:val="00DA076C"/>
    <w:rsid w:val="00DA086B"/>
    <w:rsid w:val="00DA0954"/>
    <w:rsid w:val="00DA0A69"/>
    <w:rsid w:val="00DA0E66"/>
    <w:rsid w:val="00DA0E91"/>
    <w:rsid w:val="00DA0F8E"/>
    <w:rsid w:val="00DA161A"/>
    <w:rsid w:val="00DA1888"/>
    <w:rsid w:val="00DA1CD0"/>
    <w:rsid w:val="00DA20A3"/>
    <w:rsid w:val="00DA2220"/>
    <w:rsid w:val="00DA242A"/>
    <w:rsid w:val="00DA25A6"/>
    <w:rsid w:val="00DA2653"/>
    <w:rsid w:val="00DA27D8"/>
    <w:rsid w:val="00DA2886"/>
    <w:rsid w:val="00DA2B1A"/>
    <w:rsid w:val="00DA2C18"/>
    <w:rsid w:val="00DA3013"/>
    <w:rsid w:val="00DA32A5"/>
    <w:rsid w:val="00DA3494"/>
    <w:rsid w:val="00DA3561"/>
    <w:rsid w:val="00DA3633"/>
    <w:rsid w:val="00DA38B2"/>
    <w:rsid w:val="00DA3A39"/>
    <w:rsid w:val="00DA3CB4"/>
    <w:rsid w:val="00DA3D24"/>
    <w:rsid w:val="00DA3E2F"/>
    <w:rsid w:val="00DA3EEE"/>
    <w:rsid w:val="00DA4039"/>
    <w:rsid w:val="00DA416A"/>
    <w:rsid w:val="00DA4258"/>
    <w:rsid w:val="00DA42D8"/>
    <w:rsid w:val="00DA4339"/>
    <w:rsid w:val="00DA43A0"/>
    <w:rsid w:val="00DA4444"/>
    <w:rsid w:val="00DA45CB"/>
    <w:rsid w:val="00DA4657"/>
    <w:rsid w:val="00DA46CD"/>
    <w:rsid w:val="00DA475F"/>
    <w:rsid w:val="00DA4818"/>
    <w:rsid w:val="00DA4850"/>
    <w:rsid w:val="00DA4888"/>
    <w:rsid w:val="00DA4968"/>
    <w:rsid w:val="00DA4F7F"/>
    <w:rsid w:val="00DA5234"/>
    <w:rsid w:val="00DA531F"/>
    <w:rsid w:val="00DA564A"/>
    <w:rsid w:val="00DA58E4"/>
    <w:rsid w:val="00DA590B"/>
    <w:rsid w:val="00DA593F"/>
    <w:rsid w:val="00DA5A94"/>
    <w:rsid w:val="00DA5AAA"/>
    <w:rsid w:val="00DA5AAB"/>
    <w:rsid w:val="00DA5C21"/>
    <w:rsid w:val="00DA5DB5"/>
    <w:rsid w:val="00DA6514"/>
    <w:rsid w:val="00DA65DF"/>
    <w:rsid w:val="00DA6824"/>
    <w:rsid w:val="00DA6A04"/>
    <w:rsid w:val="00DA6BDA"/>
    <w:rsid w:val="00DA6C16"/>
    <w:rsid w:val="00DA7191"/>
    <w:rsid w:val="00DA72D6"/>
    <w:rsid w:val="00DA752A"/>
    <w:rsid w:val="00DA7597"/>
    <w:rsid w:val="00DA7634"/>
    <w:rsid w:val="00DA7727"/>
    <w:rsid w:val="00DA7787"/>
    <w:rsid w:val="00DA7863"/>
    <w:rsid w:val="00DA7953"/>
    <w:rsid w:val="00DA7A46"/>
    <w:rsid w:val="00DA7A60"/>
    <w:rsid w:val="00DA7A62"/>
    <w:rsid w:val="00DA7A84"/>
    <w:rsid w:val="00DA7BC2"/>
    <w:rsid w:val="00DA7C23"/>
    <w:rsid w:val="00DA7C81"/>
    <w:rsid w:val="00DA7EFD"/>
    <w:rsid w:val="00DA7F1B"/>
    <w:rsid w:val="00DB0066"/>
    <w:rsid w:val="00DB012F"/>
    <w:rsid w:val="00DB031B"/>
    <w:rsid w:val="00DB0324"/>
    <w:rsid w:val="00DB05B7"/>
    <w:rsid w:val="00DB05BD"/>
    <w:rsid w:val="00DB061A"/>
    <w:rsid w:val="00DB0791"/>
    <w:rsid w:val="00DB0867"/>
    <w:rsid w:val="00DB0987"/>
    <w:rsid w:val="00DB0AEA"/>
    <w:rsid w:val="00DB0C7C"/>
    <w:rsid w:val="00DB1044"/>
    <w:rsid w:val="00DB1144"/>
    <w:rsid w:val="00DB1290"/>
    <w:rsid w:val="00DB14EB"/>
    <w:rsid w:val="00DB1549"/>
    <w:rsid w:val="00DB1B4A"/>
    <w:rsid w:val="00DB1C73"/>
    <w:rsid w:val="00DB1DD6"/>
    <w:rsid w:val="00DB1FCF"/>
    <w:rsid w:val="00DB22DC"/>
    <w:rsid w:val="00DB2355"/>
    <w:rsid w:val="00DB2914"/>
    <w:rsid w:val="00DB2C24"/>
    <w:rsid w:val="00DB2CB2"/>
    <w:rsid w:val="00DB2CF1"/>
    <w:rsid w:val="00DB2CF9"/>
    <w:rsid w:val="00DB2E7C"/>
    <w:rsid w:val="00DB2F80"/>
    <w:rsid w:val="00DB316D"/>
    <w:rsid w:val="00DB33CF"/>
    <w:rsid w:val="00DB35FF"/>
    <w:rsid w:val="00DB386F"/>
    <w:rsid w:val="00DB38DC"/>
    <w:rsid w:val="00DB3BB4"/>
    <w:rsid w:val="00DB3EA6"/>
    <w:rsid w:val="00DB4069"/>
    <w:rsid w:val="00DB40E4"/>
    <w:rsid w:val="00DB4363"/>
    <w:rsid w:val="00DB43B7"/>
    <w:rsid w:val="00DB4403"/>
    <w:rsid w:val="00DB45AB"/>
    <w:rsid w:val="00DB4717"/>
    <w:rsid w:val="00DB4A38"/>
    <w:rsid w:val="00DB4BA9"/>
    <w:rsid w:val="00DB4D7C"/>
    <w:rsid w:val="00DB509C"/>
    <w:rsid w:val="00DB5121"/>
    <w:rsid w:val="00DB5314"/>
    <w:rsid w:val="00DB5415"/>
    <w:rsid w:val="00DB541B"/>
    <w:rsid w:val="00DB5620"/>
    <w:rsid w:val="00DB5777"/>
    <w:rsid w:val="00DB57E0"/>
    <w:rsid w:val="00DB5889"/>
    <w:rsid w:val="00DB5B3F"/>
    <w:rsid w:val="00DB5B8E"/>
    <w:rsid w:val="00DB5F6C"/>
    <w:rsid w:val="00DB6003"/>
    <w:rsid w:val="00DB6061"/>
    <w:rsid w:val="00DB6223"/>
    <w:rsid w:val="00DB63BD"/>
    <w:rsid w:val="00DB6699"/>
    <w:rsid w:val="00DB6A0F"/>
    <w:rsid w:val="00DB6A25"/>
    <w:rsid w:val="00DB6F15"/>
    <w:rsid w:val="00DB7223"/>
    <w:rsid w:val="00DB74B3"/>
    <w:rsid w:val="00DB7526"/>
    <w:rsid w:val="00DB762B"/>
    <w:rsid w:val="00DB7A2E"/>
    <w:rsid w:val="00DB7B85"/>
    <w:rsid w:val="00DB7CF1"/>
    <w:rsid w:val="00DB7D84"/>
    <w:rsid w:val="00DB7E27"/>
    <w:rsid w:val="00DB7E45"/>
    <w:rsid w:val="00DB7FDD"/>
    <w:rsid w:val="00DC0015"/>
    <w:rsid w:val="00DC0056"/>
    <w:rsid w:val="00DC017E"/>
    <w:rsid w:val="00DC023A"/>
    <w:rsid w:val="00DC033F"/>
    <w:rsid w:val="00DC05F7"/>
    <w:rsid w:val="00DC07A1"/>
    <w:rsid w:val="00DC0A25"/>
    <w:rsid w:val="00DC0ABC"/>
    <w:rsid w:val="00DC0BFE"/>
    <w:rsid w:val="00DC0DB1"/>
    <w:rsid w:val="00DC0E30"/>
    <w:rsid w:val="00DC0F02"/>
    <w:rsid w:val="00DC0F8D"/>
    <w:rsid w:val="00DC1325"/>
    <w:rsid w:val="00DC154A"/>
    <w:rsid w:val="00DC16B6"/>
    <w:rsid w:val="00DC18DC"/>
    <w:rsid w:val="00DC1CC6"/>
    <w:rsid w:val="00DC1D67"/>
    <w:rsid w:val="00DC1EAA"/>
    <w:rsid w:val="00DC1EDF"/>
    <w:rsid w:val="00DC1FBF"/>
    <w:rsid w:val="00DC2132"/>
    <w:rsid w:val="00DC2284"/>
    <w:rsid w:val="00DC2483"/>
    <w:rsid w:val="00DC24F1"/>
    <w:rsid w:val="00DC25F8"/>
    <w:rsid w:val="00DC2956"/>
    <w:rsid w:val="00DC2D04"/>
    <w:rsid w:val="00DC2D52"/>
    <w:rsid w:val="00DC2D8F"/>
    <w:rsid w:val="00DC2DED"/>
    <w:rsid w:val="00DC2E98"/>
    <w:rsid w:val="00DC2EB4"/>
    <w:rsid w:val="00DC30EE"/>
    <w:rsid w:val="00DC34F2"/>
    <w:rsid w:val="00DC3555"/>
    <w:rsid w:val="00DC3718"/>
    <w:rsid w:val="00DC38AC"/>
    <w:rsid w:val="00DC38DA"/>
    <w:rsid w:val="00DC3AFE"/>
    <w:rsid w:val="00DC3B6B"/>
    <w:rsid w:val="00DC3CA4"/>
    <w:rsid w:val="00DC3CF8"/>
    <w:rsid w:val="00DC3E6E"/>
    <w:rsid w:val="00DC3E76"/>
    <w:rsid w:val="00DC40D2"/>
    <w:rsid w:val="00DC410B"/>
    <w:rsid w:val="00DC420E"/>
    <w:rsid w:val="00DC4304"/>
    <w:rsid w:val="00DC45A2"/>
    <w:rsid w:val="00DC467C"/>
    <w:rsid w:val="00DC47D9"/>
    <w:rsid w:val="00DC49F5"/>
    <w:rsid w:val="00DC4B4D"/>
    <w:rsid w:val="00DC4C6F"/>
    <w:rsid w:val="00DC4DFE"/>
    <w:rsid w:val="00DC4FAF"/>
    <w:rsid w:val="00DC5201"/>
    <w:rsid w:val="00DC532B"/>
    <w:rsid w:val="00DC53B8"/>
    <w:rsid w:val="00DC556C"/>
    <w:rsid w:val="00DC57AF"/>
    <w:rsid w:val="00DC5AD1"/>
    <w:rsid w:val="00DC5B96"/>
    <w:rsid w:val="00DC5BB5"/>
    <w:rsid w:val="00DC5C0D"/>
    <w:rsid w:val="00DC6158"/>
    <w:rsid w:val="00DC64B1"/>
    <w:rsid w:val="00DC65FB"/>
    <w:rsid w:val="00DC6703"/>
    <w:rsid w:val="00DC6AB2"/>
    <w:rsid w:val="00DC7032"/>
    <w:rsid w:val="00DC72A4"/>
    <w:rsid w:val="00DC72D1"/>
    <w:rsid w:val="00DC746E"/>
    <w:rsid w:val="00DC7632"/>
    <w:rsid w:val="00DC76EE"/>
    <w:rsid w:val="00DC7D95"/>
    <w:rsid w:val="00DD01CA"/>
    <w:rsid w:val="00DD02F4"/>
    <w:rsid w:val="00DD043A"/>
    <w:rsid w:val="00DD0528"/>
    <w:rsid w:val="00DD064C"/>
    <w:rsid w:val="00DD069E"/>
    <w:rsid w:val="00DD09BE"/>
    <w:rsid w:val="00DD0AFE"/>
    <w:rsid w:val="00DD1039"/>
    <w:rsid w:val="00DD1176"/>
    <w:rsid w:val="00DD130C"/>
    <w:rsid w:val="00DD1368"/>
    <w:rsid w:val="00DD1919"/>
    <w:rsid w:val="00DD1A7E"/>
    <w:rsid w:val="00DD1ABA"/>
    <w:rsid w:val="00DD1B4E"/>
    <w:rsid w:val="00DD1DCA"/>
    <w:rsid w:val="00DD206B"/>
    <w:rsid w:val="00DD214E"/>
    <w:rsid w:val="00DD245C"/>
    <w:rsid w:val="00DD245D"/>
    <w:rsid w:val="00DD2484"/>
    <w:rsid w:val="00DD25EB"/>
    <w:rsid w:val="00DD2715"/>
    <w:rsid w:val="00DD295D"/>
    <w:rsid w:val="00DD2E0D"/>
    <w:rsid w:val="00DD2EC8"/>
    <w:rsid w:val="00DD2FDE"/>
    <w:rsid w:val="00DD304A"/>
    <w:rsid w:val="00DD30D8"/>
    <w:rsid w:val="00DD352E"/>
    <w:rsid w:val="00DD399A"/>
    <w:rsid w:val="00DD3A13"/>
    <w:rsid w:val="00DD3BDC"/>
    <w:rsid w:val="00DD3CA5"/>
    <w:rsid w:val="00DD3D56"/>
    <w:rsid w:val="00DD4133"/>
    <w:rsid w:val="00DD421E"/>
    <w:rsid w:val="00DD44B6"/>
    <w:rsid w:val="00DD45A3"/>
    <w:rsid w:val="00DD4811"/>
    <w:rsid w:val="00DD489B"/>
    <w:rsid w:val="00DD4BC2"/>
    <w:rsid w:val="00DD4D82"/>
    <w:rsid w:val="00DD4D92"/>
    <w:rsid w:val="00DD50BB"/>
    <w:rsid w:val="00DD52B6"/>
    <w:rsid w:val="00DD552F"/>
    <w:rsid w:val="00DD57DD"/>
    <w:rsid w:val="00DD5926"/>
    <w:rsid w:val="00DD5A48"/>
    <w:rsid w:val="00DD5A72"/>
    <w:rsid w:val="00DD5A94"/>
    <w:rsid w:val="00DD5BF3"/>
    <w:rsid w:val="00DD5CB3"/>
    <w:rsid w:val="00DD5EB2"/>
    <w:rsid w:val="00DD5F5E"/>
    <w:rsid w:val="00DD6448"/>
    <w:rsid w:val="00DD6621"/>
    <w:rsid w:val="00DD6705"/>
    <w:rsid w:val="00DD694F"/>
    <w:rsid w:val="00DD6B1E"/>
    <w:rsid w:val="00DD6D1F"/>
    <w:rsid w:val="00DD6E9C"/>
    <w:rsid w:val="00DD742C"/>
    <w:rsid w:val="00DD75C0"/>
    <w:rsid w:val="00DD75EF"/>
    <w:rsid w:val="00DD780E"/>
    <w:rsid w:val="00DD7AD5"/>
    <w:rsid w:val="00DD7B26"/>
    <w:rsid w:val="00DD7CB3"/>
    <w:rsid w:val="00DD7CD4"/>
    <w:rsid w:val="00DE03A0"/>
    <w:rsid w:val="00DE03C2"/>
    <w:rsid w:val="00DE069C"/>
    <w:rsid w:val="00DE077F"/>
    <w:rsid w:val="00DE0B17"/>
    <w:rsid w:val="00DE0F7E"/>
    <w:rsid w:val="00DE10BC"/>
    <w:rsid w:val="00DE1255"/>
    <w:rsid w:val="00DE1376"/>
    <w:rsid w:val="00DE1597"/>
    <w:rsid w:val="00DE1C0E"/>
    <w:rsid w:val="00DE1CF4"/>
    <w:rsid w:val="00DE1D52"/>
    <w:rsid w:val="00DE2193"/>
    <w:rsid w:val="00DE228D"/>
    <w:rsid w:val="00DE2293"/>
    <w:rsid w:val="00DE2386"/>
    <w:rsid w:val="00DE23B3"/>
    <w:rsid w:val="00DE2417"/>
    <w:rsid w:val="00DE246B"/>
    <w:rsid w:val="00DE2506"/>
    <w:rsid w:val="00DE2635"/>
    <w:rsid w:val="00DE2953"/>
    <w:rsid w:val="00DE2CD2"/>
    <w:rsid w:val="00DE2CE5"/>
    <w:rsid w:val="00DE2D1F"/>
    <w:rsid w:val="00DE2D56"/>
    <w:rsid w:val="00DE2DB1"/>
    <w:rsid w:val="00DE2E9D"/>
    <w:rsid w:val="00DE3170"/>
    <w:rsid w:val="00DE3440"/>
    <w:rsid w:val="00DE3448"/>
    <w:rsid w:val="00DE36A9"/>
    <w:rsid w:val="00DE374E"/>
    <w:rsid w:val="00DE37BE"/>
    <w:rsid w:val="00DE3B54"/>
    <w:rsid w:val="00DE3DB6"/>
    <w:rsid w:val="00DE3DDC"/>
    <w:rsid w:val="00DE3E41"/>
    <w:rsid w:val="00DE3FEF"/>
    <w:rsid w:val="00DE4103"/>
    <w:rsid w:val="00DE4210"/>
    <w:rsid w:val="00DE42F6"/>
    <w:rsid w:val="00DE43AA"/>
    <w:rsid w:val="00DE4578"/>
    <w:rsid w:val="00DE45C6"/>
    <w:rsid w:val="00DE4744"/>
    <w:rsid w:val="00DE4746"/>
    <w:rsid w:val="00DE4812"/>
    <w:rsid w:val="00DE4A03"/>
    <w:rsid w:val="00DE4C5E"/>
    <w:rsid w:val="00DE4CD1"/>
    <w:rsid w:val="00DE4D81"/>
    <w:rsid w:val="00DE4DA8"/>
    <w:rsid w:val="00DE51B4"/>
    <w:rsid w:val="00DE5403"/>
    <w:rsid w:val="00DE5565"/>
    <w:rsid w:val="00DE55CB"/>
    <w:rsid w:val="00DE5636"/>
    <w:rsid w:val="00DE5678"/>
    <w:rsid w:val="00DE57C5"/>
    <w:rsid w:val="00DE5886"/>
    <w:rsid w:val="00DE58E6"/>
    <w:rsid w:val="00DE591A"/>
    <w:rsid w:val="00DE5CFF"/>
    <w:rsid w:val="00DE5D7D"/>
    <w:rsid w:val="00DE5E6A"/>
    <w:rsid w:val="00DE5F71"/>
    <w:rsid w:val="00DE6428"/>
    <w:rsid w:val="00DE652E"/>
    <w:rsid w:val="00DE669F"/>
    <w:rsid w:val="00DE6823"/>
    <w:rsid w:val="00DE6855"/>
    <w:rsid w:val="00DE6A1E"/>
    <w:rsid w:val="00DE70C0"/>
    <w:rsid w:val="00DE70FC"/>
    <w:rsid w:val="00DE740C"/>
    <w:rsid w:val="00DE75FD"/>
    <w:rsid w:val="00DE79AC"/>
    <w:rsid w:val="00DE7A94"/>
    <w:rsid w:val="00DE7B41"/>
    <w:rsid w:val="00DE7E31"/>
    <w:rsid w:val="00DE7F53"/>
    <w:rsid w:val="00DE7F60"/>
    <w:rsid w:val="00DF005A"/>
    <w:rsid w:val="00DF010F"/>
    <w:rsid w:val="00DF011A"/>
    <w:rsid w:val="00DF0155"/>
    <w:rsid w:val="00DF04EE"/>
    <w:rsid w:val="00DF0559"/>
    <w:rsid w:val="00DF0588"/>
    <w:rsid w:val="00DF08AE"/>
    <w:rsid w:val="00DF0D22"/>
    <w:rsid w:val="00DF0D8B"/>
    <w:rsid w:val="00DF0DE3"/>
    <w:rsid w:val="00DF1635"/>
    <w:rsid w:val="00DF16AF"/>
    <w:rsid w:val="00DF16F7"/>
    <w:rsid w:val="00DF1879"/>
    <w:rsid w:val="00DF18E7"/>
    <w:rsid w:val="00DF198F"/>
    <w:rsid w:val="00DF199B"/>
    <w:rsid w:val="00DF1E2F"/>
    <w:rsid w:val="00DF1E48"/>
    <w:rsid w:val="00DF1E89"/>
    <w:rsid w:val="00DF1F1E"/>
    <w:rsid w:val="00DF2239"/>
    <w:rsid w:val="00DF232C"/>
    <w:rsid w:val="00DF2549"/>
    <w:rsid w:val="00DF26FF"/>
    <w:rsid w:val="00DF2741"/>
    <w:rsid w:val="00DF2BD1"/>
    <w:rsid w:val="00DF2C19"/>
    <w:rsid w:val="00DF2FE8"/>
    <w:rsid w:val="00DF3038"/>
    <w:rsid w:val="00DF32E7"/>
    <w:rsid w:val="00DF33DD"/>
    <w:rsid w:val="00DF3467"/>
    <w:rsid w:val="00DF34EF"/>
    <w:rsid w:val="00DF3505"/>
    <w:rsid w:val="00DF3743"/>
    <w:rsid w:val="00DF3757"/>
    <w:rsid w:val="00DF377E"/>
    <w:rsid w:val="00DF3B9D"/>
    <w:rsid w:val="00DF3E35"/>
    <w:rsid w:val="00DF3EDF"/>
    <w:rsid w:val="00DF3F92"/>
    <w:rsid w:val="00DF40F0"/>
    <w:rsid w:val="00DF40FE"/>
    <w:rsid w:val="00DF42E0"/>
    <w:rsid w:val="00DF43F0"/>
    <w:rsid w:val="00DF441A"/>
    <w:rsid w:val="00DF46F8"/>
    <w:rsid w:val="00DF4742"/>
    <w:rsid w:val="00DF47EF"/>
    <w:rsid w:val="00DF4846"/>
    <w:rsid w:val="00DF4855"/>
    <w:rsid w:val="00DF50BD"/>
    <w:rsid w:val="00DF53A0"/>
    <w:rsid w:val="00DF5956"/>
    <w:rsid w:val="00DF5AA4"/>
    <w:rsid w:val="00DF5AB6"/>
    <w:rsid w:val="00DF5B56"/>
    <w:rsid w:val="00DF5B6B"/>
    <w:rsid w:val="00DF5E1A"/>
    <w:rsid w:val="00DF6076"/>
    <w:rsid w:val="00DF6176"/>
    <w:rsid w:val="00DF61F3"/>
    <w:rsid w:val="00DF620E"/>
    <w:rsid w:val="00DF6326"/>
    <w:rsid w:val="00DF63DF"/>
    <w:rsid w:val="00DF66E4"/>
    <w:rsid w:val="00DF70B8"/>
    <w:rsid w:val="00DF7100"/>
    <w:rsid w:val="00DF718E"/>
    <w:rsid w:val="00DF7249"/>
    <w:rsid w:val="00DF7341"/>
    <w:rsid w:val="00DF74E7"/>
    <w:rsid w:val="00DF771E"/>
    <w:rsid w:val="00DF79CC"/>
    <w:rsid w:val="00DF7D84"/>
    <w:rsid w:val="00DF7FC3"/>
    <w:rsid w:val="00E003FC"/>
    <w:rsid w:val="00E0044D"/>
    <w:rsid w:val="00E00460"/>
    <w:rsid w:val="00E004BA"/>
    <w:rsid w:val="00E006E9"/>
    <w:rsid w:val="00E00844"/>
    <w:rsid w:val="00E00C1C"/>
    <w:rsid w:val="00E00C71"/>
    <w:rsid w:val="00E00EAA"/>
    <w:rsid w:val="00E01034"/>
    <w:rsid w:val="00E0103C"/>
    <w:rsid w:val="00E014D1"/>
    <w:rsid w:val="00E014FD"/>
    <w:rsid w:val="00E015E1"/>
    <w:rsid w:val="00E017D4"/>
    <w:rsid w:val="00E01934"/>
    <w:rsid w:val="00E019EC"/>
    <w:rsid w:val="00E01A14"/>
    <w:rsid w:val="00E01A3B"/>
    <w:rsid w:val="00E01A5F"/>
    <w:rsid w:val="00E01AB1"/>
    <w:rsid w:val="00E01AB3"/>
    <w:rsid w:val="00E01DEC"/>
    <w:rsid w:val="00E01ECD"/>
    <w:rsid w:val="00E02137"/>
    <w:rsid w:val="00E0220F"/>
    <w:rsid w:val="00E0221F"/>
    <w:rsid w:val="00E022F8"/>
    <w:rsid w:val="00E02399"/>
    <w:rsid w:val="00E0240A"/>
    <w:rsid w:val="00E0274F"/>
    <w:rsid w:val="00E02814"/>
    <w:rsid w:val="00E02B8C"/>
    <w:rsid w:val="00E02D97"/>
    <w:rsid w:val="00E02FD4"/>
    <w:rsid w:val="00E0338D"/>
    <w:rsid w:val="00E0339C"/>
    <w:rsid w:val="00E03464"/>
    <w:rsid w:val="00E03542"/>
    <w:rsid w:val="00E03718"/>
    <w:rsid w:val="00E038DC"/>
    <w:rsid w:val="00E0395B"/>
    <w:rsid w:val="00E039B1"/>
    <w:rsid w:val="00E03ED5"/>
    <w:rsid w:val="00E03F68"/>
    <w:rsid w:val="00E04119"/>
    <w:rsid w:val="00E0443B"/>
    <w:rsid w:val="00E04491"/>
    <w:rsid w:val="00E044AB"/>
    <w:rsid w:val="00E044BF"/>
    <w:rsid w:val="00E045D1"/>
    <w:rsid w:val="00E047E5"/>
    <w:rsid w:val="00E04AE7"/>
    <w:rsid w:val="00E04C97"/>
    <w:rsid w:val="00E04F04"/>
    <w:rsid w:val="00E05479"/>
    <w:rsid w:val="00E05508"/>
    <w:rsid w:val="00E0566D"/>
    <w:rsid w:val="00E05A10"/>
    <w:rsid w:val="00E05A97"/>
    <w:rsid w:val="00E05BDF"/>
    <w:rsid w:val="00E05DB6"/>
    <w:rsid w:val="00E05EC1"/>
    <w:rsid w:val="00E05F02"/>
    <w:rsid w:val="00E061BB"/>
    <w:rsid w:val="00E061F0"/>
    <w:rsid w:val="00E0623D"/>
    <w:rsid w:val="00E06243"/>
    <w:rsid w:val="00E06245"/>
    <w:rsid w:val="00E062B6"/>
    <w:rsid w:val="00E0632A"/>
    <w:rsid w:val="00E0655D"/>
    <w:rsid w:val="00E065A8"/>
    <w:rsid w:val="00E065DF"/>
    <w:rsid w:val="00E06639"/>
    <w:rsid w:val="00E0664C"/>
    <w:rsid w:val="00E06853"/>
    <w:rsid w:val="00E068D6"/>
    <w:rsid w:val="00E068ED"/>
    <w:rsid w:val="00E06938"/>
    <w:rsid w:val="00E06E3E"/>
    <w:rsid w:val="00E07169"/>
    <w:rsid w:val="00E071D5"/>
    <w:rsid w:val="00E0722D"/>
    <w:rsid w:val="00E07295"/>
    <w:rsid w:val="00E072A3"/>
    <w:rsid w:val="00E07358"/>
    <w:rsid w:val="00E07497"/>
    <w:rsid w:val="00E07577"/>
    <w:rsid w:val="00E07828"/>
    <w:rsid w:val="00E0783F"/>
    <w:rsid w:val="00E07ABA"/>
    <w:rsid w:val="00E07C77"/>
    <w:rsid w:val="00E103D5"/>
    <w:rsid w:val="00E109C1"/>
    <w:rsid w:val="00E109C2"/>
    <w:rsid w:val="00E10E36"/>
    <w:rsid w:val="00E10F9C"/>
    <w:rsid w:val="00E110B8"/>
    <w:rsid w:val="00E1114D"/>
    <w:rsid w:val="00E11239"/>
    <w:rsid w:val="00E11277"/>
    <w:rsid w:val="00E11282"/>
    <w:rsid w:val="00E1144B"/>
    <w:rsid w:val="00E11495"/>
    <w:rsid w:val="00E116B7"/>
    <w:rsid w:val="00E11807"/>
    <w:rsid w:val="00E11863"/>
    <w:rsid w:val="00E11BA4"/>
    <w:rsid w:val="00E11D0F"/>
    <w:rsid w:val="00E11DF4"/>
    <w:rsid w:val="00E11F48"/>
    <w:rsid w:val="00E11F74"/>
    <w:rsid w:val="00E11FBF"/>
    <w:rsid w:val="00E12161"/>
    <w:rsid w:val="00E12185"/>
    <w:rsid w:val="00E12378"/>
    <w:rsid w:val="00E124AF"/>
    <w:rsid w:val="00E1254F"/>
    <w:rsid w:val="00E126AA"/>
    <w:rsid w:val="00E126B4"/>
    <w:rsid w:val="00E12840"/>
    <w:rsid w:val="00E128FF"/>
    <w:rsid w:val="00E1292C"/>
    <w:rsid w:val="00E12CCF"/>
    <w:rsid w:val="00E12F0C"/>
    <w:rsid w:val="00E130AD"/>
    <w:rsid w:val="00E1321D"/>
    <w:rsid w:val="00E13601"/>
    <w:rsid w:val="00E136BF"/>
    <w:rsid w:val="00E13A75"/>
    <w:rsid w:val="00E13C52"/>
    <w:rsid w:val="00E13FCA"/>
    <w:rsid w:val="00E1419D"/>
    <w:rsid w:val="00E14287"/>
    <w:rsid w:val="00E14311"/>
    <w:rsid w:val="00E143AF"/>
    <w:rsid w:val="00E14A94"/>
    <w:rsid w:val="00E14C5D"/>
    <w:rsid w:val="00E14CC5"/>
    <w:rsid w:val="00E14D2B"/>
    <w:rsid w:val="00E14D9B"/>
    <w:rsid w:val="00E14E5F"/>
    <w:rsid w:val="00E15026"/>
    <w:rsid w:val="00E15122"/>
    <w:rsid w:val="00E154C7"/>
    <w:rsid w:val="00E1554E"/>
    <w:rsid w:val="00E156A1"/>
    <w:rsid w:val="00E156D9"/>
    <w:rsid w:val="00E157D3"/>
    <w:rsid w:val="00E15A4F"/>
    <w:rsid w:val="00E15BB3"/>
    <w:rsid w:val="00E15C78"/>
    <w:rsid w:val="00E15D54"/>
    <w:rsid w:val="00E15DFB"/>
    <w:rsid w:val="00E15E7A"/>
    <w:rsid w:val="00E15FCB"/>
    <w:rsid w:val="00E162A4"/>
    <w:rsid w:val="00E162D7"/>
    <w:rsid w:val="00E164FD"/>
    <w:rsid w:val="00E16569"/>
    <w:rsid w:val="00E16717"/>
    <w:rsid w:val="00E16869"/>
    <w:rsid w:val="00E16888"/>
    <w:rsid w:val="00E1688C"/>
    <w:rsid w:val="00E16A46"/>
    <w:rsid w:val="00E16ACA"/>
    <w:rsid w:val="00E16B61"/>
    <w:rsid w:val="00E16D47"/>
    <w:rsid w:val="00E16F0A"/>
    <w:rsid w:val="00E17245"/>
    <w:rsid w:val="00E1725C"/>
    <w:rsid w:val="00E172B9"/>
    <w:rsid w:val="00E172C5"/>
    <w:rsid w:val="00E17405"/>
    <w:rsid w:val="00E1756C"/>
    <w:rsid w:val="00E177AC"/>
    <w:rsid w:val="00E17B21"/>
    <w:rsid w:val="00E17CFF"/>
    <w:rsid w:val="00E17E8E"/>
    <w:rsid w:val="00E17FF5"/>
    <w:rsid w:val="00E2006F"/>
    <w:rsid w:val="00E205DE"/>
    <w:rsid w:val="00E208C3"/>
    <w:rsid w:val="00E20955"/>
    <w:rsid w:val="00E20995"/>
    <w:rsid w:val="00E20DCA"/>
    <w:rsid w:val="00E20E33"/>
    <w:rsid w:val="00E20E5B"/>
    <w:rsid w:val="00E20EFF"/>
    <w:rsid w:val="00E20FB4"/>
    <w:rsid w:val="00E21414"/>
    <w:rsid w:val="00E21877"/>
    <w:rsid w:val="00E2195C"/>
    <w:rsid w:val="00E219B4"/>
    <w:rsid w:val="00E21AD0"/>
    <w:rsid w:val="00E21CB4"/>
    <w:rsid w:val="00E21D13"/>
    <w:rsid w:val="00E21DEF"/>
    <w:rsid w:val="00E21E4C"/>
    <w:rsid w:val="00E220A4"/>
    <w:rsid w:val="00E220C6"/>
    <w:rsid w:val="00E22629"/>
    <w:rsid w:val="00E22665"/>
    <w:rsid w:val="00E227AE"/>
    <w:rsid w:val="00E22888"/>
    <w:rsid w:val="00E228BA"/>
    <w:rsid w:val="00E229BB"/>
    <w:rsid w:val="00E22BEA"/>
    <w:rsid w:val="00E23185"/>
    <w:rsid w:val="00E231EE"/>
    <w:rsid w:val="00E233E7"/>
    <w:rsid w:val="00E23468"/>
    <w:rsid w:val="00E234DA"/>
    <w:rsid w:val="00E23526"/>
    <w:rsid w:val="00E23659"/>
    <w:rsid w:val="00E2365F"/>
    <w:rsid w:val="00E23780"/>
    <w:rsid w:val="00E2378F"/>
    <w:rsid w:val="00E237EA"/>
    <w:rsid w:val="00E238BC"/>
    <w:rsid w:val="00E23D56"/>
    <w:rsid w:val="00E23E5D"/>
    <w:rsid w:val="00E23F4E"/>
    <w:rsid w:val="00E240C7"/>
    <w:rsid w:val="00E24469"/>
    <w:rsid w:val="00E245D8"/>
    <w:rsid w:val="00E2464C"/>
    <w:rsid w:val="00E246F4"/>
    <w:rsid w:val="00E24799"/>
    <w:rsid w:val="00E2482D"/>
    <w:rsid w:val="00E2486C"/>
    <w:rsid w:val="00E24906"/>
    <w:rsid w:val="00E24A34"/>
    <w:rsid w:val="00E24AD3"/>
    <w:rsid w:val="00E24AF1"/>
    <w:rsid w:val="00E24B28"/>
    <w:rsid w:val="00E24B9E"/>
    <w:rsid w:val="00E24C10"/>
    <w:rsid w:val="00E24C6A"/>
    <w:rsid w:val="00E24C75"/>
    <w:rsid w:val="00E24E36"/>
    <w:rsid w:val="00E24FB5"/>
    <w:rsid w:val="00E2504A"/>
    <w:rsid w:val="00E2508C"/>
    <w:rsid w:val="00E25365"/>
    <w:rsid w:val="00E2555A"/>
    <w:rsid w:val="00E257E2"/>
    <w:rsid w:val="00E25C26"/>
    <w:rsid w:val="00E25E05"/>
    <w:rsid w:val="00E260FA"/>
    <w:rsid w:val="00E261FD"/>
    <w:rsid w:val="00E26772"/>
    <w:rsid w:val="00E26810"/>
    <w:rsid w:val="00E2682C"/>
    <w:rsid w:val="00E269D9"/>
    <w:rsid w:val="00E26CDC"/>
    <w:rsid w:val="00E26DBC"/>
    <w:rsid w:val="00E26EC7"/>
    <w:rsid w:val="00E2709B"/>
    <w:rsid w:val="00E27276"/>
    <w:rsid w:val="00E276A9"/>
    <w:rsid w:val="00E276EA"/>
    <w:rsid w:val="00E27827"/>
    <w:rsid w:val="00E27927"/>
    <w:rsid w:val="00E279F3"/>
    <w:rsid w:val="00E27EAD"/>
    <w:rsid w:val="00E30029"/>
    <w:rsid w:val="00E30037"/>
    <w:rsid w:val="00E301C2"/>
    <w:rsid w:val="00E301D0"/>
    <w:rsid w:val="00E30499"/>
    <w:rsid w:val="00E3074F"/>
    <w:rsid w:val="00E309FD"/>
    <w:rsid w:val="00E30B51"/>
    <w:rsid w:val="00E30B8E"/>
    <w:rsid w:val="00E30ED0"/>
    <w:rsid w:val="00E3102A"/>
    <w:rsid w:val="00E31116"/>
    <w:rsid w:val="00E31290"/>
    <w:rsid w:val="00E316DA"/>
    <w:rsid w:val="00E31767"/>
    <w:rsid w:val="00E318D4"/>
    <w:rsid w:val="00E31A9F"/>
    <w:rsid w:val="00E324BB"/>
    <w:rsid w:val="00E3298C"/>
    <w:rsid w:val="00E32A01"/>
    <w:rsid w:val="00E32A7A"/>
    <w:rsid w:val="00E32B1D"/>
    <w:rsid w:val="00E32ECD"/>
    <w:rsid w:val="00E33042"/>
    <w:rsid w:val="00E3333A"/>
    <w:rsid w:val="00E338C4"/>
    <w:rsid w:val="00E339F0"/>
    <w:rsid w:val="00E33AF5"/>
    <w:rsid w:val="00E33C70"/>
    <w:rsid w:val="00E33C88"/>
    <w:rsid w:val="00E33DFC"/>
    <w:rsid w:val="00E33E33"/>
    <w:rsid w:val="00E33FEE"/>
    <w:rsid w:val="00E341F5"/>
    <w:rsid w:val="00E34287"/>
    <w:rsid w:val="00E34324"/>
    <w:rsid w:val="00E34488"/>
    <w:rsid w:val="00E344CB"/>
    <w:rsid w:val="00E345EC"/>
    <w:rsid w:val="00E34796"/>
    <w:rsid w:val="00E347A0"/>
    <w:rsid w:val="00E34884"/>
    <w:rsid w:val="00E34B1D"/>
    <w:rsid w:val="00E34D8C"/>
    <w:rsid w:val="00E350A0"/>
    <w:rsid w:val="00E35427"/>
    <w:rsid w:val="00E3543E"/>
    <w:rsid w:val="00E354AA"/>
    <w:rsid w:val="00E35718"/>
    <w:rsid w:val="00E35D8F"/>
    <w:rsid w:val="00E35E5F"/>
    <w:rsid w:val="00E35E8B"/>
    <w:rsid w:val="00E35F59"/>
    <w:rsid w:val="00E362E7"/>
    <w:rsid w:val="00E366D7"/>
    <w:rsid w:val="00E36A43"/>
    <w:rsid w:val="00E36CE6"/>
    <w:rsid w:val="00E37017"/>
    <w:rsid w:val="00E37123"/>
    <w:rsid w:val="00E373AC"/>
    <w:rsid w:val="00E373C0"/>
    <w:rsid w:val="00E37424"/>
    <w:rsid w:val="00E375C1"/>
    <w:rsid w:val="00E377E8"/>
    <w:rsid w:val="00E37821"/>
    <w:rsid w:val="00E37841"/>
    <w:rsid w:val="00E379A6"/>
    <w:rsid w:val="00E37A63"/>
    <w:rsid w:val="00E37B7F"/>
    <w:rsid w:val="00E37BFA"/>
    <w:rsid w:val="00E37C66"/>
    <w:rsid w:val="00E37C98"/>
    <w:rsid w:val="00E37E09"/>
    <w:rsid w:val="00E37E42"/>
    <w:rsid w:val="00E37E88"/>
    <w:rsid w:val="00E37F23"/>
    <w:rsid w:val="00E40283"/>
    <w:rsid w:val="00E40444"/>
    <w:rsid w:val="00E40986"/>
    <w:rsid w:val="00E40AFF"/>
    <w:rsid w:val="00E40B2A"/>
    <w:rsid w:val="00E40BCB"/>
    <w:rsid w:val="00E40D46"/>
    <w:rsid w:val="00E40E1F"/>
    <w:rsid w:val="00E40F22"/>
    <w:rsid w:val="00E413D9"/>
    <w:rsid w:val="00E415B1"/>
    <w:rsid w:val="00E416FC"/>
    <w:rsid w:val="00E416FF"/>
    <w:rsid w:val="00E41711"/>
    <w:rsid w:val="00E41C08"/>
    <w:rsid w:val="00E41C77"/>
    <w:rsid w:val="00E41CA3"/>
    <w:rsid w:val="00E41E0A"/>
    <w:rsid w:val="00E41F07"/>
    <w:rsid w:val="00E41FB9"/>
    <w:rsid w:val="00E42369"/>
    <w:rsid w:val="00E4239A"/>
    <w:rsid w:val="00E427F0"/>
    <w:rsid w:val="00E42AC1"/>
    <w:rsid w:val="00E42BE9"/>
    <w:rsid w:val="00E42C72"/>
    <w:rsid w:val="00E42C8F"/>
    <w:rsid w:val="00E42EB4"/>
    <w:rsid w:val="00E42EDF"/>
    <w:rsid w:val="00E42F37"/>
    <w:rsid w:val="00E43055"/>
    <w:rsid w:val="00E43464"/>
    <w:rsid w:val="00E43542"/>
    <w:rsid w:val="00E4394A"/>
    <w:rsid w:val="00E43A9B"/>
    <w:rsid w:val="00E43AED"/>
    <w:rsid w:val="00E43C11"/>
    <w:rsid w:val="00E43D44"/>
    <w:rsid w:val="00E43E21"/>
    <w:rsid w:val="00E44270"/>
    <w:rsid w:val="00E44414"/>
    <w:rsid w:val="00E44472"/>
    <w:rsid w:val="00E44812"/>
    <w:rsid w:val="00E44AD2"/>
    <w:rsid w:val="00E451BE"/>
    <w:rsid w:val="00E4521D"/>
    <w:rsid w:val="00E4564D"/>
    <w:rsid w:val="00E456B4"/>
    <w:rsid w:val="00E457D6"/>
    <w:rsid w:val="00E458E9"/>
    <w:rsid w:val="00E45CD4"/>
    <w:rsid w:val="00E45D80"/>
    <w:rsid w:val="00E45EF9"/>
    <w:rsid w:val="00E46181"/>
    <w:rsid w:val="00E46367"/>
    <w:rsid w:val="00E467BB"/>
    <w:rsid w:val="00E46866"/>
    <w:rsid w:val="00E46BB4"/>
    <w:rsid w:val="00E46F15"/>
    <w:rsid w:val="00E4702A"/>
    <w:rsid w:val="00E470AB"/>
    <w:rsid w:val="00E471D4"/>
    <w:rsid w:val="00E4725C"/>
    <w:rsid w:val="00E47326"/>
    <w:rsid w:val="00E473E6"/>
    <w:rsid w:val="00E4767B"/>
    <w:rsid w:val="00E477EE"/>
    <w:rsid w:val="00E47A69"/>
    <w:rsid w:val="00E47C85"/>
    <w:rsid w:val="00E47DBF"/>
    <w:rsid w:val="00E501F9"/>
    <w:rsid w:val="00E5051B"/>
    <w:rsid w:val="00E50A52"/>
    <w:rsid w:val="00E50B87"/>
    <w:rsid w:val="00E50B9E"/>
    <w:rsid w:val="00E50C35"/>
    <w:rsid w:val="00E50EBA"/>
    <w:rsid w:val="00E50F39"/>
    <w:rsid w:val="00E5108A"/>
    <w:rsid w:val="00E513D4"/>
    <w:rsid w:val="00E51472"/>
    <w:rsid w:val="00E518D2"/>
    <w:rsid w:val="00E51919"/>
    <w:rsid w:val="00E51A0E"/>
    <w:rsid w:val="00E51AB6"/>
    <w:rsid w:val="00E51CE6"/>
    <w:rsid w:val="00E51DF5"/>
    <w:rsid w:val="00E51E3A"/>
    <w:rsid w:val="00E51EAD"/>
    <w:rsid w:val="00E51F58"/>
    <w:rsid w:val="00E521A6"/>
    <w:rsid w:val="00E5237F"/>
    <w:rsid w:val="00E523E2"/>
    <w:rsid w:val="00E5271A"/>
    <w:rsid w:val="00E529A6"/>
    <w:rsid w:val="00E52CF0"/>
    <w:rsid w:val="00E5317E"/>
    <w:rsid w:val="00E532C7"/>
    <w:rsid w:val="00E5330C"/>
    <w:rsid w:val="00E53356"/>
    <w:rsid w:val="00E534C6"/>
    <w:rsid w:val="00E5356B"/>
    <w:rsid w:val="00E535B4"/>
    <w:rsid w:val="00E53967"/>
    <w:rsid w:val="00E53BB4"/>
    <w:rsid w:val="00E53DF1"/>
    <w:rsid w:val="00E53F73"/>
    <w:rsid w:val="00E541A9"/>
    <w:rsid w:val="00E5449D"/>
    <w:rsid w:val="00E545CA"/>
    <w:rsid w:val="00E546DA"/>
    <w:rsid w:val="00E549BF"/>
    <w:rsid w:val="00E54E2F"/>
    <w:rsid w:val="00E54F62"/>
    <w:rsid w:val="00E54FD3"/>
    <w:rsid w:val="00E550B8"/>
    <w:rsid w:val="00E550D5"/>
    <w:rsid w:val="00E552DC"/>
    <w:rsid w:val="00E5545A"/>
    <w:rsid w:val="00E55696"/>
    <w:rsid w:val="00E556F7"/>
    <w:rsid w:val="00E5578F"/>
    <w:rsid w:val="00E55A73"/>
    <w:rsid w:val="00E55B12"/>
    <w:rsid w:val="00E55CDA"/>
    <w:rsid w:val="00E55D5A"/>
    <w:rsid w:val="00E55DD2"/>
    <w:rsid w:val="00E561DE"/>
    <w:rsid w:val="00E56347"/>
    <w:rsid w:val="00E56410"/>
    <w:rsid w:val="00E564DD"/>
    <w:rsid w:val="00E5650C"/>
    <w:rsid w:val="00E56570"/>
    <w:rsid w:val="00E56750"/>
    <w:rsid w:val="00E56AB7"/>
    <w:rsid w:val="00E56DAC"/>
    <w:rsid w:val="00E5716E"/>
    <w:rsid w:val="00E571BB"/>
    <w:rsid w:val="00E573F1"/>
    <w:rsid w:val="00E5744A"/>
    <w:rsid w:val="00E57457"/>
    <w:rsid w:val="00E575F4"/>
    <w:rsid w:val="00E577C9"/>
    <w:rsid w:val="00E57A63"/>
    <w:rsid w:val="00E57BEE"/>
    <w:rsid w:val="00E57C5B"/>
    <w:rsid w:val="00E57EE4"/>
    <w:rsid w:val="00E57F5B"/>
    <w:rsid w:val="00E60023"/>
    <w:rsid w:val="00E60092"/>
    <w:rsid w:val="00E60147"/>
    <w:rsid w:val="00E603B9"/>
    <w:rsid w:val="00E60430"/>
    <w:rsid w:val="00E60774"/>
    <w:rsid w:val="00E6086D"/>
    <w:rsid w:val="00E6092E"/>
    <w:rsid w:val="00E60A17"/>
    <w:rsid w:val="00E60A84"/>
    <w:rsid w:val="00E60B92"/>
    <w:rsid w:val="00E60E57"/>
    <w:rsid w:val="00E60EDA"/>
    <w:rsid w:val="00E613AC"/>
    <w:rsid w:val="00E61404"/>
    <w:rsid w:val="00E61589"/>
    <w:rsid w:val="00E615CB"/>
    <w:rsid w:val="00E61892"/>
    <w:rsid w:val="00E61990"/>
    <w:rsid w:val="00E61B97"/>
    <w:rsid w:val="00E61F08"/>
    <w:rsid w:val="00E620F9"/>
    <w:rsid w:val="00E62134"/>
    <w:rsid w:val="00E62541"/>
    <w:rsid w:val="00E62693"/>
    <w:rsid w:val="00E626CF"/>
    <w:rsid w:val="00E62740"/>
    <w:rsid w:val="00E62C15"/>
    <w:rsid w:val="00E62DFB"/>
    <w:rsid w:val="00E62FE4"/>
    <w:rsid w:val="00E631AB"/>
    <w:rsid w:val="00E63760"/>
    <w:rsid w:val="00E637D7"/>
    <w:rsid w:val="00E6383D"/>
    <w:rsid w:val="00E638A3"/>
    <w:rsid w:val="00E638CA"/>
    <w:rsid w:val="00E63E86"/>
    <w:rsid w:val="00E6435E"/>
    <w:rsid w:val="00E6438A"/>
    <w:rsid w:val="00E643C6"/>
    <w:rsid w:val="00E6493A"/>
    <w:rsid w:val="00E64B24"/>
    <w:rsid w:val="00E64BF6"/>
    <w:rsid w:val="00E64C85"/>
    <w:rsid w:val="00E64CF6"/>
    <w:rsid w:val="00E64D19"/>
    <w:rsid w:val="00E64DF4"/>
    <w:rsid w:val="00E65019"/>
    <w:rsid w:val="00E65145"/>
    <w:rsid w:val="00E652D3"/>
    <w:rsid w:val="00E652EE"/>
    <w:rsid w:val="00E65370"/>
    <w:rsid w:val="00E655E8"/>
    <w:rsid w:val="00E65904"/>
    <w:rsid w:val="00E65AB0"/>
    <w:rsid w:val="00E65FE1"/>
    <w:rsid w:val="00E664AB"/>
    <w:rsid w:val="00E6657E"/>
    <w:rsid w:val="00E665F9"/>
    <w:rsid w:val="00E666B9"/>
    <w:rsid w:val="00E6697E"/>
    <w:rsid w:val="00E66AA4"/>
    <w:rsid w:val="00E66AE7"/>
    <w:rsid w:val="00E66B58"/>
    <w:rsid w:val="00E66E27"/>
    <w:rsid w:val="00E66F79"/>
    <w:rsid w:val="00E670C0"/>
    <w:rsid w:val="00E67128"/>
    <w:rsid w:val="00E675E0"/>
    <w:rsid w:val="00E67A17"/>
    <w:rsid w:val="00E67A21"/>
    <w:rsid w:val="00E67B1C"/>
    <w:rsid w:val="00E67B67"/>
    <w:rsid w:val="00E706CF"/>
    <w:rsid w:val="00E70957"/>
    <w:rsid w:val="00E70B96"/>
    <w:rsid w:val="00E70BF2"/>
    <w:rsid w:val="00E70CEA"/>
    <w:rsid w:val="00E711F6"/>
    <w:rsid w:val="00E718F1"/>
    <w:rsid w:val="00E71C50"/>
    <w:rsid w:val="00E71D34"/>
    <w:rsid w:val="00E71DDF"/>
    <w:rsid w:val="00E7229E"/>
    <w:rsid w:val="00E7248F"/>
    <w:rsid w:val="00E72637"/>
    <w:rsid w:val="00E72859"/>
    <w:rsid w:val="00E72A82"/>
    <w:rsid w:val="00E72B97"/>
    <w:rsid w:val="00E72CA9"/>
    <w:rsid w:val="00E72CE0"/>
    <w:rsid w:val="00E72EBC"/>
    <w:rsid w:val="00E73434"/>
    <w:rsid w:val="00E73524"/>
    <w:rsid w:val="00E73B44"/>
    <w:rsid w:val="00E73BE1"/>
    <w:rsid w:val="00E742D4"/>
    <w:rsid w:val="00E742F5"/>
    <w:rsid w:val="00E74411"/>
    <w:rsid w:val="00E74435"/>
    <w:rsid w:val="00E7444B"/>
    <w:rsid w:val="00E74860"/>
    <w:rsid w:val="00E74A0E"/>
    <w:rsid w:val="00E74B5D"/>
    <w:rsid w:val="00E74B73"/>
    <w:rsid w:val="00E74C0D"/>
    <w:rsid w:val="00E74E72"/>
    <w:rsid w:val="00E74E7B"/>
    <w:rsid w:val="00E74F46"/>
    <w:rsid w:val="00E74F92"/>
    <w:rsid w:val="00E75236"/>
    <w:rsid w:val="00E752B4"/>
    <w:rsid w:val="00E7566E"/>
    <w:rsid w:val="00E75866"/>
    <w:rsid w:val="00E758AD"/>
    <w:rsid w:val="00E75AD9"/>
    <w:rsid w:val="00E75F53"/>
    <w:rsid w:val="00E76430"/>
    <w:rsid w:val="00E7691E"/>
    <w:rsid w:val="00E76A86"/>
    <w:rsid w:val="00E76BAD"/>
    <w:rsid w:val="00E76DAC"/>
    <w:rsid w:val="00E76E17"/>
    <w:rsid w:val="00E76F0F"/>
    <w:rsid w:val="00E774A2"/>
    <w:rsid w:val="00E77594"/>
    <w:rsid w:val="00E775BF"/>
    <w:rsid w:val="00E777F3"/>
    <w:rsid w:val="00E77A79"/>
    <w:rsid w:val="00E77D4E"/>
    <w:rsid w:val="00E77E4B"/>
    <w:rsid w:val="00E77F64"/>
    <w:rsid w:val="00E77F9F"/>
    <w:rsid w:val="00E8010C"/>
    <w:rsid w:val="00E801BC"/>
    <w:rsid w:val="00E80565"/>
    <w:rsid w:val="00E80696"/>
    <w:rsid w:val="00E807F7"/>
    <w:rsid w:val="00E80816"/>
    <w:rsid w:val="00E80898"/>
    <w:rsid w:val="00E80AF8"/>
    <w:rsid w:val="00E80BDD"/>
    <w:rsid w:val="00E80F4D"/>
    <w:rsid w:val="00E80F99"/>
    <w:rsid w:val="00E810FB"/>
    <w:rsid w:val="00E81119"/>
    <w:rsid w:val="00E81429"/>
    <w:rsid w:val="00E8145B"/>
    <w:rsid w:val="00E816B3"/>
    <w:rsid w:val="00E817E4"/>
    <w:rsid w:val="00E81B1A"/>
    <w:rsid w:val="00E82276"/>
    <w:rsid w:val="00E8231F"/>
    <w:rsid w:val="00E824DB"/>
    <w:rsid w:val="00E82880"/>
    <w:rsid w:val="00E82885"/>
    <w:rsid w:val="00E82958"/>
    <w:rsid w:val="00E829CA"/>
    <w:rsid w:val="00E82B73"/>
    <w:rsid w:val="00E82BD3"/>
    <w:rsid w:val="00E82BEA"/>
    <w:rsid w:val="00E831E5"/>
    <w:rsid w:val="00E83371"/>
    <w:rsid w:val="00E834C0"/>
    <w:rsid w:val="00E83505"/>
    <w:rsid w:val="00E83650"/>
    <w:rsid w:val="00E836A9"/>
    <w:rsid w:val="00E838E0"/>
    <w:rsid w:val="00E839C1"/>
    <w:rsid w:val="00E847BE"/>
    <w:rsid w:val="00E847DF"/>
    <w:rsid w:val="00E848C5"/>
    <w:rsid w:val="00E84B9A"/>
    <w:rsid w:val="00E8509A"/>
    <w:rsid w:val="00E8527D"/>
    <w:rsid w:val="00E8529E"/>
    <w:rsid w:val="00E8576B"/>
    <w:rsid w:val="00E857E8"/>
    <w:rsid w:val="00E858B5"/>
    <w:rsid w:val="00E85A5D"/>
    <w:rsid w:val="00E85CB9"/>
    <w:rsid w:val="00E85EF5"/>
    <w:rsid w:val="00E86028"/>
    <w:rsid w:val="00E860BF"/>
    <w:rsid w:val="00E862B9"/>
    <w:rsid w:val="00E864A7"/>
    <w:rsid w:val="00E865F0"/>
    <w:rsid w:val="00E86684"/>
    <w:rsid w:val="00E86795"/>
    <w:rsid w:val="00E86B7B"/>
    <w:rsid w:val="00E86DBD"/>
    <w:rsid w:val="00E86E07"/>
    <w:rsid w:val="00E86EF5"/>
    <w:rsid w:val="00E874B0"/>
    <w:rsid w:val="00E874FA"/>
    <w:rsid w:val="00E87908"/>
    <w:rsid w:val="00E87AE5"/>
    <w:rsid w:val="00E87CAD"/>
    <w:rsid w:val="00E90021"/>
    <w:rsid w:val="00E90097"/>
    <w:rsid w:val="00E900F1"/>
    <w:rsid w:val="00E90341"/>
    <w:rsid w:val="00E90443"/>
    <w:rsid w:val="00E90457"/>
    <w:rsid w:val="00E904AF"/>
    <w:rsid w:val="00E90533"/>
    <w:rsid w:val="00E90685"/>
    <w:rsid w:val="00E90A6D"/>
    <w:rsid w:val="00E90B49"/>
    <w:rsid w:val="00E90B9C"/>
    <w:rsid w:val="00E90D4C"/>
    <w:rsid w:val="00E90DAB"/>
    <w:rsid w:val="00E910DB"/>
    <w:rsid w:val="00E91488"/>
    <w:rsid w:val="00E915EB"/>
    <w:rsid w:val="00E9163D"/>
    <w:rsid w:val="00E91732"/>
    <w:rsid w:val="00E917FC"/>
    <w:rsid w:val="00E91860"/>
    <w:rsid w:val="00E91C12"/>
    <w:rsid w:val="00E91CEC"/>
    <w:rsid w:val="00E91E5B"/>
    <w:rsid w:val="00E91FD2"/>
    <w:rsid w:val="00E91FF3"/>
    <w:rsid w:val="00E921B0"/>
    <w:rsid w:val="00E92395"/>
    <w:rsid w:val="00E923F1"/>
    <w:rsid w:val="00E924A7"/>
    <w:rsid w:val="00E9256D"/>
    <w:rsid w:val="00E9283C"/>
    <w:rsid w:val="00E92A06"/>
    <w:rsid w:val="00E92AC9"/>
    <w:rsid w:val="00E92B67"/>
    <w:rsid w:val="00E92BCD"/>
    <w:rsid w:val="00E92C15"/>
    <w:rsid w:val="00E92C75"/>
    <w:rsid w:val="00E92F17"/>
    <w:rsid w:val="00E932AE"/>
    <w:rsid w:val="00E93486"/>
    <w:rsid w:val="00E937DD"/>
    <w:rsid w:val="00E93D55"/>
    <w:rsid w:val="00E93E02"/>
    <w:rsid w:val="00E93E4C"/>
    <w:rsid w:val="00E94166"/>
    <w:rsid w:val="00E9431A"/>
    <w:rsid w:val="00E9446E"/>
    <w:rsid w:val="00E94595"/>
    <w:rsid w:val="00E9460B"/>
    <w:rsid w:val="00E9498C"/>
    <w:rsid w:val="00E9499F"/>
    <w:rsid w:val="00E94C89"/>
    <w:rsid w:val="00E94FC8"/>
    <w:rsid w:val="00E9505D"/>
    <w:rsid w:val="00E950C0"/>
    <w:rsid w:val="00E951AA"/>
    <w:rsid w:val="00E954B7"/>
    <w:rsid w:val="00E95564"/>
    <w:rsid w:val="00E95649"/>
    <w:rsid w:val="00E957FD"/>
    <w:rsid w:val="00E95868"/>
    <w:rsid w:val="00E95CEB"/>
    <w:rsid w:val="00E95FB5"/>
    <w:rsid w:val="00E96265"/>
    <w:rsid w:val="00E9627C"/>
    <w:rsid w:val="00E9639D"/>
    <w:rsid w:val="00E963D4"/>
    <w:rsid w:val="00E96768"/>
    <w:rsid w:val="00E96CCA"/>
    <w:rsid w:val="00E96E58"/>
    <w:rsid w:val="00E96FDB"/>
    <w:rsid w:val="00E976AC"/>
    <w:rsid w:val="00E9794E"/>
    <w:rsid w:val="00E97C05"/>
    <w:rsid w:val="00E97C3D"/>
    <w:rsid w:val="00E97CF8"/>
    <w:rsid w:val="00E97DF4"/>
    <w:rsid w:val="00E97E43"/>
    <w:rsid w:val="00E97FF0"/>
    <w:rsid w:val="00EA0075"/>
    <w:rsid w:val="00EA00F9"/>
    <w:rsid w:val="00EA031F"/>
    <w:rsid w:val="00EA032A"/>
    <w:rsid w:val="00EA0491"/>
    <w:rsid w:val="00EA059C"/>
    <w:rsid w:val="00EA074A"/>
    <w:rsid w:val="00EA0D29"/>
    <w:rsid w:val="00EA107B"/>
    <w:rsid w:val="00EA112C"/>
    <w:rsid w:val="00EA1186"/>
    <w:rsid w:val="00EA159C"/>
    <w:rsid w:val="00EA1639"/>
    <w:rsid w:val="00EA185E"/>
    <w:rsid w:val="00EA193F"/>
    <w:rsid w:val="00EA195C"/>
    <w:rsid w:val="00EA1B7D"/>
    <w:rsid w:val="00EA1C17"/>
    <w:rsid w:val="00EA1E48"/>
    <w:rsid w:val="00EA20AF"/>
    <w:rsid w:val="00EA2328"/>
    <w:rsid w:val="00EA23F6"/>
    <w:rsid w:val="00EA246E"/>
    <w:rsid w:val="00EA2A35"/>
    <w:rsid w:val="00EA2A96"/>
    <w:rsid w:val="00EA2BC3"/>
    <w:rsid w:val="00EA2E80"/>
    <w:rsid w:val="00EA34D0"/>
    <w:rsid w:val="00EA356A"/>
    <w:rsid w:val="00EA3575"/>
    <w:rsid w:val="00EA35EA"/>
    <w:rsid w:val="00EA3CF7"/>
    <w:rsid w:val="00EA3D57"/>
    <w:rsid w:val="00EA3EC6"/>
    <w:rsid w:val="00EA3ED8"/>
    <w:rsid w:val="00EA40A6"/>
    <w:rsid w:val="00EA417E"/>
    <w:rsid w:val="00EA4223"/>
    <w:rsid w:val="00EA4232"/>
    <w:rsid w:val="00EA42CF"/>
    <w:rsid w:val="00EA43AA"/>
    <w:rsid w:val="00EA43EE"/>
    <w:rsid w:val="00EA445C"/>
    <w:rsid w:val="00EA44D4"/>
    <w:rsid w:val="00EA4645"/>
    <w:rsid w:val="00EA478E"/>
    <w:rsid w:val="00EA4D40"/>
    <w:rsid w:val="00EA4EA9"/>
    <w:rsid w:val="00EA5039"/>
    <w:rsid w:val="00EA55A1"/>
    <w:rsid w:val="00EA55CB"/>
    <w:rsid w:val="00EA59C6"/>
    <w:rsid w:val="00EA5C6C"/>
    <w:rsid w:val="00EA6342"/>
    <w:rsid w:val="00EA634B"/>
    <w:rsid w:val="00EA638B"/>
    <w:rsid w:val="00EA6390"/>
    <w:rsid w:val="00EA63C3"/>
    <w:rsid w:val="00EA63F9"/>
    <w:rsid w:val="00EA64A8"/>
    <w:rsid w:val="00EA64AE"/>
    <w:rsid w:val="00EA6858"/>
    <w:rsid w:val="00EA68DA"/>
    <w:rsid w:val="00EA6BA8"/>
    <w:rsid w:val="00EA6D62"/>
    <w:rsid w:val="00EA6E9D"/>
    <w:rsid w:val="00EA70CF"/>
    <w:rsid w:val="00EA70F5"/>
    <w:rsid w:val="00EA75E0"/>
    <w:rsid w:val="00EA76EE"/>
    <w:rsid w:val="00EA7929"/>
    <w:rsid w:val="00EA79F7"/>
    <w:rsid w:val="00EA7AEE"/>
    <w:rsid w:val="00EA7F09"/>
    <w:rsid w:val="00EB0162"/>
    <w:rsid w:val="00EB0165"/>
    <w:rsid w:val="00EB031F"/>
    <w:rsid w:val="00EB068D"/>
    <w:rsid w:val="00EB07FA"/>
    <w:rsid w:val="00EB08A6"/>
    <w:rsid w:val="00EB0BE2"/>
    <w:rsid w:val="00EB0E5A"/>
    <w:rsid w:val="00EB0E9F"/>
    <w:rsid w:val="00EB0EEF"/>
    <w:rsid w:val="00EB1029"/>
    <w:rsid w:val="00EB1098"/>
    <w:rsid w:val="00EB10AC"/>
    <w:rsid w:val="00EB13D5"/>
    <w:rsid w:val="00EB184B"/>
    <w:rsid w:val="00EB196D"/>
    <w:rsid w:val="00EB196F"/>
    <w:rsid w:val="00EB19F8"/>
    <w:rsid w:val="00EB1C11"/>
    <w:rsid w:val="00EB1EC9"/>
    <w:rsid w:val="00EB2100"/>
    <w:rsid w:val="00EB21DB"/>
    <w:rsid w:val="00EB2242"/>
    <w:rsid w:val="00EB2363"/>
    <w:rsid w:val="00EB2553"/>
    <w:rsid w:val="00EB280B"/>
    <w:rsid w:val="00EB2B5E"/>
    <w:rsid w:val="00EB2F60"/>
    <w:rsid w:val="00EB3295"/>
    <w:rsid w:val="00EB338A"/>
    <w:rsid w:val="00EB356D"/>
    <w:rsid w:val="00EB3C4D"/>
    <w:rsid w:val="00EB3CE5"/>
    <w:rsid w:val="00EB3D5C"/>
    <w:rsid w:val="00EB3F40"/>
    <w:rsid w:val="00EB3FB9"/>
    <w:rsid w:val="00EB40D3"/>
    <w:rsid w:val="00EB47C0"/>
    <w:rsid w:val="00EB4A21"/>
    <w:rsid w:val="00EB4A93"/>
    <w:rsid w:val="00EB4C29"/>
    <w:rsid w:val="00EB506B"/>
    <w:rsid w:val="00EB50A1"/>
    <w:rsid w:val="00EB59CF"/>
    <w:rsid w:val="00EB5A97"/>
    <w:rsid w:val="00EB5C8A"/>
    <w:rsid w:val="00EB5CEC"/>
    <w:rsid w:val="00EB5D5E"/>
    <w:rsid w:val="00EB6082"/>
    <w:rsid w:val="00EB6283"/>
    <w:rsid w:val="00EB641F"/>
    <w:rsid w:val="00EB6731"/>
    <w:rsid w:val="00EB6750"/>
    <w:rsid w:val="00EB67A9"/>
    <w:rsid w:val="00EB6889"/>
    <w:rsid w:val="00EB69A1"/>
    <w:rsid w:val="00EB6AB9"/>
    <w:rsid w:val="00EB6B3C"/>
    <w:rsid w:val="00EB6D31"/>
    <w:rsid w:val="00EB6E7D"/>
    <w:rsid w:val="00EB71E0"/>
    <w:rsid w:val="00EB72B3"/>
    <w:rsid w:val="00EB745E"/>
    <w:rsid w:val="00EB7715"/>
    <w:rsid w:val="00EB784E"/>
    <w:rsid w:val="00EB7867"/>
    <w:rsid w:val="00EB7A93"/>
    <w:rsid w:val="00EB7EFB"/>
    <w:rsid w:val="00EC019B"/>
    <w:rsid w:val="00EC06CC"/>
    <w:rsid w:val="00EC078F"/>
    <w:rsid w:val="00EC07E9"/>
    <w:rsid w:val="00EC0C61"/>
    <w:rsid w:val="00EC0C80"/>
    <w:rsid w:val="00EC0CAD"/>
    <w:rsid w:val="00EC0DFD"/>
    <w:rsid w:val="00EC109E"/>
    <w:rsid w:val="00EC10A0"/>
    <w:rsid w:val="00EC1195"/>
    <w:rsid w:val="00EC1367"/>
    <w:rsid w:val="00EC1383"/>
    <w:rsid w:val="00EC13D0"/>
    <w:rsid w:val="00EC1403"/>
    <w:rsid w:val="00EC1591"/>
    <w:rsid w:val="00EC16C6"/>
    <w:rsid w:val="00EC16F1"/>
    <w:rsid w:val="00EC1820"/>
    <w:rsid w:val="00EC1C8A"/>
    <w:rsid w:val="00EC1DFD"/>
    <w:rsid w:val="00EC20D8"/>
    <w:rsid w:val="00EC282D"/>
    <w:rsid w:val="00EC2840"/>
    <w:rsid w:val="00EC29B0"/>
    <w:rsid w:val="00EC2A22"/>
    <w:rsid w:val="00EC2B0D"/>
    <w:rsid w:val="00EC2BBB"/>
    <w:rsid w:val="00EC2EAF"/>
    <w:rsid w:val="00EC30D2"/>
    <w:rsid w:val="00EC3104"/>
    <w:rsid w:val="00EC3377"/>
    <w:rsid w:val="00EC3573"/>
    <w:rsid w:val="00EC384D"/>
    <w:rsid w:val="00EC3874"/>
    <w:rsid w:val="00EC3D80"/>
    <w:rsid w:val="00EC3D89"/>
    <w:rsid w:val="00EC410A"/>
    <w:rsid w:val="00EC419F"/>
    <w:rsid w:val="00EC424E"/>
    <w:rsid w:val="00EC4EBB"/>
    <w:rsid w:val="00EC4EC4"/>
    <w:rsid w:val="00EC50A2"/>
    <w:rsid w:val="00EC518D"/>
    <w:rsid w:val="00EC52B8"/>
    <w:rsid w:val="00EC545A"/>
    <w:rsid w:val="00EC54F8"/>
    <w:rsid w:val="00EC5791"/>
    <w:rsid w:val="00EC57C6"/>
    <w:rsid w:val="00EC5E4E"/>
    <w:rsid w:val="00EC5E82"/>
    <w:rsid w:val="00EC5FB8"/>
    <w:rsid w:val="00EC6029"/>
    <w:rsid w:val="00EC628D"/>
    <w:rsid w:val="00EC65D8"/>
    <w:rsid w:val="00EC6692"/>
    <w:rsid w:val="00EC6763"/>
    <w:rsid w:val="00EC687F"/>
    <w:rsid w:val="00EC698A"/>
    <w:rsid w:val="00EC6A14"/>
    <w:rsid w:val="00EC6C28"/>
    <w:rsid w:val="00EC6D0E"/>
    <w:rsid w:val="00EC6DFD"/>
    <w:rsid w:val="00EC6E74"/>
    <w:rsid w:val="00EC6EF3"/>
    <w:rsid w:val="00EC6FE3"/>
    <w:rsid w:val="00EC7048"/>
    <w:rsid w:val="00EC71CB"/>
    <w:rsid w:val="00EC71D1"/>
    <w:rsid w:val="00EC769C"/>
    <w:rsid w:val="00EC76F3"/>
    <w:rsid w:val="00EC7797"/>
    <w:rsid w:val="00EC78BC"/>
    <w:rsid w:val="00EC78E2"/>
    <w:rsid w:val="00EC7A3D"/>
    <w:rsid w:val="00EC7B3E"/>
    <w:rsid w:val="00EC7D87"/>
    <w:rsid w:val="00EC7E17"/>
    <w:rsid w:val="00EC7F7D"/>
    <w:rsid w:val="00ED05D6"/>
    <w:rsid w:val="00ED05E5"/>
    <w:rsid w:val="00ED060E"/>
    <w:rsid w:val="00ED073C"/>
    <w:rsid w:val="00ED0A83"/>
    <w:rsid w:val="00ED0C6F"/>
    <w:rsid w:val="00ED0D88"/>
    <w:rsid w:val="00ED1274"/>
    <w:rsid w:val="00ED13D1"/>
    <w:rsid w:val="00ED18FE"/>
    <w:rsid w:val="00ED1AA8"/>
    <w:rsid w:val="00ED1C07"/>
    <w:rsid w:val="00ED1CD3"/>
    <w:rsid w:val="00ED1D69"/>
    <w:rsid w:val="00ED20BF"/>
    <w:rsid w:val="00ED2223"/>
    <w:rsid w:val="00ED233E"/>
    <w:rsid w:val="00ED2493"/>
    <w:rsid w:val="00ED250E"/>
    <w:rsid w:val="00ED29F2"/>
    <w:rsid w:val="00ED2B3C"/>
    <w:rsid w:val="00ED2B95"/>
    <w:rsid w:val="00ED2D3B"/>
    <w:rsid w:val="00ED2F4B"/>
    <w:rsid w:val="00ED2FCC"/>
    <w:rsid w:val="00ED3028"/>
    <w:rsid w:val="00ED3041"/>
    <w:rsid w:val="00ED3091"/>
    <w:rsid w:val="00ED30B0"/>
    <w:rsid w:val="00ED32F9"/>
    <w:rsid w:val="00ED3487"/>
    <w:rsid w:val="00ED3589"/>
    <w:rsid w:val="00ED37F1"/>
    <w:rsid w:val="00ED3A81"/>
    <w:rsid w:val="00ED3C1E"/>
    <w:rsid w:val="00ED3F32"/>
    <w:rsid w:val="00ED3F8D"/>
    <w:rsid w:val="00ED3FC2"/>
    <w:rsid w:val="00ED4646"/>
    <w:rsid w:val="00ED472A"/>
    <w:rsid w:val="00ED4967"/>
    <w:rsid w:val="00ED4A31"/>
    <w:rsid w:val="00ED4C12"/>
    <w:rsid w:val="00ED4C66"/>
    <w:rsid w:val="00ED4E12"/>
    <w:rsid w:val="00ED4E33"/>
    <w:rsid w:val="00ED50D8"/>
    <w:rsid w:val="00ED53B0"/>
    <w:rsid w:val="00ED55DF"/>
    <w:rsid w:val="00ED5646"/>
    <w:rsid w:val="00ED5C72"/>
    <w:rsid w:val="00ED5FD2"/>
    <w:rsid w:val="00ED6182"/>
    <w:rsid w:val="00ED619E"/>
    <w:rsid w:val="00ED677F"/>
    <w:rsid w:val="00ED67CE"/>
    <w:rsid w:val="00ED67DD"/>
    <w:rsid w:val="00ED68A8"/>
    <w:rsid w:val="00ED6C86"/>
    <w:rsid w:val="00ED6DA5"/>
    <w:rsid w:val="00ED73D5"/>
    <w:rsid w:val="00ED7559"/>
    <w:rsid w:val="00ED7571"/>
    <w:rsid w:val="00ED7637"/>
    <w:rsid w:val="00ED7757"/>
    <w:rsid w:val="00ED7A84"/>
    <w:rsid w:val="00EE0279"/>
    <w:rsid w:val="00EE0436"/>
    <w:rsid w:val="00EE0538"/>
    <w:rsid w:val="00EE05EC"/>
    <w:rsid w:val="00EE0625"/>
    <w:rsid w:val="00EE0856"/>
    <w:rsid w:val="00EE0A4C"/>
    <w:rsid w:val="00EE0B6E"/>
    <w:rsid w:val="00EE0CF4"/>
    <w:rsid w:val="00EE0F57"/>
    <w:rsid w:val="00EE0F97"/>
    <w:rsid w:val="00EE1046"/>
    <w:rsid w:val="00EE1596"/>
    <w:rsid w:val="00EE1654"/>
    <w:rsid w:val="00EE169D"/>
    <w:rsid w:val="00EE1807"/>
    <w:rsid w:val="00EE1B10"/>
    <w:rsid w:val="00EE1DEC"/>
    <w:rsid w:val="00EE1F65"/>
    <w:rsid w:val="00EE20BD"/>
    <w:rsid w:val="00EE226A"/>
    <w:rsid w:val="00EE2371"/>
    <w:rsid w:val="00EE2372"/>
    <w:rsid w:val="00EE2451"/>
    <w:rsid w:val="00EE2762"/>
    <w:rsid w:val="00EE28A4"/>
    <w:rsid w:val="00EE28CE"/>
    <w:rsid w:val="00EE28F4"/>
    <w:rsid w:val="00EE2A71"/>
    <w:rsid w:val="00EE2B0A"/>
    <w:rsid w:val="00EE2D19"/>
    <w:rsid w:val="00EE3728"/>
    <w:rsid w:val="00EE38B6"/>
    <w:rsid w:val="00EE39B0"/>
    <w:rsid w:val="00EE39C1"/>
    <w:rsid w:val="00EE3E7B"/>
    <w:rsid w:val="00EE3E83"/>
    <w:rsid w:val="00EE4261"/>
    <w:rsid w:val="00EE4493"/>
    <w:rsid w:val="00EE452E"/>
    <w:rsid w:val="00EE45C5"/>
    <w:rsid w:val="00EE46BE"/>
    <w:rsid w:val="00EE4ADF"/>
    <w:rsid w:val="00EE4B3E"/>
    <w:rsid w:val="00EE5365"/>
    <w:rsid w:val="00EE5A6B"/>
    <w:rsid w:val="00EE5B3C"/>
    <w:rsid w:val="00EE5E29"/>
    <w:rsid w:val="00EE5F75"/>
    <w:rsid w:val="00EE6249"/>
    <w:rsid w:val="00EE63BE"/>
    <w:rsid w:val="00EE6603"/>
    <w:rsid w:val="00EE66B9"/>
    <w:rsid w:val="00EE66F7"/>
    <w:rsid w:val="00EE6972"/>
    <w:rsid w:val="00EE6A2B"/>
    <w:rsid w:val="00EE6B04"/>
    <w:rsid w:val="00EE6B80"/>
    <w:rsid w:val="00EE6B89"/>
    <w:rsid w:val="00EE712F"/>
    <w:rsid w:val="00EE7150"/>
    <w:rsid w:val="00EE71B2"/>
    <w:rsid w:val="00EE7342"/>
    <w:rsid w:val="00EE73B5"/>
    <w:rsid w:val="00EE7522"/>
    <w:rsid w:val="00EE76B3"/>
    <w:rsid w:val="00EE79AF"/>
    <w:rsid w:val="00EE79C6"/>
    <w:rsid w:val="00EE7B01"/>
    <w:rsid w:val="00EE7BCD"/>
    <w:rsid w:val="00EE7BF5"/>
    <w:rsid w:val="00EE7CAE"/>
    <w:rsid w:val="00EE7D54"/>
    <w:rsid w:val="00EF0024"/>
    <w:rsid w:val="00EF01B8"/>
    <w:rsid w:val="00EF0633"/>
    <w:rsid w:val="00EF0799"/>
    <w:rsid w:val="00EF0807"/>
    <w:rsid w:val="00EF089A"/>
    <w:rsid w:val="00EF09CD"/>
    <w:rsid w:val="00EF0B2E"/>
    <w:rsid w:val="00EF0FCC"/>
    <w:rsid w:val="00EF10CC"/>
    <w:rsid w:val="00EF10E4"/>
    <w:rsid w:val="00EF12C5"/>
    <w:rsid w:val="00EF15F5"/>
    <w:rsid w:val="00EF1807"/>
    <w:rsid w:val="00EF1903"/>
    <w:rsid w:val="00EF194C"/>
    <w:rsid w:val="00EF1AF5"/>
    <w:rsid w:val="00EF1C75"/>
    <w:rsid w:val="00EF1EB2"/>
    <w:rsid w:val="00EF2006"/>
    <w:rsid w:val="00EF21AF"/>
    <w:rsid w:val="00EF2277"/>
    <w:rsid w:val="00EF22DE"/>
    <w:rsid w:val="00EF24F7"/>
    <w:rsid w:val="00EF2549"/>
    <w:rsid w:val="00EF2707"/>
    <w:rsid w:val="00EF2722"/>
    <w:rsid w:val="00EF28B0"/>
    <w:rsid w:val="00EF2A35"/>
    <w:rsid w:val="00EF2B93"/>
    <w:rsid w:val="00EF2DB3"/>
    <w:rsid w:val="00EF363D"/>
    <w:rsid w:val="00EF3850"/>
    <w:rsid w:val="00EF3F54"/>
    <w:rsid w:val="00EF40A5"/>
    <w:rsid w:val="00EF40BE"/>
    <w:rsid w:val="00EF416B"/>
    <w:rsid w:val="00EF41C4"/>
    <w:rsid w:val="00EF41D3"/>
    <w:rsid w:val="00EF4469"/>
    <w:rsid w:val="00EF46B2"/>
    <w:rsid w:val="00EF4AE4"/>
    <w:rsid w:val="00EF4BC3"/>
    <w:rsid w:val="00EF4EC2"/>
    <w:rsid w:val="00EF4F16"/>
    <w:rsid w:val="00EF5107"/>
    <w:rsid w:val="00EF573E"/>
    <w:rsid w:val="00EF58DD"/>
    <w:rsid w:val="00EF5B55"/>
    <w:rsid w:val="00EF5CE4"/>
    <w:rsid w:val="00EF5D0F"/>
    <w:rsid w:val="00EF5E9A"/>
    <w:rsid w:val="00EF5EEA"/>
    <w:rsid w:val="00EF5F33"/>
    <w:rsid w:val="00EF5F36"/>
    <w:rsid w:val="00EF5F87"/>
    <w:rsid w:val="00EF60A2"/>
    <w:rsid w:val="00EF6149"/>
    <w:rsid w:val="00EF61E6"/>
    <w:rsid w:val="00EF623C"/>
    <w:rsid w:val="00EF6294"/>
    <w:rsid w:val="00EF6601"/>
    <w:rsid w:val="00EF6677"/>
    <w:rsid w:val="00EF6805"/>
    <w:rsid w:val="00EF696D"/>
    <w:rsid w:val="00EF6D9B"/>
    <w:rsid w:val="00EF6DF1"/>
    <w:rsid w:val="00EF6EAE"/>
    <w:rsid w:val="00EF711F"/>
    <w:rsid w:val="00EF730B"/>
    <w:rsid w:val="00EF7410"/>
    <w:rsid w:val="00EF768F"/>
    <w:rsid w:val="00EF77EA"/>
    <w:rsid w:val="00EF7842"/>
    <w:rsid w:val="00EF78A0"/>
    <w:rsid w:val="00EF793D"/>
    <w:rsid w:val="00EF7B81"/>
    <w:rsid w:val="00EF7C5D"/>
    <w:rsid w:val="00EF7CF2"/>
    <w:rsid w:val="00EF7D85"/>
    <w:rsid w:val="00EF7F31"/>
    <w:rsid w:val="00F00508"/>
    <w:rsid w:val="00F006FC"/>
    <w:rsid w:val="00F00B2E"/>
    <w:rsid w:val="00F01351"/>
    <w:rsid w:val="00F01490"/>
    <w:rsid w:val="00F015D3"/>
    <w:rsid w:val="00F01820"/>
    <w:rsid w:val="00F0193F"/>
    <w:rsid w:val="00F01B70"/>
    <w:rsid w:val="00F01C5B"/>
    <w:rsid w:val="00F01D35"/>
    <w:rsid w:val="00F01E52"/>
    <w:rsid w:val="00F020F3"/>
    <w:rsid w:val="00F022A4"/>
    <w:rsid w:val="00F022A8"/>
    <w:rsid w:val="00F02473"/>
    <w:rsid w:val="00F02479"/>
    <w:rsid w:val="00F02484"/>
    <w:rsid w:val="00F0256E"/>
    <w:rsid w:val="00F02762"/>
    <w:rsid w:val="00F028E4"/>
    <w:rsid w:val="00F029A8"/>
    <w:rsid w:val="00F02DCB"/>
    <w:rsid w:val="00F02E15"/>
    <w:rsid w:val="00F02FDC"/>
    <w:rsid w:val="00F03179"/>
    <w:rsid w:val="00F0319D"/>
    <w:rsid w:val="00F0350A"/>
    <w:rsid w:val="00F0367A"/>
    <w:rsid w:val="00F0389E"/>
    <w:rsid w:val="00F04102"/>
    <w:rsid w:val="00F04286"/>
    <w:rsid w:val="00F042DC"/>
    <w:rsid w:val="00F04309"/>
    <w:rsid w:val="00F0448B"/>
    <w:rsid w:val="00F0455B"/>
    <w:rsid w:val="00F0463B"/>
    <w:rsid w:val="00F04689"/>
    <w:rsid w:val="00F046BD"/>
    <w:rsid w:val="00F0496B"/>
    <w:rsid w:val="00F04A1E"/>
    <w:rsid w:val="00F04C12"/>
    <w:rsid w:val="00F04C78"/>
    <w:rsid w:val="00F04CCA"/>
    <w:rsid w:val="00F04D59"/>
    <w:rsid w:val="00F04D63"/>
    <w:rsid w:val="00F04E40"/>
    <w:rsid w:val="00F04E72"/>
    <w:rsid w:val="00F05074"/>
    <w:rsid w:val="00F0526B"/>
    <w:rsid w:val="00F0534B"/>
    <w:rsid w:val="00F05634"/>
    <w:rsid w:val="00F0576E"/>
    <w:rsid w:val="00F057C2"/>
    <w:rsid w:val="00F0584D"/>
    <w:rsid w:val="00F05999"/>
    <w:rsid w:val="00F059AB"/>
    <w:rsid w:val="00F05B05"/>
    <w:rsid w:val="00F05B94"/>
    <w:rsid w:val="00F05D10"/>
    <w:rsid w:val="00F05E05"/>
    <w:rsid w:val="00F0613C"/>
    <w:rsid w:val="00F06322"/>
    <w:rsid w:val="00F06346"/>
    <w:rsid w:val="00F06675"/>
    <w:rsid w:val="00F06894"/>
    <w:rsid w:val="00F06906"/>
    <w:rsid w:val="00F06BB1"/>
    <w:rsid w:val="00F06C35"/>
    <w:rsid w:val="00F06DDD"/>
    <w:rsid w:val="00F06F39"/>
    <w:rsid w:val="00F07099"/>
    <w:rsid w:val="00F074FA"/>
    <w:rsid w:val="00F07A90"/>
    <w:rsid w:val="00F07B75"/>
    <w:rsid w:val="00F07DA8"/>
    <w:rsid w:val="00F102A7"/>
    <w:rsid w:val="00F105EA"/>
    <w:rsid w:val="00F107E1"/>
    <w:rsid w:val="00F10AE4"/>
    <w:rsid w:val="00F10B8A"/>
    <w:rsid w:val="00F10F10"/>
    <w:rsid w:val="00F1102A"/>
    <w:rsid w:val="00F1106A"/>
    <w:rsid w:val="00F1109A"/>
    <w:rsid w:val="00F11117"/>
    <w:rsid w:val="00F111B2"/>
    <w:rsid w:val="00F111B8"/>
    <w:rsid w:val="00F112B0"/>
    <w:rsid w:val="00F11304"/>
    <w:rsid w:val="00F1137F"/>
    <w:rsid w:val="00F11463"/>
    <w:rsid w:val="00F11676"/>
    <w:rsid w:val="00F11768"/>
    <w:rsid w:val="00F11B27"/>
    <w:rsid w:val="00F11D55"/>
    <w:rsid w:val="00F11DC7"/>
    <w:rsid w:val="00F11E52"/>
    <w:rsid w:val="00F11FA7"/>
    <w:rsid w:val="00F12404"/>
    <w:rsid w:val="00F12541"/>
    <w:rsid w:val="00F1259D"/>
    <w:rsid w:val="00F127B5"/>
    <w:rsid w:val="00F1287E"/>
    <w:rsid w:val="00F12B23"/>
    <w:rsid w:val="00F12E11"/>
    <w:rsid w:val="00F13436"/>
    <w:rsid w:val="00F13455"/>
    <w:rsid w:val="00F13580"/>
    <w:rsid w:val="00F13586"/>
    <w:rsid w:val="00F13869"/>
    <w:rsid w:val="00F13E3F"/>
    <w:rsid w:val="00F14091"/>
    <w:rsid w:val="00F14322"/>
    <w:rsid w:val="00F143EE"/>
    <w:rsid w:val="00F14435"/>
    <w:rsid w:val="00F145E6"/>
    <w:rsid w:val="00F14B2E"/>
    <w:rsid w:val="00F14B3F"/>
    <w:rsid w:val="00F14C45"/>
    <w:rsid w:val="00F14CD7"/>
    <w:rsid w:val="00F14DB0"/>
    <w:rsid w:val="00F14F2E"/>
    <w:rsid w:val="00F15003"/>
    <w:rsid w:val="00F1510D"/>
    <w:rsid w:val="00F15233"/>
    <w:rsid w:val="00F15372"/>
    <w:rsid w:val="00F15461"/>
    <w:rsid w:val="00F15618"/>
    <w:rsid w:val="00F15BD8"/>
    <w:rsid w:val="00F15C56"/>
    <w:rsid w:val="00F15DD9"/>
    <w:rsid w:val="00F15E78"/>
    <w:rsid w:val="00F15E91"/>
    <w:rsid w:val="00F15F62"/>
    <w:rsid w:val="00F16415"/>
    <w:rsid w:val="00F164D2"/>
    <w:rsid w:val="00F1668F"/>
    <w:rsid w:val="00F1684D"/>
    <w:rsid w:val="00F1690C"/>
    <w:rsid w:val="00F16CF4"/>
    <w:rsid w:val="00F16E72"/>
    <w:rsid w:val="00F16F98"/>
    <w:rsid w:val="00F17319"/>
    <w:rsid w:val="00F1735C"/>
    <w:rsid w:val="00F17473"/>
    <w:rsid w:val="00F17480"/>
    <w:rsid w:val="00F178FF"/>
    <w:rsid w:val="00F1792A"/>
    <w:rsid w:val="00F17C97"/>
    <w:rsid w:val="00F17D80"/>
    <w:rsid w:val="00F17F64"/>
    <w:rsid w:val="00F17F93"/>
    <w:rsid w:val="00F20102"/>
    <w:rsid w:val="00F2064C"/>
    <w:rsid w:val="00F20650"/>
    <w:rsid w:val="00F2086F"/>
    <w:rsid w:val="00F20B53"/>
    <w:rsid w:val="00F20B5F"/>
    <w:rsid w:val="00F21056"/>
    <w:rsid w:val="00F21176"/>
    <w:rsid w:val="00F2137C"/>
    <w:rsid w:val="00F2144E"/>
    <w:rsid w:val="00F21759"/>
    <w:rsid w:val="00F21961"/>
    <w:rsid w:val="00F21A42"/>
    <w:rsid w:val="00F21BA6"/>
    <w:rsid w:val="00F21BCE"/>
    <w:rsid w:val="00F21C71"/>
    <w:rsid w:val="00F21D12"/>
    <w:rsid w:val="00F21DF4"/>
    <w:rsid w:val="00F21F4B"/>
    <w:rsid w:val="00F21FB3"/>
    <w:rsid w:val="00F22035"/>
    <w:rsid w:val="00F2236B"/>
    <w:rsid w:val="00F224D4"/>
    <w:rsid w:val="00F2251D"/>
    <w:rsid w:val="00F228E4"/>
    <w:rsid w:val="00F2291C"/>
    <w:rsid w:val="00F22A18"/>
    <w:rsid w:val="00F22C19"/>
    <w:rsid w:val="00F22D18"/>
    <w:rsid w:val="00F22FD6"/>
    <w:rsid w:val="00F2300F"/>
    <w:rsid w:val="00F23350"/>
    <w:rsid w:val="00F23434"/>
    <w:rsid w:val="00F23527"/>
    <w:rsid w:val="00F235FB"/>
    <w:rsid w:val="00F23664"/>
    <w:rsid w:val="00F2367A"/>
    <w:rsid w:val="00F23880"/>
    <w:rsid w:val="00F23950"/>
    <w:rsid w:val="00F23B4B"/>
    <w:rsid w:val="00F23BC7"/>
    <w:rsid w:val="00F23E4E"/>
    <w:rsid w:val="00F23F3C"/>
    <w:rsid w:val="00F24231"/>
    <w:rsid w:val="00F24370"/>
    <w:rsid w:val="00F24450"/>
    <w:rsid w:val="00F24972"/>
    <w:rsid w:val="00F24B44"/>
    <w:rsid w:val="00F24B89"/>
    <w:rsid w:val="00F24CCB"/>
    <w:rsid w:val="00F24E03"/>
    <w:rsid w:val="00F24FCB"/>
    <w:rsid w:val="00F24FEF"/>
    <w:rsid w:val="00F25013"/>
    <w:rsid w:val="00F251B7"/>
    <w:rsid w:val="00F2521E"/>
    <w:rsid w:val="00F25626"/>
    <w:rsid w:val="00F259F5"/>
    <w:rsid w:val="00F25A0B"/>
    <w:rsid w:val="00F25B50"/>
    <w:rsid w:val="00F25D28"/>
    <w:rsid w:val="00F26073"/>
    <w:rsid w:val="00F26137"/>
    <w:rsid w:val="00F26152"/>
    <w:rsid w:val="00F261F8"/>
    <w:rsid w:val="00F26270"/>
    <w:rsid w:val="00F26331"/>
    <w:rsid w:val="00F26385"/>
    <w:rsid w:val="00F265A6"/>
    <w:rsid w:val="00F2678A"/>
    <w:rsid w:val="00F267AE"/>
    <w:rsid w:val="00F26997"/>
    <w:rsid w:val="00F26AA8"/>
    <w:rsid w:val="00F26AF2"/>
    <w:rsid w:val="00F26B6B"/>
    <w:rsid w:val="00F26CD7"/>
    <w:rsid w:val="00F26D22"/>
    <w:rsid w:val="00F26E50"/>
    <w:rsid w:val="00F27D48"/>
    <w:rsid w:val="00F27FD2"/>
    <w:rsid w:val="00F3026A"/>
    <w:rsid w:val="00F3039A"/>
    <w:rsid w:val="00F307B3"/>
    <w:rsid w:val="00F30A58"/>
    <w:rsid w:val="00F30A91"/>
    <w:rsid w:val="00F30BB4"/>
    <w:rsid w:val="00F30C20"/>
    <w:rsid w:val="00F30CA4"/>
    <w:rsid w:val="00F30DBD"/>
    <w:rsid w:val="00F30DC2"/>
    <w:rsid w:val="00F30F8A"/>
    <w:rsid w:val="00F312B5"/>
    <w:rsid w:val="00F313C9"/>
    <w:rsid w:val="00F3174C"/>
    <w:rsid w:val="00F317B5"/>
    <w:rsid w:val="00F31837"/>
    <w:rsid w:val="00F31DD9"/>
    <w:rsid w:val="00F31E7F"/>
    <w:rsid w:val="00F31EC4"/>
    <w:rsid w:val="00F31F04"/>
    <w:rsid w:val="00F31F27"/>
    <w:rsid w:val="00F32092"/>
    <w:rsid w:val="00F3212B"/>
    <w:rsid w:val="00F32276"/>
    <w:rsid w:val="00F32416"/>
    <w:rsid w:val="00F327CC"/>
    <w:rsid w:val="00F32A89"/>
    <w:rsid w:val="00F32BDA"/>
    <w:rsid w:val="00F32C46"/>
    <w:rsid w:val="00F32C7A"/>
    <w:rsid w:val="00F32DCE"/>
    <w:rsid w:val="00F32F13"/>
    <w:rsid w:val="00F332AF"/>
    <w:rsid w:val="00F33F9F"/>
    <w:rsid w:val="00F34042"/>
    <w:rsid w:val="00F3418A"/>
    <w:rsid w:val="00F341E1"/>
    <w:rsid w:val="00F344B6"/>
    <w:rsid w:val="00F34C58"/>
    <w:rsid w:val="00F34FC3"/>
    <w:rsid w:val="00F35094"/>
    <w:rsid w:val="00F3519D"/>
    <w:rsid w:val="00F352E0"/>
    <w:rsid w:val="00F35613"/>
    <w:rsid w:val="00F357BC"/>
    <w:rsid w:val="00F35B79"/>
    <w:rsid w:val="00F3615D"/>
    <w:rsid w:val="00F361D0"/>
    <w:rsid w:val="00F364AB"/>
    <w:rsid w:val="00F365EF"/>
    <w:rsid w:val="00F368E6"/>
    <w:rsid w:val="00F369C2"/>
    <w:rsid w:val="00F36BEF"/>
    <w:rsid w:val="00F36C87"/>
    <w:rsid w:val="00F36DB6"/>
    <w:rsid w:val="00F36E5C"/>
    <w:rsid w:val="00F37067"/>
    <w:rsid w:val="00F3706C"/>
    <w:rsid w:val="00F374EE"/>
    <w:rsid w:val="00F376F4"/>
    <w:rsid w:val="00F37AAC"/>
    <w:rsid w:val="00F37ABE"/>
    <w:rsid w:val="00F37C04"/>
    <w:rsid w:val="00F37D6F"/>
    <w:rsid w:val="00F40256"/>
    <w:rsid w:val="00F40460"/>
    <w:rsid w:val="00F40485"/>
    <w:rsid w:val="00F40B86"/>
    <w:rsid w:val="00F40D4D"/>
    <w:rsid w:val="00F41124"/>
    <w:rsid w:val="00F4156B"/>
    <w:rsid w:val="00F4165C"/>
    <w:rsid w:val="00F41869"/>
    <w:rsid w:val="00F41992"/>
    <w:rsid w:val="00F41A52"/>
    <w:rsid w:val="00F41E2A"/>
    <w:rsid w:val="00F420C8"/>
    <w:rsid w:val="00F424C4"/>
    <w:rsid w:val="00F4256F"/>
    <w:rsid w:val="00F427F0"/>
    <w:rsid w:val="00F42C4B"/>
    <w:rsid w:val="00F42D25"/>
    <w:rsid w:val="00F4325B"/>
    <w:rsid w:val="00F4348E"/>
    <w:rsid w:val="00F43675"/>
    <w:rsid w:val="00F4367D"/>
    <w:rsid w:val="00F437E0"/>
    <w:rsid w:val="00F438B0"/>
    <w:rsid w:val="00F439C9"/>
    <w:rsid w:val="00F43B08"/>
    <w:rsid w:val="00F43C8A"/>
    <w:rsid w:val="00F43DE0"/>
    <w:rsid w:val="00F43E6A"/>
    <w:rsid w:val="00F43F43"/>
    <w:rsid w:val="00F4414F"/>
    <w:rsid w:val="00F442B1"/>
    <w:rsid w:val="00F44339"/>
    <w:rsid w:val="00F4433B"/>
    <w:rsid w:val="00F448DC"/>
    <w:rsid w:val="00F44900"/>
    <w:rsid w:val="00F44A07"/>
    <w:rsid w:val="00F44EC9"/>
    <w:rsid w:val="00F45218"/>
    <w:rsid w:val="00F456B3"/>
    <w:rsid w:val="00F45F3B"/>
    <w:rsid w:val="00F45FFB"/>
    <w:rsid w:val="00F461F0"/>
    <w:rsid w:val="00F468D3"/>
    <w:rsid w:val="00F46927"/>
    <w:rsid w:val="00F46B6E"/>
    <w:rsid w:val="00F46C90"/>
    <w:rsid w:val="00F4703B"/>
    <w:rsid w:val="00F47062"/>
    <w:rsid w:val="00F4771A"/>
    <w:rsid w:val="00F47B52"/>
    <w:rsid w:val="00F47C42"/>
    <w:rsid w:val="00F5038A"/>
    <w:rsid w:val="00F5039F"/>
    <w:rsid w:val="00F504F3"/>
    <w:rsid w:val="00F5050C"/>
    <w:rsid w:val="00F505EC"/>
    <w:rsid w:val="00F50627"/>
    <w:rsid w:val="00F50817"/>
    <w:rsid w:val="00F50999"/>
    <w:rsid w:val="00F50D26"/>
    <w:rsid w:val="00F51129"/>
    <w:rsid w:val="00F51302"/>
    <w:rsid w:val="00F51396"/>
    <w:rsid w:val="00F516DA"/>
    <w:rsid w:val="00F51929"/>
    <w:rsid w:val="00F51AA5"/>
    <w:rsid w:val="00F51B4E"/>
    <w:rsid w:val="00F51C6A"/>
    <w:rsid w:val="00F51C8A"/>
    <w:rsid w:val="00F51C95"/>
    <w:rsid w:val="00F51CF9"/>
    <w:rsid w:val="00F51D13"/>
    <w:rsid w:val="00F51EB7"/>
    <w:rsid w:val="00F52406"/>
    <w:rsid w:val="00F5270C"/>
    <w:rsid w:val="00F52F08"/>
    <w:rsid w:val="00F531A9"/>
    <w:rsid w:val="00F53237"/>
    <w:rsid w:val="00F537A0"/>
    <w:rsid w:val="00F5385F"/>
    <w:rsid w:val="00F538BE"/>
    <w:rsid w:val="00F53AA6"/>
    <w:rsid w:val="00F53CC4"/>
    <w:rsid w:val="00F53DDA"/>
    <w:rsid w:val="00F5425E"/>
    <w:rsid w:val="00F543CC"/>
    <w:rsid w:val="00F54498"/>
    <w:rsid w:val="00F5456C"/>
    <w:rsid w:val="00F548F1"/>
    <w:rsid w:val="00F5493B"/>
    <w:rsid w:val="00F549A9"/>
    <w:rsid w:val="00F549E1"/>
    <w:rsid w:val="00F54ED6"/>
    <w:rsid w:val="00F55097"/>
    <w:rsid w:val="00F550CD"/>
    <w:rsid w:val="00F5516A"/>
    <w:rsid w:val="00F55854"/>
    <w:rsid w:val="00F5585A"/>
    <w:rsid w:val="00F55A50"/>
    <w:rsid w:val="00F55A97"/>
    <w:rsid w:val="00F55CEC"/>
    <w:rsid w:val="00F55D67"/>
    <w:rsid w:val="00F55FD7"/>
    <w:rsid w:val="00F5609A"/>
    <w:rsid w:val="00F560E6"/>
    <w:rsid w:val="00F56244"/>
    <w:rsid w:val="00F562DB"/>
    <w:rsid w:val="00F5634E"/>
    <w:rsid w:val="00F56625"/>
    <w:rsid w:val="00F56813"/>
    <w:rsid w:val="00F5686F"/>
    <w:rsid w:val="00F568A9"/>
    <w:rsid w:val="00F56C09"/>
    <w:rsid w:val="00F56E26"/>
    <w:rsid w:val="00F56FAE"/>
    <w:rsid w:val="00F572BA"/>
    <w:rsid w:val="00F57615"/>
    <w:rsid w:val="00F5772B"/>
    <w:rsid w:val="00F57733"/>
    <w:rsid w:val="00F579A6"/>
    <w:rsid w:val="00F57AA2"/>
    <w:rsid w:val="00F57B51"/>
    <w:rsid w:val="00F57BEC"/>
    <w:rsid w:val="00F57E23"/>
    <w:rsid w:val="00F57F4B"/>
    <w:rsid w:val="00F600BC"/>
    <w:rsid w:val="00F60257"/>
    <w:rsid w:val="00F603F5"/>
    <w:rsid w:val="00F604BB"/>
    <w:rsid w:val="00F60B49"/>
    <w:rsid w:val="00F60B8D"/>
    <w:rsid w:val="00F60CA1"/>
    <w:rsid w:val="00F60F15"/>
    <w:rsid w:val="00F60FB5"/>
    <w:rsid w:val="00F614B7"/>
    <w:rsid w:val="00F6156A"/>
    <w:rsid w:val="00F615A2"/>
    <w:rsid w:val="00F6164A"/>
    <w:rsid w:val="00F6180A"/>
    <w:rsid w:val="00F61B97"/>
    <w:rsid w:val="00F61C06"/>
    <w:rsid w:val="00F61C09"/>
    <w:rsid w:val="00F620EA"/>
    <w:rsid w:val="00F6215A"/>
    <w:rsid w:val="00F621C9"/>
    <w:rsid w:val="00F62552"/>
    <w:rsid w:val="00F6269F"/>
    <w:rsid w:val="00F627EF"/>
    <w:rsid w:val="00F62A9A"/>
    <w:rsid w:val="00F62D19"/>
    <w:rsid w:val="00F62D42"/>
    <w:rsid w:val="00F62DDB"/>
    <w:rsid w:val="00F62EDF"/>
    <w:rsid w:val="00F62F86"/>
    <w:rsid w:val="00F6326F"/>
    <w:rsid w:val="00F632FE"/>
    <w:rsid w:val="00F6330D"/>
    <w:rsid w:val="00F63515"/>
    <w:rsid w:val="00F63565"/>
    <w:rsid w:val="00F636AC"/>
    <w:rsid w:val="00F63B8F"/>
    <w:rsid w:val="00F63CC2"/>
    <w:rsid w:val="00F63DC4"/>
    <w:rsid w:val="00F63F59"/>
    <w:rsid w:val="00F640B8"/>
    <w:rsid w:val="00F6413A"/>
    <w:rsid w:val="00F6422C"/>
    <w:rsid w:val="00F64584"/>
    <w:rsid w:val="00F646E1"/>
    <w:rsid w:val="00F64A79"/>
    <w:rsid w:val="00F64B3B"/>
    <w:rsid w:val="00F64BF2"/>
    <w:rsid w:val="00F64C61"/>
    <w:rsid w:val="00F64F13"/>
    <w:rsid w:val="00F64FA9"/>
    <w:rsid w:val="00F6503E"/>
    <w:rsid w:val="00F6523A"/>
    <w:rsid w:val="00F6534F"/>
    <w:rsid w:val="00F65413"/>
    <w:rsid w:val="00F65695"/>
    <w:rsid w:val="00F656A6"/>
    <w:rsid w:val="00F656C5"/>
    <w:rsid w:val="00F656E3"/>
    <w:rsid w:val="00F65A32"/>
    <w:rsid w:val="00F65B38"/>
    <w:rsid w:val="00F65C1A"/>
    <w:rsid w:val="00F65C2F"/>
    <w:rsid w:val="00F65CFF"/>
    <w:rsid w:val="00F661C2"/>
    <w:rsid w:val="00F66298"/>
    <w:rsid w:val="00F6632E"/>
    <w:rsid w:val="00F663EB"/>
    <w:rsid w:val="00F66617"/>
    <w:rsid w:val="00F6674C"/>
    <w:rsid w:val="00F66C9D"/>
    <w:rsid w:val="00F67053"/>
    <w:rsid w:val="00F671D6"/>
    <w:rsid w:val="00F6741C"/>
    <w:rsid w:val="00F674A8"/>
    <w:rsid w:val="00F67641"/>
    <w:rsid w:val="00F67793"/>
    <w:rsid w:val="00F67B53"/>
    <w:rsid w:val="00F70068"/>
    <w:rsid w:val="00F700C7"/>
    <w:rsid w:val="00F70110"/>
    <w:rsid w:val="00F7011F"/>
    <w:rsid w:val="00F70436"/>
    <w:rsid w:val="00F707C2"/>
    <w:rsid w:val="00F70830"/>
    <w:rsid w:val="00F70C4D"/>
    <w:rsid w:val="00F70FAE"/>
    <w:rsid w:val="00F7110C"/>
    <w:rsid w:val="00F711DA"/>
    <w:rsid w:val="00F7132F"/>
    <w:rsid w:val="00F718A1"/>
    <w:rsid w:val="00F71A2D"/>
    <w:rsid w:val="00F71B44"/>
    <w:rsid w:val="00F71B9E"/>
    <w:rsid w:val="00F71D75"/>
    <w:rsid w:val="00F71E9A"/>
    <w:rsid w:val="00F71F44"/>
    <w:rsid w:val="00F7209D"/>
    <w:rsid w:val="00F7212F"/>
    <w:rsid w:val="00F72178"/>
    <w:rsid w:val="00F721A0"/>
    <w:rsid w:val="00F72587"/>
    <w:rsid w:val="00F7258C"/>
    <w:rsid w:val="00F72732"/>
    <w:rsid w:val="00F72A80"/>
    <w:rsid w:val="00F72A99"/>
    <w:rsid w:val="00F72C93"/>
    <w:rsid w:val="00F72EFC"/>
    <w:rsid w:val="00F731F4"/>
    <w:rsid w:val="00F732F8"/>
    <w:rsid w:val="00F733EB"/>
    <w:rsid w:val="00F73530"/>
    <w:rsid w:val="00F735C1"/>
    <w:rsid w:val="00F73671"/>
    <w:rsid w:val="00F736F7"/>
    <w:rsid w:val="00F73A11"/>
    <w:rsid w:val="00F73AAB"/>
    <w:rsid w:val="00F73E5A"/>
    <w:rsid w:val="00F73E7E"/>
    <w:rsid w:val="00F73E9B"/>
    <w:rsid w:val="00F74074"/>
    <w:rsid w:val="00F74269"/>
    <w:rsid w:val="00F74288"/>
    <w:rsid w:val="00F745BB"/>
    <w:rsid w:val="00F746B3"/>
    <w:rsid w:val="00F74A58"/>
    <w:rsid w:val="00F74B4B"/>
    <w:rsid w:val="00F74CB4"/>
    <w:rsid w:val="00F74D4B"/>
    <w:rsid w:val="00F75078"/>
    <w:rsid w:val="00F754C2"/>
    <w:rsid w:val="00F75843"/>
    <w:rsid w:val="00F75967"/>
    <w:rsid w:val="00F75A5A"/>
    <w:rsid w:val="00F75ACE"/>
    <w:rsid w:val="00F75BC9"/>
    <w:rsid w:val="00F761EC"/>
    <w:rsid w:val="00F7673C"/>
    <w:rsid w:val="00F7722A"/>
    <w:rsid w:val="00F77462"/>
    <w:rsid w:val="00F77498"/>
    <w:rsid w:val="00F80025"/>
    <w:rsid w:val="00F800B8"/>
    <w:rsid w:val="00F80131"/>
    <w:rsid w:val="00F8031E"/>
    <w:rsid w:val="00F80496"/>
    <w:rsid w:val="00F8058C"/>
    <w:rsid w:val="00F80662"/>
    <w:rsid w:val="00F8083B"/>
    <w:rsid w:val="00F80866"/>
    <w:rsid w:val="00F8096B"/>
    <w:rsid w:val="00F80A88"/>
    <w:rsid w:val="00F80B1B"/>
    <w:rsid w:val="00F80B4E"/>
    <w:rsid w:val="00F80DBB"/>
    <w:rsid w:val="00F80F23"/>
    <w:rsid w:val="00F80F5A"/>
    <w:rsid w:val="00F80F6B"/>
    <w:rsid w:val="00F8106E"/>
    <w:rsid w:val="00F8111D"/>
    <w:rsid w:val="00F8117B"/>
    <w:rsid w:val="00F8148E"/>
    <w:rsid w:val="00F81498"/>
    <w:rsid w:val="00F81849"/>
    <w:rsid w:val="00F81858"/>
    <w:rsid w:val="00F81DCC"/>
    <w:rsid w:val="00F81E6D"/>
    <w:rsid w:val="00F81F72"/>
    <w:rsid w:val="00F823F5"/>
    <w:rsid w:val="00F824BE"/>
    <w:rsid w:val="00F826A2"/>
    <w:rsid w:val="00F82B50"/>
    <w:rsid w:val="00F82D98"/>
    <w:rsid w:val="00F82EE9"/>
    <w:rsid w:val="00F82F0C"/>
    <w:rsid w:val="00F830B5"/>
    <w:rsid w:val="00F83461"/>
    <w:rsid w:val="00F835F4"/>
    <w:rsid w:val="00F837A3"/>
    <w:rsid w:val="00F837A6"/>
    <w:rsid w:val="00F8386F"/>
    <w:rsid w:val="00F8399B"/>
    <w:rsid w:val="00F83AD2"/>
    <w:rsid w:val="00F83B2A"/>
    <w:rsid w:val="00F83D29"/>
    <w:rsid w:val="00F83D92"/>
    <w:rsid w:val="00F83EB1"/>
    <w:rsid w:val="00F840E9"/>
    <w:rsid w:val="00F8418F"/>
    <w:rsid w:val="00F841E0"/>
    <w:rsid w:val="00F84207"/>
    <w:rsid w:val="00F8460D"/>
    <w:rsid w:val="00F84640"/>
    <w:rsid w:val="00F8469A"/>
    <w:rsid w:val="00F84854"/>
    <w:rsid w:val="00F848F9"/>
    <w:rsid w:val="00F84B61"/>
    <w:rsid w:val="00F84C02"/>
    <w:rsid w:val="00F85067"/>
    <w:rsid w:val="00F8511F"/>
    <w:rsid w:val="00F8528C"/>
    <w:rsid w:val="00F8534C"/>
    <w:rsid w:val="00F853FD"/>
    <w:rsid w:val="00F856BC"/>
    <w:rsid w:val="00F85721"/>
    <w:rsid w:val="00F85942"/>
    <w:rsid w:val="00F85B1B"/>
    <w:rsid w:val="00F85EB7"/>
    <w:rsid w:val="00F85F5C"/>
    <w:rsid w:val="00F85F71"/>
    <w:rsid w:val="00F86028"/>
    <w:rsid w:val="00F8609A"/>
    <w:rsid w:val="00F860DC"/>
    <w:rsid w:val="00F8626D"/>
    <w:rsid w:val="00F863A8"/>
    <w:rsid w:val="00F863F2"/>
    <w:rsid w:val="00F864BE"/>
    <w:rsid w:val="00F86506"/>
    <w:rsid w:val="00F86519"/>
    <w:rsid w:val="00F865F1"/>
    <w:rsid w:val="00F86799"/>
    <w:rsid w:val="00F86903"/>
    <w:rsid w:val="00F86B66"/>
    <w:rsid w:val="00F86C25"/>
    <w:rsid w:val="00F86F78"/>
    <w:rsid w:val="00F873BC"/>
    <w:rsid w:val="00F87444"/>
    <w:rsid w:val="00F875A6"/>
    <w:rsid w:val="00F87702"/>
    <w:rsid w:val="00F877FF"/>
    <w:rsid w:val="00F87850"/>
    <w:rsid w:val="00F879DA"/>
    <w:rsid w:val="00F879F8"/>
    <w:rsid w:val="00F87A08"/>
    <w:rsid w:val="00F87CCC"/>
    <w:rsid w:val="00F87D93"/>
    <w:rsid w:val="00F87DFD"/>
    <w:rsid w:val="00F87E7C"/>
    <w:rsid w:val="00F87EC9"/>
    <w:rsid w:val="00F902DB"/>
    <w:rsid w:val="00F90311"/>
    <w:rsid w:val="00F90416"/>
    <w:rsid w:val="00F90A97"/>
    <w:rsid w:val="00F91011"/>
    <w:rsid w:val="00F9170D"/>
    <w:rsid w:val="00F918DF"/>
    <w:rsid w:val="00F91907"/>
    <w:rsid w:val="00F91953"/>
    <w:rsid w:val="00F91AD1"/>
    <w:rsid w:val="00F920C9"/>
    <w:rsid w:val="00F92367"/>
    <w:rsid w:val="00F923DC"/>
    <w:rsid w:val="00F926E2"/>
    <w:rsid w:val="00F92734"/>
    <w:rsid w:val="00F92816"/>
    <w:rsid w:val="00F92FA2"/>
    <w:rsid w:val="00F92FF4"/>
    <w:rsid w:val="00F93053"/>
    <w:rsid w:val="00F9324C"/>
    <w:rsid w:val="00F932D3"/>
    <w:rsid w:val="00F93479"/>
    <w:rsid w:val="00F935A7"/>
    <w:rsid w:val="00F936A6"/>
    <w:rsid w:val="00F93818"/>
    <w:rsid w:val="00F93824"/>
    <w:rsid w:val="00F938D1"/>
    <w:rsid w:val="00F93B52"/>
    <w:rsid w:val="00F93CDD"/>
    <w:rsid w:val="00F93D18"/>
    <w:rsid w:val="00F93D8D"/>
    <w:rsid w:val="00F93F31"/>
    <w:rsid w:val="00F93F47"/>
    <w:rsid w:val="00F94022"/>
    <w:rsid w:val="00F94368"/>
    <w:rsid w:val="00F94423"/>
    <w:rsid w:val="00F9458E"/>
    <w:rsid w:val="00F945EB"/>
    <w:rsid w:val="00F94697"/>
    <w:rsid w:val="00F9472E"/>
    <w:rsid w:val="00F94796"/>
    <w:rsid w:val="00F947BF"/>
    <w:rsid w:val="00F9494C"/>
    <w:rsid w:val="00F94A0E"/>
    <w:rsid w:val="00F94B66"/>
    <w:rsid w:val="00F94C8B"/>
    <w:rsid w:val="00F94EC4"/>
    <w:rsid w:val="00F94F9A"/>
    <w:rsid w:val="00F95878"/>
    <w:rsid w:val="00F958D7"/>
    <w:rsid w:val="00F959D7"/>
    <w:rsid w:val="00F959F2"/>
    <w:rsid w:val="00F95A03"/>
    <w:rsid w:val="00F95AA5"/>
    <w:rsid w:val="00F95EAA"/>
    <w:rsid w:val="00F95F36"/>
    <w:rsid w:val="00F962C0"/>
    <w:rsid w:val="00F962C7"/>
    <w:rsid w:val="00F965D3"/>
    <w:rsid w:val="00F967A4"/>
    <w:rsid w:val="00F96B95"/>
    <w:rsid w:val="00F96BBC"/>
    <w:rsid w:val="00F96E89"/>
    <w:rsid w:val="00F96EDE"/>
    <w:rsid w:val="00F96FA3"/>
    <w:rsid w:val="00F971B0"/>
    <w:rsid w:val="00F9733D"/>
    <w:rsid w:val="00F9744F"/>
    <w:rsid w:val="00F97521"/>
    <w:rsid w:val="00F97691"/>
    <w:rsid w:val="00F9779C"/>
    <w:rsid w:val="00F97960"/>
    <w:rsid w:val="00F97A46"/>
    <w:rsid w:val="00F97A61"/>
    <w:rsid w:val="00F97C21"/>
    <w:rsid w:val="00F97CB8"/>
    <w:rsid w:val="00F97DFC"/>
    <w:rsid w:val="00FA0119"/>
    <w:rsid w:val="00FA02ED"/>
    <w:rsid w:val="00FA03E1"/>
    <w:rsid w:val="00FA0597"/>
    <w:rsid w:val="00FA0840"/>
    <w:rsid w:val="00FA0ABE"/>
    <w:rsid w:val="00FA0E2E"/>
    <w:rsid w:val="00FA15C8"/>
    <w:rsid w:val="00FA1640"/>
    <w:rsid w:val="00FA16E2"/>
    <w:rsid w:val="00FA1967"/>
    <w:rsid w:val="00FA1EAA"/>
    <w:rsid w:val="00FA202C"/>
    <w:rsid w:val="00FA21D5"/>
    <w:rsid w:val="00FA21EF"/>
    <w:rsid w:val="00FA29FA"/>
    <w:rsid w:val="00FA2AF4"/>
    <w:rsid w:val="00FA2C5D"/>
    <w:rsid w:val="00FA2D75"/>
    <w:rsid w:val="00FA2D86"/>
    <w:rsid w:val="00FA2FCC"/>
    <w:rsid w:val="00FA30B8"/>
    <w:rsid w:val="00FA30E2"/>
    <w:rsid w:val="00FA348C"/>
    <w:rsid w:val="00FA359A"/>
    <w:rsid w:val="00FA377B"/>
    <w:rsid w:val="00FA39BA"/>
    <w:rsid w:val="00FA39D5"/>
    <w:rsid w:val="00FA3D1C"/>
    <w:rsid w:val="00FA3D87"/>
    <w:rsid w:val="00FA3EBD"/>
    <w:rsid w:val="00FA4023"/>
    <w:rsid w:val="00FA403D"/>
    <w:rsid w:val="00FA4474"/>
    <w:rsid w:val="00FA450D"/>
    <w:rsid w:val="00FA4624"/>
    <w:rsid w:val="00FA463F"/>
    <w:rsid w:val="00FA4AED"/>
    <w:rsid w:val="00FA4C57"/>
    <w:rsid w:val="00FA4F25"/>
    <w:rsid w:val="00FA515B"/>
    <w:rsid w:val="00FA53D8"/>
    <w:rsid w:val="00FA5721"/>
    <w:rsid w:val="00FA5BCA"/>
    <w:rsid w:val="00FA5DDD"/>
    <w:rsid w:val="00FA5DDF"/>
    <w:rsid w:val="00FA5F7E"/>
    <w:rsid w:val="00FA6201"/>
    <w:rsid w:val="00FA645E"/>
    <w:rsid w:val="00FA6674"/>
    <w:rsid w:val="00FA6792"/>
    <w:rsid w:val="00FA679E"/>
    <w:rsid w:val="00FA67C9"/>
    <w:rsid w:val="00FA67D3"/>
    <w:rsid w:val="00FA6961"/>
    <w:rsid w:val="00FA6A31"/>
    <w:rsid w:val="00FA6A77"/>
    <w:rsid w:val="00FA6A7C"/>
    <w:rsid w:val="00FA6D4D"/>
    <w:rsid w:val="00FA6FD3"/>
    <w:rsid w:val="00FA7350"/>
    <w:rsid w:val="00FA77B9"/>
    <w:rsid w:val="00FA77F2"/>
    <w:rsid w:val="00FA7B9B"/>
    <w:rsid w:val="00FA7CA2"/>
    <w:rsid w:val="00FA7EB1"/>
    <w:rsid w:val="00FA7FF2"/>
    <w:rsid w:val="00FB00F3"/>
    <w:rsid w:val="00FB0185"/>
    <w:rsid w:val="00FB027A"/>
    <w:rsid w:val="00FB045F"/>
    <w:rsid w:val="00FB04BC"/>
    <w:rsid w:val="00FB094F"/>
    <w:rsid w:val="00FB0A48"/>
    <w:rsid w:val="00FB0A85"/>
    <w:rsid w:val="00FB0AD8"/>
    <w:rsid w:val="00FB0B2E"/>
    <w:rsid w:val="00FB0C38"/>
    <w:rsid w:val="00FB0E05"/>
    <w:rsid w:val="00FB0F5D"/>
    <w:rsid w:val="00FB0FC8"/>
    <w:rsid w:val="00FB12DE"/>
    <w:rsid w:val="00FB14FB"/>
    <w:rsid w:val="00FB1583"/>
    <w:rsid w:val="00FB16A9"/>
    <w:rsid w:val="00FB16E8"/>
    <w:rsid w:val="00FB185A"/>
    <w:rsid w:val="00FB1A3B"/>
    <w:rsid w:val="00FB1E84"/>
    <w:rsid w:val="00FB20E7"/>
    <w:rsid w:val="00FB2214"/>
    <w:rsid w:val="00FB235B"/>
    <w:rsid w:val="00FB2428"/>
    <w:rsid w:val="00FB2709"/>
    <w:rsid w:val="00FB2805"/>
    <w:rsid w:val="00FB2AC3"/>
    <w:rsid w:val="00FB2D30"/>
    <w:rsid w:val="00FB2E17"/>
    <w:rsid w:val="00FB2E47"/>
    <w:rsid w:val="00FB30D4"/>
    <w:rsid w:val="00FB325B"/>
    <w:rsid w:val="00FB363C"/>
    <w:rsid w:val="00FB3802"/>
    <w:rsid w:val="00FB3803"/>
    <w:rsid w:val="00FB39F1"/>
    <w:rsid w:val="00FB3CE8"/>
    <w:rsid w:val="00FB3D71"/>
    <w:rsid w:val="00FB3E35"/>
    <w:rsid w:val="00FB3E5D"/>
    <w:rsid w:val="00FB404B"/>
    <w:rsid w:val="00FB44F8"/>
    <w:rsid w:val="00FB45E7"/>
    <w:rsid w:val="00FB4A29"/>
    <w:rsid w:val="00FB4C1F"/>
    <w:rsid w:val="00FB4C99"/>
    <w:rsid w:val="00FB4D6C"/>
    <w:rsid w:val="00FB4DBB"/>
    <w:rsid w:val="00FB5526"/>
    <w:rsid w:val="00FB552F"/>
    <w:rsid w:val="00FB55DE"/>
    <w:rsid w:val="00FB56AF"/>
    <w:rsid w:val="00FB5753"/>
    <w:rsid w:val="00FB58C0"/>
    <w:rsid w:val="00FB59C2"/>
    <w:rsid w:val="00FB5E1E"/>
    <w:rsid w:val="00FB5F97"/>
    <w:rsid w:val="00FB5F9B"/>
    <w:rsid w:val="00FB631F"/>
    <w:rsid w:val="00FB6358"/>
    <w:rsid w:val="00FB64FC"/>
    <w:rsid w:val="00FB6646"/>
    <w:rsid w:val="00FB66E4"/>
    <w:rsid w:val="00FB6A2A"/>
    <w:rsid w:val="00FB6C5B"/>
    <w:rsid w:val="00FB6E68"/>
    <w:rsid w:val="00FB6F9A"/>
    <w:rsid w:val="00FB7200"/>
    <w:rsid w:val="00FB7337"/>
    <w:rsid w:val="00FB740F"/>
    <w:rsid w:val="00FB748F"/>
    <w:rsid w:val="00FB7622"/>
    <w:rsid w:val="00FB7722"/>
    <w:rsid w:val="00FB7736"/>
    <w:rsid w:val="00FB776E"/>
    <w:rsid w:val="00FB792A"/>
    <w:rsid w:val="00FB7A57"/>
    <w:rsid w:val="00FB7B0F"/>
    <w:rsid w:val="00FB7D3F"/>
    <w:rsid w:val="00FB7D4B"/>
    <w:rsid w:val="00FB7F7A"/>
    <w:rsid w:val="00FB7F8D"/>
    <w:rsid w:val="00FC01CC"/>
    <w:rsid w:val="00FC023D"/>
    <w:rsid w:val="00FC044E"/>
    <w:rsid w:val="00FC072A"/>
    <w:rsid w:val="00FC089D"/>
    <w:rsid w:val="00FC0989"/>
    <w:rsid w:val="00FC0BFA"/>
    <w:rsid w:val="00FC0FA2"/>
    <w:rsid w:val="00FC10C7"/>
    <w:rsid w:val="00FC125A"/>
    <w:rsid w:val="00FC13AD"/>
    <w:rsid w:val="00FC13E5"/>
    <w:rsid w:val="00FC1510"/>
    <w:rsid w:val="00FC1717"/>
    <w:rsid w:val="00FC1919"/>
    <w:rsid w:val="00FC195C"/>
    <w:rsid w:val="00FC1A06"/>
    <w:rsid w:val="00FC1A6B"/>
    <w:rsid w:val="00FC1B86"/>
    <w:rsid w:val="00FC1BAB"/>
    <w:rsid w:val="00FC1BFF"/>
    <w:rsid w:val="00FC1D33"/>
    <w:rsid w:val="00FC1FFE"/>
    <w:rsid w:val="00FC2007"/>
    <w:rsid w:val="00FC208C"/>
    <w:rsid w:val="00FC2189"/>
    <w:rsid w:val="00FC21E3"/>
    <w:rsid w:val="00FC2439"/>
    <w:rsid w:val="00FC244B"/>
    <w:rsid w:val="00FC2555"/>
    <w:rsid w:val="00FC257B"/>
    <w:rsid w:val="00FC28B1"/>
    <w:rsid w:val="00FC2950"/>
    <w:rsid w:val="00FC2974"/>
    <w:rsid w:val="00FC2A19"/>
    <w:rsid w:val="00FC2A68"/>
    <w:rsid w:val="00FC2F9E"/>
    <w:rsid w:val="00FC3557"/>
    <w:rsid w:val="00FC36EE"/>
    <w:rsid w:val="00FC37FB"/>
    <w:rsid w:val="00FC380B"/>
    <w:rsid w:val="00FC39F5"/>
    <w:rsid w:val="00FC3A39"/>
    <w:rsid w:val="00FC3BED"/>
    <w:rsid w:val="00FC3BEE"/>
    <w:rsid w:val="00FC3CD0"/>
    <w:rsid w:val="00FC3EBC"/>
    <w:rsid w:val="00FC3F7C"/>
    <w:rsid w:val="00FC40C7"/>
    <w:rsid w:val="00FC4121"/>
    <w:rsid w:val="00FC43D1"/>
    <w:rsid w:val="00FC4495"/>
    <w:rsid w:val="00FC45A5"/>
    <w:rsid w:val="00FC46CA"/>
    <w:rsid w:val="00FC4A10"/>
    <w:rsid w:val="00FC4BF2"/>
    <w:rsid w:val="00FC4CF8"/>
    <w:rsid w:val="00FC510D"/>
    <w:rsid w:val="00FC5199"/>
    <w:rsid w:val="00FC531B"/>
    <w:rsid w:val="00FC53B1"/>
    <w:rsid w:val="00FC5701"/>
    <w:rsid w:val="00FC5757"/>
    <w:rsid w:val="00FC59AD"/>
    <w:rsid w:val="00FC5A78"/>
    <w:rsid w:val="00FC704B"/>
    <w:rsid w:val="00FC719C"/>
    <w:rsid w:val="00FC7206"/>
    <w:rsid w:val="00FC73DE"/>
    <w:rsid w:val="00FC7740"/>
    <w:rsid w:val="00FC7AAE"/>
    <w:rsid w:val="00FC7BDB"/>
    <w:rsid w:val="00FC7C93"/>
    <w:rsid w:val="00FC7D07"/>
    <w:rsid w:val="00FC7D7A"/>
    <w:rsid w:val="00FD00AA"/>
    <w:rsid w:val="00FD0147"/>
    <w:rsid w:val="00FD019D"/>
    <w:rsid w:val="00FD0244"/>
    <w:rsid w:val="00FD0423"/>
    <w:rsid w:val="00FD0571"/>
    <w:rsid w:val="00FD05BA"/>
    <w:rsid w:val="00FD0648"/>
    <w:rsid w:val="00FD0858"/>
    <w:rsid w:val="00FD08B5"/>
    <w:rsid w:val="00FD08D4"/>
    <w:rsid w:val="00FD0C68"/>
    <w:rsid w:val="00FD1065"/>
    <w:rsid w:val="00FD10FE"/>
    <w:rsid w:val="00FD1258"/>
    <w:rsid w:val="00FD1749"/>
    <w:rsid w:val="00FD1954"/>
    <w:rsid w:val="00FD1C2B"/>
    <w:rsid w:val="00FD2050"/>
    <w:rsid w:val="00FD2340"/>
    <w:rsid w:val="00FD2363"/>
    <w:rsid w:val="00FD2393"/>
    <w:rsid w:val="00FD24DE"/>
    <w:rsid w:val="00FD260F"/>
    <w:rsid w:val="00FD2720"/>
    <w:rsid w:val="00FD2755"/>
    <w:rsid w:val="00FD2A78"/>
    <w:rsid w:val="00FD2DE2"/>
    <w:rsid w:val="00FD3000"/>
    <w:rsid w:val="00FD350E"/>
    <w:rsid w:val="00FD37E6"/>
    <w:rsid w:val="00FD3876"/>
    <w:rsid w:val="00FD38E6"/>
    <w:rsid w:val="00FD3B56"/>
    <w:rsid w:val="00FD40EA"/>
    <w:rsid w:val="00FD4273"/>
    <w:rsid w:val="00FD4470"/>
    <w:rsid w:val="00FD4573"/>
    <w:rsid w:val="00FD45BD"/>
    <w:rsid w:val="00FD4BBD"/>
    <w:rsid w:val="00FD4C2A"/>
    <w:rsid w:val="00FD4CEA"/>
    <w:rsid w:val="00FD4F1C"/>
    <w:rsid w:val="00FD5033"/>
    <w:rsid w:val="00FD51F3"/>
    <w:rsid w:val="00FD55AF"/>
    <w:rsid w:val="00FD57B3"/>
    <w:rsid w:val="00FD5907"/>
    <w:rsid w:val="00FD592E"/>
    <w:rsid w:val="00FD5997"/>
    <w:rsid w:val="00FD5AD2"/>
    <w:rsid w:val="00FD5CA7"/>
    <w:rsid w:val="00FD5D09"/>
    <w:rsid w:val="00FD6AEB"/>
    <w:rsid w:val="00FD6B8A"/>
    <w:rsid w:val="00FD6C12"/>
    <w:rsid w:val="00FD6E22"/>
    <w:rsid w:val="00FD6FB6"/>
    <w:rsid w:val="00FD7037"/>
    <w:rsid w:val="00FD717A"/>
    <w:rsid w:val="00FD72A5"/>
    <w:rsid w:val="00FD7374"/>
    <w:rsid w:val="00FD73B4"/>
    <w:rsid w:val="00FD74B9"/>
    <w:rsid w:val="00FD7546"/>
    <w:rsid w:val="00FD795A"/>
    <w:rsid w:val="00FD79E4"/>
    <w:rsid w:val="00FD7DAB"/>
    <w:rsid w:val="00FE0028"/>
    <w:rsid w:val="00FE0249"/>
    <w:rsid w:val="00FE030E"/>
    <w:rsid w:val="00FE032C"/>
    <w:rsid w:val="00FE0403"/>
    <w:rsid w:val="00FE040A"/>
    <w:rsid w:val="00FE0471"/>
    <w:rsid w:val="00FE0C45"/>
    <w:rsid w:val="00FE0C87"/>
    <w:rsid w:val="00FE0D40"/>
    <w:rsid w:val="00FE0DAB"/>
    <w:rsid w:val="00FE0FA6"/>
    <w:rsid w:val="00FE136C"/>
    <w:rsid w:val="00FE1406"/>
    <w:rsid w:val="00FE1506"/>
    <w:rsid w:val="00FE154D"/>
    <w:rsid w:val="00FE18B0"/>
    <w:rsid w:val="00FE1AC3"/>
    <w:rsid w:val="00FE1EC3"/>
    <w:rsid w:val="00FE1F50"/>
    <w:rsid w:val="00FE21B4"/>
    <w:rsid w:val="00FE2361"/>
    <w:rsid w:val="00FE23CC"/>
    <w:rsid w:val="00FE23E4"/>
    <w:rsid w:val="00FE2459"/>
    <w:rsid w:val="00FE24FF"/>
    <w:rsid w:val="00FE253B"/>
    <w:rsid w:val="00FE2C17"/>
    <w:rsid w:val="00FE2D4B"/>
    <w:rsid w:val="00FE305D"/>
    <w:rsid w:val="00FE3496"/>
    <w:rsid w:val="00FE34EE"/>
    <w:rsid w:val="00FE3741"/>
    <w:rsid w:val="00FE37D4"/>
    <w:rsid w:val="00FE39C8"/>
    <w:rsid w:val="00FE3B78"/>
    <w:rsid w:val="00FE3C74"/>
    <w:rsid w:val="00FE3E6C"/>
    <w:rsid w:val="00FE434D"/>
    <w:rsid w:val="00FE44F4"/>
    <w:rsid w:val="00FE47AE"/>
    <w:rsid w:val="00FE48E8"/>
    <w:rsid w:val="00FE4AF8"/>
    <w:rsid w:val="00FE4B98"/>
    <w:rsid w:val="00FE4C2D"/>
    <w:rsid w:val="00FE4D0B"/>
    <w:rsid w:val="00FE4E50"/>
    <w:rsid w:val="00FE4F57"/>
    <w:rsid w:val="00FE5076"/>
    <w:rsid w:val="00FE5131"/>
    <w:rsid w:val="00FE518B"/>
    <w:rsid w:val="00FE5452"/>
    <w:rsid w:val="00FE5A40"/>
    <w:rsid w:val="00FE5C60"/>
    <w:rsid w:val="00FE5D5B"/>
    <w:rsid w:val="00FE63D3"/>
    <w:rsid w:val="00FE699F"/>
    <w:rsid w:val="00FE69B9"/>
    <w:rsid w:val="00FE6A4A"/>
    <w:rsid w:val="00FE6AE8"/>
    <w:rsid w:val="00FE6C63"/>
    <w:rsid w:val="00FE6DFE"/>
    <w:rsid w:val="00FE703E"/>
    <w:rsid w:val="00FE70F7"/>
    <w:rsid w:val="00FE71D5"/>
    <w:rsid w:val="00FE7255"/>
    <w:rsid w:val="00FE736A"/>
    <w:rsid w:val="00FE7446"/>
    <w:rsid w:val="00FE7909"/>
    <w:rsid w:val="00FE7971"/>
    <w:rsid w:val="00FE7B93"/>
    <w:rsid w:val="00FE7C71"/>
    <w:rsid w:val="00FE7C7D"/>
    <w:rsid w:val="00FE7E05"/>
    <w:rsid w:val="00FE7E4E"/>
    <w:rsid w:val="00FE7FAF"/>
    <w:rsid w:val="00FF0106"/>
    <w:rsid w:val="00FF01D7"/>
    <w:rsid w:val="00FF02CF"/>
    <w:rsid w:val="00FF0402"/>
    <w:rsid w:val="00FF0406"/>
    <w:rsid w:val="00FF050E"/>
    <w:rsid w:val="00FF072F"/>
    <w:rsid w:val="00FF0841"/>
    <w:rsid w:val="00FF09C7"/>
    <w:rsid w:val="00FF0A81"/>
    <w:rsid w:val="00FF0B6E"/>
    <w:rsid w:val="00FF0C93"/>
    <w:rsid w:val="00FF0DA3"/>
    <w:rsid w:val="00FF0DF0"/>
    <w:rsid w:val="00FF1027"/>
    <w:rsid w:val="00FF10E6"/>
    <w:rsid w:val="00FF1589"/>
    <w:rsid w:val="00FF15AE"/>
    <w:rsid w:val="00FF15B5"/>
    <w:rsid w:val="00FF1A4E"/>
    <w:rsid w:val="00FF1CBE"/>
    <w:rsid w:val="00FF1D48"/>
    <w:rsid w:val="00FF1EB9"/>
    <w:rsid w:val="00FF1F04"/>
    <w:rsid w:val="00FF20D7"/>
    <w:rsid w:val="00FF246E"/>
    <w:rsid w:val="00FF255B"/>
    <w:rsid w:val="00FF2A49"/>
    <w:rsid w:val="00FF2B14"/>
    <w:rsid w:val="00FF2B31"/>
    <w:rsid w:val="00FF2D85"/>
    <w:rsid w:val="00FF2EE9"/>
    <w:rsid w:val="00FF3397"/>
    <w:rsid w:val="00FF35B8"/>
    <w:rsid w:val="00FF3687"/>
    <w:rsid w:val="00FF3733"/>
    <w:rsid w:val="00FF3820"/>
    <w:rsid w:val="00FF3D48"/>
    <w:rsid w:val="00FF3E3A"/>
    <w:rsid w:val="00FF3ED1"/>
    <w:rsid w:val="00FF3FF2"/>
    <w:rsid w:val="00FF40CD"/>
    <w:rsid w:val="00FF4101"/>
    <w:rsid w:val="00FF43AE"/>
    <w:rsid w:val="00FF4613"/>
    <w:rsid w:val="00FF477B"/>
    <w:rsid w:val="00FF4894"/>
    <w:rsid w:val="00FF489E"/>
    <w:rsid w:val="00FF48BB"/>
    <w:rsid w:val="00FF4AC4"/>
    <w:rsid w:val="00FF534A"/>
    <w:rsid w:val="00FF5373"/>
    <w:rsid w:val="00FF5550"/>
    <w:rsid w:val="00FF55B1"/>
    <w:rsid w:val="00FF5937"/>
    <w:rsid w:val="00FF594F"/>
    <w:rsid w:val="00FF5BB0"/>
    <w:rsid w:val="00FF5D18"/>
    <w:rsid w:val="00FF5D7A"/>
    <w:rsid w:val="00FF5D8B"/>
    <w:rsid w:val="00FF60E9"/>
    <w:rsid w:val="00FF62B4"/>
    <w:rsid w:val="00FF62BA"/>
    <w:rsid w:val="00FF6658"/>
    <w:rsid w:val="00FF6784"/>
    <w:rsid w:val="00FF7066"/>
    <w:rsid w:val="00FF71DA"/>
    <w:rsid w:val="00FF7467"/>
    <w:rsid w:val="00FF7707"/>
    <w:rsid w:val="00FF771D"/>
    <w:rsid w:val="00FF77FB"/>
    <w:rsid w:val="00FF7ACF"/>
    <w:rsid w:val="00FF7EE5"/>
    <w:rsid w:val="00FF7F6A"/>
    <w:rsid w:val="01CED1B9"/>
    <w:rsid w:val="02DBDBBA"/>
    <w:rsid w:val="02FC2812"/>
    <w:rsid w:val="041F7710"/>
    <w:rsid w:val="054368BF"/>
    <w:rsid w:val="0550B442"/>
    <w:rsid w:val="05B19E8A"/>
    <w:rsid w:val="06668714"/>
    <w:rsid w:val="069BA3F2"/>
    <w:rsid w:val="08E6DC72"/>
    <w:rsid w:val="09343541"/>
    <w:rsid w:val="09B8C5CE"/>
    <w:rsid w:val="0A24ED8B"/>
    <w:rsid w:val="0A79BD76"/>
    <w:rsid w:val="0ABB79E3"/>
    <w:rsid w:val="0C90D1A9"/>
    <w:rsid w:val="0CA3AE72"/>
    <w:rsid w:val="0DD82E18"/>
    <w:rsid w:val="0E5F276A"/>
    <w:rsid w:val="0F014853"/>
    <w:rsid w:val="0F65291B"/>
    <w:rsid w:val="0FF4D875"/>
    <w:rsid w:val="10E0166A"/>
    <w:rsid w:val="10E0324A"/>
    <w:rsid w:val="111EE1F9"/>
    <w:rsid w:val="11C0D929"/>
    <w:rsid w:val="12AE4313"/>
    <w:rsid w:val="130F9DD4"/>
    <w:rsid w:val="13B10567"/>
    <w:rsid w:val="13E36497"/>
    <w:rsid w:val="161E8B92"/>
    <w:rsid w:val="184C9BFE"/>
    <w:rsid w:val="191B9B9E"/>
    <w:rsid w:val="1973E73D"/>
    <w:rsid w:val="1A10DA79"/>
    <w:rsid w:val="1A6FC98C"/>
    <w:rsid w:val="1BCF8CA3"/>
    <w:rsid w:val="1BDCD603"/>
    <w:rsid w:val="1BF599B9"/>
    <w:rsid w:val="1CFC54F9"/>
    <w:rsid w:val="1DC2BDA4"/>
    <w:rsid w:val="2055E77B"/>
    <w:rsid w:val="20946057"/>
    <w:rsid w:val="21DC30C2"/>
    <w:rsid w:val="227A0BEB"/>
    <w:rsid w:val="22AA63FD"/>
    <w:rsid w:val="23B22024"/>
    <w:rsid w:val="23F598DB"/>
    <w:rsid w:val="24648C66"/>
    <w:rsid w:val="24F50054"/>
    <w:rsid w:val="250B063D"/>
    <w:rsid w:val="25ED2AA8"/>
    <w:rsid w:val="261739A6"/>
    <w:rsid w:val="26AE7A62"/>
    <w:rsid w:val="26D59A88"/>
    <w:rsid w:val="27BEDA07"/>
    <w:rsid w:val="27F26986"/>
    <w:rsid w:val="281C48D2"/>
    <w:rsid w:val="289A4614"/>
    <w:rsid w:val="2A12FCC6"/>
    <w:rsid w:val="2A6DE07B"/>
    <w:rsid w:val="2B91123E"/>
    <w:rsid w:val="2C5FA03A"/>
    <w:rsid w:val="2C980CA6"/>
    <w:rsid w:val="2CFC9453"/>
    <w:rsid w:val="2E1349CB"/>
    <w:rsid w:val="2E5110C5"/>
    <w:rsid w:val="2E7543C1"/>
    <w:rsid w:val="2E9E9953"/>
    <w:rsid w:val="2F7BA38D"/>
    <w:rsid w:val="2FE2E7B0"/>
    <w:rsid w:val="31246655"/>
    <w:rsid w:val="31BA9522"/>
    <w:rsid w:val="31E32CE4"/>
    <w:rsid w:val="31F83466"/>
    <w:rsid w:val="32082CDF"/>
    <w:rsid w:val="326D9933"/>
    <w:rsid w:val="3474FA42"/>
    <w:rsid w:val="3495AE98"/>
    <w:rsid w:val="3498DA58"/>
    <w:rsid w:val="364E9C64"/>
    <w:rsid w:val="3683568C"/>
    <w:rsid w:val="36AA8BA2"/>
    <w:rsid w:val="37357A9E"/>
    <w:rsid w:val="3C95A7B4"/>
    <w:rsid w:val="3D6F07CC"/>
    <w:rsid w:val="3D870139"/>
    <w:rsid w:val="3E7C064D"/>
    <w:rsid w:val="3EEEC718"/>
    <w:rsid w:val="3F93644A"/>
    <w:rsid w:val="40A8DF2B"/>
    <w:rsid w:val="42688605"/>
    <w:rsid w:val="42B55B6B"/>
    <w:rsid w:val="42E16AE2"/>
    <w:rsid w:val="4475B9D6"/>
    <w:rsid w:val="44D8C9DE"/>
    <w:rsid w:val="44E3403A"/>
    <w:rsid w:val="456E2746"/>
    <w:rsid w:val="459F58D4"/>
    <w:rsid w:val="45B659CC"/>
    <w:rsid w:val="460D8C84"/>
    <w:rsid w:val="460DF0B8"/>
    <w:rsid w:val="467F5853"/>
    <w:rsid w:val="46D18F94"/>
    <w:rsid w:val="46F25864"/>
    <w:rsid w:val="46F2DDE2"/>
    <w:rsid w:val="472C1D17"/>
    <w:rsid w:val="472D6784"/>
    <w:rsid w:val="477855AB"/>
    <w:rsid w:val="47855DC5"/>
    <w:rsid w:val="4867F6C7"/>
    <w:rsid w:val="48BFCE1C"/>
    <w:rsid w:val="4917E216"/>
    <w:rsid w:val="49BC46E6"/>
    <w:rsid w:val="4B5F08B0"/>
    <w:rsid w:val="4BFAD375"/>
    <w:rsid w:val="4DA8EDCB"/>
    <w:rsid w:val="4E48FBAF"/>
    <w:rsid w:val="4E940D90"/>
    <w:rsid w:val="4ED1E736"/>
    <w:rsid w:val="4FA0265A"/>
    <w:rsid w:val="50274945"/>
    <w:rsid w:val="512A003F"/>
    <w:rsid w:val="5140DB77"/>
    <w:rsid w:val="52440023"/>
    <w:rsid w:val="5280316E"/>
    <w:rsid w:val="535B0ACD"/>
    <w:rsid w:val="53A7A6C3"/>
    <w:rsid w:val="54746906"/>
    <w:rsid w:val="55B54E72"/>
    <w:rsid w:val="567F7147"/>
    <w:rsid w:val="57D9AAF0"/>
    <w:rsid w:val="590B4D12"/>
    <w:rsid w:val="59C2E613"/>
    <w:rsid w:val="59EFD13A"/>
    <w:rsid w:val="59F70394"/>
    <w:rsid w:val="5AF1CA61"/>
    <w:rsid w:val="5B5760B0"/>
    <w:rsid w:val="5B788B4C"/>
    <w:rsid w:val="5BC033AA"/>
    <w:rsid w:val="5D34AC11"/>
    <w:rsid w:val="5D3C852E"/>
    <w:rsid w:val="5E4D46F2"/>
    <w:rsid w:val="5F89C5B2"/>
    <w:rsid w:val="6075664B"/>
    <w:rsid w:val="63365415"/>
    <w:rsid w:val="63482C29"/>
    <w:rsid w:val="63F84288"/>
    <w:rsid w:val="64581D50"/>
    <w:rsid w:val="64DBDD2E"/>
    <w:rsid w:val="658385F5"/>
    <w:rsid w:val="664C2A6C"/>
    <w:rsid w:val="665D7255"/>
    <w:rsid w:val="6669CCB7"/>
    <w:rsid w:val="66AFCFA2"/>
    <w:rsid w:val="66B248F2"/>
    <w:rsid w:val="66F7936A"/>
    <w:rsid w:val="674DC400"/>
    <w:rsid w:val="6789AA63"/>
    <w:rsid w:val="67DEC3EA"/>
    <w:rsid w:val="68BBBE2F"/>
    <w:rsid w:val="69086FD3"/>
    <w:rsid w:val="6930ABD6"/>
    <w:rsid w:val="698630EE"/>
    <w:rsid w:val="6A37DF59"/>
    <w:rsid w:val="6A44F3E9"/>
    <w:rsid w:val="6B06080F"/>
    <w:rsid w:val="6B1F2304"/>
    <w:rsid w:val="6C1B5E93"/>
    <w:rsid w:val="6CB6F161"/>
    <w:rsid w:val="6D757224"/>
    <w:rsid w:val="70CE8AC9"/>
    <w:rsid w:val="7247B2AB"/>
    <w:rsid w:val="72CC758A"/>
    <w:rsid w:val="73B22ADA"/>
    <w:rsid w:val="750F573A"/>
    <w:rsid w:val="751E474E"/>
    <w:rsid w:val="7598ED46"/>
    <w:rsid w:val="75D948AC"/>
    <w:rsid w:val="75FC8CAE"/>
    <w:rsid w:val="765E2BDB"/>
    <w:rsid w:val="76C97F1E"/>
    <w:rsid w:val="778C0AA8"/>
    <w:rsid w:val="78394C23"/>
    <w:rsid w:val="78CF39FD"/>
    <w:rsid w:val="7902A281"/>
    <w:rsid w:val="79495CB4"/>
    <w:rsid w:val="7969BB45"/>
    <w:rsid w:val="79902367"/>
    <w:rsid w:val="79922A76"/>
    <w:rsid w:val="79D72165"/>
    <w:rsid w:val="7A071006"/>
    <w:rsid w:val="7A1E7100"/>
    <w:rsid w:val="7A3FEB8A"/>
    <w:rsid w:val="7ACF6813"/>
    <w:rsid w:val="7BC9EAB7"/>
    <w:rsid w:val="7C104151"/>
    <w:rsid w:val="7D2B0D79"/>
    <w:rsid w:val="7EDCFD53"/>
    <w:rsid w:val="7EF3624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40C2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62ECD"/>
    <w:pPr>
      <w:tabs>
        <w:tab w:val="left" w:pos="567"/>
      </w:tabs>
      <w:spacing w:before="120" w:after="0" w:line="254" w:lineRule="auto"/>
    </w:pPr>
    <w:rPr>
      <w:rFonts w:ascii="Work Sans" w:hAnsi="Work Sans"/>
      <w:sz w:val="20"/>
    </w:rPr>
  </w:style>
  <w:style w:type="paragraph" w:styleId="Heading1">
    <w:name w:val="heading 1"/>
    <w:basedOn w:val="Normal"/>
    <w:next w:val="Normal"/>
    <w:link w:val="Heading1Char"/>
    <w:uiPriority w:val="9"/>
    <w:qFormat/>
    <w:rsid w:val="002B274C"/>
    <w:pPr>
      <w:tabs>
        <w:tab w:val="clear" w:pos="567"/>
      </w:tabs>
      <w:spacing w:before="360" w:after="200" w:line="276" w:lineRule="auto"/>
      <w:outlineLvl w:val="0"/>
    </w:pPr>
    <w:rPr>
      <w:rFonts w:eastAsia="Times New Roman" w:cs="Open Sans"/>
      <w:b/>
      <w:bCs/>
      <w:color w:val="006991"/>
      <w:sz w:val="40"/>
      <w:szCs w:val="40"/>
    </w:rPr>
  </w:style>
  <w:style w:type="paragraph" w:styleId="Heading2">
    <w:name w:val="heading 2"/>
    <w:aliases w:val="CGC 2025 Heading 2"/>
    <w:basedOn w:val="Normal"/>
    <w:next w:val="Heading3"/>
    <w:link w:val="Heading2Char"/>
    <w:uiPriority w:val="9"/>
    <w:qFormat/>
    <w:rsid w:val="007C4D64"/>
    <w:pPr>
      <w:tabs>
        <w:tab w:val="clear" w:pos="567"/>
      </w:tabs>
      <w:spacing w:before="360" w:after="200" w:line="276" w:lineRule="auto"/>
      <w:outlineLvl w:val="1"/>
    </w:pPr>
    <w:rPr>
      <w:rFonts w:eastAsia="Times New Roman" w:cs="Open Sans"/>
      <w:b/>
      <w:bCs/>
      <w:color w:val="006991"/>
      <w:sz w:val="36"/>
      <w:szCs w:val="36"/>
    </w:rPr>
  </w:style>
  <w:style w:type="paragraph" w:styleId="Heading3">
    <w:name w:val="heading 3"/>
    <w:aliases w:val="CGC 2025 Heading 3"/>
    <w:basedOn w:val="Normal"/>
    <w:next w:val="Heading4"/>
    <w:link w:val="Heading3Char"/>
    <w:uiPriority w:val="9"/>
    <w:qFormat/>
    <w:rsid w:val="009A2C92"/>
    <w:pPr>
      <w:tabs>
        <w:tab w:val="clear" w:pos="567"/>
      </w:tabs>
      <w:spacing w:before="240" w:after="200" w:line="276" w:lineRule="auto"/>
      <w:outlineLvl w:val="2"/>
    </w:pPr>
    <w:rPr>
      <w:rFonts w:eastAsia="Times New Roman" w:cs="Open Sans"/>
      <w:b/>
      <w:bCs/>
      <w:color w:val="006991"/>
      <w:sz w:val="28"/>
      <w:szCs w:val="28"/>
    </w:rPr>
  </w:style>
  <w:style w:type="paragraph" w:styleId="Heading4">
    <w:name w:val="heading 4"/>
    <w:aliases w:val="CGC 2025 Heading 4"/>
    <w:basedOn w:val="Normal"/>
    <w:next w:val="Heading5"/>
    <w:link w:val="Heading4Char"/>
    <w:uiPriority w:val="9"/>
    <w:qFormat/>
    <w:rsid w:val="00BD6EEE"/>
    <w:pPr>
      <w:keepNext/>
      <w:widowControl w:val="0"/>
      <w:spacing w:before="240" w:line="240" w:lineRule="auto"/>
      <w:outlineLvl w:val="3"/>
    </w:pPr>
    <w:rPr>
      <w:rFonts w:eastAsiaTheme="majorEastAsia" w:cstheme="majorBidi"/>
      <w:b/>
      <w:bCs/>
      <w:iCs/>
      <w:color w:val="006991"/>
      <w:sz w:val="24"/>
    </w:rPr>
  </w:style>
  <w:style w:type="paragraph" w:styleId="Heading5">
    <w:name w:val="heading 5"/>
    <w:aliases w:val="CGC 2025 Heading 5"/>
    <w:basedOn w:val="Normal"/>
    <w:next w:val="Heading6"/>
    <w:link w:val="Heading5Char"/>
    <w:uiPriority w:val="9"/>
    <w:qFormat/>
    <w:rsid w:val="00BD13E7"/>
    <w:pPr>
      <w:keepNext/>
      <w:tabs>
        <w:tab w:val="clear" w:pos="567"/>
      </w:tabs>
      <w:outlineLvl w:val="4"/>
    </w:pPr>
    <w:rPr>
      <w:rFonts w:ascii="Montserrat Semi Bold" w:eastAsiaTheme="majorEastAsia" w:hAnsi="Montserrat Semi Bold" w:cstheme="majorBidi"/>
      <w:color w:val="636466"/>
    </w:rPr>
  </w:style>
  <w:style w:type="paragraph" w:styleId="Heading6">
    <w:name w:val="heading 6"/>
    <w:basedOn w:val="Normal"/>
    <w:next w:val="Normal"/>
    <w:link w:val="Heading6Char"/>
    <w:uiPriority w:val="9"/>
    <w:qFormat/>
    <w:rsid w:val="00782EC4"/>
    <w:pPr>
      <w:keepNext/>
      <w:keepLines/>
      <w:outlineLvl w:val="5"/>
    </w:pPr>
    <w:rPr>
      <w:rFonts w:ascii="Montserrat Semi Bold" w:eastAsiaTheme="majorEastAsia" w:hAnsi="Montserrat Semi Bold" w:cstheme="majorBidi"/>
      <w:i/>
      <w:iCs/>
      <w:color w:val="636466"/>
    </w:rPr>
  </w:style>
  <w:style w:type="paragraph" w:styleId="Heading7">
    <w:name w:val="heading 7"/>
    <w:basedOn w:val="Normal"/>
    <w:next w:val="Normal"/>
    <w:link w:val="Heading7Char"/>
    <w:uiPriority w:val="9"/>
    <w:semiHidden/>
    <w:rsid w:val="00622669"/>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aliases w:val="(Do not use),(Sub-section Nos)"/>
    <w:basedOn w:val="Normal"/>
    <w:next w:val="Normal"/>
    <w:semiHidden/>
    <w:rsid w:val="00765BA8"/>
    <w:pPr>
      <w:numPr>
        <w:ilvl w:val="7"/>
        <w:numId w:val="1"/>
      </w:numPr>
      <w:spacing w:before="240" w:after="60"/>
      <w:outlineLvl w:val="7"/>
    </w:pPr>
    <w:rPr>
      <w:rFonts w:ascii="Arial" w:hAnsi="Arial"/>
      <w:i/>
      <w:szCs w:val="20"/>
    </w:rPr>
  </w:style>
  <w:style w:type="paragraph" w:styleId="Heading9">
    <w:name w:val="heading 9"/>
    <w:aliases w:val="Heading 9 (Do not use),(Subsubsection Nos)"/>
    <w:basedOn w:val="Normal"/>
    <w:next w:val="Normal"/>
    <w:semiHidden/>
    <w:rsid w:val="00765BA8"/>
    <w:pPr>
      <w:numPr>
        <w:ilvl w:val="8"/>
        <w:numId w:val="1"/>
      </w:numPr>
      <w:spacing w:before="240" w:after="60"/>
      <w:outlineLvl w:val="8"/>
    </w:pPr>
    <w:rPr>
      <w:rFonts w:ascii="Arial" w:hAnsi="Arial"/>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GCTableheader">
    <w:name w:val="CGC Table header"/>
    <w:basedOn w:val="Normal"/>
    <w:next w:val="Normal"/>
    <w:rsid w:val="00F74B4B"/>
    <w:pPr>
      <w:tabs>
        <w:tab w:val="left" w:pos="680"/>
      </w:tabs>
      <w:spacing w:before="0" w:line="240" w:lineRule="auto"/>
      <w:jc w:val="right"/>
    </w:pPr>
    <w:rPr>
      <w:rFonts w:ascii="Open Sans" w:hAnsi="Open Sans"/>
      <w:b/>
      <w:color w:val="FFFFFF" w:themeColor="background1"/>
      <w:sz w:val="16"/>
      <w:lang w:val="en-US"/>
    </w:rPr>
  </w:style>
  <w:style w:type="paragraph" w:styleId="Caption">
    <w:name w:val="caption"/>
    <w:basedOn w:val="Normal"/>
    <w:next w:val="Normal"/>
    <w:link w:val="CaptionChar"/>
    <w:qFormat/>
    <w:rsid w:val="00485F13"/>
    <w:pPr>
      <w:keepNext/>
      <w:keepLines/>
      <w:tabs>
        <w:tab w:val="clear" w:pos="567"/>
        <w:tab w:val="left" w:pos="1134"/>
        <w:tab w:val="left" w:pos="1418"/>
      </w:tabs>
      <w:spacing w:before="240" w:after="120" w:line="240" w:lineRule="auto"/>
      <w:ind w:left="1134" w:hanging="1134"/>
    </w:pPr>
    <w:rPr>
      <w:rFonts w:ascii="Montserrat Ultra Light" w:hAnsi="Montserrat Ultra Light"/>
      <w:b/>
      <w:bCs/>
      <w:szCs w:val="20"/>
    </w:rPr>
  </w:style>
  <w:style w:type="paragraph" w:customStyle="1" w:styleId="CGCSubbulletlist">
    <w:name w:val="CGC Sub bullet list"/>
    <w:aliases w:val="CGC List 2"/>
    <w:basedOn w:val="Normal"/>
    <w:rsid w:val="00C21EF9"/>
    <w:pPr>
      <w:numPr>
        <w:numId w:val="2"/>
      </w:numPr>
      <w:tabs>
        <w:tab w:val="clear" w:pos="567"/>
        <w:tab w:val="clear" w:pos="927"/>
        <w:tab w:val="left" w:pos="1701"/>
      </w:tabs>
      <w:spacing w:line="300" w:lineRule="atLeast"/>
      <w:ind w:left="1701" w:hanging="567"/>
    </w:pPr>
    <w:rPr>
      <w:szCs w:val="20"/>
    </w:rPr>
  </w:style>
  <w:style w:type="paragraph" w:customStyle="1" w:styleId="CGCTableFootnote">
    <w:name w:val="CGC Table Footnote"/>
    <w:basedOn w:val="Normal"/>
    <w:next w:val="NoSpacing"/>
    <w:rsid w:val="00641D96"/>
    <w:pPr>
      <w:tabs>
        <w:tab w:val="clear" w:pos="567"/>
        <w:tab w:val="left" w:pos="851"/>
      </w:tabs>
      <w:spacing w:before="0" w:line="240" w:lineRule="auto"/>
      <w:ind w:left="851" w:hanging="851"/>
    </w:pPr>
    <w:rPr>
      <w:szCs w:val="24"/>
    </w:rPr>
  </w:style>
  <w:style w:type="paragraph" w:customStyle="1" w:styleId="CGCTableHeading">
    <w:name w:val="CGC Table Heading"/>
    <w:basedOn w:val="Normal"/>
    <w:next w:val="Normal"/>
    <w:link w:val="CGCTableHeadingChar"/>
    <w:rsid w:val="00FE5C60"/>
    <w:pPr>
      <w:keepNext/>
      <w:keepLines/>
      <w:tabs>
        <w:tab w:val="clear" w:pos="567"/>
        <w:tab w:val="left" w:pos="1134"/>
        <w:tab w:val="left" w:pos="1420"/>
      </w:tabs>
      <w:spacing w:before="240" w:after="120" w:line="240" w:lineRule="auto"/>
    </w:pPr>
    <w:rPr>
      <w:rFonts w:ascii="Montserrat Ultra Light" w:hAnsi="Montserrat Ultra Light"/>
      <w:b/>
      <w:szCs w:val="20"/>
    </w:rPr>
  </w:style>
  <w:style w:type="paragraph" w:styleId="DocumentMap">
    <w:name w:val="Document Map"/>
    <w:basedOn w:val="Normal"/>
    <w:rsid w:val="00765BA8"/>
    <w:pPr>
      <w:shd w:val="clear" w:color="auto" w:fill="000080"/>
    </w:pPr>
    <w:rPr>
      <w:rFonts w:ascii="Tahoma" w:hAnsi="Tahoma" w:cs="Tahoma"/>
      <w:szCs w:val="20"/>
    </w:rPr>
  </w:style>
  <w:style w:type="paragraph" w:styleId="Footer">
    <w:name w:val="footer"/>
    <w:basedOn w:val="Normal"/>
    <w:link w:val="FooterChar"/>
    <w:uiPriority w:val="99"/>
    <w:unhideWhenUsed/>
    <w:rsid w:val="007A1785"/>
    <w:pPr>
      <w:tabs>
        <w:tab w:val="clear" w:pos="567"/>
        <w:tab w:val="center" w:pos="4513"/>
        <w:tab w:val="right" w:pos="9026"/>
      </w:tabs>
      <w:spacing w:before="0" w:line="240" w:lineRule="auto"/>
      <w:ind w:left="-284" w:right="-284"/>
      <w:jc w:val="right"/>
    </w:pPr>
    <w:rPr>
      <w:rFonts w:ascii="Montserrat Ultra Light" w:hAnsi="Montserrat Ultra Light"/>
      <w:b/>
      <w:color w:val="004563"/>
    </w:rPr>
  </w:style>
  <w:style w:type="character" w:styleId="FootnoteReference">
    <w:name w:val="footnote reference"/>
    <w:qFormat/>
    <w:rsid w:val="0026115B"/>
    <w:rPr>
      <w:rFonts w:ascii="Work Sans" w:hAnsi="Work Sans"/>
      <w:sz w:val="20"/>
      <w:szCs w:val="20"/>
      <w:vertAlign w:val="superscript"/>
    </w:rPr>
  </w:style>
  <w:style w:type="paragraph" w:styleId="FootnoteText">
    <w:name w:val="footnote text"/>
    <w:basedOn w:val="Normal"/>
    <w:link w:val="FootnoteTextChar"/>
    <w:autoRedefine/>
    <w:uiPriority w:val="99"/>
    <w:qFormat/>
    <w:rsid w:val="00B01CB6"/>
    <w:pPr>
      <w:spacing w:before="40" w:line="240" w:lineRule="auto"/>
      <w:ind w:left="142" w:hanging="142"/>
    </w:pPr>
    <w:rPr>
      <w:sz w:val="14"/>
      <w:szCs w:val="16"/>
    </w:rPr>
  </w:style>
  <w:style w:type="paragraph" w:styleId="Header">
    <w:name w:val="header"/>
    <w:basedOn w:val="Footer"/>
    <w:link w:val="HeaderChar"/>
    <w:uiPriority w:val="99"/>
    <w:unhideWhenUsed/>
    <w:rsid w:val="007A1785"/>
  </w:style>
  <w:style w:type="character" w:styleId="Hyperlink">
    <w:name w:val="Hyperlink"/>
    <w:basedOn w:val="DefaultParagraphFont"/>
    <w:uiPriority w:val="99"/>
    <w:unhideWhenUsed/>
    <w:qFormat/>
    <w:rsid w:val="00782EC4"/>
    <w:rPr>
      <w:color w:val="006991"/>
      <w:u w:val="single"/>
    </w:rPr>
  </w:style>
  <w:style w:type="character" w:styleId="PageNumber">
    <w:name w:val="page number"/>
    <w:basedOn w:val="DefaultParagraphFont"/>
    <w:rsid w:val="00765BA8"/>
  </w:style>
  <w:style w:type="paragraph" w:customStyle="1" w:styleId="Single">
    <w:name w:val="Single"/>
    <w:basedOn w:val="Normal"/>
    <w:next w:val="Normal"/>
    <w:rsid w:val="00765BA8"/>
    <w:pPr>
      <w:spacing w:line="240" w:lineRule="auto"/>
    </w:pPr>
  </w:style>
  <w:style w:type="table" w:styleId="TableGrid">
    <w:name w:val="Table Grid"/>
    <w:basedOn w:val="TableNormal"/>
    <w:uiPriority w:val="39"/>
    <w:rsid w:val="006226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634E53"/>
    <w:pPr>
      <w:tabs>
        <w:tab w:val="clear" w:pos="567"/>
      </w:tabs>
      <w:spacing w:after="100"/>
    </w:pPr>
    <w:rPr>
      <w:bCs/>
      <w:szCs w:val="24"/>
    </w:rPr>
  </w:style>
  <w:style w:type="paragraph" w:styleId="TOC2">
    <w:name w:val="toc 2"/>
    <w:basedOn w:val="TOC1"/>
    <w:next w:val="Normal"/>
    <w:uiPriority w:val="39"/>
    <w:rsid w:val="00EB6889"/>
    <w:pPr>
      <w:spacing w:before="240"/>
    </w:pPr>
    <w:rPr>
      <w:rFonts w:asciiTheme="minorHAnsi" w:hAnsiTheme="minorHAnsi" w:cstheme="minorHAnsi"/>
      <w:caps/>
      <w:szCs w:val="20"/>
    </w:rPr>
  </w:style>
  <w:style w:type="paragraph" w:styleId="TOC3">
    <w:name w:val="toc 3"/>
    <w:basedOn w:val="TOC2"/>
    <w:next w:val="Normal"/>
    <w:uiPriority w:val="39"/>
    <w:rsid w:val="00485F13"/>
    <w:pPr>
      <w:spacing w:before="0"/>
      <w:ind w:left="200"/>
    </w:pPr>
    <w:rPr>
      <w:b/>
      <w:bCs w:val="0"/>
    </w:rPr>
  </w:style>
  <w:style w:type="paragraph" w:styleId="TOC4">
    <w:name w:val="toc 4"/>
    <w:basedOn w:val="TOC3"/>
    <w:next w:val="Normal"/>
    <w:uiPriority w:val="39"/>
    <w:rsid w:val="00FE5C60"/>
    <w:pPr>
      <w:ind w:left="400"/>
    </w:pPr>
  </w:style>
  <w:style w:type="paragraph" w:styleId="TOC5">
    <w:name w:val="toc 5"/>
    <w:basedOn w:val="TOC3"/>
    <w:next w:val="Normal"/>
    <w:uiPriority w:val="39"/>
    <w:rsid w:val="007A1785"/>
    <w:pPr>
      <w:ind w:left="600"/>
    </w:pPr>
  </w:style>
  <w:style w:type="paragraph" w:styleId="TOC6">
    <w:name w:val="toc 6"/>
    <w:basedOn w:val="TOC5"/>
    <w:next w:val="Normal"/>
    <w:uiPriority w:val="39"/>
    <w:rsid w:val="007A1785"/>
    <w:pPr>
      <w:ind w:left="800"/>
    </w:pPr>
  </w:style>
  <w:style w:type="paragraph" w:styleId="TOC7">
    <w:name w:val="toc 7"/>
    <w:basedOn w:val="Normal"/>
    <w:next w:val="Normal"/>
    <w:rsid w:val="00765BA8"/>
    <w:pPr>
      <w:tabs>
        <w:tab w:val="clear" w:pos="567"/>
      </w:tabs>
      <w:spacing w:before="0"/>
      <w:ind w:left="1000"/>
    </w:pPr>
    <w:rPr>
      <w:rFonts w:asciiTheme="minorHAnsi" w:hAnsiTheme="minorHAnsi" w:cstheme="minorHAnsi"/>
      <w:szCs w:val="20"/>
    </w:rPr>
  </w:style>
  <w:style w:type="paragraph" w:styleId="TOC8">
    <w:name w:val="toc 8"/>
    <w:basedOn w:val="Normal"/>
    <w:next w:val="Normal"/>
    <w:rsid w:val="00765BA8"/>
    <w:pPr>
      <w:tabs>
        <w:tab w:val="clear" w:pos="567"/>
      </w:tabs>
      <w:spacing w:before="0"/>
      <w:ind w:left="1200"/>
    </w:pPr>
    <w:rPr>
      <w:rFonts w:asciiTheme="minorHAnsi" w:hAnsiTheme="minorHAnsi" w:cstheme="minorHAnsi"/>
      <w:szCs w:val="20"/>
    </w:rPr>
  </w:style>
  <w:style w:type="paragraph" w:styleId="TOC9">
    <w:name w:val="toc 9"/>
    <w:basedOn w:val="Normal"/>
    <w:next w:val="Normal"/>
    <w:rsid w:val="00765BA8"/>
    <w:pPr>
      <w:tabs>
        <w:tab w:val="clear" w:pos="567"/>
      </w:tabs>
      <w:spacing w:before="0"/>
      <w:ind w:left="1400"/>
    </w:pPr>
    <w:rPr>
      <w:rFonts w:asciiTheme="minorHAnsi" w:hAnsiTheme="minorHAnsi" w:cstheme="minorHAnsi"/>
      <w:szCs w:val="20"/>
    </w:rPr>
  </w:style>
  <w:style w:type="character" w:customStyle="1" w:styleId="Heading1Char">
    <w:name w:val="Heading 1 Char"/>
    <w:basedOn w:val="DefaultParagraphFont"/>
    <w:link w:val="Heading1"/>
    <w:uiPriority w:val="9"/>
    <w:rsid w:val="002B274C"/>
    <w:rPr>
      <w:rFonts w:ascii="Work Sans" w:eastAsia="Times New Roman" w:hAnsi="Work Sans" w:cs="Open Sans"/>
      <w:b/>
      <w:bCs/>
      <w:color w:val="006991"/>
      <w:sz w:val="40"/>
      <w:szCs w:val="40"/>
    </w:rPr>
  </w:style>
  <w:style w:type="character" w:customStyle="1" w:styleId="Heading2Char">
    <w:name w:val="Heading 2 Char"/>
    <w:aliases w:val="CGC 2025 Heading 2 Char"/>
    <w:basedOn w:val="DefaultParagraphFont"/>
    <w:link w:val="Heading2"/>
    <w:uiPriority w:val="9"/>
    <w:rsid w:val="007C4D64"/>
    <w:rPr>
      <w:rFonts w:ascii="Work Sans" w:eastAsia="Times New Roman" w:hAnsi="Work Sans" w:cs="Open Sans"/>
      <w:b/>
      <w:bCs/>
      <w:color w:val="006991"/>
      <w:sz w:val="36"/>
      <w:szCs w:val="36"/>
    </w:rPr>
  </w:style>
  <w:style w:type="character" w:customStyle="1" w:styleId="Heading3Char">
    <w:name w:val="Heading 3 Char"/>
    <w:aliases w:val="CGC 2025 Heading 3 Char"/>
    <w:basedOn w:val="DefaultParagraphFont"/>
    <w:link w:val="Heading3"/>
    <w:uiPriority w:val="9"/>
    <w:rsid w:val="009A2C92"/>
    <w:rPr>
      <w:rFonts w:ascii="Work Sans" w:eastAsia="Times New Roman" w:hAnsi="Work Sans" w:cs="Open Sans"/>
      <w:b/>
      <w:bCs/>
      <w:color w:val="006991"/>
      <w:sz w:val="28"/>
      <w:szCs w:val="28"/>
    </w:rPr>
  </w:style>
  <w:style w:type="character" w:customStyle="1" w:styleId="Heading4Char">
    <w:name w:val="Heading 4 Char"/>
    <w:aliases w:val="CGC 2025 Heading 4 Char"/>
    <w:basedOn w:val="DefaultParagraphFont"/>
    <w:link w:val="Heading4"/>
    <w:uiPriority w:val="9"/>
    <w:rsid w:val="00BD6EEE"/>
    <w:rPr>
      <w:rFonts w:ascii="Work Sans" w:eastAsiaTheme="majorEastAsia" w:hAnsi="Work Sans" w:cstheme="majorBidi"/>
      <w:b/>
      <w:bCs/>
      <w:iCs/>
      <w:color w:val="006991"/>
      <w:sz w:val="24"/>
    </w:rPr>
  </w:style>
  <w:style w:type="character" w:customStyle="1" w:styleId="Heading5Char">
    <w:name w:val="Heading 5 Char"/>
    <w:aliases w:val="CGC 2025 Heading 5 Char"/>
    <w:basedOn w:val="DefaultParagraphFont"/>
    <w:link w:val="Heading5"/>
    <w:uiPriority w:val="9"/>
    <w:rsid w:val="00BD13E7"/>
    <w:rPr>
      <w:rFonts w:ascii="Montserrat Semi Bold" w:eastAsiaTheme="majorEastAsia" w:hAnsi="Montserrat Semi Bold" w:cstheme="majorBidi"/>
      <w:color w:val="636466"/>
      <w:sz w:val="20"/>
    </w:rPr>
  </w:style>
  <w:style w:type="paragraph" w:styleId="NoSpacing">
    <w:name w:val="No Spacing"/>
    <w:link w:val="NoSpacingChar"/>
    <w:uiPriority w:val="1"/>
    <w:qFormat/>
    <w:rsid w:val="00782EC4"/>
    <w:pPr>
      <w:tabs>
        <w:tab w:val="left" w:pos="567"/>
      </w:tabs>
      <w:spacing w:after="0" w:line="240" w:lineRule="auto"/>
    </w:pPr>
    <w:rPr>
      <w:sz w:val="24"/>
    </w:rPr>
  </w:style>
  <w:style w:type="character" w:customStyle="1" w:styleId="NoSpacingChar">
    <w:name w:val="No Spacing Char"/>
    <w:basedOn w:val="DefaultParagraphFont"/>
    <w:link w:val="NoSpacing"/>
    <w:uiPriority w:val="1"/>
    <w:rsid w:val="00782EC4"/>
    <w:rPr>
      <w:sz w:val="24"/>
    </w:rPr>
  </w:style>
  <w:style w:type="paragraph" w:styleId="ListParagraph">
    <w:name w:val="List Paragraph"/>
    <w:basedOn w:val="Normal"/>
    <w:link w:val="ListParagraphChar"/>
    <w:uiPriority w:val="34"/>
    <w:qFormat/>
    <w:rsid w:val="00622669"/>
    <w:pPr>
      <w:ind w:left="720"/>
      <w:contextualSpacing/>
    </w:pPr>
  </w:style>
  <w:style w:type="paragraph" w:styleId="TOCHeading">
    <w:name w:val="TOC Heading"/>
    <w:aliases w:val="CGC 2025 TOC Heading"/>
    <w:basedOn w:val="Heading1"/>
    <w:next w:val="Normal"/>
    <w:uiPriority w:val="39"/>
    <w:unhideWhenUsed/>
    <w:qFormat/>
    <w:rsid w:val="00032318"/>
    <w:pPr>
      <w:keepLines/>
      <w:spacing w:before="480" w:line="320" w:lineRule="atLeast"/>
      <w:outlineLvl w:val="9"/>
    </w:pPr>
    <w:rPr>
      <w:caps/>
      <w:color w:val="365F91" w:themeColor="accent1" w:themeShade="BF"/>
      <w:sz w:val="28"/>
    </w:rPr>
  </w:style>
  <w:style w:type="character" w:customStyle="1" w:styleId="FooterChar">
    <w:name w:val="Footer Char"/>
    <w:basedOn w:val="DefaultParagraphFont"/>
    <w:link w:val="Footer"/>
    <w:uiPriority w:val="99"/>
    <w:rsid w:val="007A1785"/>
    <w:rPr>
      <w:rFonts w:ascii="Montserrat Ultra Light" w:hAnsi="Montserrat Ultra Light"/>
      <w:b/>
      <w:color w:val="004563"/>
      <w:sz w:val="20"/>
    </w:rPr>
  </w:style>
  <w:style w:type="character" w:customStyle="1" w:styleId="HeaderChar">
    <w:name w:val="Header Char"/>
    <w:basedOn w:val="DefaultParagraphFont"/>
    <w:link w:val="Header"/>
    <w:uiPriority w:val="99"/>
    <w:rsid w:val="007A1785"/>
    <w:rPr>
      <w:rFonts w:ascii="Montserrat Ultra Light" w:hAnsi="Montserrat Ultra Light"/>
      <w:b/>
      <w:color w:val="004563"/>
      <w:sz w:val="20"/>
    </w:rPr>
  </w:style>
  <w:style w:type="paragraph" w:customStyle="1" w:styleId="CGCDataCaption">
    <w:name w:val="CGC Data Caption"/>
    <w:basedOn w:val="CGCTableFootnote"/>
    <w:next w:val="NoSpacing"/>
    <w:link w:val="DataCaptionChar"/>
    <w:rsid w:val="00622669"/>
  </w:style>
  <w:style w:type="character" w:customStyle="1" w:styleId="CaptionChar">
    <w:name w:val="Caption Char"/>
    <w:basedOn w:val="DefaultParagraphFont"/>
    <w:link w:val="Caption"/>
    <w:rsid w:val="00485F13"/>
    <w:rPr>
      <w:rFonts w:ascii="Montserrat Ultra Light" w:hAnsi="Montserrat Ultra Light"/>
      <w:b/>
      <w:bCs/>
      <w:sz w:val="20"/>
      <w:szCs w:val="20"/>
    </w:rPr>
  </w:style>
  <w:style w:type="character" w:customStyle="1" w:styleId="DataCaptionChar">
    <w:name w:val="Data Caption Char"/>
    <w:basedOn w:val="DefaultParagraphFont"/>
    <w:link w:val="CGCDataCaption"/>
    <w:rsid w:val="00622669"/>
    <w:rPr>
      <w:sz w:val="20"/>
      <w:szCs w:val="24"/>
    </w:rPr>
  </w:style>
  <w:style w:type="character" w:customStyle="1" w:styleId="FootnoteTextChar">
    <w:name w:val="Footnote Text Char"/>
    <w:basedOn w:val="DefaultParagraphFont"/>
    <w:link w:val="FootnoteText"/>
    <w:uiPriority w:val="99"/>
    <w:rsid w:val="00B01CB6"/>
    <w:rPr>
      <w:rFonts w:ascii="Work Sans" w:hAnsi="Work Sans"/>
      <w:sz w:val="14"/>
      <w:szCs w:val="16"/>
    </w:rPr>
  </w:style>
  <w:style w:type="character" w:customStyle="1" w:styleId="Heading6Char">
    <w:name w:val="Heading 6 Char"/>
    <w:basedOn w:val="DefaultParagraphFont"/>
    <w:link w:val="Heading6"/>
    <w:uiPriority w:val="9"/>
    <w:rsid w:val="00782EC4"/>
    <w:rPr>
      <w:rFonts w:ascii="Montserrat Semi Bold" w:eastAsiaTheme="majorEastAsia" w:hAnsi="Montserrat Semi Bold" w:cstheme="majorBidi"/>
      <w:i/>
      <w:iCs/>
      <w:color w:val="636466"/>
      <w:sz w:val="20"/>
    </w:rPr>
  </w:style>
  <w:style w:type="character" w:customStyle="1" w:styleId="Heading7Char">
    <w:name w:val="Heading 7 Char"/>
    <w:basedOn w:val="DefaultParagraphFont"/>
    <w:link w:val="Heading7"/>
    <w:uiPriority w:val="9"/>
    <w:semiHidden/>
    <w:rsid w:val="00622669"/>
    <w:rPr>
      <w:rFonts w:asciiTheme="majorHAnsi" w:eastAsiaTheme="majorEastAsia" w:hAnsiTheme="majorHAnsi" w:cstheme="majorBidi"/>
      <w:i/>
      <w:iCs/>
      <w:color w:val="404040" w:themeColor="text1" w:themeTint="BF"/>
      <w:sz w:val="24"/>
    </w:rPr>
  </w:style>
  <w:style w:type="paragraph" w:customStyle="1" w:styleId="CGCParaNumber">
    <w:name w:val="CGC Para Number"/>
    <w:basedOn w:val="Normal"/>
    <w:qFormat/>
    <w:rsid w:val="00956C4E"/>
    <w:pPr>
      <w:numPr>
        <w:numId w:val="7"/>
      </w:numPr>
      <w:ind w:left="567" w:hanging="567"/>
    </w:pPr>
    <w:rPr>
      <w:szCs w:val="20"/>
    </w:rPr>
  </w:style>
  <w:style w:type="paragraph" w:customStyle="1" w:styleId="CGC2025Bullet1">
    <w:name w:val="CGC 2025 Bullet 1"/>
    <w:basedOn w:val="Normal"/>
    <w:qFormat/>
    <w:rsid w:val="00956C4E"/>
    <w:pPr>
      <w:numPr>
        <w:numId w:val="3"/>
      </w:numPr>
    </w:pPr>
    <w:rPr>
      <w:szCs w:val="20"/>
    </w:rPr>
  </w:style>
  <w:style w:type="paragraph" w:customStyle="1" w:styleId="CGCBullet2">
    <w:name w:val="CGC Bullet 2"/>
    <w:basedOn w:val="Normal"/>
    <w:qFormat/>
    <w:rsid w:val="00DA7A60"/>
    <w:pPr>
      <w:numPr>
        <w:numId w:val="4"/>
      </w:numPr>
    </w:pPr>
  </w:style>
  <w:style w:type="paragraph" w:customStyle="1" w:styleId="CGCBullet3">
    <w:name w:val="CGC Bullet 3"/>
    <w:basedOn w:val="Normal"/>
    <w:qFormat/>
    <w:rsid w:val="007A1785"/>
    <w:pPr>
      <w:numPr>
        <w:numId w:val="5"/>
      </w:numPr>
      <w:ind w:left="1491" w:hanging="357"/>
    </w:pPr>
  </w:style>
  <w:style w:type="paragraph" w:customStyle="1" w:styleId="CGCQuoteText">
    <w:name w:val="CGC Quote Text"/>
    <w:basedOn w:val="Normal"/>
    <w:next w:val="Normal"/>
    <w:rsid w:val="00782EC4"/>
    <w:pPr>
      <w:spacing w:after="120"/>
      <w:ind w:left="1418" w:right="1134"/>
    </w:pPr>
  </w:style>
  <w:style w:type="paragraph" w:customStyle="1" w:styleId="CGCQuoteBullet">
    <w:name w:val="CGC Quote Bullet"/>
    <w:basedOn w:val="CGCQuoteText"/>
    <w:next w:val="Normal"/>
    <w:rsid w:val="00782EC4"/>
    <w:pPr>
      <w:numPr>
        <w:numId w:val="6"/>
      </w:numPr>
      <w:ind w:right="1418"/>
    </w:pPr>
  </w:style>
  <w:style w:type="paragraph" w:customStyle="1" w:styleId="CGCTablerow">
    <w:name w:val="CGC Table row"/>
    <w:basedOn w:val="Normal"/>
    <w:qFormat/>
    <w:rsid w:val="00782EC4"/>
    <w:pPr>
      <w:spacing w:before="0" w:line="240" w:lineRule="auto"/>
    </w:pPr>
    <w:rPr>
      <w:sz w:val="16"/>
    </w:rPr>
  </w:style>
  <w:style w:type="paragraph" w:customStyle="1" w:styleId="CGCTablenote">
    <w:name w:val="CGC Table note"/>
    <w:basedOn w:val="Normal"/>
    <w:next w:val="Normal"/>
    <w:link w:val="CGCTablenoteChar"/>
    <w:qFormat/>
    <w:rsid w:val="00FE5C60"/>
    <w:pPr>
      <w:tabs>
        <w:tab w:val="left" w:pos="680"/>
      </w:tabs>
      <w:spacing w:before="40" w:line="240" w:lineRule="auto"/>
      <w:ind w:left="340" w:hanging="227"/>
    </w:pPr>
    <w:rPr>
      <w:sz w:val="14"/>
    </w:rPr>
  </w:style>
  <w:style w:type="character" w:customStyle="1" w:styleId="CGCTableHeadingChar">
    <w:name w:val="CGC Table Heading Char"/>
    <w:basedOn w:val="DefaultParagraphFont"/>
    <w:link w:val="CGCTableHeading"/>
    <w:rsid w:val="00FE5C60"/>
    <w:rPr>
      <w:rFonts w:ascii="Montserrat Ultra Light" w:hAnsi="Montserrat Ultra Light"/>
      <w:b/>
      <w:sz w:val="20"/>
      <w:szCs w:val="20"/>
    </w:rPr>
  </w:style>
  <w:style w:type="paragraph" w:customStyle="1" w:styleId="TOCtitle">
    <w:name w:val="TOC title"/>
    <w:basedOn w:val="Normal"/>
    <w:next w:val="Normal"/>
    <w:rsid w:val="001C1121"/>
    <w:rPr>
      <w:rFonts w:ascii="Montserrat Semi Bold" w:hAnsi="Montserrat Semi Bold"/>
      <w:color w:val="004563"/>
      <w:sz w:val="36"/>
      <w:lang w:val="en-US"/>
    </w:rPr>
  </w:style>
  <w:style w:type="character" w:styleId="CommentReference">
    <w:name w:val="annotation reference"/>
    <w:basedOn w:val="DefaultParagraphFont"/>
    <w:unhideWhenUsed/>
    <w:rsid w:val="00CA7A75"/>
    <w:rPr>
      <w:sz w:val="16"/>
      <w:szCs w:val="16"/>
    </w:rPr>
  </w:style>
  <w:style w:type="paragraph" w:styleId="CommentText">
    <w:name w:val="annotation text"/>
    <w:basedOn w:val="Normal"/>
    <w:link w:val="CommentTextChar"/>
    <w:unhideWhenUsed/>
    <w:rsid w:val="00CA7A75"/>
    <w:pPr>
      <w:spacing w:line="240" w:lineRule="auto"/>
    </w:pPr>
    <w:rPr>
      <w:szCs w:val="20"/>
    </w:rPr>
  </w:style>
  <w:style w:type="character" w:customStyle="1" w:styleId="CommentTextChar">
    <w:name w:val="Comment Text Char"/>
    <w:basedOn w:val="DefaultParagraphFont"/>
    <w:link w:val="CommentText"/>
    <w:rsid w:val="00CA7A75"/>
    <w:rPr>
      <w:rFonts w:ascii="Open Sans Light" w:hAnsi="Open Sans Light"/>
      <w:sz w:val="20"/>
      <w:szCs w:val="20"/>
    </w:rPr>
  </w:style>
  <w:style w:type="paragraph" w:styleId="CommentSubject">
    <w:name w:val="annotation subject"/>
    <w:basedOn w:val="CommentText"/>
    <w:next w:val="CommentText"/>
    <w:link w:val="CommentSubjectChar"/>
    <w:semiHidden/>
    <w:unhideWhenUsed/>
    <w:rsid w:val="00CA7A75"/>
    <w:rPr>
      <w:b/>
      <w:bCs/>
    </w:rPr>
  </w:style>
  <w:style w:type="character" w:customStyle="1" w:styleId="CommentSubjectChar">
    <w:name w:val="Comment Subject Char"/>
    <w:basedOn w:val="CommentTextChar"/>
    <w:link w:val="CommentSubject"/>
    <w:semiHidden/>
    <w:rsid w:val="00CA7A75"/>
    <w:rPr>
      <w:rFonts w:ascii="Open Sans Light" w:hAnsi="Open Sans Light"/>
      <w:b/>
      <w:bCs/>
      <w:sz w:val="20"/>
      <w:szCs w:val="20"/>
    </w:rPr>
  </w:style>
  <w:style w:type="paragraph" w:customStyle="1" w:styleId="CGCTablesubhead1">
    <w:name w:val="CGC Table subhead1"/>
    <w:basedOn w:val="Normal"/>
    <w:rsid w:val="00BF20E8"/>
    <w:pPr>
      <w:spacing w:before="0" w:line="240" w:lineRule="auto"/>
    </w:pPr>
    <w:rPr>
      <w:rFonts w:ascii="Open Sans Semibold" w:hAnsi="Open Sans Semibold"/>
      <w:sz w:val="16"/>
    </w:rPr>
  </w:style>
  <w:style w:type="character" w:styleId="UnresolvedMention">
    <w:name w:val="Unresolved Mention"/>
    <w:basedOn w:val="DefaultParagraphFont"/>
    <w:uiPriority w:val="99"/>
    <w:unhideWhenUsed/>
    <w:rsid w:val="004F4A13"/>
    <w:rPr>
      <w:color w:val="605E5C"/>
      <w:shd w:val="clear" w:color="auto" w:fill="E1DFDD"/>
    </w:rPr>
  </w:style>
  <w:style w:type="character" w:styleId="Mention">
    <w:name w:val="Mention"/>
    <w:basedOn w:val="DefaultParagraphFont"/>
    <w:uiPriority w:val="99"/>
    <w:unhideWhenUsed/>
    <w:rsid w:val="004F4A13"/>
    <w:rPr>
      <w:color w:val="2B579A"/>
      <w:shd w:val="clear" w:color="auto" w:fill="E1DFDD"/>
    </w:rPr>
  </w:style>
  <w:style w:type="paragraph" w:customStyle="1" w:styleId="Bulletpoint">
    <w:name w:val="Bullet point"/>
    <w:basedOn w:val="ListParagraph"/>
    <w:link w:val="BulletpointChar"/>
    <w:qFormat/>
    <w:rsid w:val="00A5102B"/>
    <w:pPr>
      <w:spacing w:before="240" w:line="300" w:lineRule="atLeast"/>
      <w:ind w:left="360" w:hanging="360"/>
      <w:contextualSpacing w:val="0"/>
      <w:jc w:val="both"/>
    </w:pPr>
  </w:style>
  <w:style w:type="character" w:customStyle="1" w:styleId="ListParagraphChar">
    <w:name w:val="List Paragraph Char"/>
    <w:basedOn w:val="DefaultParagraphFont"/>
    <w:link w:val="ListParagraph"/>
    <w:uiPriority w:val="34"/>
    <w:rsid w:val="00A5102B"/>
    <w:rPr>
      <w:rFonts w:ascii="Open Sans Light" w:hAnsi="Open Sans Light"/>
      <w:sz w:val="20"/>
    </w:rPr>
  </w:style>
  <w:style w:type="character" w:customStyle="1" w:styleId="BulletpointChar">
    <w:name w:val="Bullet point Char"/>
    <w:basedOn w:val="ListParagraphChar"/>
    <w:link w:val="Bulletpoint"/>
    <w:rsid w:val="00A5102B"/>
    <w:rPr>
      <w:rFonts w:ascii="Open Sans Light" w:hAnsi="Open Sans Light"/>
      <w:sz w:val="20"/>
    </w:rPr>
  </w:style>
  <w:style w:type="paragraph" w:styleId="Revision">
    <w:name w:val="Revision"/>
    <w:hidden/>
    <w:uiPriority w:val="99"/>
    <w:semiHidden/>
    <w:rsid w:val="001B76A8"/>
    <w:pPr>
      <w:spacing w:after="0" w:line="240" w:lineRule="auto"/>
    </w:pPr>
    <w:rPr>
      <w:rFonts w:ascii="Open Sans Light" w:hAnsi="Open Sans Light"/>
      <w:sz w:val="20"/>
    </w:rPr>
  </w:style>
  <w:style w:type="paragraph" w:customStyle="1" w:styleId="CGCBulletlist">
    <w:name w:val="CGC Bullet list"/>
    <w:aliases w:val="CGC List 1"/>
    <w:basedOn w:val="Normal"/>
    <w:link w:val="CGCBulletlistChar"/>
    <w:qFormat/>
    <w:rsid w:val="001307A8"/>
    <w:pPr>
      <w:numPr>
        <w:numId w:val="8"/>
      </w:numPr>
      <w:tabs>
        <w:tab w:val="clear" w:pos="567"/>
        <w:tab w:val="left" w:pos="1134"/>
      </w:tabs>
      <w:spacing w:before="80" w:after="80" w:line="300" w:lineRule="atLeast"/>
    </w:pPr>
    <w:rPr>
      <w:rFonts w:asciiTheme="minorHAnsi" w:hAnsiTheme="minorHAnsi"/>
      <w:sz w:val="24"/>
      <w:szCs w:val="20"/>
    </w:rPr>
  </w:style>
  <w:style w:type="paragraph" w:customStyle="1" w:styleId="CGCNumberedPara">
    <w:name w:val="CGC Numbered Para"/>
    <w:aliases w:val="CGC Para No"/>
    <w:basedOn w:val="Normal"/>
    <w:rsid w:val="001307A8"/>
    <w:pPr>
      <w:numPr>
        <w:ilvl w:val="1"/>
        <w:numId w:val="9"/>
      </w:numPr>
      <w:tabs>
        <w:tab w:val="clear" w:pos="567"/>
      </w:tabs>
      <w:spacing w:after="80" w:line="320" w:lineRule="atLeast"/>
    </w:pPr>
    <w:rPr>
      <w:rFonts w:asciiTheme="minorHAnsi" w:hAnsiTheme="minorHAnsi"/>
      <w:sz w:val="24"/>
      <w:szCs w:val="24"/>
    </w:rPr>
  </w:style>
  <w:style w:type="character" w:customStyle="1" w:styleId="CGCBulletlistChar">
    <w:name w:val="CGC Bullet list Char"/>
    <w:aliases w:val="CGC List 1 Char"/>
    <w:basedOn w:val="DefaultParagraphFont"/>
    <w:link w:val="CGCBulletlist"/>
    <w:locked/>
    <w:rsid w:val="001307A8"/>
    <w:rPr>
      <w:sz w:val="24"/>
      <w:szCs w:val="20"/>
    </w:rPr>
  </w:style>
  <w:style w:type="character" w:customStyle="1" w:styleId="cf01">
    <w:name w:val="cf01"/>
    <w:basedOn w:val="DefaultParagraphFont"/>
    <w:rsid w:val="002F0D1B"/>
    <w:rPr>
      <w:rFonts w:ascii="Segoe UI" w:hAnsi="Segoe UI" w:cs="Segoe UI" w:hint="default"/>
      <w:sz w:val="18"/>
      <w:szCs w:val="18"/>
    </w:rPr>
  </w:style>
  <w:style w:type="table" w:customStyle="1" w:styleId="TableGrid1">
    <w:name w:val="Table Grid1"/>
    <w:basedOn w:val="TableNormal"/>
    <w:next w:val="TableGrid"/>
    <w:uiPriority w:val="39"/>
    <w:rsid w:val="002F089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semiHidden/>
    <w:unhideWhenUsed/>
    <w:rsid w:val="006E3848"/>
    <w:rPr>
      <w:color w:val="800080" w:themeColor="followedHyperlink"/>
      <w:u w:val="single"/>
    </w:rPr>
  </w:style>
  <w:style w:type="paragraph" w:customStyle="1" w:styleId="CGC2025QuestionNumbers">
    <w:name w:val="CGC 2025 Question Numbers"/>
    <w:basedOn w:val="Normal"/>
    <w:qFormat/>
    <w:rsid w:val="00084EE0"/>
    <w:pPr>
      <w:numPr>
        <w:numId w:val="11"/>
      </w:numPr>
      <w:spacing w:after="120"/>
    </w:pPr>
    <w:rPr>
      <w:rFonts w:cs="Open Sans Light"/>
      <w:szCs w:val="20"/>
    </w:rPr>
  </w:style>
  <w:style w:type="numbering" w:customStyle="1" w:styleId="CGCConsultQuestion">
    <w:name w:val="CGC Consult Question"/>
    <w:basedOn w:val="NoList"/>
    <w:uiPriority w:val="99"/>
    <w:rsid w:val="00084EE0"/>
    <w:pPr>
      <w:numPr>
        <w:numId w:val="10"/>
      </w:numPr>
    </w:pPr>
  </w:style>
  <w:style w:type="paragraph" w:customStyle="1" w:styleId="CGC2025ParaNumbers">
    <w:name w:val="CGC 2025 Para Numbers"/>
    <w:basedOn w:val="CGCNumberedPara"/>
    <w:rsid w:val="004477FF"/>
    <w:rPr>
      <w:rFonts w:ascii="Work Sans" w:hAnsi="Work Sans"/>
      <w:sz w:val="20"/>
    </w:rPr>
  </w:style>
  <w:style w:type="paragraph" w:customStyle="1" w:styleId="CGC2025Bullet2">
    <w:name w:val="CGC 2025 Bullet 2"/>
    <w:basedOn w:val="CGCBullet2"/>
    <w:rsid w:val="00AE72DD"/>
    <w:pPr>
      <w:ind w:left="1321" w:hanging="357"/>
    </w:pPr>
  </w:style>
  <w:style w:type="paragraph" w:customStyle="1" w:styleId="CGC2025Heading2AttachmentFollower">
    <w:name w:val="CGC 2025 Heading 2 Attachment Follower"/>
    <w:basedOn w:val="Heading2"/>
    <w:rsid w:val="00294D2F"/>
    <w:rPr>
      <w:b w:val="0"/>
      <w:bCs w:val="0"/>
    </w:rPr>
  </w:style>
  <w:style w:type="paragraph" w:customStyle="1" w:styleId="CGC2025Caption">
    <w:name w:val="CGC 2025 Caption"/>
    <w:basedOn w:val="Normal"/>
    <w:qFormat/>
    <w:rsid w:val="0036695B"/>
    <w:pPr>
      <w:spacing w:before="240" w:after="120" w:line="240" w:lineRule="auto"/>
    </w:pPr>
    <w:rPr>
      <w:b/>
    </w:rPr>
  </w:style>
  <w:style w:type="paragraph" w:customStyle="1" w:styleId="CGC2025Questionsnumbers2">
    <w:name w:val="CGC 2025 Questions numbers 2"/>
    <w:basedOn w:val="Normal"/>
    <w:next w:val="CGC2025ParaNumbers"/>
    <w:qFormat/>
    <w:rsid w:val="004824F0"/>
    <w:pPr>
      <w:numPr>
        <w:numId w:val="12"/>
      </w:numPr>
      <w:ind w:left="454" w:hanging="454"/>
    </w:pPr>
    <w:rPr>
      <w:rFonts w:cs="Open Sans"/>
      <w:bCs/>
      <w:szCs w:val="56"/>
    </w:rPr>
  </w:style>
  <w:style w:type="paragraph" w:customStyle="1" w:styleId="CGC2025TableNote">
    <w:name w:val="CGC 2025 Table Note"/>
    <w:basedOn w:val="CGCTablenote"/>
    <w:link w:val="CGC2025TableNoteChar"/>
    <w:qFormat/>
    <w:rsid w:val="00FB59C2"/>
  </w:style>
  <w:style w:type="character" w:customStyle="1" w:styleId="CGCTablenoteChar">
    <w:name w:val="CGC Table note Char"/>
    <w:basedOn w:val="DefaultParagraphFont"/>
    <w:link w:val="CGCTablenote"/>
    <w:rsid w:val="00FB59C2"/>
    <w:rPr>
      <w:rFonts w:ascii="Open Sans Light" w:hAnsi="Open Sans Light"/>
      <w:sz w:val="14"/>
    </w:rPr>
  </w:style>
  <w:style w:type="character" w:customStyle="1" w:styleId="CGC2025TableNoteChar">
    <w:name w:val="CGC 2025 Table Note Char"/>
    <w:basedOn w:val="CGCTablenoteChar"/>
    <w:link w:val="CGC2025TableNote"/>
    <w:rsid w:val="00FB59C2"/>
    <w:rPr>
      <w:rFonts w:ascii="Work Sans" w:hAnsi="Work Sans"/>
      <w:sz w:val="14"/>
    </w:rPr>
  </w:style>
  <w:style w:type="paragraph" w:customStyle="1" w:styleId="CGCBullet1">
    <w:name w:val="CGC Bullet 1"/>
    <w:basedOn w:val="Normal"/>
    <w:qFormat/>
    <w:rsid w:val="00956FA7"/>
    <w:pPr>
      <w:ind w:left="927" w:hanging="360"/>
    </w:pPr>
    <w:rPr>
      <w:szCs w:val="20"/>
    </w:rPr>
  </w:style>
  <w:style w:type="paragraph" w:customStyle="1" w:styleId="BodyCopyWorkSans10">
    <w:name w:val="Body Copy Work Sans 10"/>
    <w:basedOn w:val="Normal"/>
    <w:link w:val="BodyCopyWorkSans10Char"/>
    <w:qFormat/>
    <w:rsid w:val="00F81E6D"/>
    <w:pPr>
      <w:numPr>
        <w:numId w:val="13"/>
      </w:numPr>
    </w:pPr>
  </w:style>
  <w:style w:type="character" w:customStyle="1" w:styleId="BodyCopyWorkSans10Char">
    <w:name w:val="Body Copy Work Sans 10 Char"/>
    <w:basedOn w:val="DefaultParagraphFont"/>
    <w:link w:val="BodyCopyWorkSans10"/>
    <w:rsid w:val="00F81E6D"/>
    <w:rPr>
      <w:rFonts w:ascii="Work Sans" w:hAnsi="Work Sans"/>
      <w:sz w:val="20"/>
    </w:rPr>
  </w:style>
  <w:style w:type="paragraph" w:styleId="NormalWeb">
    <w:name w:val="Normal (Web)"/>
    <w:basedOn w:val="Normal"/>
    <w:uiPriority w:val="99"/>
    <w:unhideWhenUsed/>
    <w:rsid w:val="00A56AC3"/>
    <w:pPr>
      <w:tabs>
        <w:tab w:val="clear" w:pos="567"/>
      </w:tabs>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ListBullet">
    <w:name w:val="List Bullet"/>
    <w:basedOn w:val="Normal"/>
    <w:uiPriority w:val="99"/>
    <w:unhideWhenUsed/>
    <w:rsid w:val="00662177"/>
    <w:pPr>
      <w:numPr>
        <w:numId w:val="14"/>
      </w:numPr>
      <w:tabs>
        <w:tab w:val="clear" w:pos="567"/>
      </w:tabs>
      <w:spacing w:before="60" w:after="120" w:line="252" w:lineRule="auto"/>
    </w:pPr>
    <w:rPr>
      <w:rFonts w:ascii="Open Sans" w:eastAsia="Calibri" w:hAnsi="Open Sans" w:cs="Arial"/>
      <w:sz w:val="18"/>
      <w:szCs w:val="18"/>
    </w:rPr>
  </w:style>
  <w:style w:type="character" w:customStyle="1" w:styleId="normaltextrun">
    <w:name w:val="normaltextrun"/>
    <w:basedOn w:val="DefaultParagraphFont"/>
    <w:rsid w:val="00A31139"/>
  </w:style>
  <w:style w:type="character" w:customStyle="1" w:styleId="eop">
    <w:name w:val="eop"/>
    <w:basedOn w:val="DefaultParagraphFont"/>
    <w:rsid w:val="00A31139"/>
  </w:style>
  <w:style w:type="paragraph" w:customStyle="1" w:styleId="paragraph">
    <w:name w:val="paragraph"/>
    <w:basedOn w:val="Normal"/>
    <w:rsid w:val="00A31139"/>
    <w:pPr>
      <w:tabs>
        <w:tab w:val="clear" w:pos="567"/>
      </w:tabs>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ui-provider">
    <w:name w:val="ui-provider"/>
    <w:basedOn w:val="DefaultParagraphFont"/>
    <w:rsid w:val="001E6F5F"/>
  </w:style>
  <w:style w:type="paragraph" w:customStyle="1" w:styleId="pf0">
    <w:name w:val="pf0"/>
    <w:basedOn w:val="Normal"/>
    <w:rsid w:val="005E0B70"/>
    <w:pPr>
      <w:tabs>
        <w:tab w:val="clear" w:pos="567"/>
      </w:tabs>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EndnoteText">
    <w:name w:val="endnote text"/>
    <w:basedOn w:val="Normal"/>
    <w:link w:val="EndnoteTextChar"/>
    <w:semiHidden/>
    <w:unhideWhenUsed/>
    <w:rsid w:val="00441186"/>
    <w:pPr>
      <w:spacing w:before="0" w:line="240" w:lineRule="auto"/>
    </w:pPr>
    <w:rPr>
      <w:szCs w:val="20"/>
    </w:rPr>
  </w:style>
  <w:style w:type="character" w:customStyle="1" w:styleId="EndnoteTextChar">
    <w:name w:val="Endnote Text Char"/>
    <w:basedOn w:val="DefaultParagraphFont"/>
    <w:link w:val="EndnoteText"/>
    <w:semiHidden/>
    <w:rsid w:val="00441186"/>
    <w:rPr>
      <w:rFonts w:ascii="Work Sans" w:hAnsi="Work Sans"/>
      <w:sz w:val="20"/>
      <w:szCs w:val="20"/>
    </w:rPr>
  </w:style>
  <w:style w:type="character" w:styleId="EndnoteReference">
    <w:name w:val="endnote reference"/>
    <w:basedOn w:val="DefaultParagraphFont"/>
    <w:semiHidden/>
    <w:unhideWhenUsed/>
    <w:rsid w:val="00441186"/>
    <w:rPr>
      <w:vertAlign w:val="superscript"/>
    </w:rPr>
  </w:style>
  <w:style w:type="paragraph" w:customStyle="1" w:styleId="BulletPoints">
    <w:name w:val="Bullet Points"/>
    <w:basedOn w:val="Normal"/>
    <w:qFormat/>
    <w:rsid w:val="00876B96"/>
    <w:pPr>
      <w:numPr>
        <w:numId w:val="15"/>
      </w:numPr>
      <w:tabs>
        <w:tab w:val="clear" w:pos="567"/>
      </w:tabs>
      <w:spacing w:before="60" w:line="276" w:lineRule="auto"/>
      <w:ind w:left="714" w:hanging="357"/>
    </w:pPr>
    <w:rPr>
      <w:rFonts w:eastAsia="Calibri" w:cs="Arial"/>
    </w:rPr>
  </w:style>
  <w:style w:type="paragraph" w:customStyle="1" w:styleId="Tableheading">
    <w:name w:val="Table heading"/>
    <w:basedOn w:val="BodyText"/>
    <w:rsid w:val="00643C8E"/>
    <w:pPr>
      <w:tabs>
        <w:tab w:val="clear" w:pos="567"/>
      </w:tabs>
      <w:spacing w:before="160" w:line="240" w:lineRule="auto"/>
      <w:jc w:val="both"/>
    </w:pPr>
    <w:rPr>
      <w:rFonts w:ascii="Work Sans SemiBold" w:eastAsia="Times New Roman" w:hAnsi="Work Sans SemiBold" w:cs="Times New Roman"/>
      <w:szCs w:val="20"/>
      <w:lang w:eastAsia="en-AU"/>
    </w:rPr>
  </w:style>
  <w:style w:type="paragraph" w:customStyle="1" w:styleId="Tablefootnote">
    <w:name w:val="Table footnote"/>
    <w:basedOn w:val="Normal"/>
    <w:next w:val="BodyText"/>
    <w:rsid w:val="00643C8E"/>
    <w:pPr>
      <w:tabs>
        <w:tab w:val="left" w:pos="680"/>
      </w:tabs>
      <w:spacing w:before="40" w:line="240" w:lineRule="auto"/>
      <w:ind w:left="340" w:hanging="227"/>
    </w:pPr>
    <w:rPr>
      <w:sz w:val="14"/>
    </w:rPr>
  </w:style>
  <w:style w:type="paragraph" w:styleId="BodyText">
    <w:name w:val="Body Text"/>
    <w:basedOn w:val="Normal"/>
    <w:link w:val="BodyTextChar"/>
    <w:semiHidden/>
    <w:unhideWhenUsed/>
    <w:rsid w:val="00643C8E"/>
    <w:pPr>
      <w:spacing w:after="120"/>
    </w:pPr>
  </w:style>
  <w:style w:type="character" w:customStyle="1" w:styleId="BodyTextChar">
    <w:name w:val="Body Text Char"/>
    <w:basedOn w:val="DefaultParagraphFont"/>
    <w:link w:val="BodyText"/>
    <w:semiHidden/>
    <w:rsid w:val="00643C8E"/>
    <w:rPr>
      <w:rFonts w:ascii="Work Sans" w:hAnsi="Work Sans"/>
      <w:sz w:val="20"/>
    </w:rPr>
  </w:style>
  <w:style w:type="paragraph" w:customStyle="1" w:styleId="NormalCGC">
    <w:name w:val="Normal (CGC)"/>
    <w:basedOn w:val="CGC2025ParaNumbers"/>
    <w:qFormat/>
    <w:rsid w:val="00A14DA1"/>
    <w:pPr>
      <w:numPr>
        <w:ilvl w:val="0"/>
        <w:numId w:val="0"/>
      </w:numPr>
      <w:spacing w:after="0" w:line="254" w:lineRule="auto"/>
    </w:pPr>
  </w:style>
  <w:style w:type="paragraph" w:customStyle="1" w:styleId="Footer1">
    <w:name w:val="Footer 1"/>
    <w:basedOn w:val="Normal"/>
    <w:qFormat/>
    <w:rsid w:val="00082E98"/>
    <w:pPr>
      <w:spacing w:before="0"/>
      <w:jc w:val="both"/>
    </w:pPr>
    <w:rPr>
      <w:rFonts w:cs="Open Sans Light"/>
      <w:color w:val="000000"/>
      <w:sz w:val="14"/>
      <w:szCs w:val="16"/>
      <w:shd w:val="clear" w:color="auto" w:fill="FFFFFF"/>
    </w:rPr>
  </w:style>
  <w:style w:type="paragraph" w:customStyle="1" w:styleId="HeadingBox-Level3">
    <w:name w:val="Heading Box - Level 3"/>
    <w:basedOn w:val="Heading3"/>
    <w:qFormat/>
    <w:rsid w:val="00742FFB"/>
    <w:pPr>
      <w:spacing w:before="120" w:after="120"/>
    </w:pPr>
  </w:style>
  <w:style w:type="paragraph" w:customStyle="1" w:styleId="HeadingBox-Level2">
    <w:name w:val="Heading Box - Level 2"/>
    <w:basedOn w:val="Heading2"/>
    <w:qFormat/>
    <w:rsid w:val="00994767"/>
    <w:pPr>
      <w:spacing w:before="120" w:after="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56302">
      <w:bodyDiv w:val="1"/>
      <w:marLeft w:val="0"/>
      <w:marRight w:val="0"/>
      <w:marTop w:val="0"/>
      <w:marBottom w:val="0"/>
      <w:divBdr>
        <w:top w:val="none" w:sz="0" w:space="0" w:color="auto"/>
        <w:left w:val="none" w:sz="0" w:space="0" w:color="auto"/>
        <w:bottom w:val="none" w:sz="0" w:space="0" w:color="auto"/>
        <w:right w:val="none" w:sz="0" w:space="0" w:color="auto"/>
      </w:divBdr>
    </w:div>
    <w:div w:id="2976334">
      <w:bodyDiv w:val="1"/>
      <w:marLeft w:val="0"/>
      <w:marRight w:val="0"/>
      <w:marTop w:val="0"/>
      <w:marBottom w:val="0"/>
      <w:divBdr>
        <w:top w:val="none" w:sz="0" w:space="0" w:color="auto"/>
        <w:left w:val="none" w:sz="0" w:space="0" w:color="auto"/>
        <w:bottom w:val="none" w:sz="0" w:space="0" w:color="auto"/>
        <w:right w:val="none" w:sz="0" w:space="0" w:color="auto"/>
      </w:divBdr>
    </w:div>
    <w:div w:id="19476126">
      <w:bodyDiv w:val="1"/>
      <w:marLeft w:val="0"/>
      <w:marRight w:val="0"/>
      <w:marTop w:val="0"/>
      <w:marBottom w:val="0"/>
      <w:divBdr>
        <w:top w:val="none" w:sz="0" w:space="0" w:color="auto"/>
        <w:left w:val="none" w:sz="0" w:space="0" w:color="auto"/>
        <w:bottom w:val="none" w:sz="0" w:space="0" w:color="auto"/>
        <w:right w:val="none" w:sz="0" w:space="0" w:color="auto"/>
      </w:divBdr>
    </w:div>
    <w:div w:id="20471308">
      <w:bodyDiv w:val="1"/>
      <w:marLeft w:val="0"/>
      <w:marRight w:val="0"/>
      <w:marTop w:val="0"/>
      <w:marBottom w:val="0"/>
      <w:divBdr>
        <w:top w:val="none" w:sz="0" w:space="0" w:color="auto"/>
        <w:left w:val="none" w:sz="0" w:space="0" w:color="auto"/>
        <w:bottom w:val="none" w:sz="0" w:space="0" w:color="auto"/>
        <w:right w:val="none" w:sz="0" w:space="0" w:color="auto"/>
      </w:divBdr>
    </w:div>
    <w:div w:id="38093395">
      <w:bodyDiv w:val="1"/>
      <w:marLeft w:val="0"/>
      <w:marRight w:val="0"/>
      <w:marTop w:val="0"/>
      <w:marBottom w:val="0"/>
      <w:divBdr>
        <w:top w:val="none" w:sz="0" w:space="0" w:color="auto"/>
        <w:left w:val="none" w:sz="0" w:space="0" w:color="auto"/>
        <w:bottom w:val="none" w:sz="0" w:space="0" w:color="auto"/>
        <w:right w:val="none" w:sz="0" w:space="0" w:color="auto"/>
      </w:divBdr>
    </w:div>
    <w:div w:id="39332716">
      <w:bodyDiv w:val="1"/>
      <w:marLeft w:val="0"/>
      <w:marRight w:val="0"/>
      <w:marTop w:val="0"/>
      <w:marBottom w:val="0"/>
      <w:divBdr>
        <w:top w:val="none" w:sz="0" w:space="0" w:color="auto"/>
        <w:left w:val="none" w:sz="0" w:space="0" w:color="auto"/>
        <w:bottom w:val="none" w:sz="0" w:space="0" w:color="auto"/>
        <w:right w:val="none" w:sz="0" w:space="0" w:color="auto"/>
      </w:divBdr>
    </w:div>
    <w:div w:id="66271238">
      <w:bodyDiv w:val="1"/>
      <w:marLeft w:val="0"/>
      <w:marRight w:val="0"/>
      <w:marTop w:val="0"/>
      <w:marBottom w:val="0"/>
      <w:divBdr>
        <w:top w:val="none" w:sz="0" w:space="0" w:color="auto"/>
        <w:left w:val="none" w:sz="0" w:space="0" w:color="auto"/>
        <w:bottom w:val="none" w:sz="0" w:space="0" w:color="auto"/>
        <w:right w:val="none" w:sz="0" w:space="0" w:color="auto"/>
      </w:divBdr>
    </w:div>
    <w:div w:id="74936391">
      <w:bodyDiv w:val="1"/>
      <w:marLeft w:val="0"/>
      <w:marRight w:val="0"/>
      <w:marTop w:val="0"/>
      <w:marBottom w:val="0"/>
      <w:divBdr>
        <w:top w:val="none" w:sz="0" w:space="0" w:color="auto"/>
        <w:left w:val="none" w:sz="0" w:space="0" w:color="auto"/>
        <w:bottom w:val="none" w:sz="0" w:space="0" w:color="auto"/>
        <w:right w:val="none" w:sz="0" w:space="0" w:color="auto"/>
      </w:divBdr>
    </w:div>
    <w:div w:id="136773853">
      <w:bodyDiv w:val="1"/>
      <w:marLeft w:val="0"/>
      <w:marRight w:val="0"/>
      <w:marTop w:val="0"/>
      <w:marBottom w:val="0"/>
      <w:divBdr>
        <w:top w:val="none" w:sz="0" w:space="0" w:color="auto"/>
        <w:left w:val="none" w:sz="0" w:space="0" w:color="auto"/>
        <w:bottom w:val="none" w:sz="0" w:space="0" w:color="auto"/>
        <w:right w:val="none" w:sz="0" w:space="0" w:color="auto"/>
      </w:divBdr>
    </w:div>
    <w:div w:id="153031373">
      <w:bodyDiv w:val="1"/>
      <w:marLeft w:val="0"/>
      <w:marRight w:val="0"/>
      <w:marTop w:val="0"/>
      <w:marBottom w:val="0"/>
      <w:divBdr>
        <w:top w:val="none" w:sz="0" w:space="0" w:color="auto"/>
        <w:left w:val="none" w:sz="0" w:space="0" w:color="auto"/>
        <w:bottom w:val="none" w:sz="0" w:space="0" w:color="auto"/>
        <w:right w:val="none" w:sz="0" w:space="0" w:color="auto"/>
      </w:divBdr>
    </w:div>
    <w:div w:id="160170229">
      <w:bodyDiv w:val="1"/>
      <w:marLeft w:val="0"/>
      <w:marRight w:val="0"/>
      <w:marTop w:val="0"/>
      <w:marBottom w:val="0"/>
      <w:divBdr>
        <w:top w:val="none" w:sz="0" w:space="0" w:color="auto"/>
        <w:left w:val="none" w:sz="0" w:space="0" w:color="auto"/>
        <w:bottom w:val="none" w:sz="0" w:space="0" w:color="auto"/>
        <w:right w:val="none" w:sz="0" w:space="0" w:color="auto"/>
      </w:divBdr>
    </w:div>
    <w:div w:id="214396094">
      <w:bodyDiv w:val="1"/>
      <w:marLeft w:val="0"/>
      <w:marRight w:val="0"/>
      <w:marTop w:val="0"/>
      <w:marBottom w:val="0"/>
      <w:divBdr>
        <w:top w:val="none" w:sz="0" w:space="0" w:color="auto"/>
        <w:left w:val="none" w:sz="0" w:space="0" w:color="auto"/>
        <w:bottom w:val="none" w:sz="0" w:space="0" w:color="auto"/>
        <w:right w:val="none" w:sz="0" w:space="0" w:color="auto"/>
      </w:divBdr>
    </w:div>
    <w:div w:id="215361513">
      <w:bodyDiv w:val="1"/>
      <w:marLeft w:val="0"/>
      <w:marRight w:val="0"/>
      <w:marTop w:val="0"/>
      <w:marBottom w:val="0"/>
      <w:divBdr>
        <w:top w:val="none" w:sz="0" w:space="0" w:color="auto"/>
        <w:left w:val="none" w:sz="0" w:space="0" w:color="auto"/>
        <w:bottom w:val="none" w:sz="0" w:space="0" w:color="auto"/>
        <w:right w:val="none" w:sz="0" w:space="0" w:color="auto"/>
      </w:divBdr>
    </w:div>
    <w:div w:id="234171954">
      <w:bodyDiv w:val="1"/>
      <w:marLeft w:val="0"/>
      <w:marRight w:val="0"/>
      <w:marTop w:val="0"/>
      <w:marBottom w:val="0"/>
      <w:divBdr>
        <w:top w:val="none" w:sz="0" w:space="0" w:color="auto"/>
        <w:left w:val="none" w:sz="0" w:space="0" w:color="auto"/>
        <w:bottom w:val="none" w:sz="0" w:space="0" w:color="auto"/>
        <w:right w:val="none" w:sz="0" w:space="0" w:color="auto"/>
      </w:divBdr>
    </w:div>
    <w:div w:id="240608006">
      <w:bodyDiv w:val="1"/>
      <w:marLeft w:val="0"/>
      <w:marRight w:val="0"/>
      <w:marTop w:val="0"/>
      <w:marBottom w:val="0"/>
      <w:divBdr>
        <w:top w:val="none" w:sz="0" w:space="0" w:color="auto"/>
        <w:left w:val="none" w:sz="0" w:space="0" w:color="auto"/>
        <w:bottom w:val="none" w:sz="0" w:space="0" w:color="auto"/>
        <w:right w:val="none" w:sz="0" w:space="0" w:color="auto"/>
      </w:divBdr>
    </w:div>
    <w:div w:id="248123965">
      <w:bodyDiv w:val="1"/>
      <w:marLeft w:val="0"/>
      <w:marRight w:val="0"/>
      <w:marTop w:val="0"/>
      <w:marBottom w:val="0"/>
      <w:divBdr>
        <w:top w:val="none" w:sz="0" w:space="0" w:color="auto"/>
        <w:left w:val="none" w:sz="0" w:space="0" w:color="auto"/>
        <w:bottom w:val="none" w:sz="0" w:space="0" w:color="auto"/>
        <w:right w:val="none" w:sz="0" w:space="0" w:color="auto"/>
      </w:divBdr>
    </w:div>
    <w:div w:id="250314240">
      <w:bodyDiv w:val="1"/>
      <w:marLeft w:val="0"/>
      <w:marRight w:val="0"/>
      <w:marTop w:val="0"/>
      <w:marBottom w:val="0"/>
      <w:divBdr>
        <w:top w:val="none" w:sz="0" w:space="0" w:color="auto"/>
        <w:left w:val="none" w:sz="0" w:space="0" w:color="auto"/>
        <w:bottom w:val="none" w:sz="0" w:space="0" w:color="auto"/>
        <w:right w:val="none" w:sz="0" w:space="0" w:color="auto"/>
      </w:divBdr>
    </w:div>
    <w:div w:id="255289321">
      <w:bodyDiv w:val="1"/>
      <w:marLeft w:val="0"/>
      <w:marRight w:val="0"/>
      <w:marTop w:val="0"/>
      <w:marBottom w:val="0"/>
      <w:divBdr>
        <w:top w:val="none" w:sz="0" w:space="0" w:color="auto"/>
        <w:left w:val="none" w:sz="0" w:space="0" w:color="auto"/>
        <w:bottom w:val="none" w:sz="0" w:space="0" w:color="auto"/>
        <w:right w:val="none" w:sz="0" w:space="0" w:color="auto"/>
      </w:divBdr>
    </w:div>
    <w:div w:id="283461682">
      <w:bodyDiv w:val="1"/>
      <w:marLeft w:val="0"/>
      <w:marRight w:val="0"/>
      <w:marTop w:val="0"/>
      <w:marBottom w:val="0"/>
      <w:divBdr>
        <w:top w:val="none" w:sz="0" w:space="0" w:color="auto"/>
        <w:left w:val="none" w:sz="0" w:space="0" w:color="auto"/>
        <w:bottom w:val="none" w:sz="0" w:space="0" w:color="auto"/>
        <w:right w:val="none" w:sz="0" w:space="0" w:color="auto"/>
      </w:divBdr>
    </w:div>
    <w:div w:id="301347077">
      <w:bodyDiv w:val="1"/>
      <w:marLeft w:val="0"/>
      <w:marRight w:val="0"/>
      <w:marTop w:val="0"/>
      <w:marBottom w:val="0"/>
      <w:divBdr>
        <w:top w:val="none" w:sz="0" w:space="0" w:color="auto"/>
        <w:left w:val="none" w:sz="0" w:space="0" w:color="auto"/>
        <w:bottom w:val="none" w:sz="0" w:space="0" w:color="auto"/>
        <w:right w:val="none" w:sz="0" w:space="0" w:color="auto"/>
      </w:divBdr>
    </w:div>
    <w:div w:id="317267028">
      <w:bodyDiv w:val="1"/>
      <w:marLeft w:val="0"/>
      <w:marRight w:val="0"/>
      <w:marTop w:val="0"/>
      <w:marBottom w:val="0"/>
      <w:divBdr>
        <w:top w:val="none" w:sz="0" w:space="0" w:color="auto"/>
        <w:left w:val="none" w:sz="0" w:space="0" w:color="auto"/>
        <w:bottom w:val="none" w:sz="0" w:space="0" w:color="auto"/>
        <w:right w:val="none" w:sz="0" w:space="0" w:color="auto"/>
      </w:divBdr>
    </w:div>
    <w:div w:id="335109612">
      <w:bodyDiv w:val="1"/>
      <w:marLeft w:val="0"/>
      <w:marRight w:val="0"/>
      <w:marTop w:val="0"/>
      <w:marBottom w:val="0"/>
      <w:divBdr>
        <w:top w:val="none" w:sz="0" w:space="0" w:color="auto"/>
        <w:left w:val="none" w:sz="0" w:space="0" w:color="auto"/>
        <w:bottom w:val="none" w:sz="0" w:space="0" w:color="auto"/>
        <w:right w:val="none" w:sz="0" w:space="0" w:color="auto"/>
      </w:divBdr>
    </w:div>
    <w:div w:id="337197137">
      <w:bodyDiv w:val="1"/>
      <w:marLeft w:val="0"/>
      <w:marRight w:val="0"/>
      <w:marTop w:val="0"/>
      <w:marBottom w:val="0"/>
      <w:divBdr>
        <w:top w:val="none" w:sz="0" w:space="0" w:color="auto"/>
        <w:left w:val="none" w:sz="0" w:space="0" w:color="auto"/>
        <w:bottom w:val="none" w:sz="0" w:space="0" w:color="auto"/>
        <w:right w:val="none" w:sz="0" w:space="0" w:color="auto"/>
      </w:divBdr>
    </w:div>
    <w:div w:id="358245519">
      <w:bodyDiv w:val="1"/>
      <w:marLeft w:val="0"/>
      <w:marRight w:val="0"/>
      <w:marTop w:val="0"/>
      <w:marBottom w:val="0"/>
      <w:divBdr>
        <w:top w:val="none" w:sz="0" w:space="0" w:color="auto"/>
        <w:left w:val="none" w:sz="0" w:space="0" w:color="auto"/>
        <w:bottom w:val="none" w:sz="0" w:space="0" w:color="auto"/>
        <w:right w:val="none" w:sz="0" w:space="0" w:color="auto"/>
      </w:divBdr>
    </w:div>
    <w:div w:id="378669706">
      <w:bodyDiv w:val="1"/>
      <w:marLeft w:val="0"/>
      <w:marRight w:val="0"/>
      <w:marTop w:val="0"/>
      <w:marBottom w:val="0"/>
      <w:divBdr>
        <w:top w:val="none" w:sz="0" w:space="0" w:color="auto"/>
        <w:left w:val="none" w:sz="0" w:space="0" w:color="auto"/>
        <w:bottom w:val="none" w:sz="0" w:space="0" w:color="auto"/>
        <w:right w:val="none" w:sz="0" w:space="0" w:color="auto"/>
      </w:divBdr>
    </w:div>
    <w:div w:id="381485470">
      <w:bodyDiv w:val="1"/>
      <w:marLeft w:val="0"/>
      <w:marRight w:val="0"/>
      <w:marTop w:val="0"/>
      <w:marBottom w:val="0"/>
      <w:divBdr>
        <w:top w:val="none" w:sz="0" w:space="0" w:color="auto"/>
        <w:left w:val="none" w:sz="0" w:space="0" w:color="auto"/>
        <w:bottom w:val="none" w:sz="0" w:space="0" w:color="auto"/>
        <w:right w:val="none" w:sz="0" w:space="0" w:color="auto"/>
      </w:divBdr>
    </w:div>
    <w:div w:id="523597020">
      <w:bodyDiv w:val="1"/>
      <w:marLeft w:val="0"/>
      <w:marRight w:val="0"/>
      <w:marTop w:val="0"/>
      <w:marBottom w:val="0"/>
      <w:divBdr>
        <w:top w:val="none" w:sz="0" w:space="0" w:color="auto"/>
        <w:left w:val="none" w:sz="0" w:space="0" w:color="auto"/>
        <w:bottom w:val="none" w:sz="0" w:space="0" w:color="auto"/>
        <w:right w:val="none" w:sz="0" w:space="0" w:color="auto"/>
      </w:divBdr>
    </w:div>
    <w:div w:id="528180250">
      <w:bodyDiv w:val="1"/>
      <w:marLeft w:val="0"/>
      <w:marRight w:val="0"/>
      <w:marTop w:val="0"/>
      <w:marBottom w:val="0"/>
      <w:divBdr>
        <w:top w:val="none" w:sz="0" w:space="0" w:color="auto"/>
        <w:left w:val="none" w:sz="0" w:space="0" w:color="auto"/>
        <w:bottom w:val="none" w:sz="0" w:space="0" w:color="auto"/>
        <w:right w:val="none" w:sz="0" w:space="0" w:color="auto"/>
      </w:divBdr>
    </w:div>
    <w:div w:id="528183409">
      <w:bodyDiv w:val="1"/>
      <w:marLeft w:val="0"/>
      <w:marRight w:val="0"/>
      <w:marTop w:val="0"/>
      <w:marBottom w:val="0"/>
      <w:divBdr>
        <w:top w:val="none" w:sz="0" w:space="0" w:color="auto"/>
        <w:left w:val="none" w:sz="0" w:space="0" w:color="auto"/>
        <w:bottom w:val="none" w:sz="0" w:space="0" w:color="auto"/>
        <w:right w:val="none" w:sz="0" w:space="0" w:color="auto"/>
      </w:divBdr>
    </w:div>
    <w:div w:id="531043278">
      <w:bodyDiv w:val="1"/>
      <w:marLeft w:val="0"/>
      <w:marRight w:val="0"/>
      <w:marTop w:val="0"/>
      <w:marBottom w:val="0"/>
      <w:divBdr>
        <w:top w:val="none" w:sz="0" w:space="0" w:color="auto"/>
        <w:left w:val="none" w:sz="0" w:space="0" w:color="auto"/>
        <w:bottom w:val="none" w:sz="0" w:space="0" w:color="auto"/>
        <w:right w:val="none" w:sz="0" w:space="0" w:color="auto"/>
      </w:divBdr>
    </w:div>
    <w:div w:id="542055706">
      <w:bodyDiv w:val="1"/>
      <w:marLeft w:val="0"/>
      <w:marRight w:val="0"/>
      <w:marTop w:val="0"/>
      <w:marBottom w:val="0"/>
      <w:divBdr>
        <w:top w:val="none" w:sz="0" w:space="0" w:color="auto"/>
        <w:left w:val="none" w:sz="0" w:space="0" w:color="auto"/>
        <w:bottom w:val="none" w:sz="0" w:space="0" w:color="auto"/>
        <w:right w:val="none" w:sz="0" w:space="0" w:color="auto"/>
      </w:divBdr>
    </w:div>
    <w:div w:id="547255162">
      <w:bodyDiv w:val="1"/>
      <w:marLeft w:val="0"/>
      <w:marRight w:val="0"/>
      <w:marTop w:val="0"/>
      <w:marBottom w:val="0"/>
      <w:divBdr>
        <w:top w:val="none" w:sz="0" w:space="0" w:color="auto"/>
        <w:left w:val="none" w:sz="0" w:space="0" w:color="auto"/>
        <w:bottom w:val="none" w:sz="0" w:space="0" w:color="auto"/>
        <w:right w:val="none" w:sz="0" w:space="0" w:color="auto"/>
      </w:divBdr>
    </w:div>
    <w:div w:id="582958075">
      <w:bodyDiv w:val="1"/>
      <w:marLeft w:val="0"/>
      <w:marRight w:val="0"/>
      <w:marTop w:val="0"/>
      <w:marBottom w:val="0"/>
      <w:divBdr>
        <w:top w:val="none" w:sz="0" w:space="0" w:color="auto"/>
        <w:left w:val="none" w:sz="0" w:space="0" w:color="auto"/>
        <w:bottom w:val="none" w:sz="0" w:space="0" w:color="auto"/>
        <w:right w:val="none" w:sz="0" w:space="0" w:color="auto"/>
      </w:divBdr>
    </w:div>
    <w:div w:id="599720096">
      <w:bodyDiv w:val="1"/>
      <w:marLeft w:val="0"/>
      <w:marRight w:val="0"/>
      <w:marTop w:val="0"/>
      <w:marBottom w:val="0"/>
      <w:divBdr>
        <w:top w:val="none" w:sz="0" w:space="0" w:color="auto"/>
        <w:left w:val="none" w:sz="0" w:space="0" w:color="auto"/>
        <w:bottom w:val="none" w:sz="0" w:space="0" w:color="auto"/>
        <w:right w:val="none" w:sz="0" w:space="0" w:color="auto"/>
      </w:divBdr>
    </w:div>
    <w:div w:id="610934698">
      <w:bodyDiv w:val="1"/>
      <w:marLeft w:val="0"/>
      <w:marRight w:val="0"/>
      <w:marTop w:val="0"/>
      <w:marBottom w:val="0"/>
      <w:divBdr>
        <w:top w:val="none" w:sz="0" w:space="0" w:color="auto"/>
        <w:left w:val="none" w:sz="0" w:space="0" w:color="auto"/>
        <w:bottom w:val="none" w:sz="0" w:space="0" w:color="auto"/>
        <w:right w:val="none" w:sz="0" w:space="0" w:color="auto"/>
      </w:divBdr>
    </w:div>
    <w:div w:id="611522579">
      <w:bodyDiv w:val="1"/>
      <w:marLeft w:val="0"/>
      <w:marRight w:val="0"/>
      <w:marTop w:val="0"/>
      <w:marBottom w:val="0"/>
      <w:divBdr>
        <w:top w:val="none" w:sz="0" w:space="0" w:color="auto"/>
        <w:left w:val="none" w:sz="0" w:space="0" w:color="auto"/>
        <w:bottom w:val="none" w:sz="0" w:space="0" w:color="auto"/>
        <w:right w:val="none" w:sz="0" w:space="0" w:color="auto"/>
      </w:divBdr>
    </w:div>
    <w:div w:id="616571809">
      <w:bodyDiv w:val="1"/>
      <w:marLeft w:val="0"/>
      <w:marRight w:val="0"/>
      <w:marTop w:val="0"/>
      <w:marBottom w:val="0"/>
      <w:divBdr>
        <w:top w:val="none" w:sz="0" w:space="0" w:color="auto"/>
        <w:left w:val="none" w:sz="0" w:space="0" w:color="auto"/>
        <w:bottom w:val="none" w:sz="0" w:space="0" w:color="auto"/>
        <w:right w:val="none" w:sz="0" w:space="0" w:color="auto"/>
      </w:divBdr>
    </w:div>
    <w:div w:id="675961443">
      <w:bodyDiv w:val="1"/>
      <w:marLeft w:val="0"/>
      <w:marRight w:val="0"/>
      <w:marTop w:val="0"/>
      <w:marBottom w:val="0"/>
      <w:divBdr>
        <w:top w:val="none" w:sz="0" w:space="0" w:color="auto"/>
        <w:left w:val="none" w:sz="0" w:space="0" w:color="auto"/>
        <w:bottom w:val="none" w:sz="0" w:space="0" w:color="auto"/>
        <w:right w:val="none" w:sz="0" w:space="0" w:color="auto"/>
      </w:divBdr>
    </w:div>
    <w:div w:id="679813372">
      <w:bodyDiv w:val="1"/>
      <w:marLeft w:val="0"/>
      <w:marRight w:val="0"/>
      <w:marTop w:val="0"/>
      <w:marBottom w:val="0"/>
      <w:divBdr>
        <w:top w:val="none" w:sz="0" w:space="0" w:color="auto"/>
        <w:left w:val="none" w:sz="0" w:space="0" w:color="auto"/>
        <w:bottom w:val="none" w:sz="0" w:space="0" w:color="auto"/>
        <w:right w:val="none" w:sz="0" w:space="0" w:color="auto"/>
      </w:divBdr>
    </w:div>
    <w:div w:id="701826411">
      <w:bodyDiv w:val="1"/>
      <w:marLeft w:val="0"/>
      <w:marRight w:val="0"/>
      <w:marTop w:val="0"/>
      <w:marBottom w:val="0"/>
      <w:divBdr>
        <w:top w:val="none" w:sz="0" w:space="0" w:color="auto"/>
        <w:left w:val="none" w:sz="0" w:space="0" w:color="auto"/>
        <w:bottom w:val="none" w:sz="0" w:space="0" w:color="auto"/>
        <w:right w:val="none" w:sz="0" w:space="0" w:color="auto"/>
      </w:divBdr>
    </w:div>
    <w:div w:id="701978159">
      <w:bodyDiv w:val="1"/>
      <w:marLeft w:val="0"/>
      <w:marRight w:val="0"/>
      <w:marTop w:val="0"/>
      <w:marBottom w:val="0"/>
      <w:divBdr>
        <w:top w:val="none" w:sz="0" w:space="0" w:color="auto"/>
        <w:left w:val="none" w:sz="0" w:space="0" w:color="auto"/>
        <w:bottom w:val="none" w:sz="0" w:space="0" w:color="auto"/>
        <w:right w:val="none" w:sz="0" w:space="0" w:color="auto"/>
      </w:divBdr>
    </w:div>
    <w:div w:id="704869077">
      <w:bodyDiv w:val="1"/>
      <w:marLeft w:val="0"/>
      <w:marRight w:val="0"/>
      <w:marTop w:val="0"/>
      <w:marBottom w:val="0"/>
      <w:divBdr>
        <w:top w:val="none" w:sz="0" w:space="0" w:color="auto"/>
        <w:left w:val="none" w:sz="0" w:space="0" w:color="auto"/>
        <w:bottom w:val="none" w:sz="0" w:space="0" w:color="auto"/>
        <w:right w:val="none" w:sz="0" w:space="0" w:color="auto"/>
      </w:divBdr>
    </w:div>
    <w:div w:id="705176264">
      <w:bodyDiv w:val="1"/>
      <w:marLeft w:val="0"/>
      <w:marRight w:val="0"/>
      <w:marTop w:val="0"/>
      <w:marBottom w:val="0"/>
      <w:divBdr>
        <w:top w:val="none" w:sz="0" w:space="0" w:color="auto"/>
        <w:left w:val="none" w:sz="0" w:space="0" w:color="auto"/>
        <w:bottom w:val="none" w:sz="0" w:space="0" w:color="auto"/>
        <w:right w:val="none" w:sz="0" w:space="0" w:color="auto"/>
      </w:divBdr>
    </w:div>
    <w:div w:id="727415543">
      <w:bodyDiv w:val="1"/>
      <w:marLeft w:val="0"/>
      <w:marRight w:val="0"/>
      <w:marTop w:val="0"/>
      <w:marBottom w:val="0"/>
      <w:divBdr>
        <w:top w:val="none" w:sz="0" w:space="0" w:color="auto"/>
        <w:left w:val="none" w:sz="0" w:space="0" w:color="auto"/>
        <w:bottom w:val="none" w:sz="0" w:space="0" w:color="auto"/>
        <w:right w:val="none" w:sz="0" w:space="0" w:color="auto"/>
      </w:divBdr>
    </w:div>
    <w:div w:id="741756186">
      <w:bodyDiv w:val="1"/>
      <w:marLeft w:val="0"/>
      <w:marRight w:val="0"/>
      <w:marTop w:val="0"/>
      <w:marBottom w:val="0"/>
      <w:divBdr>
        <w:top w:val="none" w:sz="0" w:space="0" w:color="auto"/>
        <w:left w:val="none" w:sz="0" w:space="0" w:color="auto"/>
        <w:bottom w:val="none" w:sz="0" w:space="0" w:color="auto"/>
        <w:right w:val="none" w:sz="0" w:space="0" w:color="auto"/>
      </w:divBdr>
    </w:div>
    <w:div w:id="760025313">
      <w:bodyDiv w:val="1"/>
      <w:marLeft w:val="0"/>
      <w:marRight w:val="0"/>
      <w:marTop w:val="0"/>
      <w:marBottom w:val="0"/>
      <w:divBdr>
        <w:top w:val="none" w:sz="0" w:space="0" w:color="auto"/>
        <w:left w:val="none" w:sz="0" w:space="0" w:color="auto"/>
        <w:bottom w:val="none" w:sz="0" w:space="0" w:color="auto"/>
        <w:right w:val="none" w:sz="0" w:space="0" w:color="auto"/>
      </w:divBdr>
    </w:div>
    <w:div w:id="793718132">
      <w:bodyDiv w:val="1"/>
      <w:marLeft w:val="0"/>
      <w:marRight w:val="0"/>
      <w:marTop w:val="0"/>
      <w:marBottom w:val="0"/>
      <w:divBdr>
        <w:top w:val="none" w:sz="0" w:space="0" w:color="auto"/>
        <w:left w:val="none" w:sz="0" w:space="0" w:color="auto"/>
        <w:bottom w:val="none" w:sz="0" w:space="0" w:color="auto"/>
        <w:right w:val="none" w:sz="0" w:space="0" w:color="auto"/>
      </w:divBdr>
    </w:div>
    <w:div w:id="812915765">
      <w:bodyDiv w:val="1"/>
      <w:marLeft w:val="0"/>
      <w:marRight w:val="0"/>
      <w:marTop w:val="0"/>
      <w:marBottom w:val="0"/>
      <w:divBdr>
        <w:top w:val="none" w:sz="0" w:space="0" w:color="auto"/>
        <w:left w:val="none" w:sz="0" w:space="0" w:color="auto"/>
        <w:bottom w:val="none" w:sz="0" w:space="0" w:color="auto"/>
        <w:right w:val="none" w:sz="0" w:space="0" w:color="auto"/>
      </w:divBdr>
    </w:div>
    <w:div w:id="817890146">
      <w:bodyDiv w:val="1"/>
      <w:marLeft w:val="0"/>
      <w:marRight w:val="0"/>
      <w:marTop w:val="0"/>
      <w:marBottom w:val="0"/>
      <w:divBdr>
        <w:top w:val="none" w:sz="0" w:space="0" w:color="auto"/>
        <w:left w:val="none" w:sz="0" w:space="0" w:color="auto"/>
        <w:bottom w:val="none" w:sz="0" w:space="0" w:color="auto"/>
        <w:right w:val="none" w:sz="0" w:space="0" w:color="auto"/>
      </w:divBdr>
    </w:div>
    <w:div w:id="863403564">
      <w:bodyDiv w:val="1"/>
      <w:marLeft w:val="0"/>
      <w:marRight w:val="0"/>
      <w:marTop w:val="0"/>
      <w:marBottom w:val="0"/>
      <w:divBdr>
        <w:top w:val="none" w:sz="0" w:space="0" w:color="auto"/>
        <w:left w:val="none" w:sz="0" w:space="0" w:color="auto"/>
        <w:bottom w:val="none" w:sz="0" w:space="0" w:color="auto"/>
        <w:right w:val="none" w:sz="0" w:space="0" w:color="auto"/>
      </w:divBdr>
    </w:div>
    <w:div w:id="864829450">
      <w:bodyDiv w:val="1"/>
      <w:marLeft w:val="0"/>
      <w:marRight w:val="0"/>
      <w:marTop w:val="0"/>
      <w:marBottom w:val="0"/>
      <w:divBdr>
        <w:top w:val="none" w:sz="0" w:space="0" w:color="auto"/>
        <w:left w:val="none" w:sz="0" w:space="0" w:color="auto"/>
        <w:bottom w:val="none" w:sz="0" w:space="0" w:color="auto"/>
        <w:right w:val="none" w:sz="0" w:space="0" w:color="auto"/>
      </w:divBdr>
    </w:div>
    <w:div w:id="876821586">
      <w:bodyDiv w:val="1"/>
      <w:marLeft w:val="0"/>
      <w:marRight w:val="0"/>
      <w:marTop w:val="0"/>
      <w:marBottom w:val="0"/>
      <w:divBdr>
        <w:top w:val="none" w:sz="0" w:space="0" w:color="auto"/>
        <w:left w:val="none" w:sz="0" w:space="0" w:color="auto"/>
        <w:bottom w:val="none" w:sz="0" w:space="0" w:color="auto"/>
        <w:right w:val="none" w:sz="0" w:space="0" w:color="auto"/>
      </w:divBdr>
    </w:div>
    <w:div w:id="894314632">
      <w:bodyDiv w:val="1"/>
      <w:marLeft w:val="0"/>
      <w:marRight w:val="0"/>
      <w:marTop w:val="0"/>
      <w:marBottom w:val="0"/>
      <w:divBdr>
        <w:top w:val="none" w:sz="0" w:space="0" w:color="auto"/>
        <w:left w:val="none" w:sz="0" w:space="0" w:color="auto"/>
        <w:bottom w:val="none" w:sz="0" w:space="0" w:color="auto"/>
        <w:right w:val="none" w:sz="0" w:space="0" w:color="auto"/>
      </w:divBdr>
    </w:div>
    <w:div w:id="901789176">
      <w:bodyDiv w:val="1"/>
      <w:marLeft w:val="0"/>
      <w:marRight w:val="0"/>
      <w:marTop w:val="0"/>
      <w:marBottom w:val="0"/>
      <w:divBdr>
        <w:top w:val="none" w:sz="0" w:space="0" w:color="auto"/>
        <w:left w:val="none" w:sz="0" w:space="0" w:color="auto"/>
        <w:bottom w:val="none" w:sz="0" w:space="0" w:color="auto"/>
        <w:right w:val="none" w:sz="0" w:space="0" w:color="auto"/>
      </w:divBdr>
    </w:div>
    <w:div w:id="906302781">
      <w:bodyDiv w:val="1"/>
      <w:marLeft w:val="0"/>
      <w:marRight w:val="0"/>
      <w:marTop w:val="0"/>
      <w:marBottom w:val="0"/>
      <w:divBdr>
        <w:top w:val="none" w:sz="0" w:space="0" w:color="auto"/>
        <w:left w:val="none" w:sz="0" w:space="0" w:color="auto"/>
        <w:bottom w:val="none" w:sz="0" w:space="0" w:color="auto"/>
        <w:right w:val="none" w:sz="0" w:space="0" w:color="auto"/>
      </w:divBdr>
    </w:div>
    <w:div w:id="920136116">
      <w:bodyDiv w:val="1"/>
      <w:marLeft w:val="0"/>
      <w:marRight w:val="0"/>
      <w:marTop w:val="0"/>
      <w:marBottom w:val="0"/>
      <w:divBdr>
        <w:top w:val="none" w:sz="0" w:space="0" w:color="auto"/>
        <w:left w:val="none" w:sz="0" w:space="0" w:color="auto"/>
        <w:bottom w:val="none" w:sz="0" w:space="0" w:color="auto"/>
        <w:right w:val="none" w:sz="0" w:space="0" w:color="auto"/>
      </w:divBdr>
    </w:div>
    <w:div w:id="947540776">
      <w:bodyDiv w:val="1"/>
      <w:marLeft w:val="0"/>
      <w:marRight w:val="0"/>
      <w:marTop w:val="0"/>
      <w:marBottom w:val="0"/>
      <w:divBdr>
        <w:top w:val="none" w:sz="0" w:space="0" w:color="auto"/>
        <w:left w:val="none" w:sz="0" w:space="0" w:color="auto"/>
        <w:bottom w:val="none" w:sz="0" w:space="0" w:color="auto"/>
        <w:right w:val="none" w:sz="0" w:space="0" w:color="auto"/>
      </w:divBdr>
    </w:div>
    <w:div w:id="949820942">
      <w:bodyDiv w:val="1"/>
      <w:marLeft w:val="0"/>
      <w:marRight w:val="0"/>
      <w:marTop w:val="0"/>
      <w:marBottom w:val="0"/>
      <w:divBdr>
        <w:top w:val="none" w:sz="0" w:space="0" w:color="auto"/>
        <w:left w:val="none" w:sz="0" w:space="0" w:color="auto"/>
        <w:bottom w:val="none" w:sz="0" w:space="0" w:color="auto"/>
        <w:right w:val="none" w:sz="0" w:space="0" w:color="auto"/>
      </w:divBdr>
    </w:div>
    <w:div w:id="955915403">
      <w:bodyDiv w:val="1"/>
      <w:marLeft w:val="0"/>
      <w:marRight w:val="0"/>
      <w:marTop w:val="0"/>
      <w:marBottom w:val="0"/>
      <w:divBdr>
        <w:top w:val="none" w:sz="0" w:space="0" w:color="auto"/>
        <w:left w:val="none" w:sz="0" w:space="0" w:color="auto"/>
        <w:bottom w:val="none" w:sz="0" w:space="0" w:color="auto"/>
        <w:right w:val="none" w:sz="0" w:space="0" w:color="auto"/>
      </w:divBdr>
    </w:div>
    <w:div w:id="961687722">
      <w:bodyDiv w:val="1"/>
      <w:marLeft w:val="0"/>
      <w:marRight w:val="0"/>
      <w:marTop w:val="0"/>
      <w:marBottom w:val="0"/>
      <w:divBdr>
        <w:top w:val="none" w:sz="0" w:space="0" w:color="auto"/>
        <w:left w:val="none" w:sz="0" w:space="0" w:color="auto"/>
        <w:bottom w:val="none" w:sz="0" w:space="0" w:color="auto"/>
        <w:right w:val="none" w:sz="0" w:space="0" w:color="auto"/>
      </w:divBdr>
    </w:div>
    <w:div w:id="997074841">
      <w:bodyDiv w:val="1"/>
      <w:marLeft w:val="0"/>
      <w:marRight w:val="0"/>
      <w:marTop w:val="0"/>
      <w:marBottom w:val="0"/>
      <w:divBdr>
        <w:top w:val="none" w:sz="0" w:space="0" w:color="auto"/>
        <w:left w:val="none" w:sz="0" w:space="0" w:color="auto"/>
        <w:bottom w:val="none" w:sz="0" w:space="0" w:color="auto"/>
        <w:right w:val="none" w:sz="0" w:space="0" w:color="auto"/>
      </w:divBdr>
    </w:div>
    <w:div w:id="997612217">
      <w:bodyDiv w:val="1"/>
      <w:marLeft w:val="0"/>
      <w:marRight w:val="0"/>
      <w:marTop w:val="0"/>
      <w:marBottom w:val="0"/>
      <w:divBdr>
        <w:top w:val="none" w:sz="0" w:space="0" w:color="auto"/>
        <w:left w:val="none" w:sz="0" w:space="0" w:color="auto"/>
        <w:bottom w:val="none" w:sz="0" w:space="0" w:color="auto"/>
        <w:right w:val="none" w:sz="0" w:space="0" w:color="auto"/>
      </w:divBdr>
    </w:div>
    <w:div w:id="1016806178">
      <w:bodyDiv w:val="1"/>
      <w:marLeft w:val="0"/>
      <w:marRight w:val="0"/>
      <w:marTop w:val="0"/>
      <w:marBottom w:val="0"/>
      <w:divBdr>
        <w:top w:val="none" w:sz="0" w:space="0" w:color="auto"/>
        <w:left w:val="none" w:sz="0" w:space="0" w:color="auto"/>
        <w:bottom w:val="none" w:sz="0" w:space="0" w:color="auto"/>
        <w:right w:val="none" w:sz="0" w:space="0" w:color="auto"/>
      </w:divBdr>
    </w:div>
    <w:div w:id="1023870351">
      <w:bodyDiv w:val="1"/>
      <w:marLeft w:val="0"/>
      <w:marRight w:val="0"/>
      <w:marTop w:val="0"/>
      <w:marBottom w:val="0"/>
      <w:divBdr>
        <w:top w:val="none" w:sz="0" w:space="0" w:color="auto"/>
        <w:left w:val="none" w:sz="0" w:space="0" w:color="auto"/>
        <w:bottom w:val="none" w:sz="0" w:space="0" w:color="auto"/>
        <w:right w:val="none" w:sz="0" w:space="0" w:color="auto"/>
      </w:divBdr>
    </w:div>
    <w:div w:id="1027675743">
      <w:bodyDiv w:val="1"/>
      <w:marLeft w:val="0"/>
      <w:marRight w:val="0"/>
      <w:marTop w:val="0"/>
      <w:marBottom w:val="0"/>
      <w:divBdr>
        <w:top w:val="none" w:sz="0" w:space="0" w:color="auto"/>
        <w:left w:val="none" w:sz="0" w:space="0" w:color="auto"/>
        <w:bottom w:val="none" w:sz="0" w:space="0" w:color="auto"/>
        <w:right w:val="none" w:sz="0" w:space="0" w:color="auto"/>
      </w:divBdr>
    </w:div>
    <w:div w:id="1043410231">
      <w:bodyDiv w:val="1"/>
      <w:marLeft w:val="0"/>
      <w:marRight w:val="0"/>
      <w:marTop w:val="0"/>
      <w:marBottom w:val="0"/>
      <w:divBdr>
        <w:top w:val="none" w:sz="0" w:space="0" w:color="auto"/>
        <w:left w:val="none" w:sz="0" w:space="0" w:color="auto"/>
        <w:bottom w:val="none" w:sz="0" w:space="0" w:color="auto"/>
        <w:right w:val="none" w:sz="0" w:space="0" w:color="auto"/>
      </w:divBdr>
    </w:div>
    <w:div w:id="1054042194">
      <w:bodyDiv w:val="1"/>
      <w:marLeft w:val="0"/>
      <w:marRight w:val="0"/>
      <w:marTop w:val="0"/>
      <w:marBottom w:val="0"/>
      <w:divBdr>
        <w:top w:val="none" w:sz="0" w:space="0" w:color="auto"/>
        <w:left w:val="none" w:sz="0" w:space="0" w:color="auto"/>
        <w:bottom w:val="none" w:sz="0" w:space="0" w:color="auto"/>
        <w:right w:val="none" w:sz="0" w:space="0" w:color="auto"/>
      </w:divBdr>
    </w:div>
    <w:div w:id="1080637935">
      <w:bodyDiv w:val="1"/>
      <w:marLeft w:val="0"/>
      <w:marRight w:val="0"/>
      <w:marTop w:val="0"/>
      <w:marBottom w:val="0"/>
      <w:divBdr>
        <w:top w:val="none" w:sz="0" w:space="0" w:color="auto"/>
        <w:left w:val="none" w:sz="0" w:space="0" w:color="auto"/>
        <w:bottom w:val="none" w:sz="0" w:space="0" w:color="auto"/>
        <w:right w:val="none" w:sz="0" w:space="0" w:color="auto"/>
      </w:divBdr>
    </w:div>
    <w:div w:id="1105002857">
      <w:bodyDiv w:val="1"/>
      <w:marLeft w:val="0"/>
      <w:marRight w:val="0"/>
      <w:marTop w:val="0"/>
      <w:marBottom w:val="0"/>
      <w:divBdr>
        <w:top w:val="none" w:sz="0" w:space="0" w:color="auto"/>
        <w:left w:val="none" w:sz="0" w:space="0" w:color="auto"/>
        <w:bottom w:val="none" w:sz="0" w:space="0" w:color="auto"/>
        <w:right w:val="none" w:sz="0" w:space="0" w:color="auto"/>
      </w:divBdr>
    </w:div>
    <w:div w:id="1119489465">
      <w:bodyDiv w:val="1"/>
      <w:marLeft w:val="0"/>
      <w:marRight w:val="0"/>
      <w:marTop w:val="0"/>
      <w:marBottom w:val="0"/>
      <w:divBdr>
        <w:top w:val="none" w:sz="0" w:space="0" w:color="auto"/>
        <w:left w:val="none" w:sz="0" w:space="0" w:color="auto"/>
        <w:bottom w:val="none" w:sz="0" w:space="0" w:color="auto"/>
        <w:right w:val="none" w:sz="0" w:space="0" w:color="auto"/>
      </w:divBdr>
    </w:div>
    <w:div w:id="1142232017">
      <w:bodyDiv w:val="1"/>
      <w:marLeft w:val="0"/>
      <w:marRight w:val="0"/>
      <w:marTop w:val="0"/>
      <w:marBottom w:val="0"/>
      <w:divBdr>
        <w:top w:val="none" w:sz="0" w:space="0" w:color="auto"/>
        <w:left w:val="none" w:sz="0" w:space="0" w:color="auto"/>
        <w:bottom w:val="none" w:sz="0" w:space="0" w:color="auto"/>
        <w:right w:val="none" w:sz="0" w:space="0" w:color="auto"/>
      </w:divBdr>
    </w:div>
    <w:div w:id="1150707021">
      <w:bodyDiv w:val="1"/>
      <w:marLeft w:val="0"/>
      <w:marRight w:val="0"/>
      <w:marTop w:val="0"/>
      <w:marBottom w:val="0"/>
      <w:divBdr>
        <w:top w:val="none" w:sz="0" w:space="0" w:color="auto"/>
        <w:left w:val="none" w:sz="0" w:space="0" w:color="auto"/>
        <w:bottom w:val="none" w:sz="0" w:space="0" w:color="auto"/>
        <w:right w:val="none" w:sz="0" w:space="0" w:color="auto"/>
      </w:divBdr>
    </w:div>
    <w:div w:id="1170679906">
      <w:bodyDiv w:val="1"/>
      <w:marLeft w:val="0"/>
      <w:marRight w:val="0"/>
      <w:marTop w:val="0"/>
      <w:marBottom w:val="0"/>
      <w:divBdr>
        <w:top w:val="none" w:sz="0" w:space="0" w:color="auto"/>
        <w:left w:val="none" w:sz="0" w:space="0" w:color="auto"/>
        <w:bottom w:val="none" w:sz="0" w:space="0" w:color="auto"/>
        <w:right w:val="none" w:sz="0" w:space="0" w:color="auto"/>
      </w:divBdr>
    </w:div>
    <w:div w:id="1188059476">
      <w:bodyDiv w:val="1"/>
      <w:marLeft w:val="0"/>
      <w:marRight w:val="0"/>
      <w:marTop w:val="0"/>
      <w:marBottom w:val="0"/>
      <w:divBdr>
        <w:top w:val="none" w:sz="0" w:space="0" w:color="auto"/>
        <w:left w:val="none" w:sz="0" w:space="0" w:color="auto"/>
        <w:bottom w:val="none" w:sz="0" w:space="0" w:color="auto"/>
        <w:right w:val="none" w:sz="0" w:space="0" w:color="auto"/>
      </w:divBdr>
    </w:div>
    <w:div w:id="1213467885">
      <w:bodyDiv w:val="1"/>
      <w:marLeft w:val="0"/>
      <w:marRight w:val="0"/>
      <w:marTop w:val="0"/>
      <w:marBottom w:val="0"/>
      <w:divBdr>
        <w:top w:val="none" w:sz="0" w:space="0" w:color="auto"/>
        <w:left w:val="none" w:sz="0" w:space="0" w:color="auto"/>
        <w:bottom w:val="none" w:sz="0" w:space="0" w:color="auto"/>
        <w:right w:val="none" w:sz="0" w:space="0" w:color="auto"/>
      </w:divBdr>
    </w:div>
    <w:div w:id="1221673140">
      <w:bodyDiv w:val="1"/>
      <w:marLeft w:val="0"/>
      <w:marRight w:val="0"/>
      <w:marTop w:val="0"/>
      <w:marBottom w:val="0"/>
      <w:divBdr>
        <w:top w:val="none" w:sz="0" w:space="0" w:color="auto"/>
        <w:left w:val="none" w:sz="0" w:space="0" w:color="auto"/>
        <w:bottom w:val="none" w:sz="0" w:space="0" w:color="auto"/>
        <w:right w:val="none" w:sz="0" w:space="0" w:color="auto"/>
      </w:divBdr>
    </w:div>
    <w:div w:id="1229682430">
      <w:bodyDiv w:val="1"/>
      <w:marLeft w:val="0"/>
      <w:marRight w:val="0"/>
      <w:marTop w:val="0"/>
      <w:marBottom w:val="0"/>
      <w:divBdr>
        <w:top w:val="none" w:sz="0" w:space="0" w:color="auto"/>
        <w:left w:val="none" w:sz="0" w:space="0" w:color="auto"/>
        <w:bottom w:val="none" w:sz="0" w:space="0" w:color="auto"/>
        <w:right w:val="none" w:sz="0" w:space="0" w:color="auto"/>
      </w:divBdr>
    </w:div>
    <w:div w:id="1240600881">
      <w:bodyDiv w:val="1"/>
      <w:marLeft w:val="0"/>
      <w:marRight w:val="0"/>
      <w:marTop w:val="0"/>
      <w:marBottom w:val="0"/>
      <w:divBdr>
        <w:top w:val="none" w:sz="0" w:space="0" w:color="auto"/>
        <w:left w:val="none" w:sz="0" w:space="0" w:color="auto"/>
        <w:bottom w:val="none" w:sz="0" w:space="0" w:color="auto"/>
        <w:right w:val="none" w:sz="0" w:space="0" w:color="auto"/>
      </w:divBdr>
    </w:div>
    <w:div w:id="1246568166">
      <w:bodyDiv w:val="1"/>
      <w:marLeft w:val="0"/>
      <w:marRight w:val="0"/>
      <w:marTop w:val="0"/>
      <w:marBottom w:val="0"/>
      <w:divBdr>
        <w:top w:val="none" w:sz="0" w:space="0" w:color="auto"/>
        <w:left w:val="none" w:sz="0" w:space="0" w:color="auto"/>
        <w:bottom w:val="none" w:sz="0" w:space="0" w:color="auto"/>
        <w:right w:val="none" w:sz="0" w:space="0" w:color="auto"/>
      </w:divBdr>
    </w:div>
    <w:div w:id="1277129974">
      <w:bodyDiv w:val="1"/>
      <w:marLeft w:val="0"/>
      <w:marRight w:val="0"/>
      <w:marTop w:val="0"/>
      <w:marBottom w:val="0"/>
      <w:divBdr>
        <w:top w:val="none" w:sz="0" w:space="0" w:color="auto"/>
        <w:left w:val="none" w:sz="0" w:space="0" w:color="auto"/>
        <w:bottom w:val="none" w:sz="0" w:space="0" w:color="auto"/>
        <w:right w:val="none" w:sz="0" w:space="0" w:color="auto"/>
      </w:divBdr>
    </w:div>
    <w:div w:id="1341465100">
      <w:bodyDiv w:val="1"/>
      <w:marLeft w:val="0"/>
      <w:marRight w:val="0"/>
      <w:marTop w:val="0"/>
      <w:marBottom w:val="0"/>
      <w:divBdr>
        <w:top w:val="none" w:sz="0" w:space="0" w:color="auto"/>
        <w:left w:val="none" w:sz="0" w:space="0" w:color="auto"/>
        <w:bottom w:val="none" w:sz="0" w:space="0" w:color="auto"/>
        <w:right w:val="none" w:sz="0" w:space="0" w:color="auto"/>
      </w:divBdr>
    </w:div>
    <w:div w:id="1364283540">
      <w:bodyDiv w:val="1"/>
      <w:marLeft w:val="0"/>
      <w:marRight w:val="0"/>
      <w:marTop w:val="0"/>
      <w:marBottom w:val="0"/>
      <w:divBdr>
        <w:top w:val="none" w:sz="0" w:space="0" w:color="auto"/>
        <w:left w:val="none" w:sz="0" w:space="0" w:color="auto"/>
        <w:bottom w:val="none" w:sz="0" w:space="0" w:color="auto"/>
        <w:right w:val="none" w:sz="0" w:space="0" w:color="auto"/>
      </w:divBdr>
    </w:div>
    <w:div w:id="1379433095">
      <w:bodyDiv w:val="1"/>
      <w:marLeft w:val="0"/>
      <w:marRight w:val="0"/>
      <w:marTop w:val="0"/>
      <w:marBottom w:val="0"/>
      <w:divBdr>
        <w:top w:val="none" w:sz="0" w:space="0" w:color="auto"/>
        <w:left w:val="none" w:sz="0" w:space="0" w:color="auto"/>
        <w:bottom w:val="none" w:sz="0" w:space="0" w:color="auto"/>
        <w:right w:val="none" w:sz="0" w:space="0" w:color="auto"/>
      </w:divBdr>
    </w:div>
    <w:div w:id="1461997063">
      <w:bodyDiv w:val="1"/>
      <w:marLeft w:val="0"/>
      <w:marRight w:val="0"/>
      <w:marTop w:val="0"/>
      <w:marBottom w:val="0"/>
      <w:divBdr>
        <w:top w:val="none" w:sz="0" w:space="0" w:color="auto"/>
        <w:left w:val="none" w:sz="0" w:space="0" w:color="auto"/>
        <w:bottom w:val="none" w:sz="0" w:space="0" w:color="auto"/>
        <w:right w:val="none" w:sz="0" w:space="0" w:color="auto"/>
      </w:divBdr>
    </w:div>
    <w:div w:id="1465351324">
      <w:bodyDiv w:val="1"/>
      <w:marLeft w:val="0"/>
      <w:marRight w:val="0"/>
      <w:marTop w:val="0"/>
      <w:marBottom w:val="0"/>
      <w:divBdr>
        <w:top w:val="none" w:sz="0" w:space="0" w:color="auto"/>
        <w:left w:val="none" w:sz="0" w:space="0" w:color="auto"/>
        <w:bottom w:val="none" w:sz="0" w:space="0" w:color="auto"/>
        <w:right w:val="none" w:sz="0" w:space="0" w:color="auto"/>
      </w:divBdr>
    </w:div>
    <w:div w:id="1476096633">
      <w:bodyDiv w:val="1"/>
      <w:marLeft w:val="0"/>
      <w:marRight w:val="0"/>
      <w:marTop w:val="0"/>
      <w:marBottom w:val="0"/>
      <w:divBdr>
        <w:top w:val="none" w:sz="0" w:space="0" w:color="auto"/>
        <w:left w:val="none" w:sz="0" w:space="0" w:color="auto"/>
        <w:bottom w:val="none" w:sz="0" w:space="0" w:color="auto"/>
        <w:right w:val="none" w:sz="0" w:space="0" w:color="auto"/>
      </w:divBdr>
    </w:div>
    <w:div w:id="1485076633">
      <w:bodyDiv w:val="1"/>
      <w:marLeft w:val="0"/>
      <w:marRight w:val="0"/>
      <w:marTop w:val="0"/>
      <w:marBottom w:val="0"/>
      <w:divBdr>
        <w:top w:val="none" w:sz="0" w:space="0" w:color="auto"/>
        <w:left w:val="none" w:sz="0" w:space="0" w:color="auto"/>
        <w:bottom w:val="none" w:sz="0" w:space="0" w:color="auto"/>
        <w:right w:val="none" w:sz="0" w:space="0" w:color="auto"/>
      </w:divBdr>
    </w:div>
    <w:div w:id="1496384570">
      <w:bodyDiv w:val="1"/>
      <w:marLeft w:val="0"/>
      <w:marRight w:val="0"/>
      <w:marTop w:val="0"/>
      <w:marBottom w:val="0"/>
      <w:divBdr>
        <w:top w:val="none" w:sz="0" w:space="0" w:color="auto"/>
        <w:left w:val="none" w:sz="0" w:space="0" w:color="auto"/>
        <w:bottom w:val="none" w:sz="0" w:space="0" w:color="auto"/>
        <w:right w:val="none" w:sz="0" w:space="0" w:color="auto"/>
      </w:divBdr>
    </w:div>
    <w:div w:id="1503660841">
      <w:bodyDiv w:val="1"/>
      <w:marLeft w:val="0"/>
      <w:marRight w:val="0"/>
      <w:marTop w:val="0"/>
      <w:marBottom w:val="0"/>
      <w:divBdr>
        <w:top w:val="none" w:sz="0" w:space="0" w:color="auto"/>
        <w:left w:val="none" w:sz="0" w:space="0" w:color="auto"/>
        <w:bottom w:val="none" w:sz="0" w:space="0" w:color="auto"/>
        <w:right w:val="none" w:sz="0" w:space="0" w:color="auto"/>
      </w:divBdr>
    </w:div>
    <w:div w:id="1513835799">
      <w:bodyDiv w:val="1"/>
      <w:marLeft w:val="0"/>
      <w:marRight w:val="0"/>
      <w:marTop w:val="0"/>
      <w:marBottom w:val="0"/>
      <w:divBdr>
        <w:top w:val="none" w:sz="0" w:space="0" w:color="auto"/>
        <w:left w:val="none" w:sz="0" w:space="0" w:color="auto"/>
        <w:bottom w:val="none" w:sz="0" w:space="0" w:color="auto"/>
        <w:right w:val="none" w:sz="0" w:space="0" w:color="auto"/>
      </w:divBdr>
    </w:div>
    <w:div w:id="1526943956">
      <w:bodyDiv w:val="1"/>
      <w:marLeft w:val="0"/>
      <w:marRight w:val="0"/>
      <w:marTop w:val="0"/>
      <w:marBottom w:val="0"/>
      <w:divBdr>
        <w:top w:val="none" w:sz="0" w:space="0" w:color="auto"/>
        <w:left w:val="none" w:sz="0" w:space="0" w:color="auto"/>
        <w:bottom w:val="none" w:sz="0" w:space="0" w:color="auto"/>
        <w:right w:val="none" w:sz="0" w:space="0" w:color="auto"/>
      </w:divBdr>
    </w:div>
    <w:div w:id="1553732848">
      <w:bodyDiv w:val="1"/>
      <w:marLeft w:val="0"/>
      <w:marRight w:val="0"/>
      <w:marTop w:val="0"/>
      <w:marBottom w:val="0"/>
      <w:divBdr>
        <w:top w:val="none" w:sz="0" w:space="0" w:color="auto"/>
        <w:left w:val="none" w:sz="0" w:space="0" w:color="auto"/>
        <w:bottom w:val="none" w:sz="0" w:space="0" w:color="auto"/>
        <w:right w:val="none" w:sz="0" w:space="0" w:color="auto"/>
      </w:divBdr>
    </w:div>
    <w:div w:id="1559245630">
      <w:bodyDiv w:val="1"/>
      <w:marLeft w:val="0"/>
      <w:marRight w:val="0"/>
      <w:marTop w:val="0"/>
      <w:marBottom w:val="0"/>
      <w:divBdr>
        <w:top w:val="none" w:sz="0" w:space="0" w:color="auto"/>
        <w:left w:val="none" w:sz="0" w:space="0" w:color="auto"/>
        <w:bottom w:val="none" w:sz="0" w:space="0" w:color="auto"/>
        <w:right w:val="none" w:sz="0" w:space="0" w:color="auto"/>
      </w:divBdr>
    </w:div>
    <w:div w:id="1567834528">
      <w:bodyDiv w:val="1"/>
      <w:marLeft w:val="0"/>
      <w:marRight w:val="0"/>
      <w:marTop w:val="0"/>
      <w:marBottom w:val="0"/>
      <w:divBdr>
        <w:top w:val="none" w:sz="0" w:space="0" w:color="auto"/>
        <w:left w:val="none" w:sz="0" w:space="0" w:color="auto"/>
        <w:bottom w:val="none" w:sz="0" w:space="0" w:color="auto"/>
        <w:right w:val="none" w:sz="0" w:space="0" w:color="auto"/>
      </w:divBdr>
    </w:div>
    <w:div w:id="1640307870">
      <w:bodyDiv w:val="1"/>
      <w:marLeft w:val="0"/>
      <w:marRight w:val="0"/>
      <w:marTop w:val="0"/>
      <w:marBottom w:val="0"/>
      <w:divBdr>
        <w:top w:val="none" w:sz="0" w:space="0" w:color="auto"/>
        <w:left w:val="none" w:sz="0" w:space="0" w:color="auto"/>
        <w:bottom w:val="none" w:sz="0" w:space="0" w:color="auto"/>
        <w:right w:val="none" w:sz="0" w:space="0" w:color="auto"/>
      </w:divBdr>
    </w:div>
    <w:div w:id="1646279190">
      <w:bodyDiv w:val="1"/>
      <w:marLeft w:val="0"/>
      <w:marRight w:val="0"/>
      <w:marTop w:val="0"/>
      <w:marBottom w:val="0"/>
      <w:divBdr>
        <w:top w:val="none" w:sz="0" w:space="0" w:color="auto"/>
        <w:left w:val="none" w:sz="0" w:space="0" w:color="auto"/>
        <w:bottom w:val="none" w:sz="0" w:space="0" w:color="auto"/>
        <w:right w:val="none" w:sz="0" w:space="0" w:color="auto"/>
      </w:divBdr>
    </w:div>
    <w:div w:id="1660815144">
      <w:bodyDiv w:val="1"/>
      <w:marLeft w:val="0"/>
      <w:marRight w:val="0"/>
      <w:marTop w:val="0"/>
      <w:marBottom w:val="0"/>
      <w:divBdr>
        <w:top w:val="none" w:sz="0" w:space="0" w:color="auto"/>
        <w:left w:val="none" w:sz="0" w:space="0" w:color="auto"/>
        <w:bottom w:val="none" w:sz="0" w:space="0" w:color="auto"/>
        <w:right w:val="none" w:sz="0" w:space="0" w:color="auto"/>
      </w:divBdr>
    </w:div>
    <w:div w:id="1673294271">
      <w:bodyDiv w:val="1"/>
      <w:marLeft w:val="0"/>
      <w:marRight w:val="0"/>
      <w:marTop w:val="0"/>
      <w:marBottom w:val="0"/>
      <w:divBdr>
        <w:top w:val="none" w:sz="0" w:space="0" w:color="auto"/>
        <w:left w:val="none" w:sz="0" w:space="0" w:color="auto"/>
        <w:bottom w:val="none" w:sz="0" w:space="0" w:color="auto"/>
        <w:right w:val="none" w:sz="0" w:space="0" w:color="auto"/>
      </w:divBdr>
    </w:div>
    <w:div w:id="1694184919">
      <w:bodyDiv w:val="1"/>
      <w:marLeft w:val="0"/>
      <w:marRight w:val="0"/>
      <w:marTop w:val="0"/>
      <w:marBottom w:val="0"/>
      <w:divBdr>
        <w:top w:val="none" w:sz="0" w:space="0" w:color="auto"/>
        <w:left w:val="none" w:sz="0" w:space="0" w:color="auto"/>
        <w:bottom w:val="none" w:sz="0" w:space="0" w:color="auto"/>
        <w:right w:val="none" w:sz="0" w:space="0" w:color="auto"/>
      </w:divBdr>
    </w:div>
    <w:div w:id="1729574086">
      <w:bodyDiv w:val="1"/>
      <w:marLeft w:val="0"/>
      <w:marRight w:val="0"/>
      <w:marTop w:val="0"/>
      <w:marBottom w:val="0"/>
      <w:divBdr>
        <w:top w:val="none" w:sz="0" w:space="0" w:color="auto"/>
        <w:left w:val="none" w:sz="0" w:space="0" w:color="auto"/>
        <w:bottom w:val="none" w:sz="0" w:space="0" w:color="auto"/>
        <w:right w:val="none" w:sz="0" w:space="0" w:color="auto"/>
      </w:divBdr>
    </w:div>
    <w:div w:id="1750693866">
      <w:bodyDiv w:val="1"/>
      <w:marLeft w:val="0"/>
      <w:marRight w:val="0"/>
      <w:marTop w:val="0"/>
      <w:marBottom w:val="0"/>
      <w:divBdr>
        <w:top w:val="none" w:sz="0" w:space="0" w:color="auto"/>
        <w:left w:val="none" w:sz="0" w:space="0" w:color="auto"/>
        <w:bottom w:val="none" w:sz="0" w:space="0" w:color="auto"/>
        <w:right w:val="none" w:sz="0" w:space="0" w:color="auto"/>
      </w:divBdr>
    </w:div>
    <w:div w:id="1825320093">
      <w:bodyDiv w:val="1"/>
      <w:marLeft w:val="0"/>
      <w:marRight w:val="0"/>
      <w:marTop w:val="0"/>
      <w:marBottom w:val="0"/>
      <w:divBdr>
        <w:top w:val="none" w:sz="0" w:space="0" w:color="auto"/>
        <w:left w:val="none" w:sz="0" w:space="0" w:color="auto"/>
        <w:bottom w:val="none" w:sz="0" w:space="0" w:color="auto"/>
        <w:right w:val="none" w:sz="0" w:space="0" w:color="auto"/>
      </w:divBdr>
    </w:div>
    <w:div w:id="1840146487">
      <w:bodyDiv w:val="1"/>
      <w:marLeft w:val="0"/>
      <w:marRight w:val="0"/>
      <w:marTop w:val="0"/>
      <w:marBottom w:val="0"/>
      <w:divBdr>
        <w:top w:val="none" w:sz="0" w:space="0" w:color="auto"/>
        <w:left w:val="none" w:sz="0" w:space="0" w:color="auto"/>
        <w:bottom w:val="none" w:sz="0" w:space="0" w:color="auto"/>
        <w:right w:val="none" w:sz="0" w:space="0" w:color="auto"/>
      </w:divBdr>
    </w:div>
    <w:div w:id="1855071951">
      <w:bodyDiv w:val="1"/>
      <w:marLeft w:val="0"/>
      <w:marRight w:val="0"/>
      <w:marTop w:val="0"/>
      <w:marBottom w:val="0"/>
      <w:divBdr>
        <w:top w:val="none" w:sz="0" w:space="0" w:color="auto"/>
        <w:left w:val="none" w:sz="0" w:space="0" w:color="auto"/>
        <w:bottom w:val="none" w:sz="0" w:space="0" w:color="auto"/>
        <w:right w:val="none" w:sz="0" w:space="0" w:color="auto"/>
      </w:divBdr>
    </w:div>
    <w:div w:id="1855532205">
      <w:bodyDiv w:val="1"/>
      <w:marLeft w:val="0"/>
      <w:marRight w:val="0"/>
      <w:marTop w:val="0"/>
      <w:marBottom w:val="0"/>
      <w:divBdr>
        <w:top w:val="none" w:sz="0" w:space="0" w:color="auto"/>
        <w:left w:val="none" w:sz="0" w:space="0" w:color="auto"/>
        <w:bottom w:val="none" w:sz="0" w:space="0" w:color="auto"/>
        <w:right w:val="none" w:sz="0" w:space="0" w:color="auto"/>
      </w:divBdr>
    </w:div>
    <w:div w:id="1862426542">
      <w:bodyDiv w:val="1"/>
      <w:marLeft w:val="0"/>
      <w:marRight w:val="0"/>
      <w:marTop w:val="0"/>
      <w:marBottom w:val="0"/>
      <w:divBdr>
        <w:top w:val="none" w:sz="0" w:space="0" w:color="auto"/>
        <w:left w:val="none" w:sz="0" w:space="0" w:color="auto"/>
        <w:bottom w:val="none" w:sz="0" w:space="0" w:color="auto"/>
        <w:right w:val="none" w:sz="0" w:space="0" w:color="auto"/>
      </w:divBdr>
    </w:div>
    <w:div w:id="1867525470">
      <w:bodyDiv w:val="1"/>
      <w:marLeft w:val="0"/>
      <w:marRight w:val="0"/>
      <w:marTop w:val="0"/>
      <w:marBottom w:val="0"/>
      <w:divBdr>
        <w:top w:val="none" w:sz="0" w:space="0" w:color="auto"/>
        <w:left w:val="none" w:sz="0" w:space="0" w:color="auto"/>
        <w:bottom w:val="none" w:sz="0" w:space="0" w:color="auto"/>
        <w:right w:val="none" w:sz="0" w:space="0" w:color="auto"/>
      </w:divBdr>
    </w:div>
    <w:div w:id="1871146674">
      <w:bodyDiv w:val="1"/>
      <w:marLeft w:val="0"/>
      <w:marRight w:val="0"/>
      <w:marTop w:val="0"/>
      <w:marBottom w:val="0"/>
      <w:divBdr>
        <w:top w:val="none" w:sz="0" w:space="0" w:color="auto"/>
        <w:left w:val="none" w:sz="0" w:space="0" w:color="auto"/>
        <w:bottom w:val="none" w:sz="0" w:space="0" w:color="auto"/>
        <w:right w:val="none" w:sz="0" w:space="0" w:color="auto"/>
      </w:divBdr>
    </w:div>
    <w:div w:id="1875924035">
      <w:bodyDiv w:val="1"/>
      <w:marLeft w:val="0"/>
      <w:marRight w:val="0"/>
      <w:marTop w:val="0"/>
      <w:marBottom w:val="0"/>
      <w:divBdr>
        <w:top w:val="none" w:sz="0" w:space="0" w:color="auto"/>
        <w:left w:val="none" w:sz="0" w:space="0" w:color="auto"/>
        <w:bottom w:val="none" w:sz="0" w:space="0" w:color="auto"/>
        <w:right w:val="none" w:sz="0" w:space="0" w:color="auto"/>
      </w:divBdr>
    </w:div>
    <w:div w:id="1898205163">
      <w:bodyDiv w:val="1"/>
      <w:marLeft w:val="0"/>
      <w:marRight w:val="0"/>
      <w:marTop w:val="0"/>
      <w:marBottom w:val="0"/>
      <w:divBdr>
        <w:top w:val="none" w:sz="0" w:space="0" w:color="auto"/>
        <w:left w:val="none" w:sz="0" w:space="0" w:color="auto"/>
        <w:bottom w:val="none" w:sz="0" w:space="0" w:color="auto"/>
        <w:right w:val="none" w:sz="0" w:space="0" w:color="auto"/>
      </w:divBdr>
    </w:div>
    <w:div w:id="1920406045">
      <w:bodyDiv w:val="1"/>
      <w:marLeft w:val="0"/>
      <w:marRight w:val="0"/>
      <w:marTop w:val="0"/>
      <w:marBottom w:val="0"/>
      <w:divBdr>
        <w:top w:val="none" w:sz="0" w:space="0" w:color="auto"/>
        <w:left w:val="none" w:sz="0" w:space="0" w:color="auto"/>
        <w:bottom w:val="none" w:sz="0" w:space="0" w:color="auto"/>
        <w:right w:val="none" w:sz="0" w:space="0" w:color="auto"/>
      </w:divBdr>
    </w:div>
    <w:div w:id="1934701863">
      <w:bodyDiv w:val="1"/>
      <w:marLeft w:val="0"/>
      <w:marRight w:val="0"/>
      <w:marTop w:val="0"/>
      <w:marBottom w:val="0"/>
      <w:divBdr>
        <w:top w:val="none" w:sz="0" w:space="0" w:color="auto"/>
        <w:left w:val="none" w:sz="0" w:space="0" w:color="auto"/>
        <w:bottom w:val="none" w:sz="0" w:space="0" w:color="auto"/>
        <w:right w:val="none" w:sz="0" w:space="0" w:color="auto"/>
      </w:divBdr>
    </w:div>
    <w:div w:id="1936592479">
      <w:bodyDiv w:val="1"/>
      <w:marLeft w:val="0"/>
      <w:marRight w:val="0"/>
      <w:marTop w:val="0"/>
      <w:marBottom w:val="0"/>
      <w:divBdr>
        <w:top w:val="none" w:sz="0" w:space="0" w:color="auto"/>
        <w:left w:val="none" w:sz="0" w:space="0" w:color="auto"/>
        <w:bottom w:val="none" w:sz="0" w:space="0" w:color="auto"/>
        <w:right w:val="none" w:sz="0" w:space="0" w:color="auto"/>
      </w:divBdr>
    </w:div>
    <w:div w:id="1948123806">
      <w:bodyDiv w:val="1"/>
      <w:marLeft w:val="0"/>
      <w:marRight w:val="0"/>
      <w:marTop w:val="0"/>
      <w:marBottom w:val="0"/>
      <w:divBdr>
        <w:top w:val="none" w:sz="0" w:space="0" w:color="auto"/>
        <w:left w:val="none" w:sz="0" w:space="0" w:color="auto"/>
        <w:bottom w:val="none" w:sz="0" w:space="0" w:color="auto"/>
        <w:right w:val="none" w:sz="0" w:space="0" w:color="auto"/>
      </w:divBdr>
    </w:div>
    <w:div w:id="1958566482">
      <w:bodyDiv w:val="1"/>
      <w:marLeft w:val="0"/>
      <w:marRight w:val="0"/>
      <w:marTop w:val="0"/>
      <w:marBottom w:val="0"/>
      <w:divBdr>
        <w:top w:val="none" w:sz="0" w:space="0" w:color="auto"/>
        <w:left w:val="none" w:sz="0" w:space="0" w:color="auto"/>
        <w:bottom w:val="none" w:sz="0" w:space="0" w:color="auto"/>
        <w:right w:val="none" w:sz="0" w:space="0" w:color="auto"/>
      </w:divBdr>
    </w:div>
    <w:div w:id="1966352856">
      <w:bodyDiv w:val="1"/>
      <w:marLeft w:val="0"/>
      <w:marRight w:val="0"/>
      <w:marTop w:val="0"/>
      <w:marBottom w:val="0"/>
      <w:divBdr>
        <w:top w:val="none" w:sz="0" w:space="0" w:color="auto"/>
        <w:left w:val="none" w:sz="0" w:space="0" w:color="auto"/>
        <w:bottom w:val="none" w:sz="0" w:space="0" w:color="auto"/>
        <w:right w:val="none" w:sz="0" w:space="0" w:color="auto"/>
      </w:divBdr>
    </w:div>
    <w:div w:id="1979339696">
      <w:bodyDiv w:val="1"/>
      <w:marLeft w:val="0"/>
      <w:marRight w:val="0"/>
      <w:marTop w:val="0"/>
      <w:marBottom w:val="0"/>
      <w:divBdr>
        <w:top w:val="none" w:sz="0" w:space="0" w:color="auto"/>
        <w:left w:val="none" w:sz="0" w:space="0" w:color="auto"/>
        <w:bottom w:val="none" w:sz="0" w:space="0" w:color="auto"/>
        <w:right w:val="none" w:sz="0" w:space="0" w:color="auto"/>
      </w:divBdr>
    </w:div>
    <w:div w:id="1993672917">
      <w:bodyDiv w:val="1"/>
      <w:marLeft w:val="0"/>
      <w:marRight w:val="0"/>
      <w:marTop w:val="0"/>
      <w:marBottom w:val="0"/>
      <w:divBdr>
        <w:top w:val="none" w:sz="0" w:space="0" w:color="auto"/>
        <w:left w:val="none" w:sz="0" w:space="0" w:color="auto"/>
        <w:bottom w:val="none" w:sz="0" w:space="0" w:color="auto"/>
        <w:right w:val="none" w:sz="0" w:space="0" w:color="auto"/>
      </w:divBdr>
    </w:div>
    <w:div w:id="2014330913">
      <w:bodyDiv w:val="1"/>
      <w:marLeft w:val="0"/>
      <w:marRight w:val="0"/>
      <w:marTop w:val="0"/>
      <w:marBottom w:val="0"/>
      <w:divBdr>
        <w:top w:val="none" w:sz="0" w:space="0" w:color="auto"/>
        <w:left w:val="none" w:sz="0" w:space="0" w:color="auto"/>
        <w:bottom w:val="none" w:sz="0" w:space="0" w:color="auto"/>
        <w:right w:val="none" w:sz="0" w:space="0" w:color="auto"/>
      </w:divBdr>
    </w:div>
    <w:div w:id="2054423432">
      <w:bodyDiv w:val="1"/>
      <w:marLeft w:val="0"/>
      <w:marRight w:val="0"/>
      <w:marTop w:val="0"/>
      <w:marBottom w:val="0"/>
      <w:divBdr>
        <w:top w:val="none" w:sz="0" w:space="0" w:color="auto"/>
        <w:left w:val="none" w:sz="0" w:space="0" w:color="auto"/>
        <w:bottom w:val="none" w:sz="0" w:space="0" w:color="auto"/>
        <w:right w:val="none" w:sz="0" w:space="0" w:color="auto"/>
      </w:divBdr>
    </w:div>
    <w:div w:id="2065180440">
      <w:bodyDiv w:val="1"/>
      <w:marLeft w:val="0"/>
      <w:marRight w:val="0"/>
      <w:marTop w:val="0"/>
      <w:marBottom w:val="0"/>
      <w:divBdr>
        <w:top w:val="none" w:sz="0" w:space="0" w:color="auto"/>
        <w:left w:val="none" w:sz="0" w:space="0" w:color="auto"/>
        <w:bottom w:val="none" w:sz="0" w:space="0" w:color="auto"/>
        <w:right w:val="none" w:sz="0" w:space="0" w:color="auto"/>
      </w:divBdr>
    </w:div>
    <w:div w:id="2070565516">
      <w:bodyDiv w:val="1"/>
      <w:marLeft w:val="0"/>
      <w:marRight w:val="0"/>
      <w:marTop w:val="0"/>
      <w:marBottom w:val="0"/>
      <w:divBdr>
        <w:top w:val="none" w:sz="0" w:space="0" w:color="auto"/>
        <w:left w:val="none" w:sz="0" w:space="0" w:color="auto"/>
        <w:bottom w:val="none" w:sz="0" w:space="0" w:color="auto"/>
        <w:right w:val="none" w:sz="0" w:space="0" w:color="auto"/>
      </w:divBdr>
    </w:div>
    <w:div w:id="2096392253">
      <w:bodyDiv w:val="1"/>
      <w:marLeft w:val="0"/>
      <w:marRight w:val="0"/>
      <w:marTop w:val="0"/>
      <w:marBottom w:val="0"/>
      <w:divBdr>
        <w:top w:val="none" w:sz="0" w:space="0" w:color="auto"/>
        <w:left w:val="none" w:sz="0" w:space="0" w:color="auto"/>
        <w:bottom w:val="none" w:sz="0" w:space="0" w:color="auto"/>
        <w:right w:val="none" w:sz="0" w:space="0" w:color="auto"/>
      </w:divBdr>
    </w:div>
    <w:div w:id="2113820752">
      <w:bodyDiv w:val="1"/>
      <w:marLeft w:val="0"/>
      <w:marRight w:val="0"/>
      <w:marTop w:val="0"/>
      <w:marBottom w:val="0"/>
      <w:divBdr>
        <w:top w:val="none" w:sz="0" w:space="0" w:color="auto"/>
        <w:left w:val="none" w:sz="0" w:space="0" w:color="auto"/>
        <w:bottom w:val="none" w:sz="0" w:space="0" w:color="auto"/>
        <w:right w:val="none" w:sz="0" w:space="0" w:color="auto"/>
      </w:divBdr>
    </w:div>
    <w:div w:id="2136943840">
      <w:bodyDiv w:val="1"/>
      <w:marLeft w:val="0"/>
      <w:marRight w:val="0"/>
      <w:marTop w:val="0"/>
      <w:marBottom w:val="0"/>
      <w:divBdr>
        <w:top w:val="none" w:sz="0" w:space="0" w:color="auto"/>
        <w:left w:val="none" w:sz="0" w:space="0" w:color="auto"/>
        <w:bottom w:val="none" w:sz="0" w:space="0" w:color="auto"/>
        <w:right w:val="none" w:sz="0" w:space="0" w:color="auto"/>
      </w:divBdr>
    </w:div>
    <w:div w:id="2147310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www.cgc.gov.au/publications/quality-assurance-framework" TargetMode="External"/><Relationship Id="rId26" Type="http://schemas.openxmlformats.org/officeDocument/2006/relationships/hyperlink" Target="https://budget.gov.au/content/myefo/index.htm" TargetMode="External"/><Relationship Id="rId39" Type="http://schemas.openxmlformats.org/officeDocument/2006/relationships/image" Target="media/image5.wmf"/><Relationship Id="rId21" Type="http://schemas.openxmlformats.org/officeDocument/2006/relationships/hyperlink" Target="https://www.cgc.gov.au/sites/default/files/2023-03/2025%20Methodology%20Review%20Terms%20of%20reference.pdf" TargetMode="External"/><Relationship Id="rId34" Type="http://schemas.openxmlformats.org/officeDocument/2006/relationships/chart" Target="charts/chart5.xml"/><Relationship Id="rId42" Type="http://schemas.openxmlformats.org/officeDocument/2006/relationships/chart" Target="charts/chart9.xml"/><Relationship Id="rId47"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cgc.gov.au" TargetMode="External"/><Relationship Id="rId29" Type="http://schemas.openxmlformats.org/officeDocument/2006/relationships/chart" Target="charts/chart2.xml"/><Relationship Id="rId11" Type="http://schemas.openxmlformats.org/officeDocument/2006/relationships/image" Target="media/image1.png"/><Relationship Id="rId24" Type="http://schemas.openxmlformats.org/officeDocument/2006/relationships/chart" Target="charts/chart11.xml"/><Relationship Id="rId32" Type="http://schemas.openxmlformats.org/officeDocument/2006/relationships/chart" Target="charts/chart30.xml"/><Relationship Id="rId37" Type="http://schemas.openxmlformats.org/officeDocument/2006/relationships/image" Target="media/image4.wmf"/><Relationship Id="rId40" Type="http://schemas.openxmlformats.org/officeDocument/2006/relationships/image" Target="media/image50.wmf"/><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mailto:secretary@cgc.gov.au" TargetMode="External"/><Relationship Id="rId23" Type="http://schemas.openxmlformats.org/officeDocument/2006/relationships/chart" Target="charts/chart1.xml"/><Relationship Id="rId28" Type="http://schemas.openxmlformats.org/officeDocument/2006/relationships/hyperlink" Target="https://budget.gov.au/content/myefo/index.htm" TargetMode="External"/><Relationship Id="rId36" Type="http://schemas.openxmlformats.org/officeDocument/2006/relationships/chart" Target="charts/chart7.xml"/><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chart" Target="charts/chart3.xml"/><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pmc.gov.au/honours-and-symbols/commonwealth-coat-arms" TargetMode="External"/><Relationship Id="rId22" Type="http://schemas.openxmlformats.org/officeDocument/2006/relationships/hyperlink" Target="https://www.cgc.gov.au/reports-for-government/2025-methodology-review" TargetMode="External"/><Relationship Id="rId27" Type="http://schemas.openxmlformats.org/officeDocument/2006/relationships/hyperlink" Target="https://budget.gov.au/content/myefo/index.htm" TargetMode="External"/><Relationship Id="rId30" Type="http://schemas.openxmlformats.org/officeDocument/2006/relationships/chart" Target="charts/chart20.xml"/><Relationship Id="rId35" Type="http://schemas.openxmlformats.org/officeDocument/2006/relationships/chart" Target="charts/chart6.xml"/><Relationship Id="rId43" Type="http://schemas.openxmlformats.org/officeDocument/2006/relationships/chart" Target="charts/chart10.xml"/><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creativecommons.org/licenses/by/4.0/" TargetMode="External"/><Relationship Id="rId17" Type="http://schemas.openxmlformats.org/officeDocument/2006/relationships/hyperlink" Target="http://www.cgc.gov.au/publications/glossary" TargetMode="External"/><Relationship Id="rId25" Type="http://schemas.openxmlformats.org/officeDocument/2006/relationships/hyperlink" Target="https://budget.gov.au/content/myefo/index.htm" TargetMode="External"/><Relationship Id="rId33" Type="http://schemas.openxmlformats.org/officeDocument/2006/relationships/chart" Target="charts/chart4.xml"/><Relationship Id="rId38" Type="http://schemas.openxmlformats.org/officeDocument/2006/relationships/image" Target="media/image40.wmf"/><Relationship Id="rId46" Type="http://schemas.openxmlformats.org/officeDocument/2006/relationships/header" Target="header2.xml"/><Relationship Id="rId20" Type="http://schemas.openxmlformats.org/officeDocument/2006/relationships/hyperlink" Target="https://www.cgc.gov.au/sites/default/files/2025-02/R2025%20terms%20of%20reference.pdf" TargetMode="External"/><Relationship Id="rId41" Type="http://schemas.openxmlformats.org/officeDocument/2006/relationships/chart" Target="charts/chart8.xm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www.cgc.gov.au/publications/glossary" TargetMode="External"/><Relationship Id="rId2" Type="http://schemas.openxmlformats.org/officeDocument/2006/relationships/hyperlink" Target="https://budget.gov.au/content/myefo/index.htm" TargetMode="External"/><Relationship Id="rId1" Type="http://schemas.openxmlformats.org/officeDocument/2006/relationships/hyperlink" Target="https://federalfinancialrelations.gov.au/agreements/extension-gst-no-worse-guarantee" TargetMode="External"/><Relationship Id="rId4" Type="http://schemas.openxmlformats.org/officeDocument/2006/relationships/hyperlink" Target="https://www.cgc.gov.au/publications/occasional-paper-4-new-arrangements-distributing-gst"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https://cgcgovau.sharepoint.com/teams/AS-SharePoint-PROD/R2025%20Inquiry_Public/21434-Rebuilt%20tables%20for%20report.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3.xml"/><Relationship Id="rId4" Type="http://schemas.openxmlformats.org/officeDocument/2006/relationships/package" Target="../embeddings/Microsoft_Excel_Worksheet5.xlsx"/></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oleObject" Target="https://cgcgovau.sharepoint.com/teams/AS-SharePoint-PROD/R2025%20Inquiry_Public/21434-Rebuilt%20tables%20for%20report.xlsx" TargetMode="External"/><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oleObject" Target="https://austreasury.sharepoint.com/sites/CGC-2025Review/Shared%20Documents/Assessments/Category%20assessments/Revenue/260%20Mining%20revenue/Charts%20for%20Qld%20box.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https://austreasury.sharepoint.com/sites/CGC-2025Review/Shared%20Documents/Assessments/Category%20assessments/Revenue/260%20Mining%20revenue/Charts%20for%20Qld%20box.xlsx" TargetMode="External"/><Relationship Id="rId1" Type="http://schemas.openxmlformats.org/officeDocument/2006/relationships/themeOverride" Target="../theme/themeOverride20.xml"/></Relationships>
</file>

<file path=word/charts/_rels/chart3.xml.rels><?xml version="1.0" encoding="UTF-8" standalone="yes"?>
<Relationships xmlns="http://schemas.openxmlformats.org/package/2006/relationships"><Relationship Id="rId2" Type="http://schemas.openxmlformats.org/officeDocument/2006/relationships/oleObject" Target="https://austreasury.sharepoint.com/sites/CGC-2025Review/Shared%20Documents/Assessments/Category%20assessments/Revenue/260%20Mining%20revenue/Charts%20for%20Qld%20box.xlsx"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oleObject" Target="https://austreasury.sharepoint.com/sites/CGC-2025Review/Shared%20Documents/Assessments/Category%20assessments/Revenue/260%20Mining%20revenue/Charts%20for%20Qld%20box.xlsx" TargetMode="External"/><Relationship Id="rId1" Type="http://schemas.openxmlformats.org/officeDocument/2006/relationships/themeOverride" Target="../theme/themeOverride30.xml"/></Relationships>
</file>

<file path=word/charts/_rels/chart4.xml.rels><?xml version="1.0" encoding="UTF-8" standalone="yes"?>
<Relationships xmlns="http://schemas.openxmlformats.org/package/2006/relationships"><Relationship Id="rId2" Type="http://schemas.openxmlformats.org/officeDocument/2006/relationships/oleObject" Target="https://cgcgovau.sharepoint.com/teams/AS-SharePoint-PROD/R2025%20Inquiry_Workspace/Jackson.Dickman@cgc.gov.au/21587-Additional%20tables%20for%20report.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2.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7673566878980883E-2"/>
          <c:y val="7.5547787647825493E-2"/>
          <c:w val="0.82672438055540709"/>
          <c:h val="0.85352576923307932"/>
        </c:manualLayout>
      </c:layout>
      <c:lineChart>
        <c:grouping val="standard"/>
        <c:varyColors val="0"/>
        <c:ser>
          <c:idx val="0"/>
          <c:order val="0"/>
          <c:tx>
            <c:strRef>
              <c:f>'ES.4 Figure'!$B$4</c:f>
              <c:strCache>
                <c:ptCount val="1"/>
                <c:pt idx="0">
                  <c:v>NSW</c:v>
                </c:pt>
              </c:strCache>
            </c:strRef>
          </c:tx>
          <c:spPr>
            <a:ln w="31750">
              <a:solidFill>
                <a:srgbClr val="008069"/>
              </a:solidFill>
              <a:prstDash val="sysDot"/>
            </a:ln>
          </c:spPr>
          <c:marker>
            <c:symbol val="none"/>
          </c:marker>
          <c:cat>
            <c:strRef>
              <c:f>'ES.4 Figure'!$A$5:$A$30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'ES.4 Figure'!$B$5:$B$30</c:f>
              <c:numCache>
                <c:formatCode>#,##0.0000</c:formatCode>
                <c:ptCount val="26"/>
                <c:pt idx="0">
                  <c:v>0.889139747401134</c:v>
                </c:pt>
                <c:pt idx="1">
                  <c:v>0.90227975841010599</c:v>
                </c:pt>
                <c:pt idx="2">
                  <c:v>0.88419498467318203</c:v>
                </c:pt>
                <c:pt idx="3">
                  <c:v>0.86532781284763804</c:v>
                </c:pt>
                <c:pt idx="4">
                  <c:v>0.83468338503037598</c:v>
                </c:pt>
                <c:pt idx="5">
                  <c:v>0.83571009318538603</c:v>
                </c:pt>
                <c:pt idx="6">
                  <c:v>0.84192994535936105</c:v>
                </c:pt>
                <c:pt idx="7">
                  <c:v>0.86379891123651897</c:v>
                </c:pt>
                <c:pt idx="8">
                  <c:v>0.88742853310942404</c:v>
                </c:pt>
                <c:pt idx="9">
                  <c:v>0.93185732881837202</c:v>
                </c:pt>
                <c:pt idx="10">
                  <c:v>0.95204634048074899</c:v>
                </c:pt>
                <c:pt idx="11">
                  <c:v>0.95776331593948605</c:v>
                </c:pt>
                <c:pt idx="12">
                  <c:v>0.95311999999999997</c:v>
                </c:pt>
                <c:pt idx="13">
                  <c:v>0.96575999999999995</c:v>
                </c:pt>
                <c:pt idx="14">
                  <c:v>0.97499999999999998</c:v>
                </c:pt>
                <c:pt idx="15">
                  <c:v>0.94737000000000005</c:v>
                </c:pt>
                <c:pt idx="16">
                  <c:v>0.90464</c:v>
                </c:pt>
                <c:pt idx="17">
                  <c:v>0.87672000000000005</c:v>
                </c:pt>
                <c:pt idx="18">
                  <c:v>0.85516999999999999</c:v>
                </c:pt>
                <c:pt idx="19">
                  <c:v>0.87012923983471702</c:v>
                </c:pt>
                <c:pt idx="20">
                  <c:v>0.91807568072427803</c:v>
                </c:pt>
                <c:pt idx="21">
                  <c:v>0.95616999999999996</c:v>
                </c:pt>
                <c:pt idx="22">
                  <c:v>0.95065</c:v>
                </c:pt>
                <c:pt idx="23">
                  <c:v>0.92349999999999999</c:v>
                </c:pt>
                <c:pt idx="24">
                  <c:v>0.86736000000000002</c:v>
                </c:pt>
                <c:pt idx="25">
                  <c:v>0.86033999999999999</c:v>
                </c:pt>
              </c:numCache>
            </c:numRef>
          </c:val>
          <c:smooth val="0"/>
          <c:extLst>
            <c:ext xmlns:c16="http://schemas.microsoft.com/office/drawing/2014/chart" uri="{C3380CC4-5D6E-409C-BE32-E72D297353CC}">
              <c16:uniqueId val="{00000000-ED5F-4B49-9E88-28BF27484359}"/>
            </c:ext>
          </c:extLst>
        </c:ser>
        <c:ser>
          <c:idx val="1"/>
          <c:order val="1"/>
          <c:tx>
            <c:strRef>
              <c:f>'ES.4 Figure'!$C$4</c:f>
              <c:strCache>
                <c:ptCount val="1"/>
                <c:pt idx="0">
                  <c:v>Vic</c:v>
                </c:pt>
              </c:strCache>
            </c:strRef>
          </c:tx>
          <c:spPr>
            <a:ln w="31750">
              <a:solidFill>
                <a:srgbClr val="00CE87"/>
              </a:solidFill>
              <a:prstDash val="lgDash"/>
            </a:ln>
          </c:spPr>
          <c:marker>
            <c:symbol val="none"/>
          </c:marker>
          <c:cat>
            <c:strRef>
              <c:f>'ES.4 Figure'!$A$5:$A$30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'ES.4 Figure'!$C$5:$C$30</c:f>
              <c:numCache>
                <c:formatCode>#,##0.0000</c:formatCode>
                <c:ptCount val="26"/>
                <c:pt idx="0">
                  <c:v>0.84510436186854998</c:v>
                </c:pt>
                <c:pt idx="1">
                  <c:v>0.851684976449128</c:v>
                </c:pt>
                <c:pt idx="2">
                  <c:v>0.84227141272064998</c:v>
                </c:pt>
                <c:pt idx="3">
                  <c:v>0.84243050797760199</c:v>
                </c:pt>
                <c:pt idx="4">
                  <c:v>0.83641161387282403</c:v>
                </c:pt>
                <c:pt idx="5">
                  <c:v>0.84899792080199199</c:v>
                </c:pt>
                <c:pt idx="6">
                  <c:v>0.87451439721482005</c:v>
                </c:pt>
                <c:pt idx="7">
                  <c:v>0.88206200201643103</c:v>
                </c:pt>
                <c:pt idx="8">
                  <c:v>0.91346523675786295</c:v>
                </c:pt>
                <c:pt idx="9">
                  <c:v>0.91874629604101699</c:v>
                </c:pt>
                <c:pt idx="10">
                  <c:v>0.93994663512320697</c:v>
                </c:pt>
                <c:pt idx="11">
                  <c:v>0.90475532873370501</c:v>
                </c:pt>
                <c:pt idx="12">
                  <c:v>0.92105999999999999</c:v>
                </c:pt>
                <c:pt idx="13">
                  <c:v>0.90398000000000001</c:v>
                </c:pt>
                <c:pt idx="14">
                  <c:v>0.88282000000000005</c:v>
                </c:pt>
                <c:pt idx="15">
                  <c:v>0.89254</c:v>
                </c:pt>
                <c:pt idx="16">
                  <c:v>0.90966999999999998</c:v>
                </c:pt>
                <c:pt idx="17">
                  <c:v>0.93239000000000005</c:v>
                </c:pt>
                <c:pt idx="18">
                  <c:v>0.98670000000000002</c:v>
                </c:pt>
                <c:pt idx="19">
                  <c:v>0.98272597592966004</c:v>
                </c:pt>
                <c:pt idx="20">
                  <c:v>0.95991500536264995</c:v>
                </c:pt>
                <c:pt idx="21">
                  <c:v>0.92335</c:v>
                </c:pt>
                <c:pt idx="22">
                  <c:v>0.85860999999999998</c:v>
                </c:pt>
                <c:pt idx="23">
                  <c:v>0.85168999999999995</c:v>
                </c:pt>
                <c:pt idx="24">
                  <c:v>0.96501999999999999</c:v>
                </c:pt>
                <c:pt idx="25">
                  <c:v>1.0672200000000001</c:v>
                </c:pt>
              </c:numCache>
            </c:numRef>
          </c:val>
          <c:smooth val="0"/>
          <c:extLst>
            <c:ext xmlns:c16="http://schemas.microsoft.com/office/drawing/2014/chart" uri="{C3380CC4-5D6E-409C-BE32-E72D297353CC}">
              <c16:uniqueId val="{00000001-ED5F-4B49-9E88-28BF27484359}"/>
            </c:ext>
          </c:extLst>
        </c:ser>
        <c:ser>
          <c:idx val="2"/>
          <c:order val="2"/>
          <c:tx>
            <c:strRef>
              <c:f>'ES.4 Figure'!$D$4</c:f>
              <c:strCache>
                <c:ptCount val="1"/>
                <c:pt idx="0">
                  <c:v>Qld</c:v>
                </c:pt>
              </c:strCache>
            </c:strRef>
          </c:tx>
          <c:spPr>
            <a:ln w="31750">
              <a:solidFill>
                <a:srgbClr val="60B5D7"/>
              </a:solidFill>
              <a:prstDash val="dashDot"/>
            </a:ln>
          </c:spPr>
          <c:marker>
            <c:symbol val="none"/>
          </c:marker>
          <c:cat>
            <c:strRef>
              <c:f>'ES.4 Figure'!$A$5:$A$30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'ES.4 Figure'!$D$5:$D$30</c:f>
              <c:numCache>
                <c:formatCode>#,##0.0000</c:formatCode>
                <c:ptCount val="26"/>
                <c:pt idx="0">
                  <c:v>1.0250685788326399</c:v>
                </c:pt>
                <c:pt idx="1">
                  <c:v>1.0062468033435401</c:v>
                </c:pt>
                <c:pt idx="2">
                  <c:v>1.0167291546463899</c:v>
                </c:pt>
                <c:pt idx="3">
                  <c:v>1.0249510017707899</c:v>
                </c:pt>
                <c:pt idx="4">
                  <c:v>1.0699358547705999</c:v>
                </c:pt>
                <c:pt idx="5">
                  <c:v>1.05699696642401</c:v>
                </c:pt>
                <c:pt idx="6">
                  <c:v>1.0327125777987201</c:v>
                </c:pt>
                <c:pt idx="7">
                  <c:v>1.01143138261601</c:v>
                </c:pt>
                <c:pt idx="8">
                  <c:v>0.96196081019536195</c:v>
                </c:pt>
                <c:pt idx="9">
                  <c:v>0.91556365715224297</c:v>
                </c:pt>
                <c:pt idx="10">
                  <c:v>0.91321599899587202</c:v>
                </c:pt>
                <c:pt idx="11">
                  <c:v>0.92860547743029398</c:v>
                </c:pt>
                <c:pt idx="12">
                  <c:v>0.98477000000000003</c:v>
                </c:pt>
                <c:pt idx="13">
                  <c:v>1.0562400000000001</c:v>
                </c:pt>
                <c:pt idx="14">
                  <c:v>1.0787599999999999</c:v>
                </c:pt>
                <c:pt idx="15">
                  <c:v>1.1275299999999999</c:v>
                </c:pt>
                <c:pt idx="16">
                  <c:v>1.17109</c:v>
                </c:pt>
                <c:pt idx="17">
                  <c:v>1.1876899999999999</c:v>
                </c:pt>
                <c:pt idx="18">
                  <c:v>1.0958399999999999</c:v>
                </c:pt>
                <c:pt idx="19">
                  <c:v>1.05369935404683</c:v>
                </c:pt>
                <c:pt idx="20">
                  <c:v>1.04906730014794</c:v>
                </c:pt>
                <c:pt idx="21">
                  <c:v>1.05918</c:v>
                </c:pt>
                <c:pt idx="22">
                  <c:v>1.0337700000000001</c:v>
                </c:pt>
                <c:pt idx="23">
                  <c:v>1.03118</c:v>
                </c:pt>
                <c:pt idx="24">
                  <c:v>0.95232000000000006</c:v>
                </c:pt>
                <c:pt idx="25">
                  <c:v>0.84570999999999996</c:v>
                </c:pt>
              </c:numCache>
            </c:numRef>
          </c:val>
          <c:smooth val="0"/>
          <c:extLst>
            <c:ext xmlns:c16="http://schemas.microsoft.com/office/drawing/2014/chart" uri="{C3380CC4-5D6E-409C-BE32-E72D297353CC}">
              <c16:uniqueId val="{00000002-ED5F-4B49-9E88-28BF27484359}"/>
            </c:ext>
          </c:extLst>
        </c:ser>
        <c:ser>
          <c:idx val="3"/>
          <c:order val="3"/>
          <c:tx>
            <c:strRef>
              <c:f>'ES.4 Figure'!$E$4</c:f>
              <c:strCache>
                <c:ptCount val="1"/>
                <c:pt idx="0">
                  <c:v>WA</c:v>
                </c:pt>
              </c:strCache>
            </c:strRef>
          </c:tx>
          <c:spPr>
            <a:ln w="31750">
              <a:solidFill>
                <a:srgbClr val="CEE7B3"/>
              </a:solidFill>
              <a:prstDash val="sysDot"/>
            </a:ln>
          </c:spPr>
          <c:marker>
            <c:symbol val="none"/>
          </c:marker>
          <c:cat>
            <c:strRef>
              <c:f>'ES.4 Figure'!$A$5:$A$30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'ES.4 Figure'!$E$5:$E$30</c:f>
              <c:numCache>
                <c:formatCode>#,##0.0000</c:formatCode>
                <c:ptCount val="26"/>
                <c:pt idx="0">
                  <c:v>0.98692398042900897</c:v>
                </c:pt>
                <c:pt idx="1">
                  <c:v>0.97571319049346705</c:v>
                </c:pt>
                <c:pt idx="2">
                  <c:v>0.97611918119252405</c:v>
                </c:pt>
                <c:pt idx="3">
                  <c:v>0.96455051371071898</c:v>
                </c:pt>
                <c:pt idx="4">
                  <c:v>1.0381141451971001</c:v>
                </c:pt>
                <c:pt idx="5">
                  <c:v>1.0330302322392499</c:v>
                </c:pt>
                <c:pt idx="6">
                  <c:v>1.00778160818026</c:v>
                </c:pt>
                <c:pt idx="7">
                  <c:v>0.93616275261635296</c:v>
                </c:pt>
                <c:pt idx="8">
                  <c:v>0.85796971616315898</c:v>
                </c:pt>
                <c:pt idx="9">
                  <c:v>0.784852411028649</c:v>
                </c:pt>
                <c:pt idx="10">
                  <c:v>0.68298251969679302</c:v>
                </c:pt>
                <c:pt idx="11">
                  <c:v>0.71728516921097496</c:v>
                </c:pt>
                <c:pt idx="12">
                  <c:v>0.55105000000000004</c:v>
                </c:pt>
                <c:pt idx="13">
                  <c:v>0.44580999999999998</c:v>
                </c:pt>
                <c:pt idx="14">
                  <c:v>0.37626999999999999</c:v>
                </c:pt>
                <c:pt idx="15">
                  <c:v>0.29998999999999998</c:v>
                </c:pt>
                <c:pt idx="16">
                  <c:v>0.30330000000000001</c:v>
                </c:pt>
                <c:pt idx="17">
                  <c:v>0.34433999999999998</c:v>
                </c:pt>
                <c:pt idx="18">
                  <c:v>0.47287000000000001</c:v>
                </c:pt>
                <c:pt idx="19">
                  <c:v>0.51841988361690505</c:v>
                </c:pt>
                <c:pt idx="20">
                  <c:v>0.44970147050059001</c:v>
                </c:pt>
                <c:pt idx="21">
                  <c:v>0.41966999999999999</c:v>
                </c:pt>
                <c:pt idx="22">
                  <c:v>0.7</c:v>
                </c:pt>
                <c:pt idx="23">
                  <c:v>0.7</c:v>
                </c:pt>
                <c:pt idx="24">
                  <c:v>0.75</c:v>
                </c:pt>
                <c:pt idx="25">
                  <c:v>0.75</c:v>
                </c:pt>
              </c:numCache>
            </c:numRef>
          </c:val>
          <c:smooth val="0"/>
          <c:extLst>
            <c:ext xmlns:c16="http://schemas.microsoft.com/office/drawing/2014/chart" uri="{C3380CC4-5D6E-409C-BE32-E72D297353CC}">
              <c16:uniqueId val="{00000003-ED5F-4B49-9E88-28BF27484359}"/>
            </c:ext>
          </c:extLst>
        </c:ser>
        <c:ser>
          <c:idx val="4"/>
          <c:order val="4"/>
          <c:tx>
            <c:strRef>
              <c:f>'ES.4 Figure'!$F$4</c:f>
              <c:strCache>
                <c:ptCount val="1"/>
                <c:pt idx="0">
                  <c:v>SA</c:v>
                </c:pt>
              </c:strCache>
            </c:strRef>
          </c:tx>
          <c:spPr>
            <a:ln w="19050">
              <a:solidFill>
                <a:srgbClr val="EDAB16"/>
              </a:solidFill>
              <a:prstDash val="dash"/>
            </a:ln>
          </c:spPr>
          <c:marker>
            <c:symbol val="none"/>
          </c:marker>
          <c:cat>
            <c:strRef>
              <c:f>'ES.4 Figure'!$A$5:$A$30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'ES.4 Figure'!$F$5:$F$30</c:f>
              <c:numCache>
                <c:formatCode>#,##0.0000</c:formatCode>
                <c:ptCount val="26"/>
                <c:pt idx="0">
                  <c:v>1.2043289378614599</c:v>
                </c:pt>
                <c:pt idx="1">
                  <c:v>1.19970533584336</c:v>
                </c:pt>
                <c:pt idx="2">
                  <c:v>1.21718807978768</c:v>
                </c:pt>
                <c:pt idx="3">
                  <c:v>1.23996948524891</c:v>
                </c:pt>
                <c:pt idx="4">
                  <c:v>1.2304149895648699</c:v>
                </c:pt>
                <c:pt idx="5">
                  <c:v>1.2271205690662299</c:v>
                </c:pt>
                <c:pt idx="6">
                  <c:v>1.2083944586684601</c:v>
                </c:pt>
                <c:pt idx="7">
                  <c:v>1.23141441240548</c:v>
                </c:pt>
                <c:pt idx="8">
                  <c:v>1.2319158274370401</c:v>
                </c:pt>
                <c:pt idx="9">
                  <c:v>1.24723808983639</c:v>
                </c:pt>
                <c:pt idx="10">
                  <c:v>1.2849686838426799</c:v>
                </c:pt>
                <c:pt idx="11">
                  <c:v>1.2707018365265299</c:v>
                </c:pt>
                <c:pt idx="12">
                  <c:v>1.2847200000000001</c:v>
                </c:pt>
                <c:pt idx="13">
                  <c:v>1.2616700000000001</c:v>
                </c:pt>
                <c:pt idx="14">
                  <c:v>1.28803</c:v>
                </c:pt>
                <c:pt idx="15">
                  <c:v>1.35883</c:v>
                </c:pt>
                <c:pt idx="16">
                  <c:v>1.4169499999999999</c:v>
                </c:pt>
                <c:pt idx="17">
                  <c:v>1.43997</c:v>
                </c:pt>
                <c:pt idx="18">
                  <c:v>1.4772700000000001</c:v>
                </c:pt>
                <c:pt idx="19">
                  <c:v>1.46551503605449</c:v>
                </c:pt>
                <c:pt idx="20">
                  <c:v>1.3576532132346799</c:v>
                </c:pt>
                <c:pt idx="21">
                  <c:v>1.3471900000000001</c:v>
                </c:pt>
                <c:pt idx="22">
                  <c:v>1.2841100000000001</c:v>
                </c:pt>
                <c:pt idx="23">
                  <c:v>1.39463</c:v>
                </c:pt>
                <c:pt idx="24">
                  <c:v>1.4031199999999999</c:v>
                </c:pt>
                <c:pt idx="25">
                  <c:v>1.38876</c:v>
                </c:pt>
              </c:numCache>
            </c:numRef>
          </c:val>
          <c:smooth val="0"/>
          <c:extLst>
            <c:ext xmlns:c16="http://schemas.microsoft.com/office/drawing/2014/chart" uri="{C3380CC4-5D6E-409C-BE32-E72D297353CC}">
              <c16:uniqueId val="{00000004-ED5F-4B49-9E88-28BF27484359}"/>
            </c:ext>
          </c:extLst>
        </c:ser>
        <c:ser>
          <c:idx val="5"/>
          <c:order val="5"/>
          <c:tx>
            <c:strRef>
              <c:f>'ES.4 Figure'!$G$4</c:f>
              <c:strCache>
                <c:ptCount val="1"/>
                <c:pt idx="0">
                  <c:v>Tas</c:v>
                </c:pt>
              </c:strCache>
            </c:strRef>
          </c:tx>
          <c:spPr>
            <a:ln w="19050">
              <a:solidFill>
                <a:srgbClr val="CC5E12"/>
              </a:solidFill>
              <a:prstDash val="lgDashDot"/>
            </a:ln>
          </c:spPr>
          <c:marker>
            <c:symbol val="none"/>
          </c:marker>
          <c:cat>
            <c:strRef>
              <c:f>'ES.4 Figure'!$A$5:$A$30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'ES.4 Figure'!$G$5:$G$30</c:f>
              <c:numCache>
                <c:formatCode>#,##0.0000</c:formatCode>
                <c:ptCount val="26"/>
                <c:pt idx="0">
                  <c:v>1.6101590159658199</c:v>
                </c:pt>
                <c:pt idx="1">
                  <c:v>1.6049042248834799</c:v>
                </c:pt>
                <c:pt idx="2">
                  <c:v>1.6820046514701901</c:v>
                </c:pt>
                <c:pt idx="3">
                  <c:v>1.75292353413774</c:v>
                </c:pt>
                <c:pt idx="4">
                  <c:v>1.71465613864148</c:v>
                </c:pt>
                <c:pt idx="5">
                  <c:v>1.7036978596435</c:v>
                </c:pt>
                <c:pt idx="6">
                  <c:v>1.69599277047803</c:v>
                </c:pt>
                <c:pt idx="7">
                  <c:v>1.6866240307332001</c:v>
                </c:pt>
                <c:pt idx="8">
                  <c:v>1.66348449619049</c:v>
                </c:pt>
                <c:pt idx="9">
                  <c:v>1.6203972644571101</c:v>
                </c:pt>
                <c:pt idx="10">
                  <c:v>1.62090957400522</c:v>
                </c:pt>
                <c:pt idx="11">
                  <c:v>1.5994154664134199</c:v>
                </c:pt>
                <c:pt idx="12">
                  <c:v>1.5808800000000001</c:v>
                </c:pt>
                <c:pt idx="13">
                  <c:v>1.6145400000000001</c:v>
                </c:pt>
                <c:pt idx="14">
                  <c:v>1.6348499999999999</c:v>
                </c:pt>
                <c:pt idx="15">
                  <c:v>1.8190599999999999</c:v>
                </c:pt>
                <c:pt idx="16">
                  <c:v>1.7769299999999999</c:v>
                </c:pt>
                <c:pt idx="17">
                  <c:v>1.80477</c:v>
                </c:pt>
                <c:pt idx="18">
                  <c:v>1.7670600000000001</c:v>
                </c:pt>
                <c:pt idx="19">
                  <c:v>1.75575878591211</c:v>
                </c:pt>
                <c:pt idx="20">
                  <c:v>1.89741925235692</c:v>
                </c:pt>
                <c:pt idx="21">
                  <c:v>1.9606699999999999</c:v>
                </c:pt>
                <c:pt idx="22">
                  <c:v>1.8535999999999999</c:v>
                </c:pt>
                <c:pt idx="23">
                  <c:v>1.7907999999999999</c:v>
                </c:pt>
                <c:pt idx="24">
                  <c:v>1.8283199999999999</c:v>
                </c:pt>
                <c:pt idx="25">
                  <c:v>1.84053</c:v>
                </c:pt>
              </c:numCache>
            </c:numRef>
          </c:val>
          <c:smooth val="0"/>
          <c:extLst>
            <c:ext xmlns:c16="http://schemas.microsoft.com/office/drawing/2014/chart" uri="{C3380CC4-5D6E-409C-BE32-E72D297353CC}">
              <c16:uniqueId val="{00000005-ED5F-4B49-9E88-28BF27484359}"/>
            </c:ext>
          </c:extLst>
        </c:ser>
        <c:ser>
          <c:idx val="6"/>
          <c:order val="6"/>
          <c:tx>
            <c:strRef>
              <c:f>'ES.4 Figure'!$H$4</c:f>
              <c:strCache>
                <c:ptCount val="1"/>
                <c:pt idx="0">
                  <c:v>ACT</c:v>
                </c:pt>
              </c:strCache>
            </c:strRef>
          </c:tx>
          <c:spPr>
            <a:ln w="22225">
              <a:solidFill>
                <a:srgbClr val="006991"/>
              </a:solidFill>
              <a:prstDash val="sysDash"/>
            </a:ln>
          </c:spPr>
          <c:marker>
            <c:symbol val="none"/>
          </c:marker>
          <c:cat>
            <c:strRef>
              <c:f>'ES.4 Figure'!$A$5:$A$30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'ES.4 Figure'!$H$5:$H$30</c:f>
              <c:numCache>
                <c:formatCode>#,##0.0000</c:formatCode>
                <c:ptCount val="26"/>
                <c:pt idx="0">
                  <c:v>1.17050459467044</c:v>
                </c:pt>
                <c:pt idx="1">
                  <c:v>1.21100104121568</c:v>
                </c:pt>
                <c:pt idx="2">
                  <c:v>1.22552096510866</c:v>
                </c:pt>
                <c:pt idx="3">
                  <c:v>1.2335079761343399</c:v>
                </c:pt>
                <c:pt idx="4">
                  <c:v>1.2140669556257899</c:v>
                </c:pt>
                <c:pt idx="5">
                  <c:v>1.2283703866345399</c:v>
                </c:pt>
                <c:pt idx="6">
                  <c:v>1.2291812816169001</c:v>
                </c:pt>
                <c:pt idx="7">
                  <c:v>1.24723664004372</c:v>
                </c:pt>
                <c:pt idx="8">
                  <c:v>1.25603026972649</c:v>
                </c:pt>
                <c:pt idx="9">
                  <c:v>1.2705130602012</c:v>
                </c:pt>
                <c:pt idx="10">
                  <c:v>1.15295271554181</c:v>
                </c:pt>
                <c:pt idx="11">
                  <c:v>1.1164654355579899</c:v>
                </c:pt>
                <c:pt idx="12">
                  <c:v>1.19757</c:v>
                </c:pt>
                <c:pt idx="13">
                  <c:v>1.2208300000000001</c:v>
                </c:pt>
                <c:pt idx="14">
                  <c:v>1.236</c:v>
                </c:pt>
                <c:pt idx="15">
                  <c:v>1.10012</c:v>
                </c:pt>
                <c:pt idx="16">
                  <c:v>1.15648</c:v>
                </c:pt>
                <c:pt idx="17">
                  <c:v>1.19496</c:v>
                </c:pt>
                <c:pt idx="18">
                  <c:v>1.1807000000000001</c:v>
                </c:pt>
                <c:pt idx="19">
                  <c:v>1.23758932589487</c:v>
                </c:pt>
                <c:pt idx="20">
                  <c:v>1.1511166266188</c:v>
                </c:pt>
                <c:pt idx="21">
                  <c:v>1.16266</c:v>
                </c:pt>
                <c:pt idx="22">
                  <c:v>1.0925</c:v>
                </c:pt>
                <c:pt idx="23">
                  <c:v>1.1954</c:v>
                </c:pt>
                <c:pt idx="24">
                  <c:v>1.2041900000000001</c:v>
                </c:pt>
                <c:pt idx="25">
                  <c:v>1.1722300000000001</c:v>
                </c:pt>
              </c:numCache>
            </c:numRef>
          </c:val>
          <c:smooth val="0"/>
          <c:extLst>
            <c:ext xmlns:c16="http://schemas.microsoft.com/office/drawing/2014/chart" uri="{C3380CC4-5D6E-409C-BE32-E72D297353CC}">
              <c16:uniqueId val="{00000006-ED5F-4B49-9E88-28BF27484359}"/>
            </c:ext>
          </c:extLst>
        </c:ser>
        <c:dLbls>
          <c:showLegendKey val="0"/>
          <c:showVal val="0"/>
          <c:showCatName val="0"/>
          <c:showSerName val="0"/>
          <c:showPercent val="0"/>
          <c:showBubbleSize val="0"/>
        </c:dLbls>
        <c:marker val="1"/>
        <c:smooth val="0"/>
        <c:axId val="266557696"/>
        <c:axId val="266568064"/>
      </c:lineChart>
      <c:lineChart>
        <c:grouping val="standard"/>
        <c:varyColors val="0"/>
        <c:ser>
          <c:idx val="7"/>
          <c:order val="7"/>
          <c:tx>
            <c:strRef>
              <c:f>'ES.4 Figure'!$I$4</c:f>
              <c:strCache>
                <c:ptCount val="1"/>
                <c:pt idx="0">
                  <c:v>NT</c:v>
                </c:pt>
              </c:strCache>
            </c:strRef>
          </c:tx>
          <c:spPr>
            <a:ln w="19050">
              <a:solidFill>
                <a:srgbClr val="004563"/>
              </a:solidFill>
              <a:prstDash val="dashDot"/>
            </a:ln>
          </c:spPr>
          <c:marker>
            <c:symbol val="none"/>
          </c:marker>
          <c:cat>
            <c:strRef>
              <c:f>'ES.4 Figure'!$A$5:$A$30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'ES.4 Figure'!$I$5:$I$30</c:f>
              <c:numCache>
                <c:formatCode>#,##0.0000</c:formatCode>
                <c:ptCount val="26"/>
                <c:pt idx="0">
                  <c:v>4.7940617764781299</c:v>
                </c:pt>
                <c:pt idx="1">
                  <c:v>4.6154659027174798</c:v>
                </c:pt>
                <c:pt idx="2">
                  <c:v>4.9164220714489</c:v>
                </c:pt>
                <c:pt idx="3">
                  <c:v>5.1348974451317302</c:v>
                </c:pt>
                <c:pt idx="4">
                  <c:v>5.0030360933129696</c:v>
                </c:pt>
                <c:pt idx="5">
                  <c:v>5.0053710676602403</c:v>
                </c:pt>
                <c:pt idx="6">
                  <c:v>5.0650243134869601</c:v>
                </c:pt>
                <c:pt idx="7">
                  <c:v>5.0959677386623197</c:v>
                </c:pt>
                <c:pt idx="8">
                  <c:v>5.2575773175170104</c:v>
                </c:pt>
                <c:pt idx="9">
                  <c:v>5.25073419912618</c:v>
                </c:pt>
                <c:pt idx="10">
                  <c:v>5.0738265961673896</c:v>
                </c:pt>
                <c:pt idx="11">
                  <c:v>5.3570840252621998</c:v>
                </c:pt>
                <c:pt idx="12">
                  <c:v>5.5281799999999999</c:v>
                </c:pt>
                <c:pt idx="13">
                  <c:v>5.3141400000000001</c:v>
                </c:pt>
                <c:pt idx="14">
                  <c:v>5.6606100000000001</c:v>
                </c:pt>
                <c:pt idx="15">
                  <c:v>5.5705299999999998</c:v>
                </c:pt>
                <c:pt idx="16">
                  <c:v>5.2845000000000004</c:v>
                </c:pt>
                <c:pt idx="17">
                  <c:v>4.6602399999999999</c:v>
                </c:pt>
                <c:pt idx="18">
                  <c:v>4.2581600000000002</c:v>
                </c:pt>
                <c:pt idx="19">
                  <c:v>4.2673506664570198</c:v>
                </c:pt>
                <c:pt idx="20">
                  <c:v>4.7689313169771799</c:v>
                </c:pt>
                <c:pt idx="21">
                  <c:v>4.7998500000000002</c:v>
                </c:pt>
                <c:pt idx="22">
                  <c:v>4.8698800000000002</c:v>
                </c:pt>
                <c:pt idx="23">
                  <c:v>4.9872500000000004</c:v>
                </c:pt>
                <c:pt idx="24">
                  <c:v>5.0668100000000003</c:v>
                </c:pt>
                <c:pt idx="25">
                  <c:v>5.1511199999999997</c:v>
                </c:pt>
              </c:numCache>
            </c:numRef>
          </c:val>
          <c:smooth val="0"/>
          <c:extLst>
            <c:ext xmlns:c16="http://schemas.microsoft.com/office/drawing/2014/chart" uri="{C3380CC4-5D6E-409C-BE32-E72D297353CC}">
              <c16:uniqueId val="{00000007-ED5F-4B49-9E88-28BF27484359}"/>
            </c:ext>
          </c:extLst>
        </c:ser>
        <c:dLbls>
          <c:showLegendKey val="0"/>
          <c:showVal val="0"/>
          <c:showCatName val="0"/>
          <c:showSerName val="0"/>
          <c:showPercent val="0"/>
          <c:showBubbleSize val="0"/>
        </c:dLbls>
        <c:marker val="1"/>
        <c:smooth val="0"/>
        <c:axId val="1089628512"/>
        <c:axId val="379052640"/>
      </c:lineChart>
      <c:catAx>
        <c:axId val="266557696"/>
        <c:scaling>
          <c:orientation val="minMax"/>
        </c:scaling>
        <c:delete val="0"/>
        <c:axPos val="b"/>
        <c:numFmt formatCode="#,##0" sourceLinked="0"/>
        <c:majorTickMark val="none"/>
        <c:minorTickMark val="out"/>
        <c:tickLblPos val="nextTo"/>
        <c:spPr>
          <a:ln>
            <a:noFill/>
          </a:ln>
        </c:spPr>
        <c:txPr>
          <a:bodyPr/>
          <a:lstStyle/>
          <a:p>
            <a:pPr>
              <a:defRPr sz="800">
                <a:latin typeface="Montserrat Ultra Light" panose="00000300000000000000" pitchFamily="50" charset="0"/>
              </a:defRPr>
            </a:pPr>
            <a:endParaRPr lang="en-US"/>
          </a:p>
        </c:txPr>
        <c:crossAx val="266568064"/>
        <c:crosses val="autoZero"/>
        <c:auto val="1"/>
        <c:lblAlgn val="ctr"/>
        <c:lblOffset val="100"/>
        <c:tickLblSkip val="5"/>
        <c:noMultiLvlLbl val="0"/>
      </c:catAx>
      <c:valAx>
        <c:axId val="266568064"/>
        <c:scaling>
          <c:orientation val="minMax"/>
          <c:max val="4"/>
        </c:scaling>
        <c:delete val="0"/>
        <c:axPos val="l"/>
        <c:majorGridlines>
          <c:spPr>
            <a:ln w="6350">
              <a:solidFill>
                <a:sysClr val="window" lastClr="FFFFFF">
                  <a:lumMod val="85000"/>
                </a:sysClr>
              </a:solidFill>
            </a:ln>
          </c:spPr>
        </c:majorGridlines>
        <c:title>
          <c:tx>
            <c:rich>
              <a:bodyPr/>
              <a:lstStyle/>
              <a:p>
                <a:pPr>
                  <a:defRPr sz="800" b="1">
                    <a:latin typeface="Montserrat Semi Bold" panose="00000700000000000000" pitchFamily="50" charset="0"/>
                  </a:defRPr>
                </a:pPr>
                <a:r>
                  <a:rPr lang="en-US"/>
                  <a:t>GST relativities</a:t>
                </a:r>
              </a:p>
            </c:rich>
          </c:tx>
          <c:layout>
            <c:manualLayout>
              <c:xMode val="edge"/>
              <c:yMode val="edge"/>
              <c:x val="9.9030253737168138E-3"/>
              <c:y val="0.54942171717171706"/>
            </c:manualLayout>
          </c:layout>
          <c:overlay val="0"/>
        </c:title>
        <c:numFmt formatCode="#,##0.0" sourceLinked="0"/>
        <c:majorTickMark val="out"/>
        <c:minorTickMark val="none"/>
        <c:tickLblPos val="nextTo"/>
        <c:spPr>
          <a:ln>
            <a:noFill/>
          </a:ln>
        </c:spPr>
        <c:txPr>
          <a:bodyPr/>
          <a:lstStyle/>
          <a:p>
            <a:pPr>
              <a:defRPr sz="800">
                <a:latin typeface="Montserrat Ultra Light" panose="00000300000000000000" pitchFamily="50" charset="0"/>
              </a:defRPr>
            </a:pPr>
            <a:endParaRPr lang="en-US"/>
          </a:p>
        </c:txPr>
        <c:crossAx val="266557696"/>
        <c:crosses val="autoZero"/>
        <c:crossBetween val="between"/>
        <c:majorUnit val="0.5"/>
      </c:valAx>
      <c:valAx>
        <c:axId val="379052640"/>
        <c:scaling>
          <c:orientation val="minMax"/>
          <c:min val="2"/>
        </c:scaling>
        <c:delete val="0"/>
        <c:axPos val="r"/>
        <c:title>
          <c:tx>
            <c:rich>
              <a:bodyPr/>
              <a:lstStyle/>
              <a:p>
                <a:pPr>
                  <a:defRPr/>
                </a:pPr>
                <a:r>
                  <a:rPr lang="en-AU" sz="800">
                    <a:latin typeface="Montserrat Semi Bold" panose="00000700000000000000" pitchFamily="50" charset="0"/>
                  </a:rPr>
                  <a:t>GST</a:t>
                </a:r>
                <a:r>
                  <a:rPr lang="en-AU">
                    <a:latin typeface="Montserrat Semi Bold" panose="00000700000000000000" pitchFamily="50" charset="0"/>
                  </a:rPr>
                  <a:t> </a:t>
                </a:r>
                <a:r>
                  <a:rPr lang="en-AU" sz="800">
                    <a:latin typeface="Montserrat Semi Bold" panose="00000700000000000000" pitchFamily="50" charset="0"/>
                  </a:rPr>
                  <a:t>relativities</a:t>
                </a:r>
              </a:p>
            </c:rich>
          </c:tx>
          <c:layout>
            <c:manualLayout>
              <c:xMode val="edge"/>
              <c:yMode val="edge"/>
              <c:x val="0.9532051475193497"/>
              <c:y val="0.17948877665544333"/>
            </c:manualLayout>
          </c:layout>
          <c:overlay val="0"/>
        </c:title>
        <c:numFmt formatCode="#,##0.0" sourceLinked="0"/>
        <c:majorTickMark val="out"/>
        <c:minorTickMark val="none"/>
        <c:tickLblPos val="nextTo"/>
        <c:txPr>
          <a:bodyPr/>
          <a:lstStyle/>
          <a:p>
            <a:pPr>
              <a:defRPr sz="800">
                <a:latin typeface="Montserrat Ultra Light" panose="00000300000000000000" pitchFamily="50" charset="0"/>
              </a:defRPr>
            </a:pPr>
            <a:endParaRPr lang="en-US"/>
          </a:p>
        </c:txPr>
        <c:crossAx val="1089628512"/>
        <c:crosses val="max"/>
        <c:crossBetween val="between"/>
      </c:valAx>
      <c:catAx>
        <c:axId val="1089628512"/>
        <c:scaling>
          <c:orientation val="minMax"/>
        </c:scaling>
        <c:delete val="1"/>
        <c:axPos val="b"/>
        <c:numFmt formatCode="General" sourceLinked="1"/>
        <c:majorTickMark val="out"/>
        <c:minorTickMark val="none"/>
        <c:tickLblPos val="nextTo"/>
        <c:crossAx val="379052640"/>
        <c:crosses val="autoZero"/>
        <c:auto val="1"/>
        <c:lblAlgn val="ctr"/>
        <c:lblOffset val="100"/>
        <c:noMultiLvlLbl val="0"/>
      </c:catAx>
    </c:plotArea>
    <c:legend>
      <c:legendPos val="t"/>
      <c:layout>
        <c:manualLayout>
          <c:xMode val="edge"/>
          <c:yMode val="edge"/>
          <c:x val="2.0590854842444644E-2"/>
          <c:y val="1.7402645668749894E-2"/>
          <c:w val="0.95881829031511068"/>
          <c:h val="4.4721526513991243E-2"/>
        </c:manualLayout>
      </c:layout>
      <c:overlay val="0"/>
      <c:spPr>
        <a:ln>
          <a:solidFill>
            <a:sysClr val="windowText" lastClr="000000"/>
          </a:solidFill>
        </a:ln>
      </c:spPr>
    </c:legend>
    <c:plotVisOnly val="1"/>
    <c:dispBlanksAs val="gap"/>
    <c:showDLblsOverMax val="0"/>
  </c:chart>
  <c:spPr>
    <a:solidFill>
      <a:sysClr val="window" lastClr="FFFFFF"/>
    </a:solidFill>
    <a:ln w="9525">
      <a:solidFill>
        <a:srgbClr val="ADD6EA"/>
      </a:solidFill>
    </a:ln>
  </c:spPr>
  <c:txPr>
    <a:bodyPr/>
    <a:lstStyle/>
    <a:p>
      <a:pPr>
        <a:defRPr>
          <a:latin typeface="Calibri" pitchFamily="34" charset="0"/>
          <a:cs typeface="Times New Roman" pitchFamily="18" charset="0"/>
        </a:defRPr>
      </a:pPr>
      <a:endParaRPr lang="en-US"/>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234164695662861E-2"/>
          <c:y val="3.9197530864197534E-2"/>
          <c:w val="0.88859528968866575"/>
          <c:h val="0.69252048611111106"/>
        </c:manualLayout>
      </c:layout>
      <c:areaChart>
        <c:grouping val="stacked"/>
        <c:varyColors val="0"/>
        <c:ser>
          <c:idx val="0"/>
          <c:order val="0"/>
          <c:tx>
            <c:strRef>
              <c:f>'Figures B-1, B-2'!$AB$36</c:f>
              <c:strCache>
                <c:ptCount val="1"/>
                <c:pt idx="0">
                  <c:v>NSW</c:v>
                </c:pt>
              </c:strCache>
            </c:strRef>
          </c:tx>
          <c:spPr>
            <a:solidFill>
              <a:srgbClr val="0092C8"/>
            </a:solidFill>
            <a:ln>
              <a:noFill/>
            </a:ln>
            <a:effectLst/>
          </c:spPr>
          <c:cat>
            <c:strRef>
              <c:f>'Figures B-1, B-2'!$AA$37:$AA$62</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'Figures B-1, B-2'!$AB$37:$AB$62</c:f>
              <c:numCache>
                <c:formatCode>General</c:formatCode>
                <c:ptCount val="26"/>
                <c:pt idx="0">
                  <c:v>-3.7291689390390124</c:v>
                </c:pt>
                <c:pt idx="1">
                  <c:v>-3.2923452134618723</c:v>
                </c:pt>
                <c:pt idx="2">
                  <c:v>-3.8610621631380235</c:v>
                </c:pt>
                <c:pt idx="3">
                  <c:v>-4.4740640936358265</c:v>
                </c:pt>
                <c:pt idx="4">
                  <c:v>-5.508212246874189</c:v>
                </c:pt>
                <c:pt idx="5">
                  <c:v>-5.4681687499943008</c:v>
                </c:pt>
                <c:pt idx="6">
                  <c:v>-5.2384940161674276</c:v>
                </c:pt>
                <c:pt idx="7">
                  <c:v>-4.500580900528961</c:v>
                </c:pt>
                <c:pt idx="8">
                  <c:v>-3.6670333391272294</c:v>
                </c:pt>
                <c:pt idx="9">
                  <c:v>-2.1817558590917443</c:v>
                </c:pt>
                <c:pt idx="10">
                  <c:v>-1.5034321090025171</c:v>
                </c:pt>
                <c:pt idx="11">
                  <c:v>-1.3251527278644981</c:v>
                </c:pt>
                <c:pt idx="12">
                  <c:v>-1.4309659462809932</c:v>
                </c:pt>
                <c:pt idx="13">
                  <c:v>-0.99590663902273113</c:v>
                </c:pt>
                <c:pt idx="14">
                  <c:v>-0.70712610158340516</c:v>
                </c:pt>
                <c:pt idx="15">
                  <c:v>-1.599962925424514</c:v>
                </c:pt>
                <c:pt idx="16">
                  <c:v>-3.0161608027710338</c:v>
                </c:pt>
                <c:pt idx="17">
                  <c:v>-3.935801233083275</c:v>
                </c:pt>
                <c:pt idx="18">
                  <c:v>-4.5720453537940742</c:v>
                </c:pt>
                <c:pt idx="19">
                  <c:v>-4.1062281018612481</c:v>
                </c:pt>
                <c:pt idx="20">
                  <c:v>-2.5432858847630357</c:v>
                </c:pt>
                <c:pt idx="21">
                  <c:v>-1.4318050002994354</c:v>
                </c:pt>
                <c:pt idx="22">
                  <c:v>-1.5473017185510307</c:v>
                </c:pt>
                <c:pt idx="23">
                  <c:v>-2.3058404180602676</c:v>
                </c:pt>
                <c:pt idx="24">
                  <c:v>-4.1113063995477095</c:v>
                </c:pt>
                <c:pt idx="25">
                  <c:v>-4.3473556949146843</c:v>
                </c:pt>
              </c:numCache>
            </c:numRef>
          </c:val>
          <c:extLst>
            <c:ext xmlns:c16="http://schemas.microsoft.com/office/drawing/2014/chart" uri="{C3380CC4-5D6E-409C-BE32-E72D297353CC}">
              <c16:uniqueId val="{00000000-07C2-4076-83AE-BC34D6C8A80D}"/>
            </c:ext>
          </c:extLst>
        </c:ser>
        <c:ser>
          <c:idx val="1"/>
          <c:order val="1"/>
          <c:tx>
            <c:strRef>
              <c:f>'Figures B-1, B-2'!$AC$36</c:f>
              <c:strCache>
                <c:ptCount val="1"/>
                <c:pt idx="0">
                  <c:v>Vic</c:v>
                </c:pt>
              </c:strCache>
            </c:strRef>
          </c:tx>
          <c:spPr>
            <a:solidFill>
              <a:srgbClr val="60B5D7"/>
            </a:solidFill>
            <a:ln w="25400">
              <a:noFill/>
            </a:ln>
            <a:effectLst/>
          </c:spPr>
          <c:cat>
            <c:strRef>
              <c:f>'Figures B-1, B-2'!$AA$37:$AA$62</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'Figures B-1, B-2'!$AC$37:$AC$62</c:f>
              <c:numCache>
                <c:formatCode>General</c:formatCode>
                <c:ptCount val="26"/>
                <c:pt idx="0">
                  <c:v>-3.8476951784756741</c:v>
                </c:pt>
                <c:pt idx="1">
                  <c:v>-3.6595754038017625</c:v>
                </c:pt>
                <c:pt idx="2">
                  <c:v>-3.8780437807136496</c:v>
                </c:pt>
                <c:pt idx="3">
                  <c:v>-3.863336175899454</c:v>
                </c:pt>
                <c:pt idx="4">
                  <c:v>-4.0331770709201296</c:v>
                </c:pt>
                <c:pt idx="5">
                  <c:v>-3.7327749919466688</c:v>
                </c:pt>
                <c:pt idx="6">
                  <c:v>-3.1413611144669091</c:v>
                </c:pt>
                <c:pt idx="7">
                  <c:v>-2.9568002653816956</c:v>
                </c:pt>
                <c:pt idx="8">
                  <c:v>-2.1485564800498707</c:v>
                </c:pt>
                <c:pt idx="9">
                  <c:v>-1.9934950157089626</c:v>
                </c:pt>
                <c:pt idx="10">
                  <c:v>-1.4559271296476357</c:v>
                </c:pt>
                <c:pt idx="11">
                  <c:v>-2.3351067881547669</c:v>
                </c:pt>
                <c:pt idx="12">
                  <c:v>-1.90287138312015</c:v>
                </c:pt>
                <c:pt idx="13">
                  <c:v>-2.3119233430814541</c:v>
                </c:pt>
                <c:pt idx="14">
                  <c:v>-2.8540979218490108</c:v>
                </c:pt>
                <c:pt idx="15">
                  <c:v>-2.6281712303358322</c:v>
                </c:pt>
                <c:pt idx="16">
                  <c:v>-2.286273487653931</c:v>
                </c:pt>
                <c:pt idx="17">
                  <c:v>-1.7397467628912977</c:v>
                </c:pt>
                <c:pt idx="18">
                  <c:v>-0.30726591268004921</c:v>
                </c:pt>
                <c:pt idx="19">
                  <c:v>-0.41470878992433957</c:v>
                </c:pt>
                <c:pt idx="20">
                  <c:v>-0.99691401467122964</c:v>
                </c:pt>
                <c:pt idx="21">
                  <c:v>-1.9944388771492294</c:v>
                </c:pt>
                <c:pt idx="22">
                  <c:v>-3.6086838414626623</c:v>
                </c:pt>
                <c:pt idx="23">
                  <c:v>-3.732813638379151</c:v>
                </c:pt>
                <c:pt idx="24">
                  <c:v>-0.87532661083605245</c:v>
                </c:pt>
                <c:pt idx="25">
                  <c:v>0</c:v>
                </c:pt>
              </c:numCache>
            </c:numRef>
          </c:val>
          <c:extLst>
            <c:ext xmlns:c16="http://schemas.microsoft.com/office/drawing/2014/chart" uri="{C3380CC4-5D6E-409C-BE32-E72D297353CC}">
              <c16:uniqueId val="{00000001-07C2-4076-83AE-BC34D6C8A80D}"/>
            </c:ext>
          </c:extLst>
        </c:ser>
        <c:ser>
          <c:idx val="2"/>
          <c:order val="2"/>
          <c:tx>
            <c:strRef>
              <c:f>'Figures B-1, B-2'!$AD$36</c:f>
              <c:strCache>
                <c:ptCount val="1"/>
                <c:pt idx="0">
                  <c:v>Qld</c:v>
                </c:pt>
              </c:strCache>
            </c:strRef>
          </c:tx>
          <c:spPr>
            <a:solidFill>
              <a:srgbClr val="ADD6EA"/>
            </a:solidFill>
            <a:ln w="25400">
              <a:noFill/>
            </a:ln>
            <a:effectLst/>
          </c:spPr>
          <c:cat>
            <c:strRef>
              <c:f>'Figures B-1, B-2'!$AA$37:$AA$62</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'Figures B-1, B-2'!$AD$37:$AD$62</c:f>
              <c:numCache>
                <c:formatCode>General</c:formatCode>
                <c:ptCount val="26"/>
                <c:pt idx="0">
                  <c:v>0</c:v>
                </c:pt>
                <c:pt idx="1">
                  <c:v>0</c:v>
                </c:pt>
                <c:pt idx="2">
                  <c:v>0</c:v>
                </c:pt>
                <c:pt idx="3">
                  <c:v>0</c:v>
                </c:pt>
                <c:pt idx="4">
                  <c:v>0</c:v>
                </c:pt>
                <c:pt idx="5">
                  <c:v>0</c:v>
                </c:pt>
                <c:pt idx="6">
                  <c:v>0</c:v>
                </c:pt>
                <c:pt idx="7">
                  <c:v>0</c:v>
                </c:pt>
                <c:pt idx="8">
                  <c:v>-0.7674318286876064</c:v>
                </c:pt>
                <c:pt idx="9">
                  <c:v>-1.687397963419182</c:v>
                </c:pt>
                <c:pt idx="10">
                  <c:v>-1.7274922191169688</c:v>
                </c:pt>
                <c:pt idx="11">
                  <c:v>-1.4111477751086066</c:v>
                </c:pt>
                <c:pt idx="12">
                  <c:v>-0.25912073733997398</c:v>
                </c:pt>
                <c:pt idx="13">
                  <c:v>0</c:v>
                </c:pt>
                <c:pt idx="14">
                  <c:v>0</c:v>
                </c:pt>
                <c:pt idx="15">
                  <c:v>0</c:v>
                </c:pt>
                <c:pt idx="16">
                  <c:v>0</c:v>
                </c:pt>
                <c:pt idx="17">
                  <c:v>0</c:v>
                </c:pt>
                <c:pt idx="18">
                  <c:v>0</c:v>
                </c:pt>
                <c:pt idx="19">
                  <c:v>0</c:v>
                </c:pt>
                <c:pt idx="20">
                  <c:v>0</c:v>
                </c:pt>
                <c:pt idx="21">
                  <c:v>0</c:v>
                </c:pt>
                <c:pt idx="22">
                  <c:v>0</c:v>
                </c:pt>
                <c:pt idx="23">
                  <c:v>0</c:v>
                </c:pt>
                <c:pt idx="24">
                  <c:v>-0.96125574459076102</c:v>
                </c:pt>
                <c:pt idx="25">
                  <c:v>-3.1754629662813008</c:v>
                </c:pt>
              </c:numCache>
            </c:numRef>
          </c:val>
          <c:extLst>
            <c:ext xmlns:c16="http://schemas.microsoft.com/office/drawing/2014/chart" uri="{C3380CC4-5D6E-409C-BE32-E72D297353CC}">
              <c16:uniqueId val="{00000002-07C2-4076-83AE-BC34D6C8A80D}"/>
            </c:ext>
          </c:extLst>
        </c:ser>
        <c:ser>
          <c:idx val="3"/>
          <c:order val="3"/>
          <c:tx>
            <c:strRef>
              <c:f>'Figures B-1, B-2'!$AE$36</c:f>
              <c:strCache>
                <c:ptCount val="1"/>
                <c:pt idx="0">
                  <c:v>WA</c:v>
                </c:pt>
              </c:strCache>
            </c:strRef>
          </c:tx>
          <c:spPr>
            <a:solidFill>
              <a:srgbClr val="D6E7F0"/>
            </a:solidFill>
            <a:ln w="25400">
              <a:noFill/>
            </a:ln>
            <a:effectLst/>
          </c:spPr>
          <c:cat>
            <c:strRef>
              <c:f>'Figures B-1, B-2'!$AA$37:$AA$62</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'Figures B-1, B-2'!$AE$37:$AE$62</c:f>
              <c:numCache>
                <c:formatCode>General</c:formatCode>
                <c:ptCount val="26"/>
                <c:pt idx="0">
                  <c:v>-0.12515247737154567</c:v>
                </c:pt>
                <c:pt idx="1">
                  <c:v>-0.23167423033197548</c:v>
                </c:pt>
                <c:pt idx="2">
                  <c:v>-0.22008897096228441</c:v>
                </c:pt>
                <c:pt idx="3">
                  <c:v>-0.33352719573634115</c:v>
                </c:pt>
                <c:pt idx="4">
                  <c:v>0</c:v>
                </c:pt>
                <c:pt idx="5">
                  <c:v>0</c:v>
                </c:pt>
                <c:pt idx="6">
                  <c:v>0</c:v>
                </c:pt>
                <c:pt idx="7">
                  <c:v>-0.6575208721586665</c:v>
                </c:pt>
                <c:pt idx="8">
                  <c:v>-1.4477970795527177</c:v>
                </c:pt>
                <c:pt idx="9">
                  <c:v>-2.199748514786537</c:v>
                </c:pt>
                <c:pt idx="10">
                  <c:v>-3.2572948878633352</c:v>
                </c:pt>
                <c:pt idx="11">
                  <c:v>-2.9929640147543957</c:v>
                </c:pt>
                <c:pt idx="12">
                  <c:v>-4.8327847733236489</c:v>
                </c:pt>
                <c:pt idx="13">
                  <c:v>-6.0471968181151716</c:v>
                </c:pt>
                <c:pt idx="14">
                  <c:v>-6.8032782584090432</c:v>
                </c:pt>
                <c:pt idx="15">
                  <c:v>-7.6054853299562213</c:v>
                </c:pt>
                <c:pt idx="16">
                  <c:v>-7.3338613949514286</c:v>
                </c:pt>
                <c:pt idx="17">
                  <c:v>-6.8424098250700229</c:v>
                </c:pt>
                <c:pt idx="18">
                  <c:v>-5.4442092179685542</c:v>
                </c:pt>
                <c:pt idx="19">
                  <c:v>-4.9408926858181461</c:v>
                </c:pt>
                <c:pt idx="20">
                  <c:v>-5.6781809730263904</c:v>
                </c:pt>
                <c:pt idx="21">
                  <c:v>-6.2305922425997364</c:v>
                </c:pt>
                <c:pt idx="22">
                  <c:v>-3.2269235342580957</c:v>
                </c:pt>
                <c:pt idx="23">
                  <c:v>-3.234823843764266</c:v>
                </c:pt>
                <c:pt idx="24">
                  <c:v>-2.7241241121322783</c:v>
                </c:pt>
                <c:pt idx="25">
                  <c:v>-2.7430399380856478</c:v>
                </c:pt>
              </c:numCache>
            </c:numRef>
          </c:val>
          <c:extLst>
            <c:ext xmlns:c16="http://schemas.microsoft.com/office/drawing/2014/chart" uri="{C3380CC4-5D6E-409C-BE32-E72D297353CC}">
              <c16:uniqueId val="{00000003-07C2-4076-83AE-BC34D6C8A80D}"/>
            </c:ext>
          </c:extLst>
        </c:ser>
        <c:dLbls>
          <c:showLegendKey val="0"/>
          <c:showVal val="0"/>
          <c:showCatName val="0"/>
          <c:showSerName val="0"/>
          <c:showPercent val="0"/>
          <c:showBubbleSize val="0"/>
        </c:dLbls>
        <c:axId val="1924514576"/>
        <c:axId val="1924505840"/>
      </c:areaChart>
      <c:catAx>
        <c:axId val="1924514576"/>
        <c:scaling>
          <c:orientation val="minMax"/>
        </c:scaling>
        <c:delete val="0"/>
        <c:axPos val="b"/>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Work Sans" pitchFamily="2" charset="0"/>
                <a:ea typeface="+mn-ea"/>
                <a:cs typeface="+mn-cs"/>
              </a:defRPr>
            </a:pPr>
            <a:endParaRPr lang="en-US"/>
          </a:p>
        </c:txPr>
        <c:crossAx val="1924505840"/>
        <c:crosses val="autoZero"/>
        <c:auto val="1"/>
        <c:lblAlgn val="ctr"/>
        <c:lblOffset val="100"/>
        <c:noMultiLvlLbl val="0"/>
      </c:catAx>
      <c:valAx>
        <c:axId val="1924505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800" b="0" i="0" u="none" strike="noStrike" kern="1200" baseline="0">
                    <a:solidFill>
                      <a:schemeClr val="tx1">
                        <a:lumMod val="65000"/>
                        <a:lumOff val="35000"/>
                      </a:schemeClr>
                    </a:solidFill>
                    <a:latin typeface="Work Sans" pitchFamily="2" charset="0"/>
                    <a:ea typeface="+mn-ea"/>
                    <a:cs typeface="+mn-cs"/>
                  </a:defRPr>
                </a:pPr>
                <a:r>
                  <a:rPr lang="en-US"/>
                  <a:t>%</a:t>
                </a:r>
              </a:p>
            </c:rich>
          </c:tx>
          <c:overlay val="0"/>
          <c:spPr>
            <a:noFill/>
            <a:ln>
              <a:noFill/>
            </a:ln>
            <a:effectLst/>
          </c:spPr>
          <c:txPr>
            <a:bodyPr rot="-5400000" spcFirstLastPara="1" vertOverflow="ellipsis" vert="horz" wrap="square" anchor="ctr" anchorCtr="1"/>
            <a:lstStyle/>
            <a:p>
              <a:pPr algn="ctr" rtl="0">
                <a:defRPr sz="800" b="0" i="0" u="none" strike="noStrike" kern="1200" baseline="0">
                  <a:solidFill>
                    <a:schemeClr val="tx1">
                      <a:lumMod val="65000"/>
                      <a:lumOff val="35000"/>
                    </a:schemeClr>
                  </a:solidFill>
                  <a:latin typeface="Work Sans" pitchFamily="2"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Work Sans" pitchFamily="2" charset="0"/>
                <a:ea typeface="+mn-ea"/>
                <a:cs typeface="+mn-cs"/>
              </a:defRPr>
            </a:pPr>
            <a:endParaRPr lang="en-US"/>
          </a:p>
        </c:txPr>
        <c:crossAx val="1924514576"/>
        <c:crosses val="autoZero"/>
        <c:crossBetween val="midCat"/>
      </c:valAx>
      <c:spPr>
        <a:noFill/>
        <a:ln>
          <a:noFill/>
        </a:ln>
        <a:effectLst/>
      </c:spPr>
    </c:plotArea>
    <c:legend>
      <c:legendPos val="b"/>
      <c:layout>
        <c:manualLayout>
          <c:xMode val="edge"/>
          <c:yMode val="edge"/>
          <c:x val="0.37254635527246993"/>
          <c:y val="0.9149231200897866"/>
          <c:w val="0.27962402689313515"/>
          <c:h val="6.3696408529741858E-2"/>
        </c:manualLayout>
      </c:layout>
      <c:overlay val="0"/>
      <c:spPr>
        <a:noFill/>
        <a:ln>
          <a:solidFill>
            <a:srgbClr val="939598"/>
          </a:solid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Work Sans" pitchFamily="2" charset="0"/>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ADD6EA"/>
      </a:solidFill>
      <a:round/>
    </a:ln>
    <a:effectLst/>
  </c:spPr>
  <c:txPr>
    <a:bodyPr/>
    <a:lstStyle/>
    <a:p>
      <a:pPr>
        <a:defRPr sz="800">
          <a:latin typeface="Work Sans" pitchFamily="2" charset="0"/>
        </a:defRPr>
      </a:pPr>
      <a:endParaRPr lang="en-US"/>
    </a:p>
  </c:txPr>
  <c:externalData r:id="rId4">
    <c:autoUpdate val="0"/>
  </c:externalData>
  <c:userShapes r:id="rId5"/>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7673566878980883E-2"/>
          <c:y val="7.5547787647825493E-2"/>
          <c:w val="0.82672438055540709"/>
          <c:h val="0.85352576923307932"/>
        </c:manualLayout>
      </c:layout>
      <c:lineChart>
        <c:grouping val="standard"/>
        <c:varyColors val="0"/>
        <c:ser>
          <c:idx val="0"/>
          <c:order val="0"/>
          <c:tx>
            <c:strRef>
              <c:f>'ES.4 Figure'!$B$4</c:f>
              <c:strCache>
                <c:ptCount val="1"/>
                <c:pt idx="0">
                  <c:v>NSW</c:v>
                </c:pt>
              </c:strCache>
            </c:strRef>
          </c:tx>
          <c:spPr>
            <a:ln w="31750">
              <a:solidFill>
                <a:srgbClr val="008069"/>
              </a:solidFill>
              <a:prstDash val="sysDot"/>
            </a:ln>
          </c:spPr>
          <c:marker>
            <c:symbol val="none"/>
          </c:marker>
          <c:cat>
            <c:strRef>
              <c:f>'ES.4 Figure'!$A$5:$A$30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'ES.4 Figure'!$B$5:$B$30</c:f>
              <c:numCache>
                <c:formatCode>#,##0.0000</c:formatCode>
                <c:ptCount val="26"/>
                <c:pt idx="0">
                  <c:v>0.889139747401134</c:v>
                </c:pt>
                <c:pt idx="1">
                  <c:v>0.90227975841010599</c:v>
                </c:pt>
                <c:pt idx="2">
                  <c:v>0.88419498467318203</c:v>
                </c:pt>
                <c:pt idx="3">
                  <c:v>0.86532781284763804</c:v>
                </c:pt>
                <c:pt idx="4">
                  <c:v>0.83468338503037598</c:v>
                </c:pt>
                <c:pt idx="5">
                  <c:v>0.83571009318538603</c:v>
                </c:pt>
                <c:pt idx="6">
                  <c:v>0.84192994535936105</c:v>
                </c:pt>
                <c:pt idx="7">
                  <c:v>0.86379891123651897</c:v>
                </c:pt>
                <c:pt idx="8">
                  <c:v>0.88742853310942404</c:v>
                </c:pt>
                <c:pt idx="9">
                  <c:v>0.93185732881837202</c:v>
                </c:pt>
                <c:pt idx="10">
                  <c:v>0.95204634048074899</c:v>
                </c:pt>
                <c:pt idx="11">
                  <c:v>0.95776331593948605</c:v>
                </c:pt>
                <c:pt idx="12">
                  <c:v>0.95311999999999997</c:v>
                </c:pt>
                <c:pt idx="13">
                  <c:v>0.96575999999999995</c:v>
                </c:pt>
                <c:pt idx="14">
                  <c:v>0.97499999999999998</c:v>
                </c:pt>
                <c:pt idx="15">
                  <c:v>0.94737000000000005</c:v>
                </c:pt>
                <c:pt idx="16">
                  <c:v>0.90464</c:v>
                </c:pt>
                <c:pt idx="17">
                  <c:v>0.87672000000000005</c:v>
                </c:pt>
                <c:pt idx="18">
                  <c:v>0.85516999999999999</c:v>
                </c:pt>
                <c:pt idx="19">
                  <c:v>0.87012923983471702</c:v>
                </c:pt>
                <c:pt idx="20">
                  <c:v>0.91807568072427803</c:v>
                </c:pt>
                <c:pt idx="21">
                  <c:v>0.95616999999999996</c:v>
                </c:pt>
                <c:pt idx="22">
                  <c:v>0.95065</c:v>
                </c:pt>
                <c:pt idx="23">
                  <c:v>0.92349999999999999</c:v>
                </c:pt>
                <c:pt idx="24">
                  <c:v>0.86736000000000002</c:v>
                </c:pt>
                <c:pt idx="25">
                  <c:v>0.86033999999999999</c:v>
                </c:pt>
              </c:numCache>
            </c:numRef>
          </c:val>
          <c:smooth val="0"/>
          <c:extLst>
            <c:ext xmlns:c16="http://schemas.microsoft.com/office/drawing/2014/chart" uri="{C3380CC4-5D6E-409C-BE32-E72D297353CC}">
              <c16:uniqueId val="{00000000-ED5F-4B49-9E88-28BF27484359}"/>
            </c:ext>
          </c:extLst>
        </c:ser>
        <c:ser>
          <c:idx val="1"/>
          <c:order val="1"/>
          <c:tx>
            <c:strRef>
              <c:f>'ES.4 Figure'!$C$4</c:f>
              <c:strCache>
                <c:ptCount val="1"/>
                <c:pt idx="0">
                  <c:v>Vic</c:v>
                </c:pt>
              </c:strCache>
            </c:strRef>
          </c:tx>
          <c:spPr>
            <a:ln w="31750">
              <a:solidFill>
                <a:srgbClr val="00CE87"/>
              </a:solidFill>
              <a:prstDash val="lgDash"/>
            </a:ln>
          </c:spPr>
          <c:marker>
            <c:symbol val="none"/>
          </c:marker>
          <c:cat>
            <c:strRef>
              <c:f>'ES.4 Figure'!$A$5:$A$30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'ES.4 Figure'!$C$5:$C$30</c:f>
              <c:numCache>
                <c:formatCode>#,##0.0000</c:formatCode>
                <c:ptCount val="26"/>
                <c:pt idx="0">
                  <c:v>0.84510436186854998</c:v>
                </c:pt>
                <c:pt idx="1">
                  <c:v>0.851684976449128</c:v>
                </c:pt>
                <c:pt idx="2">
                  <c:v>0.84227141272064998</c:v>
                </c:pt>
                <c:pt idx="3">
                  <c:v>0.84243050797760199</c:v>
                </c:pt>
                <c:pt idx="4">
                  <c:v>0.83641161387282403</c:v>
                </c:pt>
                <c:pt idx="5">
                  <c:v>0.84899792080199199</c:v>
                </c:pt>
                <c:pt idx="6">
                  <c:v>0.87451439721482005</c:v>
                </c:pt>
                <c:pt idx="7">
                  <c:v>0.88206200201643103</c:v>
                </c:pt>
                <c:pt idx="8">
                  <c:v>0.91346523675786295</c:v>
                </c:pt>
                <c:pt idx="9">
                  <c:v>0.91874629604101699</c:v>
                </c:pt>
                <c:pt idx="10">
                  <c:v>0.93994663512320697</c:v>
                </c:pt>
                <c:pt idx="11">
                  <c:v>0.90475532873370501</c:v>
                </c:pt>
                <c:pt idx="12">
                  <c:v>0.92105999999999999</c:v>
                </c:pt>
                <c:pt idx="13">
                  <c:v>0.90398000000000001</c:v>
                </c:pt>
                <c:pt idx="14">
                  <c:v>0.88282000000000005</c:v>
                </c:pt>
                <c:pt idx="15">
                  <c:v>0.89254</c:v>
                </c:pt>
                <c:pt idx="16">
                  <c:v>0.90966999999999998</c:v>
                </c:pt>
                <c:pt idx="17">
                  <c:v>0.93239000000000005</c:v>
                </c:pt>
                <c:pt idx="18">
                  <c:v>0.98670000000000002</c:v>
                </c:pt>
                <c:pt idx="19">
                  <c:v>0.98272597592966004</c:v>
                </c:pt>
                <c:pt idx="20">
                  <c:v>0.95991500536264995</c:v>
                </c:pt>
                <c:pt idx="21">
                  <c:v>0.92335</c:v>
                </c:pt>
                <c:pt idx="22">
                  <c:v>0.85860999999999998</c:v>
                </c:pt>
                <c:pt idx="23">
                  <c:v>0.85168999999999995</c:v>
                </c:pt>
                <c:pt idx="24">
                  <c:v>0.96501999999999999</c:v>
                </c:pt>
                <c:pt idx="25">
                  <c:v>1.0672200000000001</c:v>
                </c:pt>
              </c:numCache>
            </c:numRef>
          </c:val>
          <c:smooth val="0"/>
          <c:extLst>
            <c:ext xmlns:c16="http://schemas.microsoft.com/office/drawing/2014/chart" uri="{C3380CC4-5D6E-409C-BE32-E72D297353CC}">
              <c16:uniqueId val="{00000001-ED5F-4B49-9E88-28BF27484359}"/>
            </c:ext>
          </c:extLst>
        </c:ser>
        <c:ser>
          <c:idx val="2"/>
          <c:order val="2"/>
          <c:tx>
            <c:strRef>
              <c:f>'ES.4 Figure'!$D$4</c:f>
              <c:strCache>
                <c:ptCount val="1"/>
                <c:pt idx="0">
                  <c:v>Qld</c:v>
                </c:pt>
              </c:strCache>
            </c:strRef>
          </c:tx>
          <c:spPr>
            <a:ln w="31750">
              <a:solidFill>
                <a:srgbClr val="60B5D7"/>
              </a:solidFill>
              <a:prstDash val="dashDot"/>
            </a:ln>
          </c:spPr>
          <c:marker>
            <c:symbol val="none"/>
          </c:marker>
          <c:cat>
            <c:strRef>
              <c:f>'ES.4 Figure'!$A$5:$A$30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'ES.4 Figure'!$D$5:$D$30</c:f>
              <c:numCache>
                <c:formatCode>#,##0.0000</c:formatCode>
                <c:ptCount val="26"/>
                <c:pt idx="0">
                  <c:v>1.0250685788326399</c:v>
                </c:pt>
                <c:pt idx="1">
                  <c:v>1.0062468033435401</c:v>
                </c:pt>
                <c:pt idx="2">
                  <c:v>1.0167291546463899</c:v>
                </c:pt>
                <c:pt idx="3">
                  <c:v>1.0249510017707899</c:v>
                </c:pt>
                <c:pt idx="4">
                  <c:v>1.0699358547705999</c:v>
                </c:pt>
                <c:pt idx="5">
                  <c:v>1.05699696642401</c:v>
                </c:pt>
                <c:pt idx="6">
                  <c:v>1.0327125777987201</c:v>
                </c:pt>
                <c:pt idx="7">
                  <c:v>1.01143138261601</c:v>
                </c:pt>
                <c:pt idx="8">
                  <c:v>0.96196081019536195</c:v>
                </c:pt>
                <c:pt idx="9">
                  <c:v>0.91556365715224297</c:v>
                </c:pt>
                <c:pt idx="10">
                  <c:v>0.91321599899587202</c:v>
                </c:pt>
                <c:pt idx="11">
                  <c:v>0.92860547743029398</c:v>
                </c:pt>
                <c:pt idx="12">
                  <c:v>0.98477000000000003</c:v>
                </c:pt>
                <c:pt idx="13">
                  <c:v>1.0562400000000001</c:v>
                </c:pt>
                <c:pt idx="14">
                  <c:v>1.0787599999999999</c:v>
                </c:pt>
                <c:pt idx="15">
                  <c:v>1.1275299999999999</c:v>
                </c:pt>
                <c:pt idx="16">
                  <c:v>1.17109</c:v>
                </c:pt>
                <c:pt idx="17">
                  <c:v>1.1876899999999999</c:v>
                </c:pt>
                <c:pt idx="18">
                  <c:v>1.0958399999999999</c:v>
                </c:pt>
                <c:pt idx="19">
                  <c:v>1.05369935404683</c:v>
                </c:pt>
                <c:pt idx="20">
                  <c:v>1.04906730014794</c:v>
                </c:pt>
                <c:pt idx="21">
                  <c:v>1.05918</c:v>
                </c:pt>
                <c:pt idx="22">
                  <c:v>1.0337700000000001</c:v>
                </c:pt>
                <c:pt idx="23">
                  <c:v>1.03118</c:v>
                </c:pt>
                <c:pt idx="24">
                  <c:v>0.95232000000000006</c:v>
                </c:pt>
                <c:pt idx="25">
                  <c:v>0.84570999999999996</c:v>
                </c:pt>
              </c:numCache>
            </c:numRef>
          </c:val>
          <c:smooth val="0"/>
          <c:extLst>
            <c:ext xmlns:c16="http://schemas.microsoft.com/office/drawing/2014/chart" uri="{C3380CC4-5D6E-409C-BE32-E72D297353CC}">
              <c16:uniqueId val="{00000002-ED5F-4B49-9E88-28BF27484359}"/>
            </c:ext>
          </c:extLst>
        </c:ser>
        <c:ser>
          <c:idx val="3"/>
          <c:order val="3"/>
          <c:tx>
            <c:strRef>
              <c:f>'ES.4 Figure'!$E$4</c:f>
              <c:strCache>
                <c:ptCount val="1"/>
                <c:pt idx="0">
                  <c:v>WA</c:v>
                </c:pt>
              </c:strCache>
            </c:strRef>
          </c:tx>
          <c:spPr>
            <a:ln w="31750">
              <a:solidFill>
                <a:srgbClr val="CEE7B3"/>
              </a:solidFill>
              <a:prstDash val="sysDot"/>
            </a:ln>
          </c:spPr>
          <c:marker>
            <c:symbol val="none"/>
          </c:marker>
          <c:cat>
            <c:strRef>
              <c:f>'ES.4 Figure'!$A$5:$A$30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'ES.4 Figure'!$E$5:$E$30</c:f>
              <c:numCache>
                <c:formatCode>#,##0.0000</c:formatCode>
                <c:ptCount val="26"/>
                <c:pt idx="0">
                  <c:v>0.98692398042900897</c:v>
                </c:pt>
                <c:pt idx="1">
                  <c:v>0.97571319049346705</c:v>
                </c:pt>
                <c:pt idx="2">
                  <c:v>0.97611918119252405</c:v>
                </c:pt>
                <c:pt idx="3">
                  <c:v>0.96455051371071898</c:v>
                </c:pt>
                <c:pt idx="4">
                  <c:v>1.0381141451971001</c:v>
                </c:pt>
                <c:pt idx="5">
                  <c:v>1.0330302322392499</c:v>
                </c:pt>
                <c:pt idx="6">
                  <c:v>1.00778160818026</c:v>
                </c:pt>
                <c:pt idx="7">
                  <c:v>0.93616275261635296</c:v>
                </c:pt>
                <c:pt idx="8">
                  <c:v>0.85796971616315898</c:v>
                </c:pt>
                <c:pt idx="9">
                  <c:v>0.784852411028649</c:v>
                </c:pt>
                <c:pt idx="10">
                  <c:v>0.68298251969679302</c:v>
                </c:pt>
                <c:pt idx="11">
                  <c:v>0.71728516921097496</c:v>
                </c:pt>
                <c:pt idx="12">
                  <c:v>0.55105000000000004</c:v>
                </c:pt>
                <c:pt idx="13">
                  <c:v>0.44580999999999998</c:v>
                </c:pt>
                <c:pt idx="14">
                  <c:v>0.37626999999999999</c:v>
                </c:pt>
                <c:pt idx="15">
                  <c:v>0.29998999999999998</c:v>
                </c:pt>
                <c:pt idx="16">
                  <c:v>0.30330000000000001</c:v>
                </c:pt>
                <c:pt idx="17">
                  <c:v>0.34433999999999998</c:v>
                </c:pt>
                <c:pt idx="18">
                  <c:v>0.47287000000000001</c:v>
                </c:pt>
                <c:pt idx="19">
                  <c:v>0.51841988361690505</c:v>
                </c:pt>
                <c:pt idx="20">
                  <c:v>0.44970147050059001</c:v>
                </c:pt>
                <c:pt idx="21">
                  <c:v>0.41966999999999999</c:v>
                </c:pt>
                <c:pt idx="22">
                  <c:v>0.7</c:v>
                </c:pt>
                <c:pt idx="23">
                  <c:v>0.7</c:v>
                </c:pt>
                <c:pt idx="24">
                  <c:v>0.75</c:v>
                </c:pt>
                <c:pt idx="25">
                  <c:v>0.75</c:v>
                </c:pt>
              </c:numCache>
            </c:numRef>
          </c:val>
          <c:smooth val="0"/>
          <c:extLst>
            <c:ext xmlns:c16="http://schemas.microsoft.com/office/drawing/2014/chart" uri="{C3380CC4-5D6E-409C-BE32-E72D297353CC}">
              <c16:uniqueId val="{00000003-ED5F-4B49-9E88-28BF27484359}"/>
            </c:ext>
          </c:extLst>
        </c:ser>
        <c:ser>
          <c:idx val="4"/>
          <c:order val="4"/>
          <c:tx>
            <c:strRef>
              <c:f>'ES.4 Figure'!$F$4</c:f>
              <c:strCache>
                <c:ptCount val="1"/>
                <c:pt idx="0">
                  <c:v>SA</c:v>
                </c:pt>
              </c:strCache>
            </c:strRef>
          </c:tx>
          <c:spPr>
            <a:ln w="19050">
              <a:solidFill>
                <a:srgbClr val="EDAB16"/>
              </a:solidFill>
              <a:prstDash val="dash"/>
            </a:ln>
          </c:spPr>
          <c:marker>
            <c:symbol val="none"/>
          </c:marker>
          <c:cat>
            <c:strRef>
              <c:f>'ES.4 Figure'!$A$5:$A$30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'ES.4 Figure'!$F$5:$F$30</c:f>
              <c:numCache>
                <c:formatCode>#,##0.0000</c:formatCode>
                <c:ptCount val="26"/>
                <c:pt idx="0">
                  <c:v>1.2043289378614599</c:v>
                </c:pt>
                <c:pt idx="1">
                  <c:v>1.19970533584336</c:v>
                </c:pt>
                <c:pt idx="2">
                  <c:v>1.21718807978768</c:v>
                </c:pt>
                <c:pt idx="3">
                  <c:v>1.23996948524891</c:v>
                </c:pt>
                <c:pt idx="4">
                  <c:v>1.2304149895648699</c:v>
                </c:pt>
                <c:pt idx="5">
                  <c:v>1.2271205690662299</c:v>
                </c:pt>
                <c:pt idx="6">
                  <c:v>1.2083944586684601</c:v>
                </c:pt>
                <c:pt idx="7">
                  <c:v>1.23141441240548</c:v>
                </c:pt>
                <c:pt idx="8">
                  <c:v>1.2319158274370401</c:v>
                </c:pt>
                <c:pt idx="9">
                  <c:v>1.24723808983639</c:v>
                </c:pt>
                <c:pt idx="10">
                  <c:v>1.2849686838426799</c:v>
                </c:pt>
                <c:pt idx="11">
                  <c:v>1.2707018365265299</c:v>
                </c:pt>
                <c:pt idx="12">
                  <c:v>1.2847200000000001</c:v>
                </c:pt>
                <c:pt idx="13">
                  <c:v>1.2616700000000001</c:v>
                </c:pt>
                <c:pt idx="14">
                  <c:v>1.28803</c:v>
                </c:pt>
                <c:pt idx="15">
                  <c:v>1.35883</c:v>
                </c:pt>
                <c:pt idx="16">
                  <c:v>1.4169499999999999</c:v>
                </c:pt>
                <c:pt idx="17">
                  <c:v>1.43997</c:v>
                </c:pt>
                <c:pt idx="18">
                  <c:v>1.4772700000000001</c:v>
                </c:pt>
                <c:pt idx="19">
                  <c:v>1.46551503605449</c:v>
                </c:pt>
                <c:pt idx="20">
                  <c:v>1.3576532132346799</c:v>
                </c:pt>
                <c:pt idx="21">
                  <c:v>1.3471900000000001</c:v>
                </c:pt>
                <c:pt idx="22">
                  <c:v>1.2841100000000001</c:v>
                </c:pt>
                <c:pt idx="23">
                  <c:v>1.39463</c:v>
                </c:pt>
                <c:pt idx="24">
                  <c:v>1.4031199999999999</c:v>
                </c:pt>
                <c:pt idx="25">
                  <c:v>1.38876</c:v>
                </c:pt>
              </c:numCache>
            </c:numRef>
          </c:val>
          <c:smooth val="0"/>
          <c:extLst>
            <c:ext xmlns:c16="http://schemas.microsoft.com/office/drawing/2014/chart" uri="{C3380CC4-5D6E-409C-BE32-E72D297353CC}">
              <c16:uniqueId val="{00000004-ED5F-4B49-9E88-28BF27484359}"/>
            </c:ext>
          </c:extLst>
        </c:ser>
        <c:ser>
          <c:idx val="5"/>
          <c:order val="5"/>
          <c:tx>
            <c:strRef>
              <c:f>'ES.4 Figure'!$G$4</c:f>
              <c:strCache>
                <c:ptCount val="1"/>
                <c:pt idx="0">
                  <c:v>Tas</c:v>
                </c:pt>
              </c:strCache>
            </c:strRef>
          </c:tx>
          <c:spPr>
            <a:ln w="19050">
              <a:solidFill>
                <a:srgbClr val="CC5E12"/>
              </a:solidFill>
              <a:prstDash val="lgDashDot"/>
            </a:ln>
          </c:spPr>
          <c:marker>
            <c:symbol val="none"/>
          </c:marker>
          <c:cat>
            <c:strRef>
              <c:f>'ES.4 Figure'!$A$5:$A$30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'ES.4 Figure'!$G$5:$G$30</c:f>
              <c:numCache>
                <c:formatCode>#,##0.0000</c:formatCode>
                <c:ptCount val="26"/>
                <c:pt idx="0">
                  <c:v>1.6101590159658199</c:v>
                </c:pt>
                <c:pt idx="1">
                  <c:v>1.6049042248834799</c:v>
                </c:pt>
                <c:pt idx="2">
                  <c:v>1.6820046514701901</c:v>
                </c:pt>
                <c:pt idx="3">
                  <c:v>1.75292353413774</c:v>
                </c:pt>
                <c:pt idx="4">
                  <c:v>1.71465613864148</c:v>
                </c:pt>
                <c:pt idx="5">
                  <c:v>1.7036978596435</c:v>
                </c:pt>
                <c:pt idx="6">
                  <c:v>1.69599277047803</c:v>
                </c:pt>
                <c:pt idx="7">
                  <c:v>1.6866240307332001</c:v>
                </c:pt>
                <c:pt idx="8">
                  <c:v>1.66348449619049</c:v>
                </c:pt>
                <c:pt idx="9">
                  <c:v>1.6203972644571101</c:v>
                </c:pt>
                <c:pt idx="10">
                  <c:v>1.62090957400522</c:v>
                </c:pt>
                <c:pt idx="11">
                  <c:v>1.5994154664134199</c:v>
                </c:pt>
                <c:pt idx="12">
                  <c:v>1.5808800000000001</c:v>
                </c:pt>
                <c:pt idx="13">
                  <c:v>1.6145400000000001</c:v>
                </c:pt>
                <c:pt idx="14">
                  <c:v>1.6348499999999999</c:v>
                </c:pt>
                <c:pt idx="15">
                  <c:v>1.8190599999999999</c:v>
                </c:pt>
                <c:pt idx="16">
                  <c:v>1.7769299999999999</c:v>
                </c:pt>
                <c:pt idx="17">
                  <c:v>1.80477</c:v>
                </c:pt>
                <c:pt idx="18">
                  <c:v>1.7670600000000001</c:v>
                </c:pt>
                <c:pt idx="19">
                  <c:v>1.75575878591211</c:v>
                </c:pt>
                <c:pt idx="20">
                  <c:v>1.89741925235692</c:v>
                </c:pt>
                <c:pt idx="21">
                  <c:v>1.9606699999999999</c:v>
                </c:pt>
                <c:pt idx="22">
                  <c:v>1.8535999999999999</c:v>
                </c:pt>
                <c:pt idx="23">
                  <c:v>1.7907999999999999</c:v>
                </c:pt>
                <c:pt idx="24">
                  <c:v>1.8283199999999999</c:v>
                </c:pt>
                <c:pt idx="25">
                  <c:v>1.84053</c:v>
                </c:pt>
              </c:numCache>
            </c:numRef>
          </c:val>
          <c:smooth val="0"/>
          <c:extLst>
            <c:ext xmlns:c16="http://schemas.microsoft.com/office/drawing/2014/chart" uri="{C3380CC4-5D6E-409C-BE32-E72D297353CC}">
              <c16:uniqueId val="{00000005-ED5F-4B49-9E88-28BF27484359}"/>
            </c:ext>
          </c:extLst>
        </c:ser>
        <c:ser>
          <c:idx val="6"/>
          <c:order val="6"/>
          <c:tx>
            <c:strRef>
              <c:f>'ES.4 Figure'!$H$4</c:f>
              <c:strCache>
                <c:ptCount val="1"/>
                <c:pt idx="0">
                  <c:v>ACT</c:v>
                </c:pt>
              </c:strCache>
            </c:strRef>
          </c:tx>
          <c:spPr>
            <a:ln w="22225">
              <a:solidFill>
                <a:srgbClr val="006991"/>
              </a:solidFill>
              <a:prstDash val="sysDash"/>
            </a:ln>
          </c:spPr>
          <c:marker>
            <c:symbol val="none"/>
          </c:marker>
          <c:cat>
            <c:strRef>
              <c:f>'ES.4 Figure'!$A$5:$A$30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'ES.4 Figure'!$H$5:$H$30</c:f>
              <c:numCache>
                <c:formatCode>#,##0.0000</c:formatCode>
                <c:ptCount val="26"/>
                <c:pt idx="0">
                  <c:v>1.17050459467044</c:v>
                </c:pt>
                <c:pt idx="1">
                  <c:v>1.21100104121568</c:v>
                </c:pt>
                <c:pt idx="2">
                  <c:v>1.22552096510866</c:v>
                </c:pt>
                <c:pt idx="3">
                  <c:v>1.2335079761343399</c:v>
                </c:pt>
                <c:pt idx="4">
                  <c:v>1.2140669556257899</c:v>
                </c:pt>
                <c:pt idx="5">
                  <c:v>1.2283703866345399</c:v>
                </c:pt>
                <c:pt idx="6">
                  <c:v>1.2291812816169001</c:v>
                </c:pt>
                <c:pt idx="7">
                  <c:v>1.24723664004372</c:v>
                </c:pt>
                <c:pt idx="8">
                  <c:v>1.25603026972649</c:v>
                </c:pt>
                <c:pt idx="9">
                  <c:v>1.2705130602012</c:v>
                </c:pt>
                <c:pt idx="10">
                  <c:v>1.15295271554181</c:v>
                </c:pt>
                <c:pt idx="11">
                  <c:v>1.1164654355579899</c:v>
                </c:pt>
                <c:pt idx="12">
                  <c:v>1.19757</c:v>
                </c:pt>
                <c:pt idx="13">
                  <c:v>1.2208300000000001</c:v>
                </c:pt>
                <c:pt idx="14">
                  <c:v>1.236</c:v>
                </c:pt>
                <c:pt idx="15">
                  <c:v>1.10012</c:v>
                </c:pt>
                <c:pt idx="16">
                  <c:v>1.15648</c:v>
                </c:pt>
                <c:pt idx="17">
                  <c:v>1.19496</c:v>
                </c:pt>
                <c:pt idx="18">
                  <c:v>1.1807000000000001</c:v>
                </c:pt>
                <c:pt idx="19">
                  <c:v>1.23758932589487</c:v>
                </c:pt>
                <c:pt idx="20">
                  <c:v>1.1511166266188</c:v>
                </c:pt>
                <c:pt idx="21">
                  <c:v>1.16266</c:v>
                </c:pt>
                <c:pt idx="22">
                  <c:v>1.0925</c:v>
                </c:pt>
                <c:pt idx="23">
                  <c:v>1.1954</c:v>
                </c:pt>
                <c:pt idx="24">
                  <c:v>1.2041900000000001</c:v>
                </c:pt>
                <c:pt idx="25">
                  <c:v>1.1722300000000001</c:v>
                </c:pt>
              </c:numCache>
            </c:numRef>
          </c:val>
          <c:smooth val="0"/>
          <c:extLst>
            <c:ext xmlns:c16="http://schemas.microsoft.com/office/drawing/2014/chart" uri="{C3380CC4-5D6E-409C-BE32-E72D297353CC}">
              <c16:uniqueId val="{00000006-ED5F-4B49-9E88-28BF27484359}"/>
            </c:ext>
          </c:extLst>
        </c:ser>
        <c:dLbls>
          <c:showLegendKey val="0"/>
          <c:showVal val="0"/>
          <c:showCatName val="0"/>
          <c:showSerName val="0"/>
          <c:showPercent val="0"/>
          <c:showBubbleSize val="0"/>
        </c:dLbls>
        <c:marker val="1"/>
        <c:smooth val="0"/>
        <c:axId val="266557696"/>
        <c:axId val="266568064"/>
      </c:lineChart>
      <c:lineChart>
        <c:grouping val="standard"/>
        <c:varyColors val="0"/>
        <c:ser>
          <c:idx val="7"/>
          <c:order val="7"/>
          <c:tx>
            <c:strRef>
              <c:f>'ES.4 Figure'!$I$4</c:f>
              <c:strCache>
                <c:ptCount val="1"/>
                <c:pt idx="0">
                  <c:v>NT</c:v>
                </c:pt>
              </c:strCache>
            </c:strRef>
          </c:tx>
          <c:spPr>
            <a:ln w="19050">
              <a:solidFill>
                <a:srgbClr val="004563"/>
              </a:solidFill>
              <a:prstDash val="dashDot"/>
            </a:ln>
          </c:spPr>
          <c:marker>
            <c:symbol val="none"/>
          </c:marker>
          <c:cat>
            <c:strRef>
              <c:f>'ES.4 Figure'!$A$5:$A$30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'ES.4 Figure'!$I$5:$I$30</c:f>
              <c:numCache>
                <c:formatCode>#,##0.0000</c:formatCode>
                <c:ptCount val="26"/>
                <c:pt idx="0">
                  <c:v>4.7940617764781299</c:v>
                </c:pt>
                <c:pt idx="1">
                  <c:v>4.6154659027174798</c:v>
                </c:pt>
                <c:pt idx="2">
                  <c:v>4.9164220714489</c:v>
                </c:pt>
                <c:pt idx="3">
                  <c:v>5.1348974451317302</c:v>
                </c:pt>
                <c:pt idx="4">
                  <c:v>5.0030360933129696</c:v>
                </c:pt>
                <c:pt idx="5">
                  <c:v>5.0053710676602403</c:v>
                </c:pt>
                <c:pt idx="6">
                  <c:v>5.0650243134869601</c:v>
                </c:pt>
                <c:pt idx="7">
                  <c:v>5.0959677386623197</c:v>
                </c:pt>
                <c:pt idx="8">
                  <c:v>5.2575773175170104</c:v>
                </c:pt>
                <c:pt idx="9">
                  <c:v>5.25073419912618</c:v>
                </c:pt>
                <c:pt idx="10">
                  <c:v>5.0738265961673896</c:v>
                </c:pt>
                <c:pt idx="11">
                  <c:v>5.3570840252621998</c:v>
                </c:pt>
                <c:pt idx="12">
                  <c:v>5.5281799999999999</c:v>
                </c:pt>
                <c:pt idx="13">
                  <c:v>5.3141400000000001</c:v>
                </c:pt>
                <c:pt idx="14">
                  <c:v>5.6606100000000001</c:v>
                </c:pt>
                <c:pt idx="15">
                  <c:v>5.5705299999999998</c:v>
                </c:pt>
                <c:pt idx="16">
                  <c:v>5.2845000000000004</c:v>
                </c:pt>
                <c:pt idx="17">
                  <c:v>4.6602399999999999</c:v>
                </c:pt>
                <c:pt idx="18">
                  <c:v>4.2581600000000002</c:v>
                </c:pt>
                <c:pt idx="19">
                  <c:v>4.2673506664570198</c:v>
                </c:pt>
                <c:pt idx="20">
                  <c:v>4.7689313169771799</c:v>
                </c:pt>
                <c:pt idx="21">
                  <c:v>4.7998500000000002</c:v>
                </c:pt>
                <c:pt idx="22">
                  <c:v>4.8698800000000002</c:v>
                </c:pt>
                <c:pt idx="23">
                  <c:v>4.9872500000000004</c:v>
                </c:pt>
                <c:pt idx="24">
                  <c:v>5.0668100000000003</c:v>
                </c:pt>
                <c:pt idx="25">
                  <c:v>5.1511199999999997</c:v>
                </c:pt>
              </c:numCache>
            </c:numRef>
          </c:val>
          <c:smooth val="0"/>
          <c:extLst>
            <c:ext xmlns:c16="http://schemas.microsoft.com/office/drawing/2014/chart" uri="{C3380CC4-5D6E-409C-BE32-E72D297353CC}">
              <c16:uniqueId val="{00000007-ED5F-4B49-9E88-28BF27484359}"/>
            </c:ext>
          </c:extLst>
        </c:ser>
        <c:dLbls>
          <c:showLegendKey val="0"/>
          <c:showVal val="0"/>
          <c:showCatName val="0"/>
          <c:showSerName val="0"/>
          <c:showPercent val="0"/>
          <c:showBubbleSize val="0"/>
        </c:dLbls>
        <c:marker val="1"/>
        <c:smooth val="0"/>
        <c:axId val="1089628512"/>
        <c:axId val="379052640"/>
      </c:lineChart>
      <c:catAx>
        <c:axId val="266557696"/>
        <c:scaling>
          <c:orientation val="minMax"/>
        </c:scaling>
        <c:delete val="0"/>
        <c:axPos val="b"/>
        <c:numFmt formatCode="#,##0" sourceLinked="0"/>
        <c:majorTickMark val="none"/>
        <c:minorTickMark val="out"/>
        <c:tickLblPos val="nextTo"/>
        <c:spPr>
          <a:ln>
            <a:noFill/>
          </a:ln>
        </c:spPr>
        <c:txPr>
          <a:bodyPr/>
          <a:lstStyle/>
          <a:p>
            <a:pPr>
              <a:defRPr sz="800">
                <a:latin typeface="Montserrat Ultra Light" panose="00000300000000000000" pitchFamily="50" charset="0"/>
              </a:defRPr>
            </a:pPr>
            <a:endParaRPr lang="en-US"/>
          </a:p>
        </c:txPr>
        <c:crossAx val="266568064"/>
        <c:crosses val="autoZero"/>
        <c:auto val="1"/>
        <c:lblAlgn val="ctr"/>
        <c:lblOffset val="100"/>
        <c:tickLblSkip val="5"/>
        <c:noMultiLvlLbl val="0"/>
      </c:catAx>
      <c:valAx>
        <c:axId val="266568064"/>
        <c:scaling>
          <c:orientation val="minMax"/>
          <c:max val="4"/>
        </c:scaling>
        <c:delete val="0"/>
        <c:axPos val="l"/>
        <c:majorGridlines>
          <c:spPr>
            <a:ln w="6350">
              <a:solidFill>
                <a:sysClr val="window" lastClr="FFFFFF">
                  <a:lumMod val="85000"/>
                </a:sysClr>
              </a:solidFill>
            </a:ln>
          </c:spPr>
        </c:majorGridlines>
        <c:title>
          <c:tx>
            <c:rich>
              <a:bodyPr/>
              <a:lstStyle/>
              <a:p>
                <a:pPr>
                  <a:defRPr sz="800" b="1">
                    <a:latin typeface="Montserrat Semi Bold" panose="00000700000000000000" pitchFamily="50" charset="0"/>
                  </a:defRPr>
                </a:pPr>
                <a:r>
                  <a:rPr lang="en-US"/>
                  <a:t>GST relativities</a:t>
                </a:r>
              </a:p>
            </c:rich>
          </c:tx>
          <c:layout>
            <c:manualLayout>
              <c:xMode val="edge"/>
              <c:yMode val="edge"/>
              <c:x val="9.9030253737168138E-3"/>
              <c:y val="0.54942171717171706"/>
            </c:manualLayout>
          </c:layout>
          <c:overlay val="0"/>
        </c:title>
        <c:numFmt formatCode="#,##0.0" sourceLinked="0"/>
        <c:majorTickMark val="out"/>
        <c:minorTickMark val="none"/>
        <c:tickLblPos val="nextTo"/>
        <c:spPr>
          <a:ln>
            <a:noFill/>
          </a:ln>
        </c:spPr>
        <c:txPr>
          <a:bodyPr/>
          <a:lstStyle/>
          <a:p>
            <a:pPr>
              <a:defRPr sz="800">
                <a:latin typeface="Montserrat Ultra Light" panose="00000300000000000000" pitchFamily="50" charset="0"/>
              </a:defRPr>
            </a:pPr>
            <a:endParaRPr lang="en-US"/>
          </a:p>
        </c:txPr>
        <c:crossAx val="266557696"/>
        <c:crosses val="autoZero"/>
        <c:crossBetween val="between"/>
        <c:majorUnit val="0.5"/>
      </c:valAx>
      <c:valAx>
        <c:axId val="379052640"/>
        <c:scaling>
          <c:orientation val="minMax"/>
          <c:min val="2"/>
        </c:scaling>
        <c:delete val="0"/>
        <c:axPos val="r"/>
        <c:title>
          <c:tx>
            <c:rich>
              <a:bodyPr/>
              <a:lstStyle/>
              <a:p>
                <a:pPr>
                  <a:defRPr/>
                </a:pPr>
                <a:r>
                  <a:rPr lang="en-AU" sz="800">
                    <a:latin typeface="Montserrat Semi Bold" panose="00000700000000000000" pitchFamily="50" charset="0"/>
                  </a:rPr>
                  <a:t>GST</a:t>
                </a:r>
                <a:r>
                  <a:rPr lang="en-AU">
                    <a:latin typeface="Montserrat Semi Bold" panose="00000700000000000000" pitchFamily="50" charset="0"/>
                  </a:rPr>
                  <a:t> </a:t>
                </a:r>
                <a:r>
                  <a:rPr lang="en-AU" sz="800">
                    <a:latin typeface="Montserrat Semi Bold" panose="00000700000000000000" pitchFamily="50" charset="0"/>
                  </a:rPr>
                  <a:t>relativities</a:t>
                </a:r>
              </a:p>
            </c:rich>
          </c:tx>
          <c:layout>
            <c:manualLayout>
              <c:xMode val="edge"/>
              <c:yMode val="edge"/>
              <c:x val="0.9532051475193497"/>
              <c:y val="0.17948877665544333"/>
            </c:manualLayout>
          </c:layout>
          <c:overlay val="0"/>
        </c:title>
        <c:numFmt formatCode="#,##0.0" sourceLinked="0"/>
        <c:majorTickMark val="out"/>
        <c:minorTickMark val="none"/>
        <c:tickLblPos val="nextTo"/>
        <c:txPr>
          <a:bodyPr/>
          <a:lstStyle/>
          <a:p>
            <a:pPr>
              <a:defRPr sz="800">
                <a:latin typeface="Montserrat Ultra Light" panose="00000300000000000000" pitchFamily="50" charset="0"/>
              </a:defRPr>
            </a:pPr>
            <a:endParaRPr lang="en-US"/>
          </a:p>
        </c:txPr>
        <c:crossAx val="1089628512"/>
        <c:crosses val="max"/>
        <c:crossBetween val="between"/>
      </c:valAx>
      <c:catAx>
        <c:axId val="1089628512"/>
        <c:scaling>
          <c:orientation val="minMax"/>
        </c:scaling>
        <c:delete val="1"/>
        <c:axPos val="b"/>
        <c:numFmt formatCode="General" sourceLinked="1"/>
        <c:majorTickMark val="out"/>
        <c:minorTickMark val="none"/>
        <c:tickLblPos val="nextTo"/>
        <c:crossAx val="379052640"/>
        <c:crosses val="autoZero"/>
        <c:auto val="1"/>
        <c:lblAlgn val="ctr"/>
        <c:lblOffset val="100"/>
        <c:noMultiLvlLbl val="0"/>
      </c:catAx>
    </c:plotArea>
    <c:legend>
      <c:legendPos val="t"/>
      <c:layout>
        <c:manualLayout>
          <c:xMode val="edge"/>
          <c:yMode val="edge"/>
          <c:x val="2.0590854842444644E-2"/>
          <c:y val="1.7402645668749894E-2"/>
          <c:w val="0.95881829031511068"/>
          <c:h val="4.4721526513991243E-2"/>
        </c:manualLayout>
      </c:layout>
      <c:overlay val="0"/>
      <c:spPr>
        <a:ln>
          <a:solidFill>
            <a:sysClr val="windowText" lastClr="000000"/>
          </a:solidFill>
        </a:ln>
      </c:spPr>
    </c:legend>
    <c:plotVisOnly val="1"/>
    <c:dispBlanksAs val="gap"/>
    <c:showDLblsOverMax val="0"/>
  </c:chart>
  <c:spPr>
    <a:solidFill>
      <a:sysClr val="window" lastClr="FFFFFF"/>
    </a:solidFill>
    <a:ln w="9525">
      <a:solidFill>
        <a:srgbClr val="ADD6EA"/>
      </a:solidFill>
    </a:ln>
  </c:spPr>
  <c:txPr>
    <a:bodyPr/>
    <a:lstStyle/>
    <a:p>
      <a:pPr>
        <a:defRPr>
          <a:latin typeface="Calibri" pitchFamily="34" charset="0"/>
          <a:cs typeface="Times New Roman" pitchFamily="18" charset="0"/>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261341118188291"/>
          <c:y val="3.970564051451049E-2"/>
          <c:w val="0.80877565463552725"/>
          <c:h val="0.73928338945005612"/>
        </c:manualLayout>
      </c:layout>
      <c:lineChart>
        <c:grouping val="standard"/>
        <c:varyColors val="0"/>
        <c:ser>
          <c:idx val="0"/>
          <c:order val="0"/>
          <c:tx>
            <c:strRef>
              <c:f>'[Charts for Qld box.xlsx]Sheet1'!$B$3</c:f>
              <c:strCache>
                <c:ptCount val="1"/>
                <c:pt idx="0">
                  <c:v>Queensland</c:v>
                </c:pt>
              </c:strCache>
            </c:strRef>
          </c:tx>
          <c:spPr>
            <a:ln w="31750">
              <a:solidFill>
                <a:srgbClr val="60B5D7"/>
              </a:solidFill>
            </a:ln>
          </c:spPr>
          <c:marker>
            <c:symbol val="none"/>
          </c:marker>
          <c:cat>
            <c:strRef>
              <c:f>'[Charts for Qld box.xlsx]Sheet1'!$A$4:$A$17</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'[Charts for Qld box.xlsx]Sheet1'!$B$4:$B$17</c:f>
              <c:numCache>
                <c:formatCode>General</c:formatCode>
                <c:ptCount val="14"/>
                <c:pt idx="0">
                  <c:v>531</c:v>
                </c:pt>
                <c:pt idx="1">
                  <c:v>528</c:v>
                </c:pt>
                <c:pt idx="2">
                  <c:v>377</c:v>
                </c:pt>
                <c:pt idx="3">
                  <c:v>415</c:v>
                </c:pt>
                <c:pt idx="4">
                  <c:v>340</c:v>
                </c:pt>
                <c:pt idx="5">
                  <c:v>355</c:v>
                </c:pt>
                <c:pt idx="6">
                  <c:v>697</c:v>
                </c:pt>
                <c:pt idx="7">
                  <c:v>753</c:v>
                </c:pt>
                <c:pt idx="8">
                  <c:v>865</c:v>
                </c:pt>
                <c:pt idx="9">
                  <c:v>686</c:v>
                </c:pt>
                <c:pt idx="10">
                  <c:v>336</c:v>
                </c:pt>
                <c:pt idx="11" formatCode="#,##0">
                  <c:v>1377</c:v>
                </c:pt>
                <c:pt idx="12" formatCode="#,##0">
                  <c:v>2852</c:v>
                </c:pt>
                <c:pt idx="13" formatCode="#,##0">
                  <c:v>1903</c:v>
                </c:pt>
              </c:numCache>
            </c:numRef>
          </c:val>
          <c:smooth val="0"/>
          <c:extLst>
            <c:ext xmlns:c16="http://schemas.microsoft.com/office/drawing/2014/chart" uri="{C3380CC4-5D6E-409C-BE32-E72D297353CC}">
              <c16:uniqueId val="{00000000-34CF-4135-94C8-16EB2E22C44C}"/>
            </c:ext>
          </c:extLst>
        </c:ser>
        <c:ser>
          <c:idx val="1"/>
          <c:order val="1"/>
          <c:tx>
            <c:strRef>
              <c:f>'[Charts for Qld box.xlsx]Sheet1'!$C$3</c:f>
              <c:strCache>
                <c:ptCount val="1"/>
                <c:pt idx="0">
                  <c:v>All states</c:v>
                </c:pt>
              </c:strCache>
            </c:strRef>
          </c:tx>
          <c:spPr>
            <a:ln w="31750">
              <a:solidFill>
                <a:srgbClr val="60B5D7"/>
              </a:solidFill>
              <a:prstDash val="dash"/>
            </a:ln>
          </c:spPr>
          <c:marker>
            <c:symbol val="none"/>
          </c:marker>
          <c:cat>
            <c:strRef>
              <c:f>'[Charts for Qld box.xlsx]Sheet1'!$A$4:$A$17</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'[Charts for Qld box.xlsx]Sheet1'!$C$4:$C$17</c:f>
              <c:numCache>
                <c:formatCode>General</c:formatCode>
                <c:ptCount val="14"/>
                <c:pt idx="0">
                  <c:v>212</c:v>
                </c:pt>
                <c:pt idx="1">
                  <c:v>223</c:v>
                </c:pt>
                <c:pt idx="2">
                  <c:v>173</c:v>
                </c:pt>
                <c:pt idx="3">
                  <c:v>182</c:v>
                </c:pt>
                <c:pt idx="4">
                  <c:v>158</c:v>
                </c:pt>
                <c:pt idx="5">
                  <c:v>157</c:v>
                </c:pt>
                <c:pt idx="6">
                  <c:v>271</c:v>
                </c:pt>
                <c:pt idx="7">
                  <c:v>295</c:v>
                </c:pt>
                <c:pt idx="8">
                  <c:v>338</c:v>
                </c:pt>
                <c:pt idx="9">
                  <c:v>261</c:v>
                </c:pt>
                <c:pt idx="10">
                  <c:v>156</c:v>
                </c:pt>
                <c:pt idx="11">
                  <c:v>563</c:v>
                </c:pt>
                <c:pt idx="12" formatCode="#,##0">
                  <c:v>1014</c:v>
                </c:pt>
                <c:pt idx="13">
                  <c:v>663</c:v>
                </c:pt>
              </c:numCache>
            </c:numRef>
          </c:val>
          <c:smooth val="0"/>
          <c:extLst>
            <c:ext xmlns:c16="http://schemas.microsoft.com/office/drawing/2014/chart" uri="{C3380CC4-5D6E-409C-BE32-E72D297353CC}">
              <c16:uniqueId val="{00000001-34CF-4135-94C8-16EB2E22C44C}"/>
            </c:ext>
          </c:extLst>
        </c:ser>
        <c:dLbls>
          <c:showLegendKey val="0"/>
          <c:showVal val="0"/>
          <c:showCatName val="0"/>
          <c:showSerName val="0"/>
          <c:showPercent val="0"/>
          <c:showBubbleSize val="0"/>
        </c:dLbls>
        <c:smooth val="0"/>
        <c:axId val="266557696"/>
        <c:axId val="266568064"/>
      </c:lineChart>
      <c:catAx>
        <c:axId val="266557696"/>
        <c:scaling>
          <c:orientation val="minMax"/>
        </c:scaling>
        <c:delete val="0"/>
        <c:axPos val="b"/>
        <c:title>
          <c:layout>
            <c:manualLayout>
              <c:xMode val="edge"/>
              <c:yMode val="edge"/>
              <c:x val="0.42243046709129783"/>
              <c:y val="0.91607351290684613"/>
            </c:manualLayout>
          </c:layout>
          <c:overlay val="0"/>
          <c:txPr>
            <a:bodyPr/>
            <a:lstStyle/>
            <a:p>
              <a:pPr>
                <a:defRPr sz="800">
                  <a:latin typeface="Work Sans" pitchFamily="2" charset="0"/>
                </a:defRPr>
              </a:pPr>
              <a:endParaRPr lang="en-US"/>
            </a:p>
          </c:txPr>
        </c:title>
        <c:numFmt formatCode="#,##0" sourceLinked="0"/>
        <c:majorTickMark val="none"/>
        <c:minorTickMark val="out"/>
        <c:tickLblPos val="nextTo"/>
        <c:spPr>
          <a:ln>
            <a:noFill/>
          </a:ln>
        </c:spPr>
        <c:txPr>
          <a:bodyPr/>
          <a:lstStyle/>
          <a:p>
            <a:pPr>
              <a:defRPr sz="800">
                <a:latin typeface="Work Sans" pitchFamily="2" charset="0"/>
              </a:defRPr>
            </a:pPr>
            <a:endParaRPr lang="en-US"/>
          </a:p>
        </c:txPr>
        <c:crossAx val="266568064"/>
        <c:crosses val="autoZero"/>
        <c:auto val="1"/>
        <c:lblAlgn val="ctr"/>
        <c:lblOffset val="100"/>
        <c:noMultiLvlLbl val="0"/>
      </c:catAx>
      <c:valAx>
        <c:axId val="266568064"/>
        <c:scaling>
          <c:orientation val="minMax"/>
        </c:scaling>
        <c:delete val="0"/>
        <c:axPos val="l"/>
        <c:majorGridlines>
          <c:spPr>
            <a:ln w="6350">
              <a:solidFill>
                <a:sysClr val="window" lastClr="FFFFFF">
                  <a:lumMod val="85000"/>
                </a:sysClr>
              </a:solidFill>
            </a:ln>
          </c:spPr>
        </c:majorGridlines>
        <c:title>
          <c:tx>
            <c:rich>
              <a:bodyPr/>
              <a:lstStyle/>
              <a:p>
                <a:pPr>
                  <a:defRPr sz="800" b="1">
                    <a:latin typeface="Work Sans" pitchFamily="2" charset="0"/>
                  </a:defRPr>
                </a:pPr>
                <a:r>
                  <a:rPr lang="en-US"/>
                  <a:t>Dollars per capita</a:t>
                </a:r>
              </a:p>
            </c:rich>
          </c:tx>
          <c:layout>
            <c:manualLayout>
              <c:xMode val="edge"/>
              <c:yMode val="edge"/>
              <c:x val="9.9871422954722795E-3"/>
              <c:y val="0.37301827393871612"/>
            </c:manualLayout>
          </c:layout>
          <c:overlay val="0"/>
        </c:title>
        <c:numFmt formatCode="#,##0" sourceLinked="0"/>
        <c:majorTickMark val="out"/>
        <c:minorTickMark val="none"/>
        <c:tickLblPos val="nextTo"/>
        <c:spPr>
          <a:ln>
            <a:noFill/>
          </a:ln>
        </c:spPr>
        <c:txPr>
          <a:bodyPr/>
          <a:lstStyle/>
          <a:p>
            <a:pPr>
              <a:defRPr sz="800">
                <a:latin typeface="Work Sans" pitchFamily="2" charset="0"/>
              </a:defRPr>
            </a:pPr>
            <a:endParaRPr lang="en-US"/>
          </a:p>
        </c:txPr>
        <c:crossAx val="266557696"/>
        <c:crosses val="autoZero"/>
        <c:crossBetween val="between"/>
        <c:majorUnit val="1000"/>
      </c:valAx>
    </c:plotArea>
    <c:legend>
      <c:legendPos val="b"/>
      <c:overlay val="0"/>
      <c:spPr>
        <a:solidFill>
          <a:sysClr val="window" lastClr="FFFFFF"/>
        </a:solidFill>
        <a:ln w="6350">
          <a:solidFill>
            <a:srgbClr val="939598"/>
          </a:solidFill>
        </a:ln>
      </c:spPr>
      <c:txPr>
        <a:bodyPr/>
        <a:lstStyle/>
        <a:p>
          <a:pPr>
            <a:defRPr sz="800">
              <a:latin typeface="Work Sans" pitchFamily="2" charset="0"/>
            </a:defRPr>
          </a:pPr>
          <a:endParaRPr lang="en-US"/>
        </a:p>
      </c:txPr>
    </c:legend>
    <c:plotVisOnly val="1"/>
    <c:dispBlanksAs val="gap"/>
    <c:showDLblsOverMax val="0"/>
  </c:chart>
  <c:spPr>
    <a:ln w="9525">
      <a:solidFill>
        <a:srgbClr val="ADD6EA"/>
      </a:solidFill>
    </a:ln>
  </c:spPr>
  <c:txPr>
    <a:bodyPr/>
    <a:lstStyle/>
    <a:p>
      <a:pPr>
        <a:defRPr>
          <a:latin typeface="Calibri" pitchFamily="34" charset="0"/>
          <a:cs typeface="Times New Roman" pitchFamily="18" charset="0"/>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261341118188291"/>
          <c:y val="3.970564051451049E-2"/>
          <c:w val="0.80877565463552725"/>
          <c:h val="0.73928338945005612"/>
        </c:manualLayout>
      </c:layout>
      <c:lineChart>
        <c:grouping val="standard"/>
        <c:varyColors val="0"/>
        <c:ser>
          <c:idx val="0"/>
          <c:order val="0"/>
          <c:tx>
            <c:strRef>
              <c:f>'[Charts for Qld box.xlsx]Sheet1'!$B$3</c:f>
              <c:strCache>
                <c:ptCount val="1"/>
                <c:pt idx="0">
                  <c:v>Queensland</c:v>
                </c:pt>
              </c:strCache>
            </c:strRef>
          </c:tx>
          <c:spPr>
            <a:ln w="31750">
              <a:solidFill>
                <a:srgbClr val="60B5D7"/>
              </a:solidFill>
            </a:ln>
          </c:spPr>
          <c:marker>
            <c:symbol val="none"/>
          </c:marker>
          <c:cat>
            <c:strRef>
              <c:f>'[Charts for Qld box.xlsx]Sheet1'!$A$4:$A$17</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'[Charts for Qld box.xlsx]Sheet1'!$B$4:$B$17</c:f>
              <c:numCache>
                <c:formatCode>General</c:formatCode>
                <c:ptCount val="14"/>
                <c:pt idx="0">
                  <c:v>531</c:v>
                </c:pt>
                <c:pt idx="1">
                  <c:v>528</c:v>
                </c:pt>
                <c:pt idx="2">
                  <c:v>377</c:v>
                </c:pt>
                <c:pt idx="3">
                  <c:v>415</c:v>
                </c:pt>
                <c:pt idx="4">
                  <c:v>340</c:v>
                </c:pt>
                <c:pt idx="5">
                  <c:v>355</c:v>
                </c:pt>
                <c:pt idx="6">
                  <c:v>697</c:v>
                </c:pt>
                <c:pt idx="7">
                  <c:v>753</c:v>
                </c:pt>
                <c:pt idx="8">
                  <c:v>865</c:v>
                </c:pt>
                <c:pt idx="9">
                  <c:v>686</c:v>
                </c:pt>
                <c:pt idx="10">
                  <c:v>336</c:v>
                </c:pt>
                <c:pt idx="11" formatCode="#,##0">
                  <c:v>1377</c:v>
                </c:pt>
                <c:pt idx="12" formatCode="#,##0">
                  <c:v>2852</c:v>
                </c:pt>
                <c:pt idx="13" formatCode="#,##0">
                  <c:v>1903</c:v>
                </c:pt>
              </c:numCache>
            </c:numRef>
          </c:val>
          <c:smooth val="0"/>
          <c:extLst>
            <c:ext xmlns:c16="http://schemas.microsoft.com/office/drawing/2014/chart" uri="{C3380CC4-5D6E-409C-BE32-E72D297353CC}">
              <c16:uniqueId val="{00000000-34CF-4135-94C8-16EB2E22C44C}"/>
            </c:ext>
          </c:extLst>
        </c:ser>
        <c:ser>
          <c:idx val="1"/>
          <c:order val="1"/>
          <c:tx>
            <c:strRef>
              <c:f>'[Charts for Qld box.xlsx]Sheet1'!$C$3</c:f>
              <c:strCache>
                <c:ptCount val="1"/>
                <c:pt idx="0">
                  <c:v>All states</c:v>
                </c:pt>
              </c:strCache>
            </c:strRef>
          </c:tx>
          <c:spPr>
            <a:ln w="31750">
              <a:solidFill>
                <a:srgbClr val="60B5D7"/>
              </a:solidFill>
              <a:prstDash val="dash"/>
            </a:ln>
          </c:spPr>
          <c:marker>
            <c:symbol val="none"/>
          </c:marker>
          <c:cat>
            <c:strRef>
              <c:f>'[Charts for Qld box.xlsx]Sheet1'!$A$4:$A$17</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'[Charts for Qld box.xlsx]Sheet1'!$C$4:$C$17</c:f>
              <c:numCache>
                <c:formatCode>General</c:formatCode>
                <c:ptCount val="14"/>
                <c:pt idx="0">
                  <c:v>212</c:v>
                </c:pt>
                <c:pt idx="1">
                  <c:v>223</c:v>
                </c:pt>
                <c:pt idx="2">
                  <c:v>173</c:v>
                </c:pt>
                <c:pt idx="3">
                  <c:v>182</c:v>
                </c:pt>
                <c:pt idx="4">
                  <c:v>158</c:v>
                </c:pt>
                <c:pt idx="5">
                  <c:v>157</c:v>
                </c:pt>
                <c:pt idx="6">
                  <c:v>271</c:v>
                </c:pt>
                <c:pt idx="7">
                  <c:v>295</c:v>
                </c:pt>
                <c:pt idx="8">
                  <c:v>338</c:v>
                </c:pt>
                <c:pt idx="9">
                  <c:v>261</c:v>
                </c:pt>
                <c:pt idx="10">
                  <c:v>156</c:v>
                </c:pt>
                <c:pt idx="11">
                  <c:v>563</c:v>
                </c:pt>
                <c:pt idx="12" formatCode="#,##0">
                  <c:v>1014</c:v>
                </c:pt>
                <c:pt idx="13">
                  <c:v>663</c:v>
                </c:pt>
              </c:numCache>
            </c:numRef>
          </c:val>
          <c:smooth val="0"/>
          <c:extLst>
            <c:ext xmlns:c16="http://schemas.microsoft.com/office/drawing/2014/chart" uri="{C3380CC4-5D6E-409C-BE32-E72D297353CC}">
              <c16:uniqueId val="{00000001-34CF-4135-94C8-16EB2E22C44C}"/>
            </c:ext>
          </c:extLst>
        </c:ser>
        <c:dLbls>
          <c:showLegendKey val="0"/>
          <c:showVal val="0"/>
          <c:showCatName val="0"/>
          <c:showSerName val="0"/>
          <c:showPercent val="0"/>
          <c:showBubbleSize val="0"/>
        </c:dLbls>
        <c:smooth val="0"/>
        <c:axId val="266557696"/>
        <c:axId val="266568064"/>
      </c:lineChart>
      <c:catAx>
        <c:axId val="266557696"/>
        <c:scaling>
          <c:orientation val="minMax"/>
        </c:scaling>
        <c:delete val="0"/>
        <c:axPos val="b"/>
        <c:title>
          <c:layout>
            <c:manualLayout>
              <c:xMode val="edge"/>
              <c:yMode val="edge"/>
              <c:x val="0.42243046709129783"/>
              <c:y val="0.91607351290684613"/>
            </c:manualLayout>
          </c:layout>
          <c:overlay val="0"/>
          <c:txPr>
            <a:bodyPr/>
            <a:lstStyle/>
            <a:p>
              <a:pPr>
                <a:defRPr sz="800">
                  <a:latin typeface="Work Sans" pitchFamily="2" charset="0"/>
                </a:defRPr>
              </a:pPr>
              <a:endParaRPr lang="en-US"/>
            </a:p>
          </c:txPr>
        </c:title>
        <c:numFmt formatCode="#,##0" sourceLinked="0"/>
        <c:majorTickMark val="none"/>
        <c:minorTickMark val="out"/>
        <c:tickLblPos val="nextTo"/>
        <c:spPr>
          <a:ln>
            <a:noFill/>
          </a:ln>
        </c:spPr>
        <c:txPr>
          <a:bodyPr/>
          <a:lstStyle/>
          <a:p>
            <a:pPr>
              <a:defRPr sz="800">
                <a:latin typeface="Work Sans" pitchFamily="2" charset="0"/>
              </a:defRPr>
            </a:pPr>
            <a:endParaRPr lang="en-US"/>
          </a:p>
        </c:txPr>
        <c:crossAx val="266568064"/>
        <c:crosses val="autoZero"/>
        <c:auto val="1"/>
        <c:lblAlgn val="ctr"/>
        <c:lblOffset val="100"/>
        <c:noMultiLvlLbl val="0"/>
      </c:catAx>
      <c:valAx>
        <c:axId val="266568064"/>
        <c:scaling>
          <c:orientation val="minMax"/>
        </c:scaling>
        <c:delete val="0"/>
        <c:axPos val="l"/>
        <c:majorGridlines>
          <c:spPr>
            <a:ln w="6350">
              <a:solidFill>
                <a:sysClr val="window" lastClr="FFFFFF">
                  <a:lumMod val="85000"/>
                </a:sysClr>
              </a:solidFill>
            </a:ln>
          </c:spPr>
        </c:majorGridlines>
        <c:title>
          <c:tx>
            <c:rich>
              <a:bodyPr/>
              <a:lstStyle/>
              <a:p>
                <a:pPr>
                  <a:defRPr sz="800" b="1">
                    <a:latin typeface="Work Sans" pitchFamily="2" charset="0"/>
                  </a:defRPr>
                </a:pPr>
                <a:r>
                  <a:rPr lang="en-US"/>
                  <a:t>Dollars per capita</a:t>
                </a:r>
              </a:p>
            </c:rich>
          </c:tx>
          <c:layout>
            <c:manualLayout>
              <c:xMode val="edge"/>
              <c:yMode val="edge"/>
              <c:x val="9.9871422954722795E-3"/>
              <c:y val="0.37301827393871612"/>
            </c:manualLayout>
          </c:layout>
          <c:overlay val="0"/>
        </c:title>
        <c:numFmt formatCode="#,##0" sourceLinked="0"/>
        <c:majorTickMark val="out"/>
        <c:minorTickMark val="none"/>
        <c:tickLblPos val="nextTo"/>
        <c:spPr>
          <a:ln>
            <a:noFill/>
          </a:ln>
        </c:spPr>
        <c:txPr>
          <a:bodyPr/>
          <a:lstStyle/>
          <a:p>
            <a:pPr>
              <a:defRPr sz="800">
                <a:latin typeface="Work Sans" pitchFamily="2" charset="0"/>
              </a:defRPr>
            </a:pPr>
            <a:endParaRPr lang="en-US"/>
          </a:p>
        </c:txPr>
        <c:crossAx val="266557696"/>
        <c:crosses val="autoZero"/>
        <c:crossBetween val="between"/>
        <c:majorUnit val="1000"/>
      </c:valAx>
    </c:plotArea>
    <c:legend>
      <c:legendPos val="b"/>
      <c:overlay val="0"/>
      <c:spPr>
        <a:solidFill>
          <a:sysClr val="window" lastClr="FFFFFF"/>
        </a:solidFill>
        <a:ln w="6350">
          <a:solidFill>
            <a:srgbClr val="939598"/>
          </a:solidFill>
        </a:ln>
      </c:spPr>
      <c:txPr>
        <a:bodyPr/>
        <a:lstStyle/>
        <a:p>
          <a:pPr>
            <a:defRPr sz="800">
              <a:latin typeface="Work Sans" pitchFamily="2" charset="0"/>
            </a:defRPr>
          </a:pPr>
          <a:endParaRPr lang="en-US"/>
        </a:p>
      </c:txPr>
    </c:legend>
    <c:plotVisOnly val="1"/>
    <c:dispBlanksAs val="gap"/>
    <c:showDLblsOverMax val="0"/>
  </c:chart>
  <c:spPr>
    <a:ln w="9525">
      <a:solidFill>
        <a:srgbClr val="ADD6EA"/>
      </a:solidFill>
    </a:ln>
  </c:spPr>
  <c:txPr>
    <a:bodyPr/>
    <a:lstStyle/>
    <a:p>
      <a:pPr>
        <a:defRPr>
          <a:latin typeface="Calibri" pitchFamily="34" charset="0"/>
          <a:cs typeface="Times New Roman" pitchFamily="18"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811942675159235"/>
          <c:y val="0.10028367003367003"/>
          <c:w val="0.85596249115357392"/>
          <c:h val="0.73866610549943879"/>
        </c:manualLayout>
      </c:layout>
      <c:lineChart>
        <c:grouping val="standard"/>
        <c:varyColors val="0"/>
        <c:ser>
          <c:idx val="0"/>
          <c:order val="0"/>
          <c:tx>
            <c:strRef>
              <c:f>'[Charts for Qld box.xlsx]Sheet1'!$B$66</c:f>
              <c:strCache>
                <c:ptCount val="1"/>
                <c:pt idx="0">
                  <c:v>High quality metallurgical coal</c:v>
                </c:pt>
              </c:strCache>
            </c:strRef>
          </c:tx>
          <c:spPr>
            <a:ln w="31750">
              <a:solidFill>
                <a:srgbClr val="60B5D7"/>
              </a:solidFill>
            </a:ln>
          </c:spPr>
          <c:marker>
            <c:symbol val="none"/>
          </c:marker>
          <c:cat>
            <c:strRef>
              <c:f>'[Charts for Qld box.xlsx]Sheet1'!$A$67:$A$80</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'[Charts for Qld box.xlsx]Sheet1'!$B$67:$B$80</c:f>
              <c:numCache>
                <c:formatCode>#,##0</c:formatCode>
                <c:ptCount val="14"/>
                <c:pt idx="0">
                  <c:v>231.21418232927249</c:v>
                </c:pt>
                <c:pt idx="1">
                  <c:v>235.572861363356</c:v>
                </c:pt>
                <c:pt idx="2">
                  <c:v>158.91624299672677</c:v>
                </c:pt>
                <c:pt idx="3">
                  <c:v>137.43197731719948</c:v>
                </c:pt>
                <c:pt idx="4">
                  <c:v>122.3884848161005</c:v>
                </c:pt>
                <c:pt idx="5">
                  <c:v>110.83348924851126</c:v>
                </c:pt>
                <c:pt idx="6">
                  <c:v>224.23830639907527</c:v>
                </c:pt>
                <c:pt idx="7">
                  <c:v>234.63815299289473</c:v>
                </c:pt>
                <c:pt idx="8">
                  <c:v>264.72135319220774</c:v>
                </c:pt>
                <c:pt idx="9">
                  <c:v>211.994589105476</c:v>
                </c:pt>
                <c:pt idx="10">
                  <c:v>144.59006073164525</c:v>
                </c:pt>
                <c:pt idx="11">
                  <c:v>454.56853146116828</c:v>
                </c:pt>
                <c:pt idx="12">
                  <c:v>401.99762141473173</c:v>
                </c:pt>
                <c:pt idx="13">
                  <c:v>388.30024628338828</c:v>
                </c:pt>
              </c:numCache>
            </c:numRef>
          </c:val>
          <c:smooth val="0"/>
          <c:extLst>
            <c:ext xmlns:c16="http://schemas.microsoft.com/office/drawing/2014/chart" uri="{C3380CC4-5D6E-409C-BE32-E72D297353CC}">
              <c16:uniqueId val="{00000000-2A22-47B9-9B5B-6AA63FC8BC9A}"/>
            </c:ext>
          </c:extLst>
        </c:ser>
        <c:ser>
          <c:idx val="1"/>
          <c:order val="1"/>
          <c:tx>
            <c:strRef>
              <c:f>'[Charts for Qld box.xlsx]Sheet1'!$C$66</c:f>
              <c:strCache>
                <c:ptCount val="1"/>
                <c:pt idx="0">
                  <c:v>Other quality metallurgical coal</c:v>
                </c:pt>
              </c:strCache>
            </c:strRef>
          </c:tx>
          <c:spPr>
            <a:ln w="31750">
              <a:solidFill>
                <a:srgbClr val="60B5D7"/>
              </a:solidFill>
              <a:prstDash val="dash"/>
            </a:ln>
          </c:spPr>
          <c:marker>
            <c:symbol val="none"/>
          </c:marker>
          <c:cat>
            <c:strRef>
              <c:f>'[Charts for Qld box.xlsx]Sheet1'!$A$67:$A$80</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'[Charts for Qld box.xlsx]Sheet1'!$C$67:$C$80</c:f>
              <c:numCache>
                <c:formatCode>#,##0</c:formatCode>
                <c:ptCount val="14"/>
                <c:pt idx="0">
                  <c:v>177.53292424554277</c:v>
                </c:pt>
                <c:pt idx="1">
                  <c:v>178.33058078521151</c:v>
                </c:pt>
                <c:pt idx="2">
                  <c:v>125.14125188519326</c:v>
                </c:pt>
                <c:pt idx="3">
                  <c:v>114.66559590380625</c:v>
                </c:pt>
                <c:pt idx="4">
                  <c:v>104.81997067834564</c:v>
                </c:pt>
                <c:pt idx="5">
                  <c:v>95.197641128780191</c:v>
                </c:pt>
                <c:pt idx="6">
                  <c:v>157.63489199293201</c:v>
                </c:pt>
                <c:pt idx="7">
                  <c:v>167.00488517802475</c:v>
                </c:pt>
                <c:pt idx="8">
                  <c:v>185.448773118535</c:v>
                </c:pt>
                <c:pt idx="9">
                  <c:v>151.633007990995</c:v>
                </c:pt>
                <c:pt idx="10">
                  <c:v>116.25736456257725</c:v>
                </c:pt>
                <c:pt idx="11">
                  <c:v>342.43961024816224</c:v>
                </c:pt>
                <c:pt idx="12">
                  <c:v>387.25489963127899</c:v>
                </c:pt>
                <c:pt idx="13">
                  <c:v>304.47043091820001</c:v>
                </c:pt>
              </c:numCache>
            </c:numRef>
          </c:val>
          <c:smooth val="0"/>
          <c:extLst>
            <c:ext xmlns:c16="http://schemas.microsoft.com/office/drawing/2014/chart" uri="{C3380CC4-5D6E-409C-BE32-E72D297353CC}">
              <c16:uniqueId val="{00000001-2A22-47B9-9B5B-6AA63FC8BC9A}"/>
            </c:ext>
          </c:extLst>
        </c:ser>
        <c:ser>
          <c:idx val="2"/>
          <c:order val="2"/>
          <c:tx>
            <c:strRef>
              <c:f>'[Charts for Qld box.xlsx]Sheet1'!$D$66</c:f>
              <c:strCache>
                <c:ptCount val="1"/>
                <c:pt idx="0">
                  <c:v>Thermal coal</c:v>
                </c:pt>
              </c:strCache>
            </c:strRef>
          </c:tx>
          <c:spPr>
            <a:ln w="31750">
              <a:solidFill>
                <a:srgbClr val="60B5D7"/>
              </a:solidFill>
              <a:prstDash val="sysDot"/>
            </a:ln>
          </c:spPr>
          <c:marker>
            <c:symbol val="none"/>
          </c:marker>
          <c:cat>
            <c:strRef>
              <c:f>'[Charts for Qld box.xlsx]Sheet1'!$A$67:$A$80</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'[Charts for Qld box.xlsx]Sheet1'!$D$67:$D$80</c:f>
              <c:numCache>
                <c:formatCode>#,##0</c:formatCode>
                <c:ptCount val="14"/>
                <c:pt idx="0">
                  <c:v>97.706687141209073</c:v>
                </c:pt>
                <c:pt idx="1">
                  <c:v>108.12200580172724</c:v>
                </c:pt>
                <c:pt idx="2">
                  <c:v>89.009932888958247</c:v>
                </c:pt>
                <c:pt idx="3">
                  <c:v>85.833030142876495</c:v>
                </c:pt>
                <c:pt idx="4">
                  <c:v>78.53846465983608</c:v>
                </c:pt>
                <c:pt idx="5">
                  <c:v>73.14057377775795</c:v>
                </c:pt>
                <c:pt idx="6">
                  <c:v>93.993758274719283</c:v>
                </c:pt>
                <c:pt idx="7">
                  <c:v>111.551444320716</c:v>
                </c:pt>
                <c:pt idx="8">
                  <c:v>123.63988195017276</c:v>
                </c:pt>
                <c:pt idx="9">
                  <c:v>95.693994639603432</c:v>
                </c:pt>
                <c:pt idx="10">
                  <c:v>83.452836201050232</c:v>
                </c:pt>
                <c:pt idx="11">
                  <c:v>239.75853250355499</c:v>
                </c:pt>
                <c:pt idx="12">
                  <c:v>365.32056411569897</c:v>
                </c:pt>
                <c:pt idx="13">
                  <c:v>181.313616973253</c:v>
                </c:pt>
              </c:numCache>
            </c:numRef>
          </c:val>
          <c:smooth val="0"/>
          <c:extLst>
            <c:ext xmlns:c16="http://schemas.microsoft.com/office/drawing/2014/chart" uri="{C3380CC4-5D6E-409C-BE32-E72D297353CC}">
              <c16:uniqueId val="{00000002-2A22-47B9-9B5B-6AA63FC8BC9A}"/>
            </c:ext>
          </c:extLst>
        </c:ser>
        <c:dLbls>
          <c:showLegendKey val="0"/>
          <c:showVal val="0"/>
          <c:showCatName val="0"/>
          <c:showSerName val="0"/>
          <c:showPercent val="0"/>
          <c:showBubbleSize val="0"/>
        </c:dLbls>
        <c:smooth val="0"/>
        <c:axId val="266557696"/>
        <c:axId val="266568064"/>
      </c:lineChart>
      <c:catAx>
        <c:axId val="266557696"/>
        <c:scaling>
          <c:orientation val="minMax"/>
        </c:scaling>
        <c:delete val="0"/>
        <c:axPos val="b"/>
        <c:numFmt formatCode="#,##0" sourceLinked="0"/>
        <c:majorTickMark val="none"/>
        <c:minorTickMark val="out"/>
        <c:tickLblPos val="nextTo"/>
        <c:spPr>
          <a:ln>
            <a:noFill/>
          </a:ln>
        </c:spPr>
        <c:txPr>
          <a:bodyPr/>
          <a:lstStyle/>
          <a:p>
            <a:pPr>
              <a:defRPr sz="800">
                <a:latin typeface="Work Sans" pitchFamily="2" charset="0"/>
              </a:defRPr>
            </a:pPr>
            <a:endParaRPr lang="en-US"/>
          </a:p>
        </c:txPr>
        <c:crossAx val="266568064"/>
        <c:crosses val="autoZero"/>
        <c:auto val="1"/>
        <c:lblAlgn val="ctr"/>
        <c:lblOffset val="100"/>
        <c:noMultiLvlLbl val="0"/>
      </c:catAx>
      <c:valAx>
        <c:axId val="266568064"/>
        <c:scaling>
          <c:orientation val="minMax"/>
        </c:scaling>
        <c:delete val="0"/>
        <c:axPos val="l"/>
        <c:majorGridlines>
          <c:spPr>
            <a:ln w="6350">
              <a:solidFill>
                <a:sysClr val="window" lastClr="FFFFFF">
                  <a:lumMod val="85000"/>
                </a:sysClr>
              </a:solidFill>
            </a:ln>
          </c:spPr>
        </c:majorGridlines>
        <c:title>
          <c:tx>
            <c:rich>
              <a:bodyPr/>
              <a:lstStyle/>
              <a:p>
                <a:pPr>
                  <a:defRPr sz="800" b="1">
                    <a:latin typeface="Work Sans" pitchFamily="2" charset="0"/>
                  </a:defRPr>
                </a:pPr>
                <a:r>
                  <a:rPr lang="en-US"/>
                  <a:t>Dollars per tonne</a:t>
                </a:r>
              </a:p>
            </c:rich>
          </c:tx>
          <c:layout>
            <c:manualLayout>
              <c:xMode val="edge"/>
              <c:yMode val="edge"/>
              <c:x val="9.9871422954722795E-3"/>
              <c:y val="0.37301827393871612"/>
            </c:manualLayout>
          </c:layout>
          <c:overlay val="0"/>
        </c:title>
        <c:numFmt formatCode="#,##0" sourceLinked="0"/>
        <c:majorTickMark val="out"/>
        <c:minorTickMark val="none"/>
        <c:tickLblPos val="nextTo"/>
        <c:spPr>
          <a:ln>
            <a:noFill/>
          </a:ln>
        </c:spPr>
        <c:txPr>
          <a:bodyPr/>
          <a:lstStyle/>
          <a:p>
            <a:pPr>
              <a:defRPr sz="800">
                <a:latin typeface="Work Sans" pitchFamily="2" charset="0"/>
              </a:defRPr>
            </a:pPr>
            <a:endParaRPr lang="en-US"/>
          </a:p>
        </c:txPr>
        <c:crossAx val="266557696"/>
        <c:crosses val="autoZero"/>
        <c:crossBetween val="between"/>
        <c:majorUnit val="100"/>
      </c:valAx>
    </c:plotArea>
    <c:legend>
      <c:legendPos val="t"/>
      <c:overlay val="0"/>
      <c:spPr>
        <a:solidFill>
          <a:sysClr val="window" lastClr="FFFFFF"/>
        </a:solidFill>
        <a:ln w="6350">
          <a:solidFill>
            <a:srgbClr val="939598"/>
          </a:solidFill>
        </a:ln>
      </c:spPr>
      <c:txPr>
        <a:bodyPr/>
        <a:lstStyle/>
        <a:p>
          <a:pPr>
            <a:defRPr sz="800">
              <a:latin typeface="Work Sans" pitchFamily="2" charset="0"/>
            </a:defRPr>
          </a:pPr>
          <a:endParaRPr lang="en-US"/>
        </a:p>
      </c:txPr>
    </c:legend>
    <c:plotVisOnly val="1"/>
    <c:dispBlanksAs val="gap"/>
    <c:showDLblsOverMax val="0"/>
  </c:chart>
  <c:spPr>
    <a:ln w="9525">
      <a:solidFill>
        <a:srgbClr val="ADD6EA"/>
      </a:solidFill>
    </a:ln>
  </c:spPr>
  <c:txPr>
    <a:bodyPr/>
    <a:lstStyle/>
    <a:p>
      <a:pPr>
        <a:defRPr>
          <a:latin typeface="Calibri" pitchFamily="34" charset="0"/>
          <a:cs typeface="Times New Roman" pitchFamily="18" charset="0"/>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811942675159235"/>
          <c:y val="0.10028367003367003"/>
          <c:w val="0.85596249115357392"/>
          <c:h val="0.73866610549943879"/>
        </c:manualLayout>
      </c:layout>
      <c:lineChart>
        <c:grouping val="standard"/>
        <c:varyColors val="0"/>
        <c:ser>
          <c:idx val="0"/>
          <c:order val="0"/>
          <c:tx>
            <c:strRef>
              <c:f>'[Charts for Qld box.xlsx]Sheet1'!$B$66</c:f>
              <c:strCache>
                <c:ptCount val="1"/>
                <c:pt idx="0">
                  <c:v>High quality metallurgical coal</c:v>
                </c:pt>
              </c:strCache>
            </c:strRef>
          </c:tx>
          <c:spPr>
            <a:ln w="31750">
              <a:solidFill>
                <a:srgbClr val="60B5D7"/>
              </a:solidFill>
            </a:ln>
          </c:spPr>
          <c:marker>
            <c:symbol val="none"/>
          </c:marker>
          <c:cat>
            <c:strRef>
              <c:f>'[Charts for Qld box.xlsx]Sheet1'!$A$67:$A$80</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'[Charts for Qld box.xlsx]Sheet1'!$B$67:$B$80</c:f>
              <c:numCache>
                <c:formatCode>#,##0</c:formatCode>
                <c:ptCount val="14"/>
                <c:pt idx="0">
                  <c:v>231.21418232927249</c:v>
                </c:pt>
                <c:pt idx="1">
                  <c:v>235.572861363356</c:v>
                </c:pt>
                <c:pt idx="2">
                  <c:v>158.91624299672677</c:v>
                </c:pt>
                <c:pt idx="3">
                  <c:v>137.43197731719948</c:v>
                </c:pt>
                <c:pt idx="4">
                  <c:v>122.3884848161005</c:v>
                </c:pt>
                <c:pt idx="5">
                  <c:v>110.83348924851126</c:v>
                </c:pt>
                <c:pt idx="6">
                  <c:v>224.23830639907527</c:v>
                </c:pt>
                <c:pt idx="7">
                  <c:v>234.63815299289473</c:v>
                </c:pt>
                <c:pt idx="8">
                  <c:v>264.72135319220774</c:v>
                </c:pt>
                <c:pt idx="9">
                  <c:v>211.994589105476</c:v>
                </c:pt>
                <c:pt idx="10">
                  <c:v>144.59006073164525</c:v>
                </c:pt>
                <c:pt idx="11">
                  <c:v>454.56853146116828</c:v>
                </c:pt>
                <c:pt idx="12">
                  <c:v>401.99762141473173</c:v>
                </c:pt>
                <c:pt idx="13">
                  <c:v>388.30024628338828</c:v>
                </c:pt>
              </c:numCache>
            </c:numRef>
          </c:val>
          <c:smooth val="0"/>
          <c:extLst>
            <c:ext xmlns:c16="http://schemas.microsoft.com/office/drawing/2014/chart" uri="{C3380CC4-5D6E-409C-BE32-E72D297353CC}">
              <c16:uniqueId val="{00000000-2A22-47B9-9B5B-6AA63FC8BC9A}"/>
            </c:ext>
          </c:extLst>
        </c:ser>
        <c:ser>
          <c:idx val="1"/>
          <c:order val="1"/>
          <c:tx>
            <c:strRef>
              <c:f>'[Charts for Qld box.xlsx]Sheet1'!$C$66</c:f>
              <c:strCache>
                <c:ptCount val="1"/>
                <c:pt idx="0">
                  <c:v>Other quality metallurgical coal</c:v>
                </c:pt>
              </c:strCache>
            </c:strRef>
          </c:tx>
          <c:spPr>
            <a:ln w="31750">
              <a:solidFill>
                <a:srgbClr val="60B5D7"/>
              </a:solidFill>
              <a:prstDash val="dash"/>
            </a:ln>
          </c:spPr>
          <c:marker>
            <c:symbol val="none"/>
          </c:marker>
          <c:cat>
            <c:strRef>
              <c:f>'[Charts for Qld box.xlsx]Sheet1'!$A$67:$A$80</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'[Charts for Qld box.xlsx]Sheet1'!$C$67:$C$80</c:f>
              <c:numCache>
                <c:formatCode>#,##0</c:formatCode>
                <c:ptCount val="14"/>
                <c:pt idx="0">
                  <c:v>177.53292424554277</c:v>
                </c:pt>
                <c:pt idx="1">
                  <c:v>178.33058078521151</c:v>
                </c:pt>
                <c:pt idx="2">
                  <c:v>125.14125188519326</c:v>
                </c:pt>
                <c:pt idx="3">
                  <c:v>114.66559590380625</c:v>
                </c:pt>
                <c:pt idx="4">
                  <c:v>104.81997067834564</c:v>
                </c:pt>
                <c:pt idx="5">
                  <c:v>95.197641128780191</c:v>
                </c:pt>
                <c:pt idx="6">
                  <c:v>157.63489199293201</c:v>
                </c:pt>
                <c:pt idx="7">
                  <c:v>167.00488517802475</c:v>
                </c:pt>
                <c:pt idx="8">
                  <c:v>185.448773118535</c:v>
                </c:pt>
                <c:pt idx="9">
                  <c:v>151.633007990995</c:v>
                </c:pt>
                <c:pt idx="10">
                  <c:v>116.25736456257725</c:v>
                </c:pt>
                <c:pt idx="11">
                  <c:v>342.43961024816224</c:v>
                </c:pt>
                <c:pt idx="12">
                  <c:v>387.25489963127899</c:v>
                </c:pt>
                <c:pt idx="13">
                  <c:v>304.47043091820001</c:v>
                </c:pt>
              </c:numCache>
            </c:numRef>
          </c:val>
          <c:smooth val="0"/>
          <c:extLst>
            <c:ext xmlns:c16="http://schemas.microsoft.com/office/drawing/2014/chart" uri="{C3380CC4-5D6E-409C-BE32-E72D297353CC}">
              <c16:uniqueId val="{00000001-2A22-47B9-9B5B-6AA63FC8BC9A}"/>
            </c:ext>
          </c:extLst>
        </c:ser>
        <c:ser>
          <c:idx val="2"/>
          <c:order val="2"/>
          <c:tx>
            <c:strRef>
              <c:f>'[Charts for Qld box.xlsx]Sheet1'!$D$66</c:f>
              <c:strCache>
                <c:ptCount val="1"/>
                <c:pt idx="0">
                  <c:v>Thermal coal</c:v>
                </c:pt>
              </c:strCache>
            </c:strRef>
          </c:tx>
          <c:spPr>
            <a:ln w="31750">
              <a:solidFill>
                <a:srgbClr val="60B5D7"/>
              </a:solidFill>
              <a:prstDash val="sysDot"/>
            </a:ln>
          </c:spPr>
          <c:marker>
            <c:symbol val="none"/>
          </c:marker>
          <c:cat>
            <c:strRef>
              <c:f>'[Charts for Qld box.xlsx]Sheet1'!$A$67:$A$80</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'[Charts for Qld box.xlsx]Sheet1'!$D$67:$D$80</c:f>
              <c:numCache>
                <c:formatCode>#,##0</c:formatCode>
                <c:ptCount val="14"/>
                <c:pt idx="0">
                  <c:v>97.706687141209073</c:v>
                </c:pt>
                <c:pt idx="1">
                  <c:v>108.12200580172724</c:v>
                </c:pt>
                <c:pt idx="2">
                  <c:v>89.009932888958247</c:v>
                </c:pt>
                <c:pt idx="3">
                  <c:v>85.833030142876495</c:v>
                </c:pt>
                <c:pt idx="4">
                  <c:v>78.53846465983608</c:v>
                </c:pt>
                <c:pt idx="5">
                  <c:v>73.14057377775795</c:v>
                </c:pt>
                <c:pt idx="6">
                  <c:v>93.993758274719283</c:v>
                </c:pt>
                <c:pt idx="7">
                  <c:v>111.551444320716</c:v>
                </c:pt>
                <c:pt idx="8">
                  <c:v>123.63988195017276</c:v>
                </c:pt>
                <c:pt idx="9">
                  <c:v>95.693994639603432</c:v>
                </c:pt>
                <c:pt idx="10">
                  <c:v>83.452836201050232</c:v>
                </c:pt>
                <c:pt idx="11">
                  <c:v>239.75853250355499</c:v>
                </c:pt>
                <c:pt idx="12">
                  <c:v>365.32056411569897</c:v>
                </c:pt>
                <c:pt idx="13">
                  <c:v>181.313616973253</c:v>
                </c:pt>
              </c:numCache>
            </c:numRef>
          </c:val>
          <c:smooth val="0"/>
          <c:extLst>
            <c:ext xmlns:c16="http://schemas.microsoft.com/office/drawing/2014/chart" uri="{C3380CC4-5D6E-409C-BE32-E72D297353CC}">
              <c16:uniqueId val="{00000002-2A22-47B9-9B5B-6AA63FC8BC9A}"/>
            </c:ext>
          </c:extLst>
        </c:ser>
        <c:dLbls>
          <c:showLegendKey val="0"/>
          <c:showVal val="0"/>
          <c:showCatName val="0"/>
          <c:showSerName val="0"/>
          <c:showPercent val="0"/>
          <c:showBubbleSize val="0"/>
        </c:dLbls>
        <c:smooth val="0"/>
        <c:axId val="266557696"/>
        <c:axId val="266568064"/>
      </c:lineChart>
      <c:catAx>
        <c:axId val="266557696"/>
        <c:scaling>
          <c:orientation val="minMax"/>
        </c:scaling>
        <c:delete val="0"/>
        <c:axPos val="b"/>
        <c:numFmt formatCode="#,##0" sourceLinked="0"/>
        <c:majorTickMark val="none"/>
        <c:minorTickMark val="out"/>
        <c:tickLblPos val="nextTo"/>
        <c:spPr>
          <a:ln>
            <a:noFill/>
          </a:ln>
        </c:spPr>
        <c:txPr>
          <a:bodyPr/>
          <a:lstStyle/>
          <a:p>
            <a:pPr>
              <a:defRPr sz="800">
                <a:latin typeface="Work Sans" pitchFamily="2" charset="0"/>
              </a:defRPr>
            </a:pPr>
            <a:endParaRPr lang="en-US"/>
          </a:p>
        </c:txPr>
        <c:crossAx val="266568064"/>
        <c:crosses val="autoZero"/>
        <c:auto val="1"/>
        <c:lblAlgn val="ctr"/>
        <c:lblOffset val="100"/>
        <c:noMultiLvlLbl val="0"/>
      </c:catAx>
      <c:valAx>
        <c:axId val="266568064"/>
        <c:scaling>
          <c:orientation val="minMax"/>
        </c:scaling>
        <c:delete val="0"/>
        <c:axPos val="l"/>
        <c:majorGridlines>
          <c:spPr>
            <a:ln w="6350">
              <a:solidFill>
                <a:sysClr val="window" lastClr="FFFFFF">
                  <a:lumMod val="85000"/>
                </a:sysClr>
              </a:solidFill>
            </a:ln>
          </c:spPr>
        </c:majorGridlines>
        <c:title>
          <c:tx>
            <c:rich>
              <a:bodyPr/>
              <a:lstStyle/>
              <a:p>
                <a:pPr>
                  <a:defRPr sz="800" b="1">
                    <a:latin typeface="Work Sans" pitchFamily="2" charset="0"/>
                  </a:defRPr>
                </a:pPr>
                <a:r>
                  <a:rPr lang="en-US"/>
                  <a:t>Dollars per tonne</a:t>
                </a:r>
              </a:p>
            </c:rich>
          </c:tx>
          <c:layout>
            <c:manualLayout>
              <c:xMode val="edge"/>
              <c:yMode val="edge"/>
              <c:x val="9.9871422954722795E-3"/>
              <c:y val="0.37301827393871612"/>
            </c:manualLayout>
          </c:layout>
          <c:overlay val="0"/>
        </c:title>
        <c:numFmt formatCode="#,##0" sourceLinked="0"/>
        <c:majorTickMark val="out"/>
        <c:minorTickMark val="none"/>
        <c:tickLblPos val="nextTo"/>
        <c:spPr>
          <a:ln>
            <a:noFill/>
          </a:ln>
        </c:spPr>
        <c:txPr>
          <a:bodyPr/>
          <a:lstStyle/>
          <a:p>
            <a:pPr>
              <a:defRPr sz="800">
                <a:latin typeface="Work Sans" pitchFamily="2" charset="0"/>
              </a:defRPr>
            </a:pPr>
            <a:endParaRPr lang="en-US"/>
          </a:p>
        </c:txPr>
        <c:crossAx val="266557696"/>
        <c:crosses val="autoZero"/>
        <c:crossBetween val="between"/>
        <c:majorUnit val="100"/>
      </c:valAx>
    </c:plotArea>
    <c:legend>
      <c:legendPos val="t"/>
      <c:overlay val="0"/>
      <c:spPr>
        <a:solidFill>
          <a:sysClr val="window" lastClr="FFFFFF"/>
        </a:solidFill>
        <a:ln w="6350">
          <a:solidFill>
            <a:srgbClr val="939598"/>
          </a:solidFill>
        </a:ln>
      </c:spPr>
      <c:txPr>
        <a:bodyPr/>
        <a:lstStyle/>
        <a:p>
          <a:pPr>
            <a:defRPr sz="800">
              <a:latin typeface="Work Sans" pitchFamily="2" charset="0"/>
            </a:defRPr>
          </a:pPr>
          <a:endParaRPr lang="en-US"/>
        </a:p>
      </c:txPr>
    </c:legend>
    <c:plotVisOnly val="1"/>
    <c:dispBlanksAs val="gap"/>
    <c:showDLblsOverMax val="0"/>
  </c:chart>
  <c:spPr>
    <a:ln w="9525">
      <a:solidFill>
        <a:srgbClr val="ADD6EA"/>
      </a:solidFill>
    </a:ln>
  </c:spPr>
  <c:txPr>
    <a:bodyPr/>
    <a:lstStyle/>
    <a:p>
      <a:pPr>
        <a:defRPr>
          <a:latin typeface="Calibri" pitchFamily="34" charset="0"/>
          <a:cs typeface="Times New Roman" pitchFamily="18"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762561924982307"/>
          <c:y val="4.2179951690821255E-2"/>
          <c:w val="0.86868082094833687"/>
          <c:h val="0.88555797101449274"/>
        </c:manualLayout>
      </c:layout>
      <c:barChart>
        <c:barDir val="col"/>
        <c:grouping val="clustered"/>
        <c:varyColors val="0"/>
        <c:ser>
          <c:idx val="0"/>
          <c:order val="0"/>
          <c:tx>
            <c:strRef>
              <c:f>'Population growth box 1'!$A$3</c:f>
              <c:strCache>
                <c:ptCount val="1"/>
                <c:pt idx="0">
                  <c:v>2017-18</c:v>
                </c:pt>
              </c:strCache>
            </c:strRef>
          </c:tx>
          <c:spPr>
            <a:solidFill>
              <a:srgbClr val="004563"/>
            </a:solidFill>
            <a:ln>
              <a:noFill/>
            </a:ln>
          </c:spPr>
          <c:invertIfNegative val="0"/>
          <c:cat>
            <c:strRef>
              <c:f>'Population growth box 1'!$B$2:$J$2</c:f>
              <c:strCache>
                <c:ptCount val="9"/>
                <c:pt idx="0">
                  <c:v>NSW</c:v>
                </c:pt>
                <c:pt idx="1">
                  <c:v>Vic</c:v>
                </c:pt>
                <c:pt idx="2">
                  <c:v>Qld</c:v>
                </c:pt>
                <c:pt idx="3">
                  <c:v>WA</c:v>
                </c:pt>
                <c:pt idx="4">
                  <c:v>SA</c:v>
                </c:pt>
                <c:pt idx="5">
                  <c:v>Tas</c:v>
                </c:pt>
                <c:pt idx="6">
                  <c:v>ACT</c:v>
                </c:pt>
                <c:pt idx="7">
                  <c:v>NT</c:v>
                </c:pt>
                <c:pt idx="8">
                  <c:v>Total</c:v>
                </c:pt>
              </c:strCache>
            </c:strRef>
          </c:cat>
          <c:val>
            <c:numRef>
              <c:f>'Population growth box 1'!$B$3:$J$3</c:f>
              <c:numCache>
                <c:formatCode>General</c:formatCode>
                <c:ptCount val="9"/>
                <c:pt idx="0">
                  <c:v>1.3510270183596518</c:v>
                </c:pt>
                <c:pt idx="1">
                  <c:v>1.9633306557751196</c:v>
                </c:pt>
                <c:pt idx="2">
                  <c:v>1.597931082079862</c:v>
                </c:pt>
                <c:pt idx="3">
                  <c:v>1.1800252645736364</c:v>
                </c:pt>
                <c:pt idx="4">
                  <c:v>0.93476313983646975</c:v>
                </c:pt>
                <c:pt idx="5">
                  <c:v>1.8353158448296103</c:v>
                </c:pt>
                <c:pt idx="6">
                  <c:v>2.7753999970651311</c:v>
                </c:pt>
                <c:pt idx="7">
                  <c:v>0.32389815699103153</c:v>
                </c:pt>
                <c:pt idx="8">
                  <c:v>1.533593199962846</c:v>
                </c:pt>
              </c:numCache>
            </c:numRef>
          </c:val>
          <c:extLst>
            <c:ext xmlns:c16="http://schemas.microsoft.com/office/drawing/2014/chart" uri="{C3380CC4-5D6E-409C-BE32-E72D297353CC}">
              <c16:uniqueId val="{00000000-3A51-442F-84AD-0D29E2AB51C0}"/>
            </c:ext>
          </c:extLst>
        </c:ser>
        <c:ser>
          <c:idx val="1"/>
          <c:order val="1"/>
          <c:tx>
            <c:strRef>
              <c:f>'Population growth box 1'!$A$4</c:f>
              <c:strCache>
                <c:ptCount val="1"/>
                <c:pt idx="0">
                  <c:v>2018-19</c:v>
                </c:pt>
              </c:strCache>
            </c:strRef>
          </c:tx>
          <c:spPr>
            <a:solidFill>
              <a:srgbClr val="006991"/>
            </a:solidFill>
            <a:ln>
              <a:noFill/>
            </a:ln>
          </c:spPr>
          <c:invertIfNegative val="0"/>
          <c:cat>
            <c:strRef>
              <c:f>'Population growth box 1'!$B$2:$J$2</c:f>
              <c:strCache>
                <c:ptCount val="9"/>
                <c:pt idx="0">
                  <c:v>NSW</c:v>
                </c:pt>
                <c:pt idx="1">
                  <c:v>Vic</c:v>
                </c:pt>
                <c:pt idx="2">
                  <c:v>Qld</c:v>
                </c:pt>
                <c:pt idx="3">
                  <c:v>WA</c:v>
                </c:pt>
                <c:pt idx="4">
                  <c:v>SA</c:v>
                </c:pt>
                <c:pt idx="5">
                  <c:v>Tas</c:v>
                </c:pt>
                <c:pt idx="6">
                  <c:v>ACT</c:v>
                </c:pt>
                <c:pt idx="7">
                  <c:v>NT</c:v>
                </c:pt>
                <c:pt idx="8">
                  <c:v>Total</c:v>
                </c:pt>
              </c:strCache>
            </c:strRef>
          </c:cat>
          <c:val>
            <c:numRef>
              <c:f>'Population growth box 1'!$B$4:$J$4</c:f>
              <c:numCache>
                <c:formatCode>General</c:formatCode>
                <c:ptCount val="9"/>
                <c:pt idx="0">
                  <c:v>1.298806497348548</c:v>
                </c:pt>
                <c:pt idx="1">
                  <c:v>1.910679263503412</c:v>
                </c:pt>
                <c:pt idx="2">
                  <c:v>1.7228301348628738</c:v>
                </c:pt>
                <c:pt idx="3">
                  <c:v>1.4029619281764827</c:v>
                </c:pt>
                <c:pt idx="4">
                  <c:v>1.1558179222356468</c:v>
                </c:pt>
                <c:pt idx="5">
                  <c:v>2.1382306075878432</c:v>
                </c:pt>
                <c:pt idx="6">
                  <c:v>2.5062704354323673</c:v>
                </c:pt>
                <c:pt idx="7">
                  <c:v>-0.38158971409126829</c:v>
                </c:pt>
                <c:pt idx="8">
                  <c:v>1.5636240447740368</c:v>
                </c:pt>
              </c:numCache>
            </c:numRef>
          </c:val>
          <c:extLst>
            <c:ext xmlns:c16="http://schemas.microsoft.com/office/drawing/2014/chart" uri="{C3380CC4-5D6E-409C-BE32-E72D297353CC}">
              <c16:uniqueId val="{00000001-3A51-442F-84AD-0D29E2AB51C0}"/>
            </c:ext>
          </c:extLst>
        </c:ser>
        <c:ser>
          <c:idx val="2"/>
          <c:order val="2"/>
          <c:tx>
            <c:strRef>
              <c:f>'Population growth box 1'!$A$5</c:f>
              <c:strCache>
                <c:ptCount val="1"/>
                <c:pt idx="0">
                  <c:v>2019-20</c:v>
                </c:pt>
              </c:strCache>
            </c:strRef>
          </c:tx>
          <c:spPr>
            <a:solidFill>
              <a:srgbClr val="0092C8"/>
            </a:solidFill>
            <a:ln>
              <a:noFill/>
            </a:ln>
          </c:spPr>
          <c:invertIfNegative val="0"/>
          <c:cat>
            <c:strRef>
              <c:f>'Population growth box 1'!$B$2:$J$2</c:f>
              <c:strCache>
                <c:ptCount val="9"/>
                <c:pt idx="0">
                  <c:v>NSW</c:v>
                </c:pt>
                <c:pt idx="1">
                  <c:v>Vic</c:v>
                </c:pt>
                <c:pt idx="2">
                  <c:v>Qld</c:v>
                </c:pt>
                <c:pt idx="3">
                  <c:v>WA</c:v>
                </c:pt>
                <c:pt idx="4">
                  <c:v>SA</c:v>
                </c:pt>
                <c:pt idx="5">
                  <c:v>Tas</c:v>
                </c:pt>
                <c:pt idx="6">
                  <c:v>ACT</c:v>
                </c:pt>
                <c:pt idx="7">
                  <c:v>NT</c:v>
                </c:pt>
                <c:pt idx="8">
                  <c:v>Total</c:v>
                </c:pt>
              </c:strCache>
            </c:strRef>
          </c:cat>
          <c:val>
            <c:numRef>
              <c:f>'Population growth box 1'!$B$5:$J$5</c:f>
              <c:numCache>
                <c:formatCode>General</c:formatCode>
                <c:ptCount val="9"/>
                <c:pt idx="0">
                  <c:v>1.059490496983595</c:v>
                </c:pt>
                <c:pt idx="1">
                  <c:v>1.7030894201038871</c:v>
                </c:pt>
                <c:pt idx="2">
                  <c:v>1.650809264522235</c:v>
                </c:pt>
                <c:pt idx="3">
                  <c:v>1.9873661244634633</c:v>
                </c:pt>
                <c:pt idx="4">
                  <c:v>1.3221394132874709</c:v>
                </c:pt>
                <c:pt idx="5">
                  <c:v>1.917937402265868</c:v>
                </c:pt>
                <c:pt idx="6">
                  <c:v>2.2075039813538089</c:v>
                </c:pt>
                <c:pt idx="7">
                  <c:v>0.11914443721534607</c:v>
                </c:pt>
                <c:pt idx="8">
                  <c:v>1.4887068616697308</c:v>
                </c:pt>
              </c:numCache>
            </c:numRef>
          </c:val>
          <c:extLst>
            <c:ext xmlns:c16="http://schemas.microsoft.com/office/drawing/2014/chart" uri="{C3380CC4-5D6E-409C-BE32-E72D297353CC}">
              <c16:uniqueId val="{00000002-3A51-442F-84AD-0D29E2AB51C0}"/>
            </c:ext>
          </c:extLst>
        </c:ser>
        <c:ser>
          <c:idx val="3"/>
          <c:order val="3"/>
          <c:tx>
            <c:strRef>
              <c:f>'Population growth box 1'!$A$6</c:f>
              <c:strCache>
                <c:ptCount val="1"/>
                <c:pt idx="0">
                  <c:v>2020-21</c:v>
                </c:pt>
              </c:strCache>
            </c:strRef>
          </c:tx>
          <c:spPr>
            <a:solidFill>
              <a:srgbClr val="5FB5D7"/>
            </a:solidFill>
            <a:ln>
              <a:solidFill>
                <a:srgbClr val="5FB5D7"/>
              </a:solidFill>
            </a:ln>
          </c:spPr>
          <c:invertIfNegative val="0"/>
          <c:cat>
            <c:strRef>
              <c:f>'Population growth box 1'!$B$2:$J$2</c:f>
              <c:strCache>
                <c:ptCount val="9"/>
                <c:pt idx="0">
                  <c:v>NSW</c:v>
                </c:pt>
                <c:pt idx="1">
                  <c:v>Vic</c:v>
                </c:pt>
                <c:pt idx="2">
                  <c:v>Qld</c:v>
                </c:pt>
                <c:pt idx="3">
                  <c:v>WA</c:v>
                </c:pt>
                <c:pt idx="4">
                  <c:v>SA</c:v>
                </c:pt>
                <c:pt idx="5">
                  <c:v>Tas</c:v>
                </c:pt>
                <c:pt idx="6">
                  <c:v>ACT</c:v>
                </c:pt>
                <c:pt idx="7">
                  <c:v>NT</c:v>
                </c:pt>
                <c:pt idx="8">
                  <c:v>Total</c:v>
                </c:pt>
              </c:strCache>
            </c:strRef>
          </c:cat>
          <c:val>
            <c:numRef>
              <c:f>'Population growth box 1'!$B$6:$J$6</c:f>
              <c:numCache>
                <c:formatCode>General</c:formatCode>
                <c:ptCount val="9"/>
                <c:pt idx="0">
                  <c:v>7.342649518240485E-2</c:v>
                </c:pt>
                <c:pt idx="1">
                  <c:v>-0.34681072222517706</c:v>
                </c:pt>
                <c:pt idx="2">
                  <c:v>1.06414729320643</c:v>
                </c:pt>
                <c:pt idx="3">
                  <c:v>1.4648919461811793</c:v>
                </c:pt>
                <c:pt idx="4">
                  <c:v>0.87614563377493848</c:v>
                </c:pt>
                <c:pt idx="5">
                  <c:v>1.5435356200527606</c:v>
                </c:pt>
                <c:pt idx="6">
                  <c:v>1.6769369496237418</c:v>
                </c:pt>
                <c:pt idx="7">
                  <c:v>0.65228074878256326</c:v>
                </c:pt>
                <c:pt idx="8">
                  <c:v>0.43179691060002412</c:v>
                </c:pt>
              </c:numCache>
            </c:numRef>
          </c:val>
          <c:extLst>
            <c:ext xmlns:c16="http://schemas.microsoft.com/office/drawing/2014/chart" uri="{C3380CC4-5D6E-409C-BE32-E72D297353CC}">
              <c16:uniqueId val="{00000003-3A51-442F-84AD-0D29E2AB51C0}"/>
            </c:ext>
          </c:extLst>
        </c:ser>
        <c:ser>
          <c:idx val="4"/>
          <c:order val="4"/>
          <c:tx>
            <c:strRef>
              <c:f>'Population growth box 1'!$A$7</c:f>
              <c:strCache>
                <c:ptCount val="1"/>
                <c:pt idx="0">
                  <c:v>2021-22</c:v>
                </c:pt>
              </c:strCache>
            </c:strRef>
          </c:tx>
          <c:spPr>
            <a:solidFill>
              <a:srgbClr val="ADD6EA"/>
            </a:solidFill>
            <a:ln>
              <a:noFill/>
            </a:ln>
          </c:spPr>
          <c:invertIfNegative val="0"/>
          <c:cat>
            <c:strRef>
              <c:f>'Population growth box 1'!$B$2:$J$2</c:f>
              <c:strCache>
                <c:ptCount val="9"/>
                <c:pt idx="0">
                  <c:v>NSW</c:v>
                </c:pt>
                <c:pt idx="1">
                  <c:v>Vic</c:v>
                </c:pt>
                <c:pt idx="2">
                  <c:v>Qld</c:v>
                </c:pt>
                <c:pt idx="3">
                  <c:v>WA</c:v>
                </c:pt>
                <c:pt idx="4">
                  <c:v>SA</c:v>
                </c:pt>
                <c:pt idx="5">
                  <c:v>Tas</c:v>
                </c:pt>
                <c:pt idx="6">
                  <c:v>ACT</c:v>
                </c:pt>
                <c:pt idx="7">
                  <c:v>NT</c:v>
                </c:pt>
                <c:pt idx="8">
                  <c:v>Total</c:v>
                </c:pt>
              </c:strCache>
            </c:strRef>
          </c:cat>
          <c:val>
            <c:numRef>
              <c:f>'Population growth box 1'!$B$7:$J$7</c:f>
              <c:numCache>
                <c:formatCode>General</c:formatCode>
                <c:ptCount val="9"/>
                <c:pt idx="0">
                  <c:v>8.5529323103905597E-2</c:v>
                </c:pt>
                <c:pt idx="1">
                  <c:v>-1.6795602993358028E-2</c:v>
                </c:pt>
                <c:pt idx="2">
                  <c:v>1.4791306647398361</c:v>
                </c:pt>
                <c:pt idx="3">
                  <c:v>1.2765987082263841</c:v>
                </c:pt>
                <c:pt idx="4">
                  <c:v>0.6251831972333477</c:v>
                </c:pt>
                <c:pt idx="5">
                  <c:v>1.20078806722419</c:v>
                </c:pt>
                <c:pt idx="6">
                  <c:v>1.1214118172679477</c:v>
                </c:pt>
                <c:pt idx="7">
                  <c:v>0.12347721522563138</c:v>
                </c:pt>
                <c:pt idx="8">
                  <c:v>0.54875394498723473</c:v>
                </c:pt>
              </c:numCache>
            </c:numRef>
          </c:val>
          <c:extLst>
            <c:ext xmlns:c16="http://schemas.microsoft.com/office/drawing/2014/chart" uri="{C3380CC4-5D6E-409C-BE32-E72D297353CC}">
              <c16:uniqueId val="{00000004-3A51-442F-84AD-0D29E2AB51C0}"/>
            </c:ext>
          </c:extLst>
        </c:ser>
        <c:ser>
          <c:idx val="5"/>
          <c:order val="5"/>
          <c:tx>
            <c:strRef>
              <c:f>'Population growth box 1'!$A$8</c:f>
              <c:strCache>
                <c:ptCount val="1"/>
                <c:pt idx="0">
                  <c:v>2022-23</c:v>
                </c:pt>
              </c:strCache>
            </c:strRef>
          </c:tx>
          <c:spPr>
            <a:solidFill>
              <a:srgbClr val="D6E7F0"/>
            </a:solidFill>
            <a:ln>
              <a:noFill/>
            </a:ln>
          </c:spPr>
          <c:invertIfNegative val="0"/>
          <c:cat>
            <c:strRef>
              <c:f>'Population growth box 1'!$B$2:$J$2</c:f>
              <c:strCache>
                <c:ptCount val="9"/>
                <c:pt idx="0">
                  <c:v>NSW</c:v>
                </c:pt>
                <c:pt idx="1">
                  <c:v>Vic</c:v>
                </c:pt>
                <c:pt idx="2">
                  <c:v>Qld</c:v>
                </c:pt>
                <c:pt idx="3">
                  <c:v>WA</c:v>
                </c:pt>
                <c:pt idx="4">
                  <c:v>SA</c:v>
                </c:pt>
                <c:pt idx="5">
                  <c:v>Tas</c:v>
                </c:pt>
                <c:pt idx="6">
                  <c:v>ACT</c:v>
                </c:pt>
                <c:pt idx="7">
                  <c:v>NT</c:v>
                </c:pt>
                <c:pt idx="8">
                  <c:v>Total</c:v>
                </c:pt>
              </c:strCache>
            </c:strRef>
          </c:cat>
          <c:val>
            <c:numRef>
              <c:f>'Population growth box 1'!$B$8:$J$8</c:f>
              <c:numCache>
                <c:formatCode>General</c:formatCode>
                <c:ptCount val="9"/>
                <c:pt idx="0">
                  <c:v>1.8148617807459466</c:v>
                </c:pt>
                <c:pt idx="1">
                  <c:v>2.3045976206242713</c:v>
                </c:pt>
                <c:pt idx="2">
                  <c:v>2.3860618451355009</c:v>
                </c:pt>
                <c:pt idx="3">
                  <c:v>2.6011802324634514</c:v>
                </c:pt>
                <c:pt idx="4">
                  <c:v>1.6732817088683571</c:v>
                </c:pt>
                <c:pt idx="5">
                  <c:v>0.7067889727554677</c:v>
                </c:pt>
                <c:pt idx="6">
                  <c:v>1.882607639119005</c:v>
                </c:pt>
                <c:pt idx="7">
                  <c:v>1.2876574307304711</c:v>
                </c:pt>
                <c:pt idx="8">
                  <c:v>2.1023462326933195</c:v>
                </c:pt>
              </c:numCache>
            </c:numRef>
          </c:val>
          <c:extLst>
            <c:ext xmlns:c16="http://schemas.microsoft.com/office/drawing/2014/chart" uri="{C3380CC4-5D6E-409C-BE32-E72D297353CC}">
              <c16:uniqueId val="{00000005-3A51-442F-84AD-0D29E2AB51C0}"/>
            </c:ext>
          </c:extLst>
        </c:ser>
        <c:ser>
          <c:idx val="6"/>
          <c:order val="6"/>
          <c:tx>
            <c:strRef>
              <c:f>'Population growth box 1'!$A$9</c:f>
              <c:strCache>
                <c:ptCount val="1"/>
                <c:pt idx="0">
                  <c:v>2023-24</c:v>
                </c:pt>
              </c:strCache>
            </c:strRef>
          </c:tx>
          <c:invertIfNegative val="0"/>
          <c:cat>
            <c:strRef>
              <c:f>'Population growth box 1'!$B$2:$J$2</c:f>
              <c:strCache>
                <c:ptCount val="9"/>
                <c:pt idx="0">
                  <c:v>NSW</c:v>
                </c:pt>
                <c:pt idx="1">
                  <c:v>Vic</c:v>
                </c:pt>
                <c:pt idx="2">
                  <c:v>Qld</c:v>
                </c:pt>
                <c:pt idx="3">
                  <c:v>WA</c:v>
                </c:pt>
                <c:pt idx="4">
                  <c:v>SA</c:v>
                </c:pt>
                <c:pt idx="5">
                  <c:v>Tas</c:v>
                </c:pt>
                <c:pt idx="6">
                  <c:v>ACT</c:v>
                </c:pt>
                <c:pt idx="7">
                  <c:v>NT</c:v>
                </c:pt>
                <c:pt idx="8">
                  <c:v>Total</c:v>
                </c:pt>
              </c:strCache>
            </c:strRef>
          </c:cat>
          <c:val>
            <c:numRef>
              <c:f>'Population growth box 1'!$B$9:$J$9</c:f>
              <c:numCache>
                <c:formatCode>General</c:formatCode>
                <c:ptCount val="9"/>
                <c:pt idx="0">
                  <c:v>2.1279183012055114</c:v>
                </c:pt>
                <c:pt idx="1">
                  <c:v>2.7437195325463071</c:v>
                </c:pt>
                <c:pt idx="2">
                  <c:v>2.6144040806877378</c:v>
                </c:pt>
                <c:pt idx="3">
                  <c:v>3.3083517291347952</c:v>
                </c:pt>
                <c:pt idx="4">
                  <c:v>1.6578900927477269</c:v>
                </c:pt>
                <c:pt idx="5">
                  <c:v>0.33249104596724255</c:v>
                </c:pt>
                <c:pt idx="6">
                  <c:v>1.9100504778920779</c:v>
                </c:pt>
                <c:pt idx="7">
                  <c:v>1.0118573929651431</c:v>
                </c:pt>
                <c:pt idx="8">
                  <c:v>2.4255974344728148</c:v>
                </c:pt>
              </c:numCache>
            </c:numRef>
          </c:val>
          <c:extLst>
            <c:ext xmlns:c16="http://schemas.microsoft.com/office/drawing/2014/chart" uri="{C3380CC4-5D6E-409C-BE32-E72D297353CC}">
              <c16:uniqueId val="{00000006-3A51-442F-84AD-0D29E2AB51C0}"/>
            </c:ext>
          </c:extLst>
        </c:ser>
        <c:dLbls>
          <c:showLegendKey val="0"/>
          <c:showVal val="0"/>
          <c:showCatName val="0"/>
          <c:showSerName val="0"/>
          <c:showPercent val="0"/>
          <c:showBubbleSize val="0"/>
        </c:dLbls>
        <c:gapWidth val="150"/>
        <c:axId val="266020736"/>
        <c:axId val="266031104"/>
      </c:barChart>
      <c:catAx>
        <c:axId val="266020736"/>
        <c:scaling>
          <c:orientation val="minMax"/>
        </c:scaling>
        <c:delete val="0"/>
        <c:axPos val="b"/>
        <c:numFmt formatCode="#,##0" sourceLinked="0"/>
        <c:majorTickMark val="out"/>
        <c:minorTickMark val="none"/>
        <c:tickLblPos val="low"/>
        <c:spPr>
          <a:ln>
            <a:noFill/>
          </a:ln>
        </c:spPr>
        <c:txPr>
          <a:bodyPr/>
          <a:lstStyle/>
          <a:p>
            <a:pPr>
              <a:defRPr sz="800">
                <a:latin typeface="Work Sans" pitchFamily="2" charset="0"/>
              </a:defRPr>
            </a:pPr>
            <a:endParaRPr lang="en-US"/>
          </a:p>
        </c:txPr>
        <c:crossAx val="266031104"/>
        <c:crosses val="autoZero"/>
        <c:auto val="1"/>
        <c:lblAlgn val="ctr"/>
        <c:lblOffset val="100"/>
        <c:noMultiLvlLbl val="0"/>
      </c:catAx>
      <c:valAx>
        <c:axId val="266031104"/>
        <c:scaling>
          <c:orientation val="minMax"/>
          <c:min val="-0.5"/>
        </c:scaling>
        <c:delete val="0"/>
        <c:axPos val="l"/>
        <c:majorGridlines>
          <c:spPr>
            <a:ln w="6350">
              <a:solidFill>
                <a:sysClr val="window" lastClr="FFFFFF">
                  <a:lumMod val="85000"/>
                </a:sysClr>
              </a:solidFill>
            </a:ln>
          </c:spPr>
        </c:majorGridlines>
        <c:title>
          <c:tx>
            <c:rich>
              <a:bodyPr rot="-5400000" vert="horz"/>
              <a:lstStyle/>
              <a:p>
                <a:pPr marL="0" marR="0" lvl="0" indent="0" algn="ctr" defTabSz="914400" rtl="0" eaLnBrk="1" fontAlgn="auto" latinLnBrk="0" hangingPunct="1">
                  <a:lnSpc>
                    <a:spcPct val="100000"/>
                  </a:lnSpc>
                  <a:spcBef>
                    <a:spcPts val="0"/>
                  </a:spcBef>
                  <a:spcAft>
                    <a:spcPts val="0"/>
                  </a:spcAft>
                  <a:buClrTx/>
                  <a:buSzTx/>
                  <a:buFontTx/>
                  <a:buNone/>
                  <a:tabLst/>
                  <a:defRPr sz="800" b="1" i="0" u="none" strike="noStrike" kern="1200" baseline="0">
                    <a:solidFill>
                      <a:sysClr val="windowText" lastClr="000000"/>
                    </a:solidFill>
                    <a:latin typeface="Work Sans" pitchFamily="2" charset="0"/>
                    <a:ea typeface="+mn-ea"/>
                    <a:cs typeface="Times New Roman" pitchFamily="18" charset="0"/>
                  </a:defRPr>
                </a:pPr>
                <a:r>
                  <a:rPr lang="en-US" sz="800" b="1" i="0" u="none" strike="noStrike" kern="1200" baseline="0">
                    <a:solidFill>
                      <a:sysClr val="windowText" lastClr="000000">
                        <a:lumMod val="65000"/>
                        <a:lumOff val="35000"/>
                      </a:sysClr>
                    </a:solidFill>
                    <a:latin typeface="Work Sans" pitchFamily="2" charset="0"/>
                  </a:rPr>
                  <a:t>Annual growth rate for year ended December 30 (%)</a:t>
                </a:r>
              </a:p>
              <a:p>
                <a:pPr marL="0" marR="0" lvl="0" indent="0" algn="ctr" defTabSz="914400" rtl="0" eaLnBrk="1" fontAlgn="auto" latinLnBrk="0" hangingPunct="1">
                  <a:lnSpc>
                    <a:spcPct val="100000"/>
                  </a:lnSpc>
                  <a:spcBef>
                    <a:spcPts val="0"/>
                  </a:spcBef>
                  <a:spcAft>
                    <a:spcPts val="0"/>
                  </a:spcAft>
                  <a:buClrTx/>
                  <a:buSzTx/>
                  <a:buFontTx/>
                  <a:buNone/>
                  <a:tabLst/>
                  <a:defRPr sz="800" b="1" i="0" u="none" strike="noStrike" kern="1200" baseline="0">
                    <a:solidFill>
                      <a:sysClr val="windowText" lastClr="000000"/>
                    </a:solidFill>
                    <a:latin typeface="Work Sans" pitchFamily="2" charset="0"/>
                    <a:ea typeface="+mn-ea"/>
                    <a:cs typeface="Times New Roman" pitchFamily="18" charset="0"/>
                  </a:defRPr>
                </a:pPr>
                <a:endParaRPr lang="en-AU"/>
              </a:p>
            </c:rich>
          </c:tx>
          <c:layout>
            <c:manualLayout>
              <c:xMode val="edge"/>
              <c:yMode val="edge"/>
              <c:x val="1.1246752359896075E-2"/>
              <c:y val="0.11459027777777778"/>
            </c:manualLayout>
          </c:layout>
          <c:overlay val="0"/>
        </c:title>
        <c:numFmt formatCode="#,##0.0" sourceLinked="0"/>
        <c:majorTickMark val="out"/>
        <c:minorTickMark val="none"/>
        <c:tickLblPos val="nextTo"/>
        <c:spPr>
          <a:ln>
            <a:noFill/>
          </a:ln>
        </c:spPr>
        <c:txPr>
          <a:bodyPr/>
          <a:lstStyle/>
          <a:p>
            <a:pPr>
              <a:defRPr sz="800">
                <a:latin typeface="Work Sans" pitchFamily="2" charset="0"/>
              </a:defRPr>
            </a:pPr>
            <a:endParaRPr lang="en-US"/>
          </a:p>
        </c:txPr>
        <c:crossAx val="266020736"/>
        <c:crosses val="autoZero"/>
        <c:crossBetween val="between"/>
      </c:valAx>
    </c:plotArea>
    <c:legend>
      <c:legendPos val="r"/>
      <c:layout>
        <c:manualLayout>
          <c:xMode val="edge"/>
          <c:yMode val="edge"/>
          <c:x val="0.82126397735314938"/>
          <c:y val="4.4451992753623187E-2"/>
          <c:w val="9.5597310686482667E-2"/>
          <c:h val="0.38959842995169081"/>
        </c:manualLayout>
      </c:layout>
      <c:overlay val="0"/>
      <c:spPr>
        <a:noFill/>
        <a:ln w="6350">
          <a:noFill/>
        </a:ln>
      </c:spPr>
      <c:txPr>
        <a:bodyPr/>
        <a:lstStyle/>
        <a:p>
          <a:pPr>
            <a:defRPr sz="800">
              <a:latin typeface="Montserrat Ultra Light" panose="00000300000000000000" pitchFamily="50" charset="0"/>
            </a:defRPr>
          </a:pPr>
          <a:endParaRPr lang="en-US"/>
        </a:p>
      </c:txPr>
    </c:legend>
    <c:plotVisOnly val="1"/>
    <c:dispBlanksAs val="gap"/>
    <c:showDLblsOverMax val="0"/>
  </c:chart>
  <c:spPr>
    <a:ln w="9525">
      <a:solidFill>
        <a:srgbClr val="ADD6EA"/>
      </a:solidFill>
    </a:ln>
  </c:spPr>
  <c:txPr>
    <a:bodyPr/>
    <a:lstStyle/>
    <a:p>
      <a:pPr>
        <a:defRPr>
          <a:latin typeface="Calibri" pitchFamily="34" charset="0"/>
          <a:cs typeface="Times New Roman" pitchFamily="18"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'Figure 2-4'!$A$25</c:f>
              <c:strCache>
                <c:ptCount val="1"/>
                <c:pt idx="0">
                  <c:v>2020-21</c:v>
                </c:pt>
              </c:strCache>
            </c:strRef>
          </c:tx>
          <c:spPr>
            <a:solidFill>
              <a:srgbClr val="CC5E12"/>
            </a:solidFill>
            <a:ln>
              <a:noFill/>
            </a:ln>
          </c:spPr>
          <c:invertIfNegative val="0"/>
          <c:cat>
            <c:strRef>
              <c:f>'Figure 2-4'!$B$24:$J$24</c:f>
              <c:strCache>
                <c:ptCount val="9"/>
                <c:pt idx="0">
                  <c:v>NSW</c:v>
                </c:pt>
                <c:pt idx="1">
                  <c:v>Vic</c:v>
                </c:pt>
                <c:pt idx="2">
                  <c:v>Qld</c:v>
                </c:pt>
                <c:pt idx="3">
                  <c:v>WA</c:v>
                </c:pt>
                <c:pt idx="4">
                  <c:v>SA</c:v>
                </c:pt>
                <c:pt idx="5">
                  <c:v>Tas</c:v>
                </c:pt>
                <c:pt idx="6">
                  <c:v>ACT</c:v>
                </c:pt>
                <c:pt idx="7">
                  <c:v>NT</c:v>
                </c:pt>
                <c:pt idx="8">
                  <c:v>Total</c:v>
                </c:pt>
              </c:strCache>
            </c:strRef>
          </c:cat>
          <c:val>
            <c:numRef>
              <c:f>'Figure 2-4'!$B$25:$J$25</c:f>
              <c:numCache>
                <c:formatCode>#,##0</c:formatCode>
                <c:ptCount val="9"/>
                <c:pt idx="0">
                  <c:v>79960.674625230095</c:v>
                </c:pt>
                <c:pt idx="1">
                  <c:v>76158.20012364487</c:v>
                </c:pt>
                <c:pt idx="2">
                  <c:v>40018.244463296214</c:v>
                </c:pt>
                <c:pt idx="3">
                  <c:v>37992.847988093919</c:v>
                </c:pt>
                <c:pt idx="4">
                  <c:v>48154.476503039987</c:v>
                </c:pt>
                <c:pt idx="5">
                  <c:v>31570.719278073648</c:v>
                </c:pt>
                <c:pt idx="6">
                  <c:v>37003.45894886295</c:v>
                </c:pt>
                <c:pt idx="7">
                  <c:v>38427.64997759978</c:v>
                </c:pt>
                <c:pt idx="8">
                  <c:v>61997.155168694408</c:v>
                </c:pt>
              </c:numCache>
            </c:numRef>
          </c:val>
          <c:extLst>
            <c:ext xmlns:c16="http://schemas.microsoft.com/office/drawing/2014/chart" uri="{C3380CC4-5D6E-409C-BE32-E72D297353CC}">
              <c16:uniqueId val="{00000000-7775-48C7-ACB4-86D4585852E7}"/>
            </c:ext>
          </c:extLst>
        </c:ser>
        <c:ser>
          <c:idx val="1"/>
          <c:order val="1"/>
          <c:tx>
            <c:strRef>
              <c:f>'Figure 2-4'!$A$26</c:f>
              <c:strCache>
                <c:ptCount val="1"/>
                <c:pt idx="0">
                  <c:v>2021-22</c:v>
                </c:pt>
              </c:strCache>
            </c:strRef>
          </c:tx>
          <c:spPr>
            <a:solidFill>
              <a:sysClr val="window" lastClr="FFFFFF">
                <a:lumMod val="85000"/>
              </a:sysClr>
            </a:solidFill>
            <a:ln>
              <a:noFill/>
            </a:ln>
          </c:spPr>
          <c:invertIfNegative val="0"/>
          <c:cat>
            <c:strRef>
              <c:f>'Figure 2-4'!$B$24:$J$24</c:f>
              <c:strCache>
                <c:ptCount val="9"/>
                <c:pt idx="0">
                  <c:v>NSW</c:v>
                </c:pt>
                <c:pt idx="1">
                  <c:v>Vic</c:v>
                </c:pt>
                <c:pt idx="2">
                  <c:v>Qld</c:v>
                </c:pt>
                <c:pt idx="3">
                  <c:v>WA</c:v>
                </c:pt>
                <c:pt idx="4">
                  <c:v>SA</c:v>
                </c:pt>
                <c:pt idx="5">
                  <c:v>Tas</c:v>
                </c:pt>
                <c:pt idx="6">
                  <c:v>ACT</c:v>
                </c:pt>
                <c:pt idx="7">
                  <c:v>NT</c:v>
                </c:pt>
                <c:pt idx="8">
                  <c:v>Total</c:v>
                </c:pt>
              </c:strCache>
            </c:strRef>
          </c:cat>
          <c:val>
            <c:numRef>
              <c:f>'Figure 2-4'!$B$26:$J$26</c:f>
              <c:numCache>
                <c:formatCode>#,##0</c:formatCode>
                <c:ptCount val="9"/>
                <c:pt idx="0">
                  <c:v>97228.83022773228</c:v>
                </c:pt>
                <c:pt idx="1">
                  <c:v>87033.102092577145</c:v>
                </c:pt>
                <c:pt idx="2">
                  <c:v>39936.165645933332</c:v>
                </c:pt>
                <c:pt idx="3">
                  <c:v>39123.807383184678</c:v>
                </c:pt>
                <c:pt idx="4">
                  <c:v>51479.108821209229</c:v>
                </c:pt>
                <c:pt idx="5">
                  <c:v>34304.992857024801</c:v>
                </c:pt>
                <c:pt idx="6">
                  <c:v>41830.930518921072</c:v>
                </c:pt>
                <c:pt idx="7">
                  <c:v>43972.758386037276</c:v>
                </c:pt>
                <c:pt idx="8">
                  <c:v>70620.957396819504</c:v>
                </c:pt>
              </c:numCache>
            </c:numRef>
          </c:val>
          <c:extLst>
            <c:ext xmlns:c16="http://schemas.microsoft.com/office/drawing/2014/chart" uri="{C3380CC4-5D6E-409C-BE32-E72D297353CC}">
              <c16:uniqueId val="{00000001-7775-48C7-ACB4-86D4585852E7}"/>
            </c:ext>
          </c:extLst>
        </c:ser>
        <c:ser>
          <c:idx val="2"/>
          <c:order val="2"/>
          <c:tx>
            <c:strRef>
              <c:f>'Figure 2-4'!$A$27</c:f>
              <c:strCache>
                <c:ptCount val="1"/>
                <c:pt idx="0">
                  <c:v>2022-23</c:v>
                </c:pt>
              </c:strCache>
            </c:strRef>
          </c:tx>
          <c:spPr>
            <a:solidFill>
              <a:sysClr val="window" lastClr="FFFFFF">
                <a:lumMod val="85000"/>
              </a:sysClr>
            </a:solidFill>
            <a:ln>
              <a:noFill/>
            </a:ln>
          </c:spPr>
          <c:invertIfNegative val="0"/>
          <c:cat>
            <c:strRef>
              <c:f>'Figure 2-4'!$B$24:$J$24</c:f>
              <c:strCache>
                <c:ptCount val="9"/>
                <c:pt idx="0">
                  <c:v>NSW</c:v>
                </c:pt>
                <c:pt idx="1">
                  <c:v>Vic</c:v>
                </c:pt>
                <c:pt idx="2">
                  <c:v>Qld</c:v>
                </c:pt>
                <c:pt idx="3">
                  <c:v>WA</c:v>
                </c:pt>
                <c:pt idx="4">
                  <c:v>SA</c:v>
                </c:pt>
                <c:pt idx="5">
                  <c:v>Tas</c:v>
                </c:pt>
                <c:pt idx="6">
                  <c:v>ACT</c:v>
                </c:pt>
                <c:pt idx="7">
                  <c:v>NT</c:v>
                </c:pt>
                <c:pt idx="8">
                  <c:v>Total</c:v>
                </c:pt>
              </c:strCache>
            </c:strRef>
          </c:cat>
          <c:val>
            <c:numRef>
              <c:f>'Figure 2-4'!$B$27:$J$27</c:f>
              <c:numCache>
                <c:formatCode>#,##0</c:formatCode>
                <c:ptCount val="9"/>
                <c:pt idx="0">
                  <c:v>121611.89811971001</c:v>
                </c:pt>
                <c:pt idx="1">
                  <c:v>92881.941585277003</c:v>
                </c:pt>
                <c:pt idx="2">
                  <c:v>47272.782857168313</c:v>
                </c:pt>
                <c:pt idx="3">
                  <c:v>40075.433494113699</c:v>
                </c:pt>
                <c:pt idx="4">
                  <c:v>58281.867892475711</c:v>
                </c:pt>
                <c:pt idx="5">
                  <c:v>43254.012169478578</c:v>
                </c:pt>
                <c:pt idx="6">
                  <c:v>48437.8852592365</c:v>
                </c:pt>
                <c:pt idx="7">
                  <c:v>51625.446814062154</c:v>
                </c:pt>
                <c:pt idx="8">
                  <c:v>82192.751633221807</c:v>
                </c:pt>
              </c:numCache>
            </c:numRef>
          </c:val>
          <c:extLst>
            <c:ext xmlns:c16="http://schemas.microsoft.com/office/drawing/2014/chart" uri="{C3380CC4-5D6E-409C-BE32-E72D297353CC}">
              <c16:uniqueId val="{00000002-7775-48C7-ACB4-86D4585852E7}"/>
            </c:ext>
          </c:extLst>
        </c:ser>
        <c:ser>
          <c:idx val="3"/>
          <c:order val="3"/>
          <c:tx>
            <c:strRef>
              <c:f>'Figure 2-4'!$A$28</c:f>
              <c:strCache>
                <c:ptCount val="1"/>
                <c:pt idx="0">
                  <c:v>2023-24</c:v>
                </c:pt>
              </c:strCache>
            </c:strRef>
          </c:tx>
          <c:spPr>
            <a:solidFill>
              <a:srgbClr val="0092C8"/>
            </a:solidFill>
            <a:ln>
              <a:solidFill>
                <a:srgbClr val="5FB5D7"/>
              </a:solidFill>
            </a:ln>
          </c:spPr>
          <c:invertIfNegative val="0"/>
          <c:cat>
            <c:strRef>
              <c:f>'Figure 2-4'!$B$24:$J$24</c:f>
              <c:strCache>
                <c:ptCount val="9"/>
                <c:pt idx="0">
                  <c:v>NSW</c:v>
                </c:pt>
                <c:pt idx="1">
                  <c:v>Vic</c:v>
                </c:pt>
                <c:pt idx="2">
                  <c:v>Qld</c:v>
                </c:pt>
                <c:pt idx="3">
                  <c:v>WA</c:v>
                </c:pt>
                <c:pt idx="4">
                  <c:v>SA</c:v>
                </c:pt>
                <c:pt idx="5">
                  <c:v>Tas</c:v>
                </c:pt>
                <c:pt idx="6">
                  <c:v>ACT</c:v>
                </c:pt>
                <c:pt idx="7">
                  <c:v>NT</c:v>
                </c:pt>
                <c:pt idx="8">
                  <c:v>Total</c:v>
                </c:pt>
              </c:strCache>
            </c:strRef>
          </c:cat>
          <c:val>
            <c:numRef>
              <c:f>'Figure 2-4'!$B$28:$J$28</c:f>
              <c:numCache>
                <c:formatCode>#,##0</c:formatCode>
                <c:ptCount val="9"/>
                <c:pt idx="0">
                  <c:v>118826.24077547273</c:v>
                </c:pt>
                <c:pt idx="1">
                  <c:v>91760.691959026881</c:v>
                </c:pt>
                <c:pt idx="2">
                  <c:v>50517.30663029373</c:v>
                </c:pt>
                <c:pt idx="3">
                  <c:v>40227.783444027911</c:v>
                </c:pt>
                <c:pt idx="4">
                  <c:v>68017.93093583321</c:v>
                </c:pt>
                <c:pt idx="5">
                  <c:v>48835.750994513459</c:v>
                </c:pt>
                <c:pt idx="6">
                  <c:v>46743.842235823118</c:v>
                </c:pt>
                <c:pt idx="7">
                  <c:v>52488.089173891036</c:v>
                </c:pt>
                <c:pt idx="8">
                  <c:v>82445.871510887286</c:v>
                </c:pt>
              </c:numCache>
            </c:numRef>
          </c:val>
          <c:extLst>
            <c:ext xmlns:c16="http://schemas.microsoft.com/office/drawing/2014/chart" uri="{C3380CC4-5D6E-409C-BE32-E72D297353CC}">
              <c16:uniqueId val="{00000003-7775-48C7-ACB4-86D4585852E7}"/>
            </c:ext>
          </c:extLst>
        </c:ser>
        <c:dLbls>
          <c:showLegendKey val="0"/>
          <c:showVal val="0"/>
          <c:showCatName val="0"/>
          <c:showSerName val="0"/>
          <c:showPercent val="0"/>
          <c:showBubbleSize val="0"/>
        </c:dLbls>
        <c:gapWidth val="150"/>
        <c:axId val="266020736"/>
        <c:axId val="266031104"/>
      </c:barChart>
      <c:catAx>
        <c:axId val="266020736"/>
        <c:scaling>
          <c:orientation val="minMax"/>
        </c:scaling>
        <c:delete val="0"/>
        <c:axPos val="b"/>
        <c:numFmt formatCode="#,##0" sourceLinked="0"/>
        <c:majorTickMark val="out"/>
        <c:minorTickMark val="none"/>
        <c:tickLblPos val="low"/>
        <c:spPr>
          <a:ln>
            <a:noFill/>
          </a:ln>
        </c:spPr>
        <c:crossAx val="266031104"/>
        <c:crosses val="autoZero"/>
        <c:auto val="1"/>
        <c:lblAlgn val="ctr"/>
        <c:lblOffset val="100"/>
        <c:noMultiLvlLbl val="0"/>
      </c:catAx>
      <c:valAx>
        <c:axId val="266031104"/>
        <c:scaling>
          <c:orientation val="minMax"/>
        </c:scaling>
        <c:delete val="0"/>
        <c:axPos val="l"/>
        <c:majorGridlines>
          <c:spPr>
            <a:ln w="6350">
              <a:solidFill>
                <a:sysClr val="window" lastClr="FFFFFF">
                  <a:lumMod val="85000"/>
                </a:sysClr>
              </a:solidFill>
            </a:ln>
          </c:spPr>
        </c:majorGridlines>
        <c:title>
          <c:tx>
            <c:rich>
              <a:bodyPr rot="-5400000" vert="horz"/>
              <a:lstStyle/>
              <a:p>
                <a:pPr>
                  <a:defRPr/>
                </a:pPr>
                <a:r>
                  <a:rPr lang="en-AU"/>
                  <a:t>$ per capita</a:t>
                </a:r>
              </a:p>
            </c:rich>
          </c:tx>
          <c:overlay val="0"/>
        </c:title>
        <c:numFmt formatCode="#,##0" sourceLinked="0"/>
        <c:majorTickMark val="out"/>
        <c:minorTickMark val="none"/>
        <c:tickLblPos val="nextTo"/>
        <c:spPr>
          <a:ln>
            <a:noFill/>
          </a:ln>
        </c:spPr>
        <c:crossAx val="266020736"/>
        <c:crosses val="autoZero"/>
        <c:crossBetween val="between"/>
      </c:valAx>
    </c:plotArea>
    <c:legend>
      <c:legendPos val="t"/>
      <c:legendEntry>
        <c:idx val="1"/>
        <c:delete val="1"/>
      </c:legendEntry>
      <c:legendEntry>
        <c:idx val="2"/>
        <c:delete val="1"/>
      </c:legendEntry>
      <c:overlay val="0"/>
      <c:spPr>
        <a:solidFill>
          <a:sysClr val="window" lastClr="FFFFFF"/>
        </a:solidFill>
        <a:ln w="6350">
          <a:solidFill>
            <a:srgbClr val="939598"/>
          </a:solidFill>
        </a:ln>
      </c:spPr>
    </c:legend>
    <c:plotVisOnly val="1"/>
    <c:dispBlanksAs val="gap"/>
    <c:showDLblsOverMax val="0"/>
  </c:chart>
  <c:spPr>
    <a:ln w="9525">
      <a:solidFill>
        <a:srgbClr val="ADD6EA"/>
      </a:solidFill>
    </a:ln>
  </c:spPr>
  <c:txPr>
    <a:bodyPr/>
    <a:lstStyle/>
    <a:p>
      <a:pPr>
        <a:defRPr sz="800">
          <a:latin typeface="Work Sans" pitchFamily="2" charset="0"/>
          <a:cs typeface="Times New Roman" pitchFamily="18"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'Figure 2-5'!$A$25</c:f>
              <c:strCache>
                <c:ptCount val="1"/>
                <c:pt idx="0">
                  <c:v>2020-21</c:v>
                </c:pt>
              </c:strCache>
            </c:strRef>
          </c:tx>
          <c:spPr>
            <a:solidFill>
              <a:srgbClr val="CC5E12"/>
            </a:solidFill>
            <a:ln>
              <a:noFill/>
            </a:ln>
          </c:spPr>
          <c:invertIfNegative val="0"/>
          <c:cat>
            <c:strRef>
              <c:f>'Figure 2-5'!$B$24:$J$24</c:f>
              <c:strCache>
                <c:ptCount val="9"/>
                <c:pt idx="0">
                  <c:v>NSW</c:v>
                </c:pt>
                <c:pt idx="1">
                  <c:v>Vic</c:v>
                </c:pt>
                <c:pt idx="2">
                  <c:v>Qld</c:v>
                </c:pt>
                <c:pt idx="3">
                  <c:v>WA</c:v>
                </c:pt>
                <c:pt idx="4">
                  <c:v>SA</c:v>
                </c:pt>
                <c:pt idx="5">
                  <c:v>Tas</c:v>
                </c:pt>
                <c:pt idx="6">
                  <c:v>ACT</c:v>
                </c:pt>
                <c:pt idx="7">
                  <c:v>NT</c:v>
                </c:pt>
                <c:pt idx="8">
                  <c:v>Total</c:v>
                </c:pt>
              </c:strCache>
            </c:strRef>
          </c:cat>
          <c:val>
            <c:numRef>
              <c:f>'Figure 2-5'!$B$25:$J$25</c:f>
              <c:numCache>
                <c:formatCode>#,##0</c:formatCode>
                <c:ptCount val="9"/>
                <c:pt idx="0">
                  <c:v>28367.187572093942</c:v>
                </c:pt>
                <c:pt idx="1">
                  <c:v>23100.820735437122</c:v>
                </c:pt>
                <c:pt idx="2">
                  <c:v>22175.21332181503</c:v>
                </c:pt>
                <c:pt idx="3">
                  <c:v>18949.867483442777</c:v>
                </c:pt>
                <c:pt idx="4">
                  <c:v>14863.340408660952</c:v>
                </c:pt>
                <c:pt idx="5">
                  <c:v>15228.306847780847</c:v>
                </c:pt>
                <c:pt idx="6">
                  <c:v>23809.489556573215</c:v>
                </c:pt>
                <c:pt idx="7">
                  <c:v>9794.6835618879904</c:v>
                </c:pt>
                <c:pt idx="8">
                  <c:v>23269.336162595486</c:v>
                </c:pt>
              </c:numCache>
            </c:numRef>
          </c:val>
          <c:extLst>
            <c:ext xmlns:c16="http://schemas.microsoft.com/office/drawing/2014/chart" uri="{C3380CC4-5D6E-409C-BE32-E72D297353CC}">
              <c16:uniqueId val="{00000000-4EC1-4B1C-B2B5-C3159A5ACDD3}"/>
            </c:ext>
          </c:extLst>
        </c:ser>
        <c:ser>
          <c:idx val="1"/>
          <c:order val="1"/>
          <c:tx>
            <c:strRef>
              <c:f>'Figure 2-5'!$A$26</c:f>
              <c:strCache>
                <c:ptCount val="1"/>
                <c:pt idx="0">
                  <c:v>2021-22</c:v>
                </c:pt>
              </c:strCache>
            </c:strRef>
          </c:tx>
          <c:spPr>
            <a:solidFill>
              <a:sysClr val="window" lastClr="FFFFFF">
                <a:lumMod val="85000"/>
              </a:sysClr>
            </a:solidFill>
            <a:ln>
              <a:noFill/>
            </a:ln>
          </c:spPr>
          <c:invertIfNegative val="0"/>
          <c:cat>
            <c:strRef>
              <c:f>'Figure 2-5'!$B$24:$J$24</c:f>
              <c:strCache>
                <c:ptCount val="9"/>
                <c:pt idx="0">
                  <c:v>NSW</c:v>
                </c:pt>
                <c:pt idx="1">
                  <c:v>Vic</c:v>
                </c:pt>
                <c:pt idx="2">
                  <c:v>Qld</c:v>
                </c:pt>
                <c:pt idx="3">
                  <c:v>WA</c:v>
                </c:pt>
                <c:pt idx="4">
                  <c:v>SA</c:v>
                </c:pt>
                <c:pt idx="5">
                  <c:v>Tas</c:v>
                </c:pt>
                <c:pt idx="6">
                  <c:v>ACT</c:v>
                </c:pt>
                <c:pt idx="7">
                  <c:v>NT</c:v>
                </c:pt>
                <c:pt idx="8">
                  <c:v>Total</c:v>
                </c:pt>
              </c:strCache>
            </c:strRef>
          </c:cat>
          <c:val>
            <c:numRef>
              <c:f>'Figure 2-5'!$B$26:$J$26</c:f>
              <c:numCache>
                <c:formatCode>#,##0</c:formatCode>
                <c:ptCount val="9"/>
                <c:pt idx="0">
                  <c:v>36748.227031017421</c:v>
                </c:pt>
                <c:pt idx="1">
                  <c:v>32251.149076802456</c:v>
                </c:pt>
                <c:pt idx="2">
                  <c:v>28770.682626776943</c:v>
                </c:pt>
                <c:pt idx="3">
                  <c:v>22141.304629451017</c:v>
                </c:pt>
                <c:pt idx="4">
                  <c:v>20395.092895434485</c:v>
                </c:pt>
                <c:pt idx="5">
                  <c:v>19733.02149750364</c:v>
                </c:pt>
                <c:pt idx="6">
                  <c:v>33840.458391322594</c:v>
                </c:pt>
                <c:pt idx="7">
                  <c:v>19177.870157825691</c:v>
                </c:pt>
                <c:pt idx="8">
                  <c:v>30665.213700971402</c:v>
                </c:pt>
              </c:numCache>
            </c:numRef>
          </c:val>
          <c:extLst>
            <c:ext xmlns:c16="http://schemas.microsoft.com/office/drawing/2014/chart" uri="{C3380CC4-5D6E-409C-BE32-E72D297353CC}">
              <c16:uniqueId val="{00000001-4EC1-4B1C-B2B5-C3159A5ACDD3}"/>
            </c:ext>
          </c:extLst>
        </c:ser>
        <c:ser>
          <c:idx val="2"/>
          <c:order val="2"/>
          <c:tx>
            <c:strRef>
              <c:f>'Figure 2-5'!$A$27</c:f>
              <c:strCache>
                <c:ptCount val="1"/>
                <c:pt idx="0">
                  <c:v>2022-23</c:v>
                </c:pt>
              </c:strCache>
            </c:strRef>
          </c:tx>
          <c:spPr>
            <a:solidFill>
              <a:sysClr val="window" lastClr="FFFFFF">
                <a:lumMod val="85000"/>
              </a:sysClr>
            </a:solidFill>
            <a:ln>
              <a:noFill/>
            </a:ln>
          </c:spPr>
          <c:invertIfNegative val="0"/>
          <c:cat>
            <c:strRef>
              <c:f>'Figure 2-5'!$B$24:$J$24</c:f>
              <c:strCache>
                <c:ptCount val="9"/>
                <c:pt idx="0">
                  <c:v>NSW</c:v>
                </c:pt>
                <c:pt idx="1">
                  <c:v>Vic</c:v>
                </c:pt>
                <c:pt idx="2">
                  <c:v>Qld</c:v>
                </c:pt>
                <c:pt idx="3">
                  <c:v>WA</c:v>
                </c:pt>
                <c:pt idx="4">
                  <c:v>SA</c:v>
                </c:pt>
                <c:pt idx="5">
                  <c:v>Tas</c:v>
                </c:pt>
                <c:pt idx="6">
                  <c:v>ACT</c:v>
                </c:pt>
                <c:pt idx="7">
                  <c:v>NT</c:v>
                </c:pt>
                <c:pt idx="8">
                  <c:v>Total</c:v>
                </c:pt>
              </c:strCache>
            </c:strRef>
          </c:cat>
          <c:val>
            <c:numRef>
              <c:f>'Figure 2-5'!$B$27:$J$27</c:f>
              <c:numCache>
                <c:formatCode>#,##0</c:formatCode>
                <c:ptCount val="9"/>
                <c:pt idx="0">
                  <c:v>26830.068010549876</c:v>
                </c:pt>
                <c:pt idx="1">
                  <c:v>26451.946585337751</c:v>
                </c:pt>
                <c:pt idx="2">
                  <c:v>22995.981016373025</c:v>
                </c:pt>
                <c:pt idx="3">
                  <c:v>20384.702696862201</c:v>
                </c:pt>
                <c:pt idx="4">
                  <c:v>17627.315455172422</c:v>
                </c:pt>
                <c:pt idx="5">
                  <c:v>16982.724041191799</c:v>
                </c:pt>
                <c:pt idx="6">
                  <c:v>30253.636663255216</c:v>
                </c:pt>
                <c:pt idx="7">
                  <c:v>12086.256285020692</c:v>
                </c:pt>
                <c:pt idx="8">
                  <c:v>24316.567640292844</c:v>
                </c:pt>
              </c:numCache>
            </c:numRef>
          </c:val>
          <c:extLst>
            <c:ext xmlns:c16="http://schemas.microsoft.com/office/drawing/2014/chart" uri="{C3380CC4-5D6E-409C-BE32-E72D297353CC}">
              <c16:uniqueId val="{00000002-4EC1-4B1C-B2B5-C3159A5ACDD3}"/>
            </c:ext>
          </c:extLst>
        </c:ser>
        <c:ser>
          <c:idx val="3"/>
          <c:order val="3"/>
          <c:tx>
            <c:strRef>
              <c:f>'Figure 2-5'!$A$28</c:f>
              <c:strCache>
                <c:ptCount val="1"/>
                <c:pt idx="0">
                  <c:v>2023-24</c:v>
                </c:pt>
              </c:strCache>
            </c:strRef>
          </c:tx>
          <c:spPr>
            <a:solidFill>
              <a:srgbClr val="0092C8"/>
            </a:solidFill>
            <a:ln>
              <a:solidFill>
                <a:srgbClr val="5FB5D7"/>
              </a:solidFill>
            </a:ln>
          </c:spPr>
          <c:invertIfNegative val="0"/>
          <c:cat>
            <c:strRef>
              <c:f>'Figure 2-5'!$B$24:$J$24</c:f>
              <c:strCache>
                <c:ptCount val="9"/>
                <c:pt idx="0">
                  <c:v>NSW</c:v>
                </c:pt>
                <c:pt idx="1">
                  <c:v>Vic</c:v>
                </c:pt>
                <c:pt idx="2">
                  <c:v>Qld</c:v>
                </c:pt>
                <c:pt idx="3">
                  <c:v>WA</c:v>
                </c:pt>
                <c:pt idx="4">
                  <c:v>SA</c:v>
                </c:pt>
                <c:pt idx="5">
                  <c:v>Tas</c:v>
                </c:pt>
                <c:pt idx="6">
                  <c:v>ACT</c:v>
                </c:pt>
                <c:pt idx="7">
                  <c:v>NT</c:v>
                </c:pt>
                <c:pt idx="8">
                  <c:v>Total</c:v>
                </c:pt>
              </c:strCache>
            </c:strRef>
          </c:cat>
          <c:val>
            <c:numRef>
              <c:f>'Figure 2-5'!$B$28:$J$28</c:f>
              <c:numCache>
                <c:formatCode>#,##0</c:formatCode>
                <c:ptCount val="9"/>
                <c:pt idx="0">
                  <c:v>29794.412367487697</c:v>
                </c:pt>
                <c:pt idx="1">
                  <c:v>24894.383791968845</c:v>
                </c:pt>
                <c:pt idx="2">
                  <c:v>26246.032922042112</c:v>
                </c:pt>
                <c:pt idx="3">
                  <c:v>23861.851097517851</c:v>
                </c:pt>
                <c:pt idx="4">
                  <c:v>19917.146284519225</c:v>
                </c:pt>
                <c:pt idx="5">
                  <c:v>16734.586184623437</c:v>
                </c:pt>
                <c:pt idx="6">
                  <c:v>25044.154586905133</c:v>
                </c:pt>
                <c:pt idx="7">
                  <c:v>12998.268704123839</c:v>
                </c:pt>
                <c:pt idx="8">
                  <c:v>25963.046713364056</c:v>
                </c:pt>
              </c:numCache>
            </c:numRef>
          </c:val>
          <c:extLst>
            <c:ext xmlns:c16="http://schemas.microsoft.com/office/drawing/2014/chart" uri="{C3380CC4-5D6E-409C-BE32-E72D297353CC}">
              <c16:uniqueId val="{00000003-4EC1-4B1C-B2B5-C3159A5ACDD3}"/>
            </c:ext>
          </c:extLst>
        </c:ser>
        <c:dLbls>
          <c:showLegendKey val="0"/>
          <c:showVal val="0"/>
          <c:showCatName val="0"/>
          <c:showSerName val="0"/>
          <c:showPercent val="0"/>
          <c:showBubbleSize val="0"/>
        </c:dLbls>
        <c:gapWidth val="150"/>
        <c:axId val="266020736"/>
        <c:axId val="266031104"/>
      </c:barChart>
      <c:catAx>
        <c:axId val="266020736"/>
        <c:scaling>
          <c:orientation val="minMax"/>
        </c:scaling>
        <c:delete val="0"/>
        <c:axPos val="b"/>
        <c:numFmt formatCode="#,##0" sourceLinked="0"/>
        <c:majorTickMark val="out"/>
        <c:minorTickMark val="none"/>
        <c:tickLblPos val="low"/>
        <c:spPr>
          <a:ln>
            <a:noFill/>
          </a:ln>
        </c:spPr>
        <c:crossAx val="266031104"/>
        <c:crosses val="autoZero"/>
        <c:auto val="1"/>
        <c:lblAlgn val="ctr"/>
        <c:lblOffset val="100"/>
        <c:noMultiLvlLbl val="0"/>
      </c:catAx>
      <c:valAx>
        <c:axId val="266031104"/>
        <c:scaling>
          <c:orientation val="minMax"/>
        </c:scaling>
        <c:delete val="0"/>
        <c:axPos val="l"/>
        <c:majorGridlines>
          <c:spPr>
            <a:ln w="6350">
              <a:solidFill>
                <a:sysClr val="window" lastClr="FFFFFF">
                  <a:lumMod val="85000"/>
                </a:sysClr>
              </a:solidFill>
            </a:ln>
          </c:spPr>
        </c:majorGridlines>
        <c:title>
          <c:tx>
            <c:rich>
              <a:bodyPr rot="-5400000" vert="horz"/>
              <a:lstStyle/>
              <a:p>
                <a:pPr>
                  <a:defRPr/>
                </a:pPr>
                <a:r>
                  <a:rPr lang="en-AU"/>
                  <a:t>$ per capita</a:t>
                </a:r>
              </a:p>
            </c:rich>
          </c:tx>
          <c:overlay val="0"/>
        </c:title>
        <c:numFmt formatCode="#,##0" sourceLinked="0"/>
        <c:majorTickMark val="out"/>
        <c:minorTickMark val="none"/>
        <c:tickLblPos val="nextTo"/>
        <c:spPr>
          <a:ln>
            <a:noFill/>
          </a:ln>
        </c:spPr>
        <c:crossAx val="266020736"/>
        <c:crosses val="autoZero"/>
        <c:crossBetween val="between"/>
      </c:valAx>
    </c:plotArea>
    <c:legend>
      <c:legendPos val="t"/>
      <c:legendEntry>
        <c:idx val="1"/>
        <c:delete val="1"/>
      </c:legendEntry>
      <c:legendEntry>
        <c:idx val="2"/>
        <c:delete val="1"/>
      </c:legendEntry>
      <c:overlay val="0"/>
      <c:spPr>
        <a:solidFill>
          <a:sysClr val="window" lastClr="FFFFFF"/>
        </a:solidFill>
        <a:ln w="6350">
          <a:solidFill>
            <a:srgbClr val="939598"/>
          </a:solidFill>
        </a:ln>
      </c:spPr>
    </c:legend>
    <c:plotVisOnly val="1"/>
    <c:dispBlanksAs val="gap"/>
    <c:showDLblsOverMax val="0"/>
  </c:chart>
  <c:spPr>
    <a:ln w="9525">
      <a:solidFill>
        <a:srgbClr val="ADD6EA"/>
      </a:solidFill>
    </a:ln>
  </c:spPr>
  <c:txPr>
    <a:bodyPr/>
    <a:lstStyle/>
    <a:p>
      <a:pPr>
        <a:defRPr sz="800">
          <a:latin typeface="Work Sans" pitchFamily="2" charset="0"/>
          <a:cs typeface="Times New Roman" pitchFamily="18"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'Figure 2-6'!$A$25</c:f>
              <c:strCache>
                <c:ptCount val="1"/>
                <c:pt idx="0">
                  <c:v>2020-21</c:v>
                </c:pt>
              </c:strCache>
            </c:strRef>
          </c:tx>
          <c:spPr>
            <a:solidFill>
              <a:srgbClr val="CC5E12"/>
            </a:solidFill>
            <a:ln>
              <a:noFill/>
            </a:ln>
          </c:spPr>
          <c:invertIfNegative val="0"/>
          <c:cat>
            <c:strRef>
              <c:f>'Figure 2-6'!$B$24:$J$24</c:f>
              <c:strCache>
                <c:ptCount val="9"/>
                <c:pt idx="0">
                  <c:v>NSW</c:v>
                </c:pt>
                <c:pt idx="1">
                  <c:v>Vic</c:v>
                </c:pt>
                <c:pt idx="2">
                  <c:v>Qld</c:v>
                </c:pt>
                <c:pt idx="3">
                  <c:v>WA</c:v>
                </c:pt>
                <c:pt idx="4">
                  <c:v>SA</c:v>
                </c:pt>
                <c:pt idx="5">
                  <c:v>Tas</c:v>
                </c:pt>
                <c:pt idx="6">
                  <c:v>ACT</c:v>
                </c:pt>
                <c:pt idx="7">
                  <c:v>NT</c:v>
                </c:pt>
                <c:pt idx="8">
                  <c:v>Total</c:v>
                </c:pt>
              </c:strCache>
            </c:strRef>
          </c:cat>
          <c:val>
            <c:numRef>
              <c:f>'Figure 2-6'!$B$25:$J$25</c:f>
              <c:numCache>
                <c:formatCode>#,##0</c:formatCode>
                <c:ptCount val="9"/>
                <c:pt idx="0">
                  <c:v>21235.531077074731</c:v>
                </c:pt>
                <c:pt idx="1">
                  <c:v>20150.343114282125</c:v>
                </c:pt>
                <c:pt idx="2">
                  <c:v>17555.226430799394</c:v>
                </c:pt>
                <c:pt idx="3">
                  <c:v>26605.284636360411</c:v>
                </c:pt>
                <c:pt idx="4">
                  <c:v>16547.426705824084</c:v>
                </c:pt>
                <c:pt idx="5">
                  <c:v>12376.404015921504</c:v>
                </c:pt>
                <c:pt idx="6">
                  <c:v>16865.165610107182</c:v>
                </c:pt>
                <c:pt idx="7">
                  <c:v>19239.377500663952</c:v>
                </c:pt>
                <c:pt idx="8">
                  <c:v>20166.354621615406</c:v>
                </c:pt>
              </c:numCache>
            </c:numRef>
          </c:val>
          <c:extLst>
            <c:ext xmlns:c16="http://schemas.microsoft.com/office/drawing/2014/chart" uri="{C3380CC4-5D6E-409C-BE32-E72D297353CC}">
              <c16:uniqueId val="{00000000-0230-4A6D-A7A3-375B599C86CA}"/>
            </c:ext>
          </c:extLst>
        </c:ser>
        <c:ser>
          <c:idx val="1"/>
          <c:order val="1"/>
          <c:tx>
            <c:strRef>
              <c:f>'Figure 2-6'!$A$26</c:f>
              <c:strCache>
                <c:ptCount val="1"/>
                <c:pt idx="0">
                  <c:v>2021-22</c:v>
                </c:pt>
              </c:strCache>
            </c:strRef>
          </c:tx>
          <c:spPr>
            <a:solidFill>
              <a:sysClr val="window" lastClr="FFFFFF">
                <a:lumMod val="85000"/>
              </a:sysClr>
            </a:solidFill>
            <a:ln>
              <a:noFill/>
            </a:ln>
          </c:spPr>
          <c:invertIfNegative val="0"/>
          <c:cat>
            <c:strRef>
              <c:f>'Figure 2-6'!$B$24:$J$24</c:f>
              <c:strCache>
                <c:ptCount val="9"/>
                <c:pt idx="0">
                  <c:v>NSW</c:v>
                </c:pt>
                <c:pt idx="1">
                  <c:v>Vic</c:v>
                </c:pt>
                <c:pt idx="2">
                  <c:v>Qld</c:v>
                </c:pt>
                <c:pt idx="3">
                  <c:v>WA</c:v>
                </c:pt>
                <c:pt idx="4">
                  <c:v>SA</c:v>
                </c:pt>
                <c:pt idx="5">
                  <c:v>Tas</c:v>
                </c:pt>
                <c:pt idx="6">
                  <c:v>ACT</c:v>
                </c:pt>
                <c:pt idx="7">
                  <c:v>NT</c:v>
                </c:pt>
                <c:pt idx="8">
                  <c:v>Total</c:v>
                </c:pt>
              </c:strCache>
            </c:strRef>
          </c:cat>
          <c:val>
            <c:numRef>
              <c:f>'Figure 2-6'!$B$26:$J$26</c:f>
              <c:numCache>
                <c:formatCode>#,##0</c:formatCode>
                <c:ptCount val="9"/>
                <c:pt idx="0">
                  <c:v>22499.083024815267</c:v>
                </c:pt>
                <c:pt idx="1">
                  <c:v>21624.47055807884</c:v>
                </c:pt>
                <c:pt idx="2">
                  <c:v>18556.108846965926</c:v>
                </c:pt>
                <c:pt idx="3">
                  <c:v>28881.488107486315</c:v>
                </c:pt>
                <c:pt idx="4">
                  <c:v>16484.377153410664</c:v>
                </c:pt>
                <c:pt idx="5">
                  <c:v>13672.239919924081</c:v>
                </c:pt>
                <c:pt idx="6">
                  <c:v>19092.326452405614</c:v>
                </c:pt>
                <c:pt idx="7">
                  <c:v>21618.72193137358</c:v>
                </c:pt>
                <c:pt idx="8">
                  <c:v>21470.892910695857</c:v>
                </c:pt>
              </c:numCache>
            </c:numRef>
          </c:val>
          <c:extLst>
            <c:ext xmlns:c16="http://schemas.microsoft.com/office/drawing/2014/chart" uri="{C3380CC4-5D6E-409C-BE32-E72D297353CC}">
              <c16:uniqueId val="{00000001-0230-4A6D-A7A3-375B599C86CA}"/>
            </c:ext>
          </c:extLst>
        </c:ser>
        <c:ser>
          <c:idx val="2"/>
          <c:order val="2"/>
          <c:tx>
            <c:strRef>
              <c:f>'Figure 2-6'!$A$27</c:f>
              <c:strCache>
                <c:ptCount val="1"/>
                <c:pt idx="0">
                  <c:v>2022-23</c:v>
                </c:pt>
              </c:strCache>
            </c:strRef>
          </c:tx>
          <c:spPr>
            <a:solidFill>
              <a:sysClr val="window" lastClr="FFFFFF">
                <a:lumMod val="85000"/>
              </a:sysClr>
            </a:solidFill>
            <a:ln>
              <a:noFill/>
            </a:ln>
          </c:spPr>
          <c:invertIfNegative val="0"/>
          <c:cat>
            <c:strRef>
              <c:f>'Figure 2-6'!$B$24:$J$24</c:f>
              <c:strCache>
                <c:ptCount val="9"/>
                <c:pt idx="0">
                  <c:v>NSW</c:v>
                </c:pt>
                <c:pt idx="1">
                  <c:v>Vic</c:v>
                </c:pt>
                <c:pt idx="2">
                  <c:v>Qld</c:v>
                </c:pt>
                <c:pt idx="3">
                  <c:v>WA</c:v>
                </c:pt>
                <c:pt idx="4">
                  <c:v>SA</c:v>
                </c:pt>
                <c:pt idx="5">
                  <c:v>Tas</c:v>
                </c:pt>
                <c:pt idx="6">
                  <c:v>ACT</c:v>
                </c:pt>
                <c:pt idx="7">
                  <c:v>NT</c:v>
                </c:pt>
                <c:pt idx="8">
                  <c:v>Total</c:v>
                </c:pt>
              </c:strCache>
            </c:strRef>
          </c:cat>
          <c:val>
            <c:numRef>
              <c:f>'Figure 2-6'!$B$27:$J$27</c:f>
              <c:numCache>
                <c:formatCode>#,##0</c:formatCode>
                <c:ptCount val="9"/>
                <c:pt idx="0">
                  <c:v>24902.685908396797</c:v>
                </c:pt>
                <c:pt idx="1">
                  <c:v>23336.079047770167</c:v>
                </c:pt>
                <c:pt idx="2">
                  <c:v>20843.359231635393</c:v>
                </c:pt>
                <c:pt idx="3">
                  <c:v>31269.320250627999</c:v>
                </c:pt>
                <c:pt idx="4">
                  <c:v>16894.930159288335</c:v>
                </c:pt>
                <c:pt idx="5">
                  <c:v>15384.512454689922</c:v>
                </c:pt>
                <c:pt idx="6">
                  <c:v>21963.078090479023</c:v>
                </c:pt>
                <c:pt idx="7">
                  <c:v>23559.354500449863</c:v>
                </c:pt>
                <c:pt idx="8">
                  <c:v>23527.209454322663</c:v>
                </c:pt>
              </c:numCache>
            </c:numRef>
          </c:val>
          <c:extLst>
            <c:ext xmlns:c16="http://schemas.microsoft.com/office/drawing/2014/chart" uri="{C3380CC4-5D6E-409C-BE32-E72D297353CC}">
              <c16:uniqueId val="{00000002-0230-4A6D-A7A3-375B599C86CA}"/>
            </c:ext>
          </c:extLst>
        </c:ser>
        <c:ser>
          <c:idx val="3"/>
          <c:order val="3"/>
          <c:tx>
            <c:strRef>
              <c:f>'Figure 2-6'!$A$28</c:f>
              <c:strCache>
                <c:ptCount val="1"/>
                <c:pt idx="0">
                  <c:v>2023-24</c:v>
                </c:pt>
              </c:strCache>
            </c:strRef>
          </c:tx>
          <c:spPr>
            <a:solidFill>
              <a:srgbClr val="0092C8"/>
            </a:solidFill>
            <a:ln>
              <a:solidFill>
                <a:srgbClr val="5FB5D7"/>
              </a:solidFill>
            </a:ln>
          </c:spPr>
          <c:invertIfNegative val="0"/>
          <c:cat>
            <c:strRef>
              <c:f>'Figure 2-6'!$B$24:$J$24</c:f>
              <c:strCache>
                <c:ptCount val="9"/>
                <c:pt idx="0">
                  <c:v>NSW</c:v>
                </c:pt>
                <c:pt idx="1">
                  <c:v>Vic</c:v>
                </c:pt>
                <c:pt idx="2">
                  <c:v>Qld</c:v>
                </c:pt>
                <c:pt idx="3">
                  <c:v>WA</c:v>
                </c:pt>
                <c:pt idx="4">
                  <c:v>SA</c:v>
                </c:pt>
                <c:pt idx="5">
                  <c:v>Tas</c:v>
                </c:pt>
                <c:pt idx="6">
                  <c:v>ACT</c:v>
                </c:pt>
                <c:pt idx="7">
                  <c:v>NT</c:v>
                </c:pt>
                <c:pt idx="8">
                  <c:v>Total</c:v>
                </c:pt>
              </c:strCache>
            </c:strRef>
          </c:cat>
          <c:val>
            <c:numRef>
              <c:f>'Figure 2-6'!$B$28:$J$28</c:f>
              <c:numCache>
                <c:formatCode>#,##0</c:formatCode>
                <c:ptCount val="9"/>
                <c:pt idx="0">
                  <c:v>26272.192723305554</c:v>
                </c:pt>
                <c:pt idx="1">
                  <c:v>24169.295956417391</c:v>
                </c:pt>
                <c:pt idx="2">
                  <c:v>23575.316963641293</c:v>
                </c:pt>
                <c:pt idx="3">
                  <c:v>34083.06210480009</c:v>
                </c:pt>
                <c:pt idx="4">
                  <c:v>18559.067282176944</c:v>
                </c:pt>
                <c:pt idx="5">
                  <c:v>18011.934439619112</c:v>
                </c:pt>
                <c:pt idx="6">
                  <c:v>24109.352830997381</c:v>
                </c:pt>
                <c:pt idx="7">
                  <c:v>25911.685155914842</c:v>
                </c:pt>
                <c:pt idx="8">
                  <c:v>25277.830611128255</c:v>
                </c:pt>
              </c:numCache>
            </c:numRef>
          </c:val>
          <c:extLst>
            <c:ext xmlns:c16="http://schemas.microsoft.com/office/drawing/2014/chart" uri="{C3380CC4-5D6E-409C-BE32-E72D297353CC}">
              <c16:uniqueId val="{00000003-0230-4A6D-A7A3-375B599C86CA}"/>
            </c:ext>
          </c:extLst>
        </c:ser>
        <c:dLbls>
          <c:showLegendKey val="0"/>
          <c:showVal val="0"/>
          <c:showCatName val="0"/>
          <c:showSerName val="0"/>
          <c:showPercent val="0"/>
          <c:showBubbleSize val="0"/>
        </c:dLbls>
        <c:gapWidth val="150"/>
        <c:axId val="266020736"/>
        <c:axId val="266031104"/>
      </c:barChart>
      <c:catAx>
        <c:axId val="266020736"/>
        <c:scaling>
          <c:orientation val="minMax"/>
        </c:scaling>
        <c:delete val="0"/>
        <c:axPos val="b"/>
        <c:numFmt formatCode="#,##0" sourceLinked="0"/>
        <c:majorTickMark val="out"/>
        <c:minorTickMark val="none"/>
        <c:tickLblPos val="low"/>
        <c:spPr>
          <a:ln>
            <a:noFill/>
          </a:ln>
        </c:spPr>
        <c:crossAx val="266031104"/>
        <c:crosses val="autoZero"/>
        <c:auto val="1"/>
        <c:lblAlgn val="ctr"/>
        <c:lblOffset val="100"/>
        <c:noMultiLvlLbl val="0"/>
      </c:catAx>
      <c:valAx>
        <c:axId val="266031104"/>
        <c:scaling>
          <c:orientation val="minMax"/>
          <c:max val="35000"/>
        </c:scaling>
        <c:delete val="0"/>
        <c:axPos val="l"/>
        <c:majorGridlines>
          <c:spPr>
            <a:ln w="6350">
              <a:solidFill>
                <a:sysClr val="window" lastClr="FFFFFF">
                  <a:lumMod val="85000"/>
                </a:sysClr>
              </a:solidFill>
            </a:ln>
          </c:spPr>
        </c:majorGridlines>
        <c:title>
          <c:tx>
            <c:rich>
              <a:bodyPr rot="-5400000" vert="horz"/>
              <a:lstStyle/>
              <a:p>
                <a:pPr>
                  <a:defRPr/>
                </a:pPr>
                <a:r>
                  <a:rPr lang="en-AU"/>
                  <a:t>$ per capita</a:t>
                </a:r>
              </a:p>
            </c:rich>
          </c:tx>
          <c:overlay val="0"/>
        </c:title>
        <c:numFmt formatCode="#,##0" sourceLinked="0"/>
        <c:majorTickMark val="out"/>
        <c:minorTickMark val="none"/>
        <c:tickLblPos val="nextTo"/>
        <c:spPr>
          <a:ln>
            <a:noFill/>
          </a:ln>
        </c:spPr>
        <c:crossAx val="266020736"/>
        <c:crosses val="autoZero"/>
        <c:crossBetween val="between"/>
      </c:valAx>
    </c:plotArea>
    <c:legend>
      <c:legendPos val="t"/>
      <c:legendEntry>
        <c:idx val="1"/>
        <c:delete val="1"/>
      </c:legendEntry>
      <c:legendEntry>
        <c:idx val="2"/>
        <c:delete val="1"/>
      </c:legendEntry>
      <c:overlay val="0"/>
      <c:spPr>
        <a:solidFill>
          <a:sysClr val="window" lastClr="FFFFFF"/>
        </a:solidFill>
        <a:ln w="6350">
          <a:solidFill>
            <a:srgbClr val="939598"/>
          </a:solidFill>
        </a:ln>
      </c:spPr>
    </c:legend>
    <c:plotVisOnly val="1"/>
    <c:dispBlanksAs val="gap"/>
    <c:showDLblsOverMax val="0"/>
  </c:chart>
  <c:spPr>
    <a:ln w="9525">
      <a:solidFill>
        <a:srgbClr val="ADD6EA"/>
      </a:solidFill>
    </a:ln>
  </c:spPr>
  <c:txPr>
    <a:bodyPr/>
    <a:lstStyle/>
    <a:p>
      <a:pPr>
        <a:defRPr sz="800">
          <a:latin typeface="Work Sans" pitchFamily="2" charset="0"/>
          <a:cs typeface="Times New Roman" pitchFamily="18"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176450813871197"/>
          <c:y val="0.13657323232323232"/>
          <c:w val="0.80504387827317758"/>
          <c:h val="0.78632547699214361"/>
        </c:manualLayout>
      </c:layout>
      <c:barChart>
        <c:barDir val="col"/>
        <c:grouping val="stacked"/>
        <c:varyColors val="0"/>
        <c:ser>
          <c:idx val="0"/>
          <c:order val="0"/>
          <c:tx>
            <c:strRef>
              <c:f>'FA.1 (ass budget)'!$R$45</c:f>
              <c:strCache>
                <c:ptCount val="1"/>
                <c:pt idx="0">
                  <c:v>Expenditure (a)</c:v>
                </c:pt>
              </c:strCache>
            </c:strRef>
          </c:tx>
          <c:spPr>
            <a:solidFill>
              <a:srgbClr val="006991"/>
            </a:solidFill>
            <a:ln>
              <a:noFill/>
            </a:ln>
          </c:spPr>
          <c:invertIfNegative val="0"/>
          <c:cat>
            <c:strRef>
              <c:f>'FA.1 (ass budget)'!$Q$46:$Q$72</c:f>
              <c:strCache>
                <c:ptCount val="25"/>
                <c:pt idx="0">
                  <c:v>NSW</c:v>
                </c:pt>
                <c:pt idx="3">
                  <c:v>Vic</c:v>
                </c:pt>
                <c:pt idx="6">
                  <c:v>Qld</c:v>
                </c:pt>
                <c:pt idx="9">
                  <c:v>WA</c:v>
                </c:pt>
                <c:pt idx="12">
                  <c:v>SA</c:v>
                </c:pt>
                <c:pt idx="15">
                  <c:v>Tas</c:v>
                </c:pt>
                <c:pt idx="18">
                  <c:v>ACT</c:v>
                </c:pt>
                <c:pt idx="21">
                  <c:v>NT</c:v>
                </c:pt>
                <c:pt idx="24">
                  <c:v>Total</c:v>
                </c:pt>
              </c:strCache>
            </c:strRef>
          </c:cat>
          <c:val>
            <c:numRef>
              <c:f>'FA.1 (ass budget)'!$R$46:$R$72</c:f>
              <c:numCache>
                <c:formatCode>General</c:formatCode>
                <c:ptCount val="27"/>
                <c:pt idx="0">
                  <c:v>15914.498378669432</c:v>
                </c:pt>
                <c:pt idx="1">
                  <c:v>0</c:v>
                </c:pt>
                <c:pt idx="2">
                  <c:v>0</c:v>
                </c:pt>
                <c:pt idx="3">
                  <c:v>15105.808597321511</c:v>
                </c:pt>
                <c:pt idx="4">
                  <c:v>0</c:v>
                </c:pt>
                <c:pt idx="5">
                  <c:v>0</c:v>
                </c:pt>
                <c:pt idx="6">
                  <c:v>16015.266848981302</c:v>
                </c:pt>
                <c:pt idx="7">
                  <c:v>0</c:v>
                </c:pt>
                <c:pt idx="8">
                  <c:v>0</c:v>
                </c:pt>
                <c:pt idx="9">
                  <c:v>16868.422202467289</c:v>
                </c:pt>
                <c:pt idx="10">
                  <c:v>0</c:v>
                </c:pt>
                <c:pt idx="11">
                  <c:v>0</c:v>
                </c:pt>
                <c:pt idx="12">
                  <c:v>15241.882409075359</c:v>
                </c:pt>
                <c:pt idx="13">
                  <c:v>0</c:v>
                </c:pt>
                <c:pt idx="14">
                  <c:v>0</c:v>
                </c:pt>
                <c:pt idx="15">
                  <c:v>16765.509617103984</c:v>
                </c:pt>
                <c:pt idx="16">
                  <c:v>0</c:v>
                </c:pt>
                <c:pt idx="17">
                  <c:v>0</c:v>
                </c:pt>
                <c:pt idx="18">
                  <c:v>14611.052295280941</c:v>
                </c:pt>
                <c:pt idx="19">
                  <c:v>0</c:v>
                </c:pt>
                <c:pt idx="20">
                  <c:v>0</c:v>
                </c:pt>
                <c:pt idx="21">
                  <c:v>31118.112898784562</c:v>
                </c:pt>
                <c:pt idx="22">
                  <c:v>0</c:v>
                </c:pt>
                <c:pt idx="23">
                  <c:v>0</c:v>
                </c:pt>
                <c:pt idx="24" formatCode="0">
                  <c:v>15921.190366864492</c:v>
                </c:pt>
                <c:pt idx="25">
                  <c:v>0</c:v>
                </c:pt>
                <c:pt idx="26">
                  <c:v>0</c:v>
                </c:pt>
              </c:numCache>
            </c:numRef>
          </c:val>
          <c:extLst>
            <c:ext xmlns:c16="http://schemas.microsoft.com/office/drawing/2014/chart" uri="{C3380CC4-5D6E-409C-BE32-E72D297353CC}">
              <c16:uniqueId val="{00000000-71A9-464F-91F4-D60F05001DBC}"/>
            </c:ext>
          </c:extLst>
        </c:ser>
        <c:ser>
          <c:idx val="1"/>
          <c:order val="1"/>
          <c:tx>
            <c:strRef>
              <c:f>'FA.1 (ass budget)'!$S$45</c:f>
              <c:strCache>
                <c:ptCount val="1"/>
                <c:pt idx="0">
                  <c:v>Revenue</c:v>
                </c:pt>
              </c:strCache>
            </c:strRef>
          </c:tx>
          <c:spPr>
            <a:solidFill>
              <a:srgbClr val="ADD6EA"/>
            </a:solidFill>
            <a:ln>
              <a:noFill/>
            </a:ln>
          </c:spPr>
          <c:invertIfNegative val="0"/>
          <c:cat>
            <c:strRef>
              <c:f>'FA.1 (ass budget)'!$Q$46:$Q$72</c:f>
              <c:strCache>
                <c:ptCount val="25"/>
                <c:pt idx="0">
                  <c:v>NSW</c:v>
                </c:pt>
                <c:pt idx="3">
                  <c:v>Vic</c:v>
                </c:pt>
                <c:pt idx="6">
                  <c:v>Qld</c:v>
                </c:pt>
                <c:pt idx="9">
                  <c:v>WA</c:v>
                </c:pt>
                <c:pt idx="12">
                  <c:v>SA</c:v>
                </c:pt>
                <c:pt idx="15">
                  <c:v>Tas</c:v>
                </c:pt>
                <c:pt idx="18">
                  <c:v>ACT</c:v>
                </c:pt>
                <c:pt idx="21">
                  <c:v>NT</c:v>
                </c:pt>
                <c:pt idx="24">
                  <c:v>Total</c:v>
                </c:pt>
              </c:strCache>
            </c:strRef>
          </c:cat>
          <c:val>
            <c:numRef>
              <c:f>'FA.1 (ass budget)'!$S$46:$S$72</c:f>
              <c:numCache>
                <c:formatCode>0</c:formatCode>
                <c:ptCount val="27"/>
                <c:pt idx="0" formatCode="General">
                  <c:v>0</c:v>
                </c:pt>
                <c:pt idx="1">
                  <c:v>7858.7352510053715</c:v>
                </c:pt>
                <c:pt idx="2" formatCode="General">
                  <c:v>0</c:v>
                </c:pt>
                <c:pt idx="3" formatCode="General">
                  <c:v>0</c:v>
                </c:pt>
                <c:pt idx="4">
                  <c:v>6456.1002124927054</c:v>
                </c:pt>
                <c:pt idx="5" formatCode="General">
                  <c:v>0</c:v>
                </c:pt>
                <c:pt idx="6" formatCode="General">
                  <c:v>0</c:v>
                </c:pt>
                <c:pt idx="7">
                  <c:v>8122.0359780942199</c:v>
                </c:pt>
                <c:pt idx="8" formatCode="General">
                  <c:v>0</c:v>
                </c:pt>
                <c:pt idx="9" formatCode="General">
                  <c:v>0</c:v>
                </c:pt>
                <c:pt idx="10">
                  <c:v>11264.322132183646</c:v>
                </c:pt>
                <c:pt idx="11" formatCode="General">
                  <c:v>0</c:v>
                </c:pt>
                <c:pt idx="12" formatCode="General">
                  <c:v>0</c:v>
                </c:pt>
                <c:pt idx="13">
                  <c:v>5574.4831627796048</c:v>
                </c:pt>
                <c:pt idx="14" formatCode="General">
                  <c:v>0</c:v>
                </c:pt>
                <c:pt idx="15" formatCode="General">
                  <c:v>0</c:v>
                </c:pt>
                <c:pt idx="16">
                  <c:v>5221.2584043072256</c:v>
                </c:pt>
                <c:pt idx="17" formatCode="General">
                  <c:v>0</c:v>
                </c:pt>
                <c:pt idx="18" formatCode="General">
                  <c:v>0</c:v>
                </c:pt>
                <c:pt idx="19">
                  <c:v>5751.1602518594946</c:v>
                </c:pt>
                <c:pt idx="20" formatCode="General">
                  <c:v>0</c:v>
                </c:pt>
                <c:pt idx="21" formatCode="General">
                  <c:v>0</c:v>
                </c:pt>
                <c:pt idx="22">
                  <c:v>6346.7548425120576</c:v>
                </c:pt>
                <c:pt idx="23" formatCode="General">
                  <c:v>0</c:v>
                </c:pt>
                <c:pt idx="24">
                  <c:v>0</c:v>
                </c:pt>
                <c:pt idx="25">
                  <c:v>7664.0301305720714</c:v>
                </c:pt>
                <c:pt idx="26" formatCode="General">
                  <c:v>0</c:v>
                </c:pt>
              </c:numCache>
            </c:numRef>
          </c:val>
          <c:extLst>
            <c:ext xmlns:c16="http://schemas.microsoft.com/office/drawing/2014/chart" uri="{C3380CC4-5D6E-409C-BE32-E72D297353CC}">
              <c16:uniqueId val="{00000001-71A9-464F-91F4-D60F05001DBC}"/>
            </c:ext>
          </c:extLst>
        </c:ser>
        <c:ser>
          <c:idx val="2"/>
          <c:order val="2"/>
          <c:tx>
            <c:strRef>
              <c:f>'FA.1 (ass budget)'!$T$45</c:f>
              <c:strCache>
                <c:ptCount val="1"/>
                <c:pt idx="0">
                  <c:v>Net borrowing</c:v>
                </c:pt>
              </c:strCache>
            </c:strRef>
          </c:tx>
          <c:spPr>
            <a:solidFill>
              <a:srgbClr val="60B5D7"/>
            </a:solidFill>
            <a:ln>
              <a:noFill/>
            </a:ln>
          </c:spPr>
          <c:invertIfNegative val="0"/>
          <c:cat>
            <c:strRef>
              <c:f>'FA.1 (ass budget)'!$Q$46:$Q$72</c:f>
              <c:strCache>
                <c:ptCount val="25"/>
                <c:pt idx="0">
                  <c:v>NSW</c:v>
                </c:pt>
                <c:pt idx="3">
                  <c:v>Vic</c:v>
                </c:pt>
                <c:pt idx="6">
                  <c:v>Qld</c:v>
                </c:pt>
                <c:pt idx="9">
                  <c:v>WA</c:v>
                </c:pt>
                <c:pt idx="12">
                  <c:v>SA</c:v>
                </c:pt>
                <c:pt idx="15">
                  <c:v>Tas</c:v>
                </c:pt>
                <c:pt idx="18">
                  <c:v>ACT</c:v>
                </c:pt>
                <c:pt idx="21">
                  <c:v>NT</c:v>
                </c:pt>
                <c:pt idx="24">
                  <c:v>Total</c:v>
                </c:pt>
              </c:strCache>
            </c:strRef>
          </c:cat>
          <c:val>
            <c:numRef>
              <c:f>'FA.1 (ass budget)'!$T$46:$T$72</c:f>
              <c:numCache>
                <c:formatCode>General</c:formatCode>
                <c:ptCount val="27"/>
                <c:pt idx="0">
                  <c:v>0</c:v>
                </c:pt>
                <c:pt idx="1">
                  <c:v>2306.3469896845791</c:v>
                </c:pt>
                <c:pt idx="2">
                  <c:v>0</c:v>
                </c:pt>
                <c:pt idx="3">
                  <c:v>0</c:v>
                </c:pt>
                <c:pt idx="4">
                  <c:v>2342.2883134649778</c:v>
                </c:pt>
                <c:pt idx="5">
                  <c:v>0</c:v>
                </c:pt>
                <c:pt idx="6">
                  <c:v>0</c:v>
                </c:pt>
                <c:pt idx="7">
                  <c:v>2373.5536163186457</c:v>
                </c:pt>
                <c:pt idx="8">
                  <c:v>0</c:v>
                </c:pt>
                <c:pt idx="9">
                  <c:v>0</c:v>
                </c:pt>
                <c:pt idx="10">
                  <c:v>2403.8286578858542</c:v>
                </c:pt>
                <c:pt idx="11">
                  <c:v>0</c:v>
                </c:pt>
                <c:pt idx="12">
                  <c:v>0</c:v>
                </c:pt>
                <c:pt idx="13">
                  <c:v>2295.0028382579285</c:v>
                </c:pt>
                <c:pt idx="14">
                  <c:v>0</c:v>
                </c:pt>
                <c:pt idx="15">
                  <c:v>0</c:v>
                </c:pt>
                <c:pt idx="16">
                  <c:v>2225.8399249988065</c:v>
                </c:pt>
                <c:pt idx="17">
                  <c:v>0</c:v>
                </c:pt>
                <c:pt idx="18">
                  <c:v>0</c:v>
                </c:pt>
                <c:pt idx="19">
                  <c:v>2322.653210728638</c:v>
                </c:pt>
                <c:pt idx="20">
                  <c:v>0</c:v>
                </c:pt>
                <c:pt idx="21">
                  <c:v>0</c:v>
                </c:pt>
                <c:pt idx="22">
                  <c:v>2245.2455658528665</c:v>
                </c:pt>
                <c:pt idx="23">
                  <c:v>0</c:v>
                </c:pt>
                <c:pt idx="24" formatCode="0">
                  <c:v>0</c:v>
                </c:pt>
                <c:pt idx="25">
                  <c:v>2337.4014719587344</c:v>
                </c:pt>
                <c:pt idx="26">
                  <c:v>0</c:v>
                </c:pt>
              </c:numCache>
            </c:numRef>
          </c:val>
          <c:extLst>
            <c:ext xmlns:c16="http://schemas.microsoft.com/office/drawing/2014/chart" uri="{C3380CC4-5D6E-409C-BE32-E72D297353CC}">
              <c16:uniqueId val="{00000002-71A9-464F-91F4-D60F05001DBC}"/>
            </c:ext>
          </c:extLst>
        </c:ser>
        <c:ser>
          <c:idx val="3"/>
          <c:order val="3"/>
          <c:tx>
            <c:strRef>
              <c:f>'FA.1 (ass budget)'!$U$45</c:f>
              <c:strCache>
                <c:ptCount val="1"/>
                <c:pt idx="0">
                  <c:v>Commonwealth payments</c:v>
                </c:pt>
              </c:strCache>
            </c:strRef>
          </c:tx>
          <c:spPr>
            <a:solidFill>
              <a:srgbClr val="004563"/>
            </a:solidFill>
            <a:ln>
              <a:noFill/>
            </a:ln>
          </c:spPr>
          <c:invertIfNegative val="0"/>
          <c:cat>
            <c:strRef>
              <c:f>'FA.1 (ass budget)'!$Q$46:$Q$72</c:f>
              <c:strCache>
                <c:ptCount val="25"/>
                <c:pt idx="0">
                  <c:v>NSW</c:v>
                </c:pt>
                <c:pt idx="3">
                  <c:v>Vic</c:v>
                </c:pt>
                <c:pt idx="6">
                  <c:v>Qld</c:v>
                </c:pt>
                <c:pt idx="9">
                  <c:v>WA</c:v>
                </c:pt>
                <c:pt idx="12">
                  <c:v>SA</c:v>
                </c:pt>
                <c:pt idx="15">
                  <c:v>Tas</c:v>
                </c:pt>
                <c:pt idx="18">
                  <c:v>ACT</c:v>
                </c:pt>
                <c:pt idx="21">
                  <c:v>NT</c:v>
                </c:pt>
                <c:pt idx="24">
                  <c:v>Total</c:v>
                </c:pt>
              </c:strCache>
            </c:strRef>
          </c:cat>
          <c:val>
            <c:numRef>
              <c:f>'FA.1 (ass budget)'!$U$46:$U$72</c:f>
              <c:numCache>
                <c:formatCode>General</c:formatCode>
                <c:ptCount val="27"/>
                <c:pt idx="0">
                  <c:v>0</c:v>
                </c:pt>
                <c:pt idx="1">
                  <c:v>2514.6982445537824</c:v>
                </c:pt>
                <c:pt idx="2">
                  <c:v>0</c:v>
                </c:pt>
                <c:pt idx="3">
                  <c:v>0</c:v>
                </c:pt>
                <c:pt idx="4">
                  <c:v>2364.8125251241031</c:v>
                </c:pt>
                <c:pt idx="5">
                  <c:v>0</c:v>
                </c:pt>
                <c:pt idx="6">
                  <c:v>0</c:v>
                </c:pt>
                <c:pt idx="7">
                  <c:v>2585.5540373087133</c:v>
                </c:pt>
                <c:pt idx="8">
                  <c:v>0</c:v>
                </c:pt>
                <c:pt idx="9">
                  <c:v>0</c:v>
                </c:pt>
                <c:pt idx="10">
                  <c:v>2561.5139958731625</c:v>
                </c:pt>
                <c:pt idx="11">
                  <c:v>0</c:v>
                </c:pt>
                <c:pt idx="12">
                  <c:v>0</c:v>
                </c:pt>
                <c:pt idx="13">
                  <c:v>2329.5915605600012</c:v>
                </c:pt>
                <c:pt idx="14">
                  <c:v>0</c:v>
                </c:pt>
                <c:pt idx="15">
                  <c:v>0</c:v>
                </c:pt>
                <c:pt idx="16">
                  <c:v>2729.5927829355014</c:v>
                </c:pt>
                <c:pt idx="17">
                  <c:v>0</c:v>
                </c:pt>
                <c:pt idx="18">
                  <c:v>0</c:v>
                </c:pt>
                <c:pt idx="19">
                  <c:v>2235.1760195618813</c:v>
                </c:pt>
                <c:pt idx="20">
                  <c:v>0</c:v>
                </c:pt>
                <c:pt idx="21">
                  <c:v>0</c:v>
                </c:pt>
                <c:pt idx="22">
                  <c:v>4608.562609420288</c:v>
                </c:pt>
                <c:pt idx="23">
                  <c:v>0</c:v>
                </c:pt>
                <c:pt idx="24" formatCode="0">
                  <c:v>0</c:v>
                </c:pt>
                <c:pt idx="25">
                  <c:v>2502.124616284279</c:v>
                </c:pt>
                <c:pt idx="26">
                  <c:v>0</c:v>
                </c:pt>
              </c:numCache>
            </c:numRef>
          </c:val>
          <c:extLst>
            <c:ext xmlns:c16="http://schemas.microsoft.com/office/drawing/2014/chart" uri="{C3380CC4-5D6E-409C-BE32-E72D297353CC}">
              <c16:uniqueId val="{00000003-71A9-464F-91F4-D60F05001DBC}"/>
            </c:ext>
          </c:extLst>
        </c:ser>
        <c:ser>
          <c:idx val="4"/>
          <c:order val="4"/>
          <c:tx>
            <c:strRef>
              <c:f>'FA.1 (ass budget)'!$V$45</c:f>
              <c:strCache>
                <c:ptCount val="1"/>
                <c:pt idx="0">
                  <c:v>GST</c:v>
                </c:pt>
              </c:strCache>
            </c:strRef>
          </c:tx>
          <c:spPr>
            <a:solidFill>
              <a:srgbClr val="CC5E12"/>
            </a:solidFill>
            <a:ln>
              <a:noFill/>
            </a:ln>
          </c:spPr>
          <c:invertIfNegative val="0"/>
          <c:cat>
            <c:strRef>
              <c:f>'FA.1 (ass budget)'!$Q$46:$Q$72</c:f>
              <c:strCache>
                <c:ptCount val="25"/>
                <c:pt idx="0">
                  <c:v>NSW</c:v>
                </c:pt>
                <c:pt idx="3">
                  <c:v>Vic</c:v>
                </c:pt>
                <c:pt idx="6">
                  <c:v>Qld</c:v>
                </c:pt>
                <c:pt idx="9">
                  <c:v>WA</c:v>
                </c:pt>
                <c:pt idx="12">
                  <c:v>SA</c:v>
                </c:pt>
                <c:pt idx="15">
                  <c:v>Tas</c:v>
                </c:pt>
                <c:pt idx="18">
                  <c:v>ACT</c:v>
                </c:pt>
                <c:pt idx="21">
                  <c:v>NT</c:v>
                </c:pt>
                <c:pt idx="24">
                  <c:v>Total</c:v>
                </c:pt>
              </c:strCache>
            </c:strRef>
          </c:cat>
          <c:val>
            <c:numRef>
              <c:f>'FA.1 (ass budget)'!$V$46:$V$72</c:f>
              <c:numCache>
                <c:formatCode>General</c:formatCode>
                <c:ptCount val="27"/>
                <c:pt idx="0">
                  <c:v>0</c:v>
                </c:pt>
                <c:pt idx="1">
                  <c:v>2940.3312324151339</c:v>
                </c:pt>
                <c:pt idx="2">
                  <c:v>0</c:v>
                </c:pt>
                <c:pt idx="3">
                  <c:v>0</c:v>
                </c:pt>
                <c:pt idx="4">
                  <c:v>3647.3723154311997</c:v>
                </c:pt>
                <c:pt idx="5">
                  <c:v>0</c:v>
                </c:pt>
                <c:pt idx="6">
                  <c:v>0</c:v>
                </c:pt>
                <c:pt idx="7">
                  <c:v>2890.3311790289895</c:v>
                </c:pt>
                <c:pt idx="8">
                  <c:v>0</c:v>
                </c:pt>
                <c:pt idx="9">
                  <c:v>0</c:v>
                </c:pt>
                <c:pt idx="10">
                  <c:v>2563.2289842519799</c:v>
                </c:pt>
                <c:pt idx="11">
                  <c:v>0</c:v>
                </c:pt>
                <c:pt idx="12">
                  <c:v>0</c:v>
                </c:pt>
                <c:pt idx="13">
                  <c:v>4746.2798455597067</c:v>
                </c:pt>
                <c:pt idx="14">
                  <c:v>0</c:v>
                </c:pt>
                <c:pt idx="15">
                  <c:v>0</c:v>
                </c:pt>
                <c:pt idx="16">
                  <c:v>6290.2664565137384</c:v>
                </c:pt>
                <c:pt idx="17">
                  <c:v>0</c:v>
                </c:pt>
                <c:pt idx="18">
                  <c:v>0</c:v>
                </c:pt>
                <c:pt idx="19">
                  <c:v>4006.2585496129391</c:v>
                </c:pt>
                <c:pt idx="20">
                  <c:v>0</c:v>
                </c:pt>
                <c:pt idx="21">
                  <c:v>0</c:v>
                </c:pt>
                <c:pt idx="22">
                  <c:v>17604.666780480085</c:v>
                </c:pt>
                <c:pt idx="23">
                  <c:v>0</c:v>
                </c:pt>
                <c:pt idx="24" formatCode="0">
                  <c:v>0</c:v>
                </c:pt>
                <c:pt idx="25">
                  <c:v>3417.6341480494098</c:v>
                </c:pt>
                <c:pt idx="26">
                  <c:v>0</c:v>
                </c:pt>
              </c:numCache>
            </c:numRef>
          </c:val>
          <c:extLst>
            <c:ext xmlns:c16="http://schemas.microsoft.com/office/drawing/2014/chart" uri="{C3380CC4-5D6E-409C-BE32-E72D297353CC}">
              <c16:uniqueId val="{00000004-71A9-464F-91F4-D60F05001DBC}"/>
            </c:ext>
          </c:extLst>
        </c:ser>
        <c:dLbls>
          <c:showLegendKey val="0"/>
          <c:showVal val="0"/>
          <c:showCatName val="0"/>
          <c:showSerName val="0"/>
          <c:showPercent val="0"/>
          <c:showBubbleSize val="0"/>
        </c:dLbls>
        <c:gapWidth val="10"/>
        <c:overlap val="100"/>
        <c:axId val="268169216"/>
        <c:axId val="268170752"/>
      </c:barChart>
      <c:catAx>
        <c:axId val="268169216"/>
        <c:scaling>
          <c:orientation val="minMax"/>
        </c:scaling>
        <c:delete val="0"/>
        <c:axPos val="b"/>
        <c:numFmt formatCode="#,##0" sourceLinked="0"/>
        <c:majorTickMark val="out"/>
        <c:minorTickMark val="none"/>
        <c:tickLblPos val="nextTo"/>
        <c:spPr>
          <a:ln>
            <a:noFill/>
          </a:ln>
        </c:spPr>
        <c:txPr>
          <a:bodyPr/>
          <a:lstStyle/>
          <a:p>
            <a:pPr>
              <a:defRPr sz="800">
                <a:latin typeface="Work Sans" pitchFamily="2" charset="0"/>
              </a:defRPr>
            </a:pPr>
            <a:endParaRPr lang="en-US"/>
          </a:p>
        </c:txPr>
        <c:crossAx val="268170752"/>
        <c:crosses val="autoZero"/>
        <c:auto val="1"/>
        <c:lblAlgn val="ctr"/>
        <c:lblOffset val="100"/>
        <c:noMultiLvlLbl val="0"/>
      </c:catAx>
      <c:valAx>
        <c:axId val="268170752"/>
        <c:scaling>
          <c:orientation val="minMax"/>
        </c:scaling>
        <c:delete val="0"/>
        <c:axPos val="l"/>
        <c:majorGridlines>
          <c:spPr>
            <a:ln w="6350">
              <a:solidFill>
                <a:schemeClr val="bg1">
                  <a:lumMod val="85000"/>
                </a:schemeClr>
              </a:solidFill>
            </a:ln>
          </c:spPr>
        </c:majorGridlines>
        <c:title>
          <c:tx>
            <c:rich>
              <a:bodyPr rot="-5400000" vert="horz"/>
              <a:lstStyle/>
              <a:p>
                <a:pPr>
                  <a:defRPr sz="800">
                    <a:latin typeface="Work Sans" pitchFamily="2" charset="0"/>
                  </a:defRPr>
                </a:pPr>
                <a:r>
                  <a:rPr lang="en-AU">
                    <a:latin typeface="Work Sans" pitchFamily="2" charset="0"/>
                  </a:rPr>
                  <a:t>$ per capita</a:t>
                </a:r>
              </a:p>
            </c:rich>
          </c:tx>
          <c:layout>
            <c:manualLayout>
              <c:xMode val="edge"/>
              <c:yMode val="edge"/>
              <c:x val="1.3902341767176418E-2"/>
              <c:y val="0.43019191919191918"/>
            </c:manualLayout>
          </c:layout>
          <c:overlay val="0"/>
        </c:title>
        <c:numFmt formatCode="#,##0" sourceLinked="0"/>
        <c:majorTickMark val="out"/>
        <c:minorTickMark val="none"/>
        <c:tickLblPos val="nextTo"/>
        <c:spPr>
          <a:ln>
            <a:noFill/>
          </a:ln>
        </c:spPr>
        <c:txPr>
          <a:bodyPr/>
          <a:lstStyle/>
          <a:p>
            <a:pPr>
              <a:defRPr sz="800">
                <a:latin typeface="Work Sans" pitchFamily="2" charset="0"/>
              </a:defRPr>
            </a:pPr>
            <a:endParaRPr lang="en-US"/>
          </a:p>
        </c:txPr>
        <c:crossAx val="268169216"/>
        <c:crosses val="autoZero"/>
        <c:crossBetween val="between"/>
      </c:valAx>
    </c:plotArea>
    <c:legend>
      <c:legendPos val="t"/>
      <c:layout>
        <c:manualLayout>
          <c:xMode val="edge"/>
          <c:yMode val="edge"/>
          <c:x val="6.3172328379334758E-2"/>
          <c:y val="2.6392817059483726E-2"/>
          <c:w val="0.88206202919020704"/>
          <c:h val="7.4362244897959187E-2"/>
        </c:manualLayout>
      </c:layout>
      <c:overlay val="0"/>
      <c:spPr>
        <a:solidFill>
          <a:sysClr val="window" lastClr="FFFFFF"/>
        </a:solidFill>
        <a:ln>
          <a:solidFill>
            <a:sysClr val="window" lastClr="FFFFFF">
              <a:lumMod val="85000"/>
            </a:sysClr>
          </a:solidFill>
        </a:ln>
      </c:spPr>
      <c:txPr>
        <a:bodyPr/>
        <a:lstStyle/>
        <a:p>
          <a:pPr>
            <a:defRPr sz="800">
              <a:latin typeface="Work Sans" pitchFamily="2" charset="0"/>
            </a:defRPr>
          </a:pPr>
          <a:endParaRPr lang="en-US"/>
        </a:p>
      </c:txPr>
    </c:legend>
    <c:plotVisOnly val="1"/>
    <c:dispBlanksAs val="gap"/>
    <c:showDLblsOverMax val="0"/>
  </c:chart>
  <c:spPr>
    <a:ln>
      <a:solidFill>
        <a:srgbClr val="ADD6EA"/>
      </a:solid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412360688956435E-2"/>
          <c:y val="4.0093273542600893E-2"/>
          <c:w val="0.89820499831138134"/>
          <c:h val="0.72309524663677127"/>
        </c:manualLayout>
      </c:layout>
      <c:areaChart>
        <c:grouping val="stacked"/>
        <c:varyColors val="0"/>
        <c:ser>
          <c:idx val="0"/>
          <c:order val="0"/>
          <c:tx>
            <c:strRef>
              <c:f>'Figures B-1, B-2'!$AI$4</c:f>
              <c:strCache>
                <c:ptCount val="1"/>
                <c:pt idx="0">
                  <c:v>NT</c:v>
                </c:pt>
              </c:strCache>
            </c:strRef>
          </c:tx>
          <c:spPr>
            <a:solidFill>
              <a:srgbClr val="004563"/>
            </a:solidFill>
            <a:ln>
              <a:noFill/>
            </a:ln>
            <a:effectLst/>
          </c:spPr>
          <c:cat>
            <c:strRef>
              <c:f>'Figures B-1, B-2'!$AA$5:$AA$30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'Figures B-1, B-2'!$AI$5:$AI$30</c:f>
              <c:numCache>
                <c:formatCode>General</c:formatCode>
                <c:ptCount val="26"/>
                <c:pt idx="0">
                  <c:v>3.8661145937433119</c:v>
                </c:pt>
                <c:pt idx="1">
                  <c:v>3.6896401565751913</c:v>
                </c:pt>
                <c:pt idx="2">
                  <c:v>3.9144522222473181</c:v>
                </c:pt>
                <c:pt idx="3">
                  <c:v>4.1150424091072324</c:v>
                </c:pt>
                <c:pt idx="4">
                  <c:v>3.976789650907262</c:v>
                </c:pt>
                <c:pt idx="5">
                  <c:v>4.0040281159390592</c:v>
                </c:pt>
                <c:pt idx="6">
                  <c:v>4.1363352572195362</c:v>
                </c:pt>
                <c:pt idx="7">
                  <c:v>4.1992217812850638</c:v>
                </c:pt>
                <c:pt idx="8">
                  <c:v>4.3603703395402915</c:v>
                </c:pt>
                <c:pt idx="9">
                  <c:v>4.3761368441448498</c:v>
                </c:pt>
                <c:pt idx="10">
                  <c:v>4.1748407885329426</c:v>
                </c:pt>
                <c:pt idx="11">
                  <c:v>4.5098007355979979</c:v>
                </c:pt>
                <c:pt idx="12">
                  <c:v>4.6968222277477345</c:v>
                </c:pt>
                <c:pt idx="13">
                  <c:v>4.5062221528199133</c:v>
                </c:pt>
                <c:pt idx="14">
                  <c:v>4.8368033600649136</c:v>
                </c:pt>
                <c:pt idx="15">
                  <c:v>4.6757193067721925</c:v>
                </c:pt>
                <c:pt idx="16">
                  <c:v>4.31244763177562</c:v>
                </c:pt>
                <c:pt idx="17">
                  <c:v>3.647108899369488</c:v>
                </c:pt>
                <c:pt idx="18">
                  <c:v>3.1314458176222941</c:v>
                </c:pt>
                <c:pt idx="19">
                  <c:v>3.1447178480270384</c:v>
                </c:pt>
                <c:pt idx="20">
                  <c:v>3.5511812442167177</c:v>
                </c:pt>
                <c:pt idx="21">
                  <c:v>3.6694082896616296</c:v>
                </c:pt>
                <c:pt idx="22">
                  <c:v>3.6860380850423526</c:v>
                </c:pt>
                <c:pt idx="23">
                  <c:v>3.7650618862559542</c:v>
                </c:pt>
                <c:pt idx="24">
                  <c:v>3.7902332805539993</c:v>
                </c:pt>
                <c:pt idx="25">
                  <c:v>3.8343329175321448</c:v>
                </c:pt>
              </c:numCache>
            </c:numRef>
          </c:val>
          <c:extLst>
            <c:ext xmlns:c16="http://schemas.microsoft.com/office/drawing/2014/chart" uri="{C3380CC4-5D6E-409C-BE32-E72D297353CC}">
              <c16:uniqueId val="{00000000-66E2-4F1E-A1B3-41EFE2277A52}"/>
            </c:ext>
          </c:extLst>
        </c:ser>
        <c:ser>
          <c:idx val="1"/>
          <c:order val="1"/>
          <c:tx>
            <c:strRef>
              <c:f>'Figures B-1, B-2'!$AH$4</c:f>
              <c:strCache>
                <c:ptCount val="1"/>
                <c:pt idx="0">
                  <c:v>ACT</c:v>
                </c:pt>
              </c:strCache>
            </c:strRef>
          </c:tx>
          <c:spPr>
            <a:solidFill>
              <a:srgbClr val="006991"/>
            </a:solidFill>
            <a:ln>
              <a:noFill/>
            </a:ln>
            <a:effectLst/>
          </c:spPr>
          <c:cat>
            <c:strRef>
              <c:f>'Figures B-1, B-2'!$AA$5:$AA$30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'Figures B-1, B-2'!$AH$5:$AH$30</c:f>
              <c:numCache>
                <c:formatCode>General</c:formatCode>
                <c:ptCount val="26"/>
                <c:pt idx="0">
                  <c:v>0.27704493155439291</c:v>
                </c:pt>
                <c:pt idx="1">
                  <c:v>0.34858380041798004</c:v>
                </c:pt>
                <c:pt idx="2">
                  <c:v>0.37078170504802399</c:v>
                </c:pt>
                <c:pt idx="3">
                  <c:v>0.37973166739747705</c:v>
                </c:pt>
                <c:pt idx="4">
                  <c:v>0.34434660314341115</c:v>
                </c:pt>
                <c:pt idx="5">
                  <c:v>0.36461584717030759</c:v>
                </c:pt>
                <c:pt idx="6">
                  <c:v>0.36684706539309753</c:v>
                </c:pt>
                <c:pt idx="7">
                  <c:v>0.39462689326349409</c:v>
                </c:pt>
                <c:pt idx="8">
                  <c:v>0.41121048747958938</c:v>
                </c:pt>
                <c:pt idx="9">
                  <c:v>0.43472416601027658</c:v>
                </c:pt>
                <c:pt idx="10">
                  <c:v>0.24920479393032263</c:v>
                </c:pt>
                <c:pt idx="11">
                  <c:v>0.19422323176841519</c:v>
                </c:pt>
                <c:pt idx="12">
                  <c:v>0.33216924760247935</c:v>
                </c:pt>
                <c:pt idx="13">
                  <c:v>0.37036055572897686</c:v>
                </c:pt>
                <c:pt idx="14">
                  <c:v>0.39334957879848498</c:v>
                </c:pt>
                <c:pt idx="15">
                  <c:v>0.16953512568596041</c:v>
                </c:pt>
                <c:pt idx="16">
                  <c:v>0.26308205194694351</c:v>
                </c:pt>
                <c:pt idx="17">
                  <c:v>0.32770790410649037</c:v>
                </c:pt>
                <c:pt idx="18">
                  <c:v>0.30570242313762774</c:v>
                </c:pt>
                <c:pt idx="19">
                  <c:v>0.40388548054247386</c:v>
                </c:pt>
                <c:pt idx="20">
                  <c:v>0.25731367600084487</c:v>
                </c:pt>
                <c:pt idx="21">
                  <c:v>0.2825197675198638</c:v>
                </c:pt>
                <c:pt idx="22">
                  <c:v>0.16236514097679386</c:v>
                </c:pt>
                <c:pt idx="23">
                  <c:v>0.34709730620420853</c:v>
                </c:pt>
                <c:pt idx="24">
                  <c:v>0.35688859348884489</c:v>
                </c:pt>
                <c:pt idx="25">
                  <c:v>0.29866874882138356</c:v>
                </c:pt>
              </c:numCache>
            </c:numRef>
          </c:val>
          <c:extLst>
            <c:ext xmlns:c16="http://schemas.microsoft.com/office/drawing/2014/chart" uri="{C3380CC4-5D6E-409C-BE32-E72D297353CC}">
              <c16:uniqueId val="{00000001-66E2-4F1E-A1B3-41EFE2277A52}"/>
            </c:ext>
          </c:extLst>
        </c:ser>
        <c:ser>
          <c:idx val="2"/>
          <c:order val="2"/>
          <c:tx>
            <c:strRef>
              <c:f>'Figures B-1, B-2'!$AG$4</c:f>
              <c:strCache>
                <c:ptCount val="1"/>
                <c:pt idx="0">
                  <c:v>Tas</c:v>
                </c:pt>
              </c:strCache>
            </c:strRef>
          </c:tx>
          <c:spPr>
            <a:solidFill>
              <a:srgbClr val="60B5D7"/>
            </a:solidFill>
            <a:ln>
              <a:noFill/>
            </a:ln>
            <a:effectLst/>
          </c:spPr>
          <c:cat>
            <c:strRef>
              <c:f>'Figures B-1, B-2'!$AA$5:$AA$30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'Figures B-1, B-2'!$AG$5:$AG$30</c:f>
              <c:numCache>
                <c:formatCode>General</c:formatCode>
                <c:ptCount val="26"/>
                <c:pt idx="0">
                  <c:v>1.489785861478871</c:v>
                </c:pt>
                <c:pt idx="1">
                  <c:v>1.4629703195908488</c:v>
                </c:pt>
                <c:pt idx="2">
                  <c:v>1.641297616742788</c:v>
                </c:pt>
                <c:pt idx="3">
                  <c:v>1.813124926894091</c:v>
                </c:pt>
                <c:pt idx="4">
                  <c:v>1.7123465777880142</c:v>
                </c:pt>
                <c:pt idx="5">
                  <c:v>1.67606622758146</c:v>
                </c:pt>
                <c:pt idx="6">
                  <c:v>1.6352578608107373</c:v>
                </c:pt>
                <c:pt idx="7">
                  <c:v>1.6009653943246309</c:v>
                </c:pt>
                <c:pt idx="8">
                  <c:v>1.5331658631212288</c:v>
                </c:pt>
                <c:pt idx="9">
                  <c:v>1.4192630765753209</c:v>
                </c:pt>
                <c:pt idx="10">
                  <c:v>1.4127569222166667</c:v>
                </c:pt>
                <c:pt idx="11">
                  <c:v>1.3686273913962674</c:v>
                </c:pt>
                <c:pt idx="12">
                  <c:v>1.3080982208236676</c:v>
                </c:pt>
                <c:pt idx="13">
                  <c:v>1.3661762754677016</c:v>
                </c:pt>
                <c:pt idx="14">
                  <c:v>1.395375590617278</c:v>
                </c:pt>
                <c:pt idx="15">
                  <c:v>1.7816305811838382</c:v>
                </c:pt>
                <c:pt idx="16">
                  <c:v>1.6584264421148083</c:v>
                </c:pt>
                <c:pt idx="17">
                  <c:v>1.7054942550265235</c:v>
                </c:pt>
                <c:pt idx="18">
                  <c:v>1.6199621680415344</c:v>
                </c:pt>
                <c:pt idx="19">
                  <c:v>1.5937488969784794</c:v>
                </c:pt>
                <c:pt idx="20">
                  <c:v>1.8990850252812181</c:v>
                </c:pt>
                <c:pt idx="21">
                  <c:v>2.1170536699582425</c:v>
                </c:pt>
                <c:pt idx="22">
                  <c:v>1.8578805955190909</c:v>
                </c:pt>
                <c:pt idx="23">
                  <c:v>1.6971785496427954</c:v>
                </c:pt>
                <c:pt idx="24">
                  <c:v>1.7437432669259314</c:v>
                </c:pt>
                <c:pt idx="25">
                  <c:v>1.7446352826062914</c:v>
                </c:pt>
              </c:numCache>
            </c:numRef>
          </c:val>
          <c:extLst>
            <c:ext xmlns:c16="http://schemas.microsoft.com/office/drawing/2014/chart" uri="{C3380CC4-5D6E-409C-BE32-E72D297353CC}">
              <c16:uniqueId val="{00000002-66E2-4F1E-A1B3-41EFE2277A52}"/>
            </c:ext>
          </c:extLst>
        </c:ser>
        <c:ser>
          <c:idx val="3"/>
          <c:order val="3"/>
          <c:tx>
            <c:strRef>
              <c:f>'Figures B-1, B-2'!$AF$4</c:f>
              <c:strCache>
                <c:ptCount val="1"/>
                <c:pt idx="0">
                  <c:v>SA</c:v>
                </c:pt>
              </c:strCache>
            </c:strRef>
          </c:tx>
          <c:spPr>
            <a:solidFill>
              <a:srgbClr val="0092C8"/>
            </a:solidFill>
            <a:ln>
              <a:noFill/>
            </a:ln>
            <a:effectLst/>
          </c:spPr>
          <c:cat>
            <c:strRef>
              <c:f>'Figures B-1, B-2'!$AA$5:$AA$30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'Figures B-1, B-2'!$AF$5:$AF$30</c:f>
              <c:numCache>
                <c:formatCode>General</c:formatCode>
                <c:ptCount val="26"/>
                <c:pt idx="0">
                  <c:v>1.5941675343000048</c:v>
                </c:pt>
                <c:pt idx="1">
                  <c:v>1.5534322267597434</c:v>
                </c:pt>
                <c:pt idx="2">
                  <c:v>1.6870474450304846</c:v>
                </c:pt>
                <c:pt idx="3">
                  <c:v>1.852235259443169</c:v>
                </c:pt>
                <c:pt idx="4">
                  <c:v>1.7575399833484828</c:v>
                </c:pt>
                <c:pt idx="5">
                  <c:v>1.7164338343346826</c:v>
                </c:pt>
                <c:pt idx="6">
                  <c:v>1.5612436241629695</c:v>
                </c:pt>
                <c:pt idx="7">
                  <c:v>1.7245260205714652</c:v>
                </c:pt>
                <c:pt idx="8">
                  <c:v>1.7260720372763063</c:v>
                </c:pt>
                <c:pt idx="9">
                  <c:v>1.8322732662759731</c:v>
                </c:pt>
                <c:pt idx="10">
                  <c:v>2.107343840950525</c:v>
                </c:pt>
                <c:pt idx="11">
                  <c:v>1.9917199471196121</c:v>
                </c:pt>
                <c:pt idx="12">
                  <c:v>2.0886531438908964</c:v>
                </c:pt>
                <c:pt idx="13">
                  <c:v>1.9117924583528414</c:v>
                </c:pt>
                <c:pt idx="14">
                  <c:v>2.0900998026819955</c:v>
                </c:pt>
                <c:pt idx="15">
                  <c:v>2.5801442968845705</c:v>
                </c:pt>
                <c:pt idx="16">
                  <c:v>2.947893408552142</c:v>
                </c:pt>
                <c:pt idx="17">
                  <c:v>3.0713738491368909</c:v>
                </c:pt>
                <c:pt idx="18">
                  <c:v>3.3059126770792076</c:v>
                </c:pt>
                <c:pt idx="19">
                  <c:v>3.210724168885251</c:v>
                </c:pt>
                <c:pt idx="20">
                  <c:v>2.4786368425373477</c:v>
                </c:pt>
                <c:pt idx="21">
                  <c:v>2.4176162906423535</c:v>
                </c:pt>
                <c:pt idx="22">
                  <c:v>1.9845068340494099</c:v>
                </c:pt>
                <c:pt idx="23">
                  <c:v>2.7608630293774721</c:v>
                </c:pt>
                <c:pt idx="24">
                  <c:v>2.781147726138014</c:v>
                </c:pt>
                <c:pt idx="25">
                  <c:v>2.6573124629721474</c:v>
                </c:pt>
              </c:numCache>
            </c:numRef>
          </c:val>
          <c:extLst>
            <c:ext xmlns:c16="http://schemas.microsoft.com/office/drawing/2014/chart" uri="{C3380CC4-5D6E-409C-BE32-E72D297353CC}">
              <c16:uniqueId val="{00000003-66E2-4F1E-A1B3-41EFE2277A52}"/>
            </c:ext>
          </c:extLst>
        </c:ser>
        <c:ser>
          <c:idx val="4"/>
          <c:order val="4"/>
          <c:tx>
            <c:strRef>
              <c:f>'Figures B-1, B-2'!$AE$4</c:f>
              <c:strCache>
                <c:ptCount val="1"/>
                <c:pt idx="0">
                  <c:v>WA</c:v>
                </c:pt>
              </c:strCache>
            </c:strRef>
          </c:tx>
          <c:spPr>
            <a:solidFill>
              <a:srgbClr val="D6E7F0"/>
            </a:solidFill>
            <a:ln>
              <a:noFill/>
            </a:ln>
            <a:effectLst/>
          </c:spPr>
          <c:cat>
            <c:strRef>
              <c:f>'Figures B-1, B-2'!$AA$5:$AA$30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'Figures B-1, B-2'!$AE$5:$AE$28</c:f>
              <c:numCache>
                <c:formatCode>General</c:formatCode>
                <c:ptCount val="24"/>
                <c:pt idx="0">
                  <c:v>0</c:v>
                </c:pt>
                <c:pt idx="1">
                  <c:v>0</c:v>
                </c:pt>
                <c:pt idx="2">
                  <c:v>0</c:v>
                </c:pt>
                <c:pt idx="3">
                  <c:v>0</c:v>
                </c:pt>
                <c:pt idx="4">
                  <c:v>0.38273140578038711</c:v>
                </c:pt>
                <c:pt idx="5">
                  <c:v>0.32666621410855773</c:v>
                </c:pt>
                <c:pt idx="6">
                  <c:v>6.2575187322960746E-2</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val>
          <c:extLst>
            <c:ext xmlns:c16="http://schemas.microsoft.com/office/drawing/2014/chart" uri="{C3380CC4-5D6E-409C-BE32-E72D297353CC}">
              <c16:uniqueId val="{00000004-66E2-4F1E-A1B3-41EFE2277A52}"/>
            </c:ext>
          </c:extLst>
        </c:ser>
        <c:ser>
          <c:idx val="5"/>
          <c:order val="5"/>
          <c:tx>
            <c:strRef>
              <c:f>'Figures B-1, B-2'!$AD$4</c:f>
              <c:strCache>
                <c:ptCount val="1"/>
                <c:pt idx="0">
                  <c:v>Qld</c:v>
                </c:pt>
              </c:strCache>
            </c:strRef>
          </c:tx>
          <c:spPr>
            <a:solidFill>
              <a:srgbClr val="ADD6EA"/>
            </a:solidFill>
            <a:ln>
              <a:noFill/>
            </a:ln>
            <a:effectLst/>
          </c:spPr>
          <c:cat>
            <c:strRef>
              <c:f>'Figures B-1, B-2'!$AA$5:$AA$30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'Figures B-1, B-2'!$AD$5:$AD$30</c:f>
              <c:numCache>
                <c:formatCode>General</c:formatCode>
                <c:ptCount val="26"/>
                <c:pt idx="0">
                  <c:v>0.47490367380966791</c:v>
                </c:pt>
                <c:pt idx="1">
                  <c:v>0.12896834425183967</c:v>
                </c:pt>
                <c:pt idx="2">
                  <c:v>0.3456159257453767</c:v>
                </c:pt>
                <c:pt idx="3">
                  <c:v>0.51079320242963799</c:v>
                </c:pt>
                <c:pt idx="4">
                  <c:v>1.3676350968267581</c:v>
                </c:pt>
                <c:pt idx="5">
                  <c:v>1.1131335028069094</c:v>
                </c:pt>
                <c:pt idx="6">
                  <c:v>0.61759613572503202</c:v>
                </c:pt>
                <c:pt idx="7">
                  <c:v>0.19556194862465348</c:v>
                </c:pt>
                <c:pt idx="8">
                  <c:v>0</c:v>
                </c:pt>
                <c:pt idx="9">
                  <c:v>0</c:v>
                </c:pt>
                <c:pt idx="10">
                  <c:v>0</c:v>
                </c:pt>
                <c:pt idx="11">
                  <c:v>0</c:v>
                </c:pt>
                <c:pt idx="12">
                  <c:v>0</c:v>
                </c:pt>
                <c:pt idx="13">
                  <c:v>1.2004753578499088</c:v>
                </c:pt>
                <c:pt idx="14">
                  <c:v>1.6488739496787919</c:v>
                </c:pt>
                <c:pt idx="15">
                  <c:v>2.6265901751899969</c:v>
                </c:pt>
                <c:pt idx="16">
                  <c:v>3.4544461509868647</c:v>
                </c:pt>
                <c:pt idx="17">
                  <c:v>3.7662729134052162</c:v>
                </c:pt>
                <c:pt idx="18">
                  <c:v>1.9604973985620027</c:v>
                </c:pt>
                <c:pt idx="19">
                  <c:v>1.1087531831704855</c:v>
                </c:pt>
                <c:pt idx="20">
                  <c:v>1.0321640844245472</c:v>
                </c:pt>
                <c:pt idx="21">
                  <c:v>1.1702381022663273</c:v>
                </c:pt>
                <c:pt idx="22">
                  <c:v>0.69211843868413891</c:v>
                </c:pt>
                <c:pt idx="23">
                  <c:v>0.70327712872324533</c:v>
                </c:pt>
                <c:pt idx="24">
                  <c:v>0</c:v>
                </c:pt>
                <c:pt idx="25">
                  <c:v>0</c:v>
                </c:pt>
              </c:numCache>
            </c:numRef>
          </c:val>
          <c:extLst>
            <c:ext xmlns:c16="http://schemas.microsoft.com/office/drawing/2014/chart" uri="{C3380CC4-5D6E-409C-BE32-E72D297353CC}">
              <c16:uniqueId val="{00000005-66E2-4F1E-A1B3-41EFE2277A52}"/>
            </c:ext>
          </c:extLst>
        </c:ser>
        <c:ser>
          <c:idx val="6"/>
          <c:order val="6"/>
          <c:tx>
            <c:v>Vic</c:v>
          </c:tx>
          <c:spPr>
            <a:solidFill>
              <a:srgbClr val="66B3A5"/>
            </a:solidFill>
            <a:ln w="25400">
              <a:noFill/>
            </a:ln>
            <a:effectLst/>
          </c:spPr>
          <c:cat>
            <c:strRef>
              <c:f>'Figures B-1, B-2'!$AA$5:$AA$30</c:f>
              <c:strCache>
                <c:ptCount val="26"/>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pt idx="24">
                  <c:v>2024-25</c:v>
                </c:pt>
                <c:pt idx="25">
                  <c:v>2025-26</c:v>
                </c:pt>
              </c:strCache>
            </c:strRef>
          </c:cat>
          <c:val>
            <c:numRef>
              <c:f>'Figures B-1, B-2'!$AC$5:$AC$30</c:f>
              <c:numCache>
                <c:formatCode>General</c:formatCode>
                <c:ptCount val="2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1.7309091873496607</c:v>
                </c:pt>
              </c:numCache>
            </c:numRef>
          </c:val>
          <c:extLst>
            <c:ext xmlns:c16="http://schemas.microsoft.com/office/drawing/2014/chart" uri="{C3380CC4-5D6E-409C-BE32-E72D297353CC}">
              <c16:uniqueId val="{00000006-66E2-4F1E-A1B3-41EFE2277A52}"/>
            </c:ext>
          </c:extLst>
        </c:ser>
        <c:dLbls>
          <c:showLegendKey val="0"/>
          <c:showVal val="0"/>
          <c:showCatName val="0"/>
          <c:showSerName val="0"/>
          <c:showPercent val="0"/>
          <c:showBubbleSize val="0"/>
        </c:dLbls>
        <c:axId val="1044507535"/>
        <c:axId val="1048662207"/>
      </c:areaChart>
      <c:catAx>
        <c:axId val="104450753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Work Sans" pitchFamily="2" charset="0"/>
                <a:ea typeface="+mn-ea"/>
                <a:cs typeface="+mn-cs"/>
              </a:defRPr>
            </a:pPr>
            <a:endParaRPr lang="en-US"/>
          </a:p>
        </c:txPr>
        <c:crossAx val="1048662207"/>
        <c:crosses val="autoZero"/>
        <c:auto val="1"/>
        <c:lblAlgn val="ctr"/>
        <c:lblOffset val="100"/>
        <c:noMultiLvlLbl val="0"/>
      </c:catAx>
      <c:valAx>
        <c:axId val="10486622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Work Sans" pitchFamily="2" charset="0"/>
                    <a:ea typeface="+mn-ea"/>
                    <a:cs typeface="+mn-cs"/>
                  </a:defRPr>
                </a:pPr>
                <a:r>
                  <a:rPr lang="en-AU"/>
                  <a:t>%</a:t>
                </a:r>
              </a:p>
            </c:rich>
          </c:tx>
          <c:layout>
            <c:manualLayout>
              <c:xMode val="edge"/>
              <c:yMode val="edge"/>
              <c:x val="3.671394799054374E-3"/>
              <c:y val="0.37619286098654714"/>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Work Sans" pitchFamily="2" charset="0"/>
                  <a:ea typeface="+mn-ea"/>
                  <a:cs typeface="+mn-cs"/>
                </a:defRPr>
              </a:pPr>
              <a:endParaRPr lang="en-US"/>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Work Sans" pitchFamily="2" charset="0"/>
                <a:ea typeface="+mn-ea"/>
                <a:cs typeface="+mn-cs"/>
              </a:defRPr>
            </a:pPr>
            <a:endParaRPr lang="en-US"/>
          </a:p>
        </c:txPr>
        <c:crossAx val="1044507535"/>
        <c:crosses val="autoZero"/>
        <c:crossBetween val="midCat"/>
      </c:valAx>
      <c:spPr>
        <a:noFill/>
        <a:ln>
          <a:noFill/>
        </a:ln>
        <a:effectLst/>
      </c:spPr>
    </c:plotArea>
    <c:legend>
      <c:legendPos val="b"/>
      <c:overlay val="0"/>
      <c:spPr>
        <a:noFill/>
        <a:ln>
          <a:solidFill>
            <a:srgbClr val="939598"/>
          </a:solid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Work Sans" pitchFamily="2" charset="0"/>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ADD6EA"/>
      </a:solidFill>
      <a:round/>
    </a:ln>
    <a:effectLst/>
  </c:spPr>
  <c:txPr>
    <a:bodyPr/>
    <a:lstStyle/>
    <a:p>
      <a:pPr>
        <a:defRPr sz="800">
          <a:latin typeface="Work Sans" pitchFamily="2" charset="0"/>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0.08483</cdr:x>
      <cdr:y>0.07552</cdr:y>
    </cdr:from>
    <cdr:to>
      <cdr:x>0.91621</cdr:x>
      <cdr:y>0.501</cdr:y>
    </cdr:to>
    <cdr:sp macro="" textlink="">
      <cdr:nvSpPr>
        <cdr:cNvPr id="4" name="Rectangle 3">
          <a:extLst xmlns:a="http://schemas.openxmlformats.org/drawingml/2006/main">
            <a:ext uri="{FF2B5EF4-FFF2-40B4-BE49-F238E27FC236}">
              <a16:creationId xmlns:a16="http://schemas.microsoft.com/office/drawing/2014/main" id="{CA67DB71-27F0-486C-B03B-DC02FE815797}"/>
            </a:ext>
          </a:extLst>
        </cdr:cNvPr>
        <cdr:cNvSpPr/>
      </cdr:nvSpPr>
      <cdr:spPr>
        <a:xfrm xmlns:a="http://schemas.openxmlformats.org/drawingml/2006/main">
          <a:off x="476250" y="358922"/>
          <a:ext cx="4667250" cy="2022329"/>
        </a:xfrm>
        <a:prstGeom xmlns:a="http://schemas.openxmlformats.org/drawingml/2006/main" prst="rect">
          <a:avLst/>
        </a:prstGeom>
        <a:solidFill xmlns:a="http://schemas.openxmlformats.org/drawingml/2006/main">
          <a:srgbClr val="EBF3F5">
            <a:alpha val="7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0.03487</cdr:x>
      <cdr:y>0.06628</cdr:y>
    </cdr:from>
    <cdr:to>
      <cdr:x>0.08314</cdr:x>
      <cdr:y>0.42334</cdr:y>
    </cdr:to>
    <cdr:sp macro="" textlink="">
      <cdr:nvSpPr>
        <cdr:cNvPr id="2" name="Rectangle 1">
          <a:extLst xmlns:a="http://schemas.openxmlformats.org/drawingml/2006/main">
            <a:ext uri="{FF2B5EF4-FFF2-40B4-BE49-F238E27FC236}">
              <a16:creationId xmlns:a16="http://schemas.microsoft.com/office/drawing/2014/main" id="{2A700EB3-9F50-4935-9EA2-3A8A79423D76}"/>
            </a:ext>
          </a:extLst>
        </cdr:cNvPr>
        <cdr:cNvSpPr/>
      </cdr:nvSpPr>
      <cdr:spPr>
        <a:xfrm xmlns:a="http://schemas.openxmlformats.org/drawingml/2006/main">
          <a:off x="195757" y="323851"/>
          <a:ext cx="270983" cy="1744726"/>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0.91281</cdr:x>
      <cdr:y>0.50947</cdr:y>
    </cdr:from>
    <cdr:to>
      <cdr:x>0.96032</cdr:x>
      <cdr:y>0.93684</cdr:y>
    </cdr:to>
    <cdr:sp macro="" textlink="">
      <cdr:nvSpPr>
        <cdr:cNvPr id="5" name="Rectangle 4" descr="Timeseries of each state's GST relativities ">
          <a:extLst xmlns:a="http://schemas.openxmlformats.org/drawingml/2006/main">
            <a:ext uri="{FF2B5EF4-FFF2-40B4-BE49-F238E27FC236}">
              <a16:creationId xmlns:a16="http://schemas.microsoft.com/office/drawing/2014/main" id="{36BC1D13-BFBB-4F1D-A651-A55EC928B768}"/>
            </a:ext>
          </a:extLst>
        </cdr:cNvPr>
        <cdr:cNvSpPr/>
      </cdr:nvSpPr>
      <cdr:spPr>
        <a:xfrm xmlns:a="http://schemas.openxmlformats.org/drawingml/2006/main">
          <a:off x="5124450" y="2305051"/>
          <a:ext cx="266699" cy="1933575"/>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0.07431</cdr:x>
      <cdr:y>0.46565</cdr:y>
    </cdr:from>
    <cdr:to>
      <cdr:x>0.10424</cdr:x>
      <cdr:y>0.51503</cdr:y>
    </cdr:to>
    <cdr:cxnSp macro="">
      <cdr:nvCxnSpPr>
        <cdr:cNvPr id="6" name="Straight Connector 5">
          <a:extLst xmlns:a="http://schemas.openxmlformats.org/drawingml/2006/main">
            <a:ext uri="{FF2B5EF4-FFF2-40B4-BE49-F238E27FC236}">
              <a16:creationId xmlns:a16="http://schemas.microsoft.com/office/drawing/2014/main" id="{BA69E65E-EFF3-41D5-B0F5-8BC6BC051749}"/>
            </a:ext>
          </a:extLst>
        </cdr:cNvPr>
        <cdr:cNvCxnSpPr/>
      </cdr:nvCxnSpPr>
      <cdr:spPr>
        <a:xfrm xmlns:a="http://schemas.openxmlformats.org/drawingml/2006/main" flipV="1">
          <a:off x="417150" y="1938219"/>
          <a:ext cx="168024" cy="205541"/>
        </a:xfrm>
        <a:prstGeom xmlns:a="http://schemas.openxmlformats.org/drawingml/2006/main" prst="line">
          <a:avLst/>
        </a:prstGeom>
        <a:ln xmlns:a="http://schemas.openxmlformats.org/drawingml/2006/main">
          <a:solidFill>
            <a:srgbClr val="B6D5E4"/>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0.08291</cdr:x>
      <cdr:y>0.47543</cdr:y>
    </cdr:from>
    <cdr:to>
      <cdr:x>0.11362</cdr:x>
      <cdr:y>0.5265</cdr:y>
    </cdr:to>
    <cdr:cxnSp macro="">
      <cdr:nvCxnSpPr>
        <cdr:cNvPr id="7" name="Straight Connector 6">
          <a:extLst xmlns:a="http://schemas.openxmlformats.org/drawingml/2006/main">
            <a:ext uri="{FF2B5EF4-FFF2-40B4-BE49-F238E27FC236}">
              <a16:creationId xmlns:a16="http://schemas.microsoft.com/office/drawing/2014/main" id="{56215E31-0D33-443C-BEDC-D19B966DA2B7}"/>
            </a:ext>
          </a:extLst>
        </cdr:cNvPr>
        <cdr:cNvCxnSpPr/>
      </cdr:nvCxnSpPr>
      <cdr:spPr>
        <a:xfrm xmlns:a="http://schemas.openxmlformats.org/drawingml/2006/main" flipV="1">
          <a:off x="465467" y="2323130"/>
          <a:ext cx="172403" cy="249544"/>
        </a:xfrm>
        <a:prstGeom xmlns:a="http://schemas.openxmlformats.org/drawingml/2006/main" prst="line">
          <a:avLst/>
        </a:prstGeom>
        <a:ln xmlns:a="http://schemas.openxmlformats.org/drawingml/2006/main">
          <a:solidFill>
            <a:srgbClr val="B6D5E4"/>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0.89328</cdr:x>
      <cdr:y>0.46403</cdr:y>
    </cdr:from>
    <cdr:to>
      <cdr:x>0.924</cdr:x>
      <cdr:y>0.5151</cdr:y>
    </cdr:to>
    <cdr:cxnSp macro="">
      <cdr:nvCxnSpPr>
        <cdr:cNvPr id="9" name="Straight Connector 8">
          <a:extLst xmlns:a="http://schemas.openxmlformats.org/drawingml/2006/main">
            <a:ext uri="{FF2B5EF4-FFF2-40B4-BE49-F238E27FC236}">
              <a16:creationId xmlns:a16="http://schemas.microsoft.com/office/drawing/2014/main" id="{9996911C-A2EE-4098-953C-96DA5AE89C25}"/>
            </a:ext>
          </a:extLst>
        </cdr:cNvPr>
        <cdr:cNvCxnSpPr/>
      </cdr:nvCxnSpPr>
      <cdr:spPr>
        <a:xfrm xmlns:a="http://schemas.openxmlformats.org/drawingml/2006/main" flipV="1">
          <a:off x="5014804" y="1931476"/>
          <a:ext cx="172459" cy="212575"/>
        </a:xfrm>
        <a:prstGeom xmlns:a="http://schemas.openxmlformats.org/drawingml/2006/main" prst="line">
          <a:avLst/>
        </a:prstGeom>
        <a:ln xmlns:a="http://schemas.openxmlformats.org/drawingml/2006/main">
          <a:solidFill>
            <a:srgbClr val="B6D5E4"/>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0.90153</cdr:x>
      <cdr:y>0.47619</cdr:y>
    </cdr:from>
    <cdr:to>
      <cdr:x>0.93146</cdr:x>
      <cdr:y>0.52558</cdr:y>
    </cdr:to>
    <cdr:cxnSp macro="">
      <cdr:nvCxnSpPr>
        <cdr:cNvPr id="10" name="Straight Connector 9">
          <a:extLst xmlns:a="http://schemas.openxmlformats.org/drawingml/2006/main">
            <a:ext uri="{FF2B5EF4-FFF2-40B4-BE49-F238E27FC236}">
              <a16:creationId xmlns:a16="http://schemas.microsoft.com/office/drawing/2014/main" id="{C6D3305F-B491-43EB-90DA-12D6913C4E00}"/>
            </a:ext>
          </a:extLst>
        </cdr:cNvPr>
        <cdr:cNvCxnSpPr/>
      </cdr:nvCxnSpPr>
      <cdr:spPr>
        <a:xfrm xmlns:a="http://schemas.openxmlformats.org/drawingml/2006/main" flipV="1">
          <a:off x="5061101" y="1982119"/>
          <a:ext cx="168024" cy="205582"/>
        </a:xfrm>
        <a:prstGeom xmlns:a="http://schemas.openxmlformats.org/drawingml/2006/main" prst="line">
          <a:avLst/>
        </a:prstGeom>
        <a:ln xmlns:a="http://schemas.openxmlformats.org/drawingml/2006/main">
          <a:solidFill>
            <a:srgbClr val="B6D5E4"/>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10.xml><?xml version="1.0" encoding="utf-8"?>
<c:userShapes xmlns:c="http://schemas.openxmlformats.org/drawingml/2006/chart">
  <cdr:relSizeAnchor xmlns:cdr="http://schemas.openxmlformats.org/drawingml/2006/chartDrawing">
    <cdr:from>
      <cdr:x>0.08483</cdr:x>
      <cdr:y>0.07552</cdr:y>
    </cdr:from>
    <cdr:to>
      <cdr:x>0.91621</cdr:x>
      <cdr:y>0.501</cdr:y>
    </cdr:to>
    <cdr:sp macro="" textlink="">
      <cdr:nvSpPr>
        <cdr:cNvPr id="4" name="Rectangle 3">
          <a:extLst xmlns:a="http://schemas.openxmlformats.org/drawingml/2006/main">
            <a:ext uri="{FF2B5EF4-FFF2-40B4-BE49-F238E27FC236}">
              <a16:creationId xmlns:a16="http://schemas.microsoft.com/office/drawing/2014/main" id="{CA67DB71-27F0-486C-B03B-DC02FE815797}"/>
            </a:ext>
          </a:extLst>
        </cdr:cNvPr>
        <cdr:cNvSpPr/>
      </cdr:nvSpPr>
      <cdr:spPr>
        <a:xfrm xmlns:a="http://schemas.openxmlformats.org/drawingml/2006/main">
          <a:off x="476250" y="358922"/>
          <a:ext cx="4667250" cy="2022329"/>
        </a:xfrm>
        <a:prstGeom xmlns:a="http://schemas.openxmlformats.org/drawingml/2006/main" prst="rect">
          <a:avLst/>
        </a:prstGeom>
        <a:solidFill xmlns:a="http://schemas.openxmlformats.org/drawingml/2006/main">
          <a:srgbClr val="EBF3F5">
            <a:alpha val="7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0.03487</cdr:x>
      <cdr:y>0.06628</cdr:y>
    </cdr:from>
    <cdr:to>
      <cdr:x>0.08314</cdr:x>
      <cdr:y>0.42334</cdr:y>
    </cdr:to>
    <cdr:sp macro="" textlink="">
      <cdr:nvSpPr>
        <cdr:cNvPr id="2" name="Rectangle 1">
          <a:extLst xmlns:a="http://schemas.openxmlformats.org/drawingml/2006/main">
            <a:ext uri="{FF2B5EF4-FFF2-40B4-BE49-F238E27FC236}">
              <a16:creationId xmlns:a16="http://schemas.microsoft.com/office/drawing/2014/main" id="{2A700EB3-9F50-4935-9EA2-3A8A79423D76}"/>
            </a:ext>
          </a:extLst>
        </cdr:cNvPr>
        <cdr:cNvSpPr/>
      </cdr:nvSpPr>
      <cdr:spPr>
        <a:xfrm xmlns:a="http://schemas.openxmlformats.org/drawingml/2006/main">
          <a:off x="195757" y="323851"/>
          <a:ext cx="270983" cy="1744726"/>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0.91281</cdr:x>
      <cdr:y>0.50947</cdr:y>
    </cdr:from>
    <cdr:to>
      <cdr:x>0.96032</cdr:x>
      <cdr:y>0.93684</cdr:y>
    </cdr:to>
    <cdr:sp macro="" textlink="">
      <cdr:nvSpPr>
        <cdr:cNvPr id="5" name="Rectangle 4" descr="Timeseries of each state's GST relativities ">
          <a:extLst xmlns:a="http://schemas.openxmlformats.org/drawingml/2006/main">
            <a:ext uri="{FF2B5EF4-FFF2-40B4-BE49-F238E27FC236}">
              <a16:creationId xmlns:a16="http://schemas.microsoft.com/office/drawing/2014/main" id="{36BC1D13-BFBB-4F1D-A651-A55EC928B768}"/>
            </a:ext>
          </a:extLst>
        </cdr:cNvPr>
        <cdr:cNvSpPr/>
      </cdr:nvSpPr>
      <cdr:spPr>
        <a:xfrm xmlns:a="http://schemas.openxmlformats.org/drawingml/2006/main">
          <a:off x="5124450" y="2305051"/>
          <a:ext cx="266699" cy="1933575"/>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0.07431</cdr:x>
      <cdr:y>0.46565</cdr:y>
    </cdr:from>
    <cdr:to>
      <cdr:x>0.10424</cdr:x>
      <cdr:y>0.51503</cdr:y>
    </cdr:to>
    <cdr:cxnSp macro="">
      <cdr:nvCxnSpPr>
        <cdr:cNvPr id="6" name="Straight Connector 5">
          <a:extLst xmlns:a="http://schemas.openxmlformats.org/drawingml/2006/main">
            <a:ext uri="{FF2B5EF4-FFF2-40B4-BE49-F238E27FC236}">
              <a16:creationId xmlns:a16="http://schemas.microsoft.com/office/drawing/2014/main" id="{BA69E65E-EFF3-41D5-B0F5-8BC6BC051749}"/>
            </a:ext>
          </a:extLst>
        </cdr:cNvPr>
        <cdr:cNvCxnSpPr/>
      </cdr:nvCxnSpPr>
      <cdr:spPr>
        <a:xfrm xmlns:a="http://schemas.openxmlformats.org/drawingml/2006/main" flipV="1">
          <a:off x="417150" y="1938219"/>
          <a:ext cx="168024" cy="205541"/>
        </a:xfrm>
        <a:prstGeom xmlns:a="http://schemas.openxmlformats.org/drawingml/2006/main" prst="line">
          <a:avLst/>
        </a:prstGeom>
        <a:ln xmlns:a="http://schemas.openxmlformats.org/drawingml/2006/main">
          <a:solidFill>
            <a:srgbClr val="B6D5E4"/>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0.08291</cdr:x>
      <cdr:y>0.47543</cdr:y>
    </cdr:from>
    <cdr:to>
      <cdr:x>0.11362</cdr:x>
      <cdr:y>0.5265</cdr:y>
    </cdr:to>
    <cdr:cxnSp macro="">
      <cdr:nvCxnSpPr>
        <cdr:cNvPr id="7" name="Straight Connector 6">
          <a:extLst xmlns:a="http://schemas.openxmlformats.org/drawingml/2006/main">
            <a:ext uri="{FF2B5EF4-FFF2-40B4-BE49-F238E27FC236}">
              <a16:creationId xmlns:a16="http://schemas.microsoft.com/office/drawing/2014/main" id="{56215E31-0D33-443C-BEDC-D19B966DA2B7}"/>
            </a:ext>
          </a:extLst>
        </cdr:cNvPr>
        <cdr:cNvCxnSpPr/>
      </cdr:nvCxnSpPr>
      <cdr:spPr>
        <a:xfrm xmlns:a="http://schemas.openxmlformats.org/drawingml/2006/main" flipV="1">
          <a:off x="465467" y="2323130"/>
          <a:ext cx="172403" cy="249544"/>
        </a:xfrm>
        <a:prstGeom xmlns:a="http://schemas.openxmlformats.org/drawingml/2006/main" prst="line">
          <a:avLst/>
        </a:prstGeom>
        <a:ln xmlns:a="http://schemas.openxmlformats.org/drawingml/2006/main">
          <a:solidFill>
            <a:srgbClr val="B6D5E4"/>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0.89328</cdr:x>
      <cdr:y>0.46403</cdr:y>
    </cdr:from>
    <cdr:to>
      <cdr:x>0.924</cdr:x>
      <cdr:y>0.5151</cdr:y>
    </cdr:to>
    <cdr:cxnSp macro="">
      <cdr:nvCxnSpPr>
        <cdr:cNvPr id="9" name="Straight Connector 8">
          <a:extLst xmlns:a="http://schemas.openxmlformats.org/drawingml/2006/main">
            <a:ext uri="{FF2B5EF4-FFF2-40B4-BE49-F238E27FC236}">
              <a16:creationId xmlns:a16="http://schemas.microsoft.com/office/drawing/2014/main" id="{9996911C-A2EE-4098-953C-96DA5AE89C25}"/>
            </a:ext>
          </a:extLst>
        </cdr:cNvPr>
        <cdr:cNvCxnSpPr/>
      </cdr:nvCxnSpPr>
      <cdr:spPr>
        <a:xfrm xmlns:a="http://schemas.openxmlformats.org/drawingml/2006/main" flipV="1">
          <a:off x="5014804" y="1931476"/>
          <a:ext cx="172459" cy="212575"/>
        </a:xfrm>
        <a:prstGeom xmlns:a="http://schemas.openxmlformats.org/drawingml/2006/main" prst="line">
          <a:avLst/>
        </a:prstGeom>
        <a:ln xmlns:a="http://schemas.openxmlformats.org/drawingml/2006/main">
          <a:solidFill>
            <a:srgbClr val="B6D5E4"/>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0.90153</cdr:x>
      <cdr:y>0.47619</cdr:y>
    </cdr:from>
    <cdr:to>
      <cdr:x>0.93146</cdr:x>
      <cdr:y>0.52558</cdr:y>
    </cdr:to>
    <cdr:cxnSp macro="">
      <cdr:nvCxnSpPr>
        <cdr:cNvPr id="10" name="Straight Connector 9">
          <a:extLst xmlns:a="http://schemas.openxmlformats.org/drawingml/2006/main">
            <a:ext uri="{FF2B5EF4-FFF2-40B4-BE49-F238E27FC236}">
              <a16:creationId xmlns:a16="http://schemas.microsoft.com/office/drawing/2014/main" id="{C6D3305F-B491-43EB-90DA-12D6913C4E00}"/>
            </a:ext>
          </a:extLst>
        </cdr:cNvPr>
        <cdr:cNvCxnSpPr/>
      </cdr:nvCxnSpPr>
      <cdr:spPr>
        <a:xfrm xmlns:a="http://schemas.openxmlformats.org/drawingml/2006/main" flipV="1">
          <a:off x="5061101" y="1982119"/>
          <a:ext cx="168024" cy="205582"/>
        </a:xfrm>
        <a:prstGeom xmlns:a="http://schemas.openxmlformats.org/drawingml/2006/main" prst="line">
          <a:avLst/>
        </a:prstGeom>
        <a:ln xmlns:a="http://schemas.openxmlformats.org/drawingml/2006/main">
          <a:solidFill>
            <a:srgbClr val="B6D5E4"/>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0.6217</cdr:x>
      <cdr:y>0.1658</cdr:y>
    </cdr:from>
    <cdr:to>
      <cdr:x>0.69993</cdr:x>
      <cdr:y>0.2348</cdr:y>
    </cdr:to>
    <cdr:sp macro="" textlink="">
      <cdr:nvSpPr>
        <cdr:cNvPr id="9" name="TextBox 8">
          <a:extLst xmlns:a="http://schemas.openxmlformats.org/drawingml/2006/main">
            <a:ext uri="{FF2B5EF4-FFF2-40B4-BE49-F238E27FC236}">
              <a16:creationId xmlns:a16="http://schemas.microsoft.com/office/drawing/2014/main" id="{D3251A73-588E-4F42-B899-70BAB10C8548}"/>
            </a:ext>
          </a:extLst>
        </cdr:cNvPr>
        <cdr:cNvSpPr txBox="1"/>
      </cdr:nvSpPr>
      <cdr:spPr>
        <a:xfrm xmlns:a="http://schemas.openxmlformats.org/drawingml/2006/main">
          <a:off x="3513821" y="590926"/>
          <a:ext cx="442156" cy="24591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800">
              <a:latin typeface="Open Sans Light" panose="020B0306030504020204" pitchFamily="34" charset="0"/>
              <a:ea typeface="Open Sans Light" panose="020B0306030504020204" pitchFamily="34" charset="0"/>
              <a:cs typeface="Open Sans Light" panose="020B0306030504020204" pitchFamily="34" charset="0"/>
            </a:rPr>
            <a:t>Qld</a:t>
          </a:r>
        </a:p>
      </cdr:txBody>
    </cdr:sp>
  </cdr:relSizeAnchor>
  <cdr:relSizeAnchor xmlns:cdr="http://schemas.openxmlformats.org/drawingml/2006/chartDrawing">
    <cdr:from>
      <cdr:x>0.18181</cdr:x>
      <cdr:y>0.28894</cdr:y>
    </cdr:from>
    <cdr:to>
      <cdr:x>0.25843</cdr:x>
      <cdr:y>0.34021</cdr:y>
    </cdr:to>
    <cdr:sp macro="" textlink="">
      <cdr:nvSpPr>
        <cdr:cNvPr id="10" name="TextBox 1">
          <a:extLst xmlns:a="http://schemas.openxmlformats.org/drawingml/2006/main">
            <a:ext uri="{FF2B5EF4-FFF2-40B4-BE49-F238E27FC236}">
              <a16:creationId xmlns:a16="http://schemas.microsoft.com/office/drawing/2014/main" id="{C66D73B8-8E43-497F-962F-B31416E25BC4}"/>
            </a:ext>
          </a:extLst>
        </cdr:cNvPr>
        <cdr:cNvSpPr txBox="1"/>
      </cdr:nvSpPr>
      <cdr:spPr>
        <a:xfrm xmlns:a="http://schemas.openxmlformats.org/drawingml/2006/main">
          <a:off x="1027590" y="1029766"/>
          <a:ext cx="433056" cy="18272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800">
              <a:latin typeface="Open Sans Light" panose="020B0306030504020204" pitchFamily="34" charset="0"/>
              <a:ea typeface="Open Sans Light" panose="020B0306030504020204" pitchFamily="34" charset="0"/>
              <a:cs typeface="Open Sans Light" panose="020B0306030504020204" pitchFamily="34" charset="0"/>
            </a:rPr>
            <a:t>Qld</a:t>
          </a:r>
        </a:p>
      </cdr:txBody>
    </cdr:sp>
  </cdr:relSizeAnchor>
  <cdr:relSizeAnchor xmlns:cdr="http://schemas.openxmlformats.org/drawingml/2006/chartDrawing">
    <cdr:from>
      <cdr:x>0.20623</cdr:x>
      <cdr:y>0.31602</cdr:y>
    </cdr:from>
    <cdr:to>
      <cdr:x>0.26755</cdr:x>
      <cdr:y>0.3867</cdr:y>
    </cdr:to>
    <cdr:sp macro="" textlink="">
      <cdr:nvSpPr>
        <cdr:cNvPr id="12" name="TextBox 11">
          <a:extLst xmlns:a="http://schemas.openxmlformats.org/drawingml/2006/main">
            <a:ext uri="{FF2B5EF4-FFF2-40B4-BE49-F238E27FC236}">
              <a16:creationId xmlns:a16="http://schemas.microsoft.com/office/drawing/2014/main" id="{E7D42423-DA4E-4F76-8CDB-BA338EBF9D61}"/>
            </a:ext>
          </a:extLst>
        </cdr:cNvPr>
        <cdr:cNvSpPr txBox="1"/>
      </cdr:nvSpPr>
      <cdr:spPr>
        <a:xfrm xmlns:a="http://schemas.openxmlformats.org/drawingml/2006/main">
          <a:off x="1165612" y="1126294"/>
          <a:ext cx="346581" cy="25190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800">
              <a:latin typeface="Open Sans Light" panose="020B0306030504020204" pitchFamily="34" charset="0"/>
              <a:ea typeface="Open Sans Light" panose="020B0306030504020204" pitchFamily="34" charset="0"/>
              <a:cs typeface="Open Sans Light" panose="020B0306030504020204" pitchFamily="34" charset="0"/>
            </a:rPr>
            <a:t>WA</a:t>
          </a:r>
        </a:p>
      </cdr:txBody>
    </cdr:sp>
  </cdr:relSizeAnchor>
  <cdr:relSizeAnchor xmlns:cdr="http://schemas.openxmlformats.org/drawingml/2006/chartDrawing">
    <cdr:from>
      <cdr:x>0.42011</cdr:x>
      <cdr:y>0.36485</cdr:y>
    </cdr:from>
    <cdr:to>
      <cdr:x>0.46663</cdr:x>
      <cdr:y>0.43721</cdr:y>
    </cdr:to>
    <cdr:sp macro="" textlink="">
      <cdr:nvSpPr>
        <cdr:cNvPr id="14" name="TextBox 13">
          <a:extLst xmlns:a="http://schemas.openxmlformats.org/drawingml/2006/main">
            <a:ext uri="{FF2B5EF4-FFF2-40B4-BE49-F238E27FC236}">
              <a16:creationId xmlns:a16="http://schemas.microsoft.com/office/drawing/2014/main" id="{D3836EBC-E5D5-4460-BE46-26B5F992C125}"/>
            </a:ext>
          </a:extLst>
        </cdr:cNvPr>
        <cdr:cNvSpPr txBox="1"/>
      </cdr:nvSpPr>
      <cdr:spPr>
        <a:xfrm xmlns:a="http://schemas.openxmlformats.org/drawingml/2006/main">
          <a:off x="2487897" y="1271261"/>
          <a:ext cx="275491" cy="25213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800">
              <a:solidFill>
                <a:schemeClr val="bg1"/>
              </a:solidFill>
              <a:latin typeface="Open Sans Light" panose="020B0306030504020204" pitchFamily="34" charset="0"/>
              <a:ea typeface="Open Sans Light" panose="020B0306030504020204" pitchFamily="34" charset="0"/>
              <a:cs typeface="Open Sans Light" panose="020B0306030504020204" pitchFamily="34" charset="0"/>
            </a:rPr>
            <a:t>SA</a:t>
          </a:r>
        </a:p>
      </cdr:txBody>
    </cdr:sp>
  </cdr:relSizeAnchor>
  <cdr:relSizeAnchor xmlns:cdr="http://schemas.openxmlformats.org/drawingml/2006/chartDrawing">
    <cdr:from>
      <cdr:x>0.35407</cdr:x>
      <cdr:y>0.44453</cdr:y>
    </cdr:from>
    <cdr:to>
      <cdr:x>0.41645</cdr:x>
      <cdr:y>0.51352</cdr:y>
    </cdr:to>
    <cdr:sp macro="" textlink="">
      <cdr:nvSpPr>
        <cdr:cNvPr id="15" name="TextBox 14">
          <a:extLst xmlns:a="http://schemas.openxmlformats.org/drawingml/2006/main">
            <a:ext uri="{FF2B5EF4-FFF2-40B4-BE49-F238E27FC236}">
              <a16:creationId xmlns:a16="http://schemas.microsoft.com/office/drawing/2014/main" id="{3A4342CD-6099-4AC4-B084-38DC75C9930C}"/>
            </a:ext>
          </a:extLst>
        </cdr:cNvPr>
        <cdr:cNvSpPr txBox="1"/>
      </cdr:nvSpPr>
      <cdr:spPr>
        <a:xfrm xmlns:a="http://schemas.openxmlformats.org/drawingml/2006/main">
          <a:off x="2096780" y="1548896"/>
          <a:ext cx="369414" cy="24038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800">
              <a:latin typeface="Open Sans Light" panose="020B0306030504020204" pitchFamily="34" charset="0"/>
              <a:ea typeface="Open Sans Light" panose="020B0306030504020204" pitchFamily="34" charset="0"/>
              <a:cs typeface="Open Sans Light" panose="020B0306030504020204" pitchFamily="34" charset="0"/>
            </a:rPr>
            <a:t>Tas</a:t>
          </a:r>
        </a:p>
      </cdr:txBody>
    </cdr:sp>
  </cdr:relSizeAnchor>
  <cdr:relSizeAnchor xmlns:cdr="http://schemas.openxmlformats.org/drawingml/2006/chartDrawing">
    <cdr:from>
      <cdr:x>0.40449</cdr:x>
      <cdr:y>0.62231</cdr:y>
    </cdr:from>
    <cdr:to>
      <cdr:x>0.48378</cdr:x>
      <cdr:y>0.70867</cdr:y>
    </cdr:to>
    <cdr:sp macro="" textlink="">
      <cdr:nvSpPr>
        <cdr:cNvPr id="16" name="TextBox 15">
          <a:extLst xmlns:a="http://schemas.openxmlformats.org/drawingml/2006/main">
            <a:ext uri="{FF2B5EF4-FFF2-40B4-BE49-F238E27FC236}">
              <a16:creationId xmlns:a16="http://schemas.microsoft.com/office/drawing/2014/main" id="{73623C00-8176-4EDB-9274-9BCA431665E8}"/>
            </a:ext>
          </a:extLst>
        </cdr:cNvPr>
        <cdr:cNvSpPr txBox="1"/>
      </cdr:nvSpPr>
      <cdr:spPr>
        <a:xfrm xmlns:a="http://schemas.openxmlformats.org/drawingml/2006/main">
          <a:off x="2395362" y="2168370"/>
          <a:ext cx="469555" cy="30091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800">
              <a:solidFill>
                <a:schemeClr val="bg1"/>
              </a:solidFill>
              <a:latin typeface="Open Sans Light" panose="020B0306030504020204" pitchFamily="34" charset="0"/>
              <a:ea typeface="Open Sans Light" panose="020B0306030504020204" pitchFamily="34" charset="0"/>
              <a:cs typeface="Open Sans Light" panose="020B0306030504020204" pitchFamily="34" charset="0"/>
            </a:rPr>
            <a:t>NT</a:t>
          </a:r>
        </a:p>
      </cdr:txBody>
    </cdr:sp>
  </cdr:relSizeAnchor>
  <cdr:relSizeAnchor xmlns:cdr="http://schemas.openxmlformats.org/drawingml/2006/chartDrawing">
    <cdr:from>
      <cdr:x>0.45569</cdr:x>
      <cdr:y>0.54015</cdr:y>
    </cdr:from>
    <cdr:to>
      <cdr:x>0.54345</cdr:x>
      <cdr:y>0.61587</cdr:y>
    </cdr:to>
    <cdr:sp macro="" textlink="">
      <cdr:nvSpPr>
        <cdr:cNvPr id="17" name="TextBox 16">
          <a:extLst xmlns:a="http://schemas.openxmlformats.org/drawingml/2006/main">
            <a:ext uri="{FF2B5EF4-FFF2-40B4-BE49-F238E27FC236}">
              <a16:creationId xmlns:a16="http://schemas.microsoft.com/office/drawing/2014/main" id="{5C28AF4C-5439-4B6A-89FA-A728E6A4781B}"/>
            </a:ext>
          </a:extLst>
        </cdr:cNvPr>
        <cdr:cNvSpPr txBox="1"/>
      </cdr:nvSpPr>
      <cdr:spPr>
        <a:xfrm xmlns:a="http://schemas.openxmlformats.org/drawingml/2006/main">
          <a:off x="2565796" y="1910953"/>
          <a:ext cx="494110" cy="26789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AU" sz="1100"/>
        </a:p>
      </cdr:txBody>
    </cdr:sp>
  </cdr:relSizeAnchor>
  <cdr:relSizeAnchor xmlns:cdr="http://schemas.openxmlformats.org/drawingml/2006/chartDrawing">
    <cdr:from>
      <cdr:x>0.34183</cdr:x>
      <cdr:y>0.50082</cdr:y>
    </cdr:from>
    <cdr:to>
      <cdr:x>0.44756</cdr:x>
      <cdr:y>0.56813</cdr:y>
    </cdr:to>
    <cdr:sp macro="" textlink="">
      <cdr:nvSpPr>
        <cdr:cNvPr id="18" name="TextBox 17">
          <a:extLst xmlns:a="http://schemas.openxmlformats.org/drawingml/2006/main">
            <a:ext uri="{FF2B5EF4-FFF2-40B4-BE49-F238E27FC236}">
              <a16:creationId xmlns:a16="http://schemas.microsoft.com/office/drawing/2014/main" id="{EC50055B-D382-4C98-943C-B2B48CECCD2F}"/>
            </a:ext>
          </a:extLst>
        </cdr:cNvPr>
        <cdr:cNvSpPr txBox="1"/>
      </cdr:nvSpPr>
      <cdr:spPr>
        <a:xfrm xmlns:a="http://schemas.openxmlformats.org/drawingml/2006/main">
          <a:off x="1931996" y="1784921"/>
          <a:ext cx="597586" cy="23989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800">
              <a:solidFill>
                <a:schemeClr val="bg1"/>
              </a:solidFill>
              <a:latin typeface="Open Sans Light" panose="020B0306030504020204" pitchFamily="34" charset="0"/>
              <a:ea typeface="Open Sans Light" panose="020B0306030504020204" pitchFamily="34" charset="0"/>
              <a:cs typeface="Open Sans Light" panose="020B0306030504020204" pitchFamily="34" charset="0"/>
            </a:rPr>
            <a:t>ACT</a:t>
          </a:r>
        </a:p>
      </cdr:txBody>
    </cdr:sp>
  </cdr:relSizeAnchor>
  <cdr:relSizeAnchor xmlns:cdr="http://schemas.openxmlformats.org/drawingml/2006/chartDrawing">
    <cdr:from>
      <cdr:x>0.92177</cdr:x>
      <cdr:y>0.26072</cdr:y>
    </cdr:from>
    <cdr:to>
      <cdr:x>1</cdr:x>
      <cdr:y>0.32972</cdr:y>
    </cdr:to>
    <cdr:sp macro="" textlink="">
      <cdr:nvSpPr>
        <cdr:cNvPr id="2" name="TextBox 1">
          <a:extLst xmlns:a="http://schemas.openxmlformats.org/drawingml/2006/main">
            <a:ext uri="{FF2B5EF4-FFF2-40B4-BE49-F238E27FC236}">
              <a16:creationId xmlns:a16="http://schemas.microsoft.com/office/drawing/2014/main" id="{CB6C581E-B2A6-AFE5-D996-B5FBCC87CB86}"/>
            </a:ext>
          </a:extLst>
        </cdr:cNvPr>
        <cdr:cNvSpPr txBox="1"/>
      </cdr:nvSpPr>
      <cdr:spPr>
        <a:xfrm xmlns:a="http://schemas.openxmlformats.org/drawingml/2006/main">
          <a:off x="5209844" y="929216"/>
          <a:ext cx="442156" cy="24591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800">
              <a:latin typeface="Open Sans Light" panose="020B0306030504020204" pitchFamily="34" charset="0"/>
              <a:ea typeface="Open Sans Light" panose="020B0306030504020204" pitchFamily="34" charset="0"/>
              <a:cs typeface="Open Sans Light" panose="020B0306030504020204" pitchFamily="34" charset="0"/>
            </a:rPr>
            <a:t>Vic</a:t>
          </a:r>
        </a:p>
      </cdr:txBody>
    </cdr:sp>
  </cdr:relSizeAnchor>
</c:userShapes>
</file>

<file path=word/drawings/drawing3.xml><?xml version="1.0" encoding="utf-8"?>
<c:userShapes xmlns:c="http://schemas.openxmlformats.org/drawingml/2006/chart">
  <cdr:relSizeAnchor xmlns:cdr="http://schemas.openxmlformats.org/drawingml/2006/chartDrawing">
    <cdr:from>
      <cdr:x>0.22714</cdr:x>
      <cdr:y>0.11759</cdr:y>
    </cdr:from>
    <cdr:to>
      <cdr:x>0.34584</cdr:x>
      <cdr:y>0.21288</cdr:y>
    </cdr:to>
    <cdr:sp macro="" textlink="">
      <cdr:nvSpPr>
        <cdr:cNvPr id="2" name="TextBox 1">
          <a:extLst xmlns:a="http://schemas.openxmlformats.org/drawingml/2006/main">
            <a:ext uri="{FF2B5EF4-FFF2-40B4-BE49-F238E27FC236}">
              <a16:creationId xmlns:a16="http://schemas.microsoft.com/office/drawing/2014/main" id="{5812FBD8-9336-4856-A62D-F8DEC3421A35}"/>
            </a:ext>
          </a:extLst>
        </cdr:cNvPr>
        <cdr:cNvSpPr txBox="1"/>
      </cdr:nvSpPr>
      <cdr:spPr>
        <a:xfrm xmlns:a="http://schemas.openxmlformats.org/drawingml/2006/main">
          <a:off x="1283803" y="419101"/>
          <a:ext cx="670892" cy="339587"/>
        </a:xfrm>
        <a:prstGeom xmlns:a="http://schemas.openxmlformats.org/drawingml/2006/main" prst="rect">
          <a:avLst/>
        </a:prstGeom>
      </cdr:spPr>
      <cdr:txBody>
        <a:bodyPr xmlns:a="http://schemas.openxmlformats.org/drawingml/2006/main" vertOverflow="clip" wrap="square" rtlCol="0" anchor="ctr" anchorCtr="0"/>
        <a:lstStyle xmlns:a="http://schemas.openxmlformats.org/drawingml/2006/main"/>
        <a:p xmlns:a="http://schemas.openxmlformats.org/drawingml/2006/main">
          <a:r>
            <a:rPr lang="en-AU" sz="800">
              <a:solidFill>
                <a:schemeClr val="bg1"/>
              </a:solidFill>
              <a:latin typeface="Open Sans Light" panose="020B0306030504020204" pitchFamily="34" charset="0"/>
              <a:ea typeface="Open Sans Light" panose="020B0306030504020204" pitchFamily="34" charset="0"/>
              <a:cs typeface="Open Sans Light" panose="020B0306030504020204" pitchFamily="34" charset="0"/>
            </a:rPr>
            <a:t>NSW</a:t>
          </a:r>
        </a:p>
      </cdr:txBody>
    </cdr:sp>
  </cdr:relSizeAnchor>
  <cdr:relSizeAnchor xmlns:cdr="http://schemas.openxmlformats.org/drawingml/2006/chartDrawing">
    <cdr:from>
      <cdr:x>0.22275</cdr:x>
      <cdr:y>0.38717</cdr:y>
    </cdr:from>
    <cdr:to>
      <cdr:x>0.28869</cdr:x>
      <cdr:y>0.43598</cdr:y>
    </cdr:to>
    <cdr:sp macro="" textlink="">
      <cdr:nvSpPr>
        <cdr:cNvPr id="3" name="TextBox 2">
          <a:extLst xmlns:a="http://schemas.openxmlformats.org/drawingml/2006/main">
            <a:ext uri="{FF2B5EF4-FFF2-40B4-BE49-F238E27FC236}">
              <a16:creationId xmlns:a16="http://schemas.microsoft.com/office/drawing/2014/main" id="{8C744AD9-A527-48E8-A2DE-5D2A26CD6B51}"/>
            </a:ext>
          </a:extLst>
        </cdr:cNvPr>
        <cdr:cNvSpPr txBox="1"/>
      </cdr:nvSpPr>
      <cdr:spPr>
        <a:xfrm xmlns:a="http://schemas.openxmlformats.org/drawingml/2006/main">
          <a:off x="1258955" y="1379884"/>
          <a:ext cx="372717" cy="17393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AU" sz="1100"/>
        </a:p>
      </cdr:txBody>
    </cdr:sp>
  </cdr:relSizeAnchor>
  <cdr:relSizeAnchor xmlns:cdr="http://schemas.openxmlformats.org/drawingml/2006/chartDrawing">
    <cdr:from>
      <cdr:x>0.61108</cdr:x>
      <cdr:y>0.33605</cdr:y>
    </cdr:from>
    <cdr:to>
      <cdr:x>0.69608</cdr:x>
      <cdr:y>0.40112</cdr:y>
    </cdr:to>
    <cdr:sp macro="" textlink="">
      <cdr:nvSpPr>
        <cdr:cNvPr id="4" name="TextBox 3">
          <a:extLst xmlns:a="http://schemas.openxmlformats.org/drawingml/2006/main">
            <a:ext uri="{FF2B5EF4-FFF2-40B4-BE49-F238E27FC236}">
              <a16:creationId xmlns:a16="http://schemas.microsoft.com/office/drawing/2014/main" id="{E2ECE252-334F-41BE-A03A-D7B38D148ED7}"/>
            </a:ext>
          </a:extLst>
        </cdr:cNvPr>
        <cdr:cNvSpPr txBox="1"/>
      </cdr:nvSpPr>
      <cdr:spPr>
        <a:xfrm xmlns:a="http://schemas.openxmlformats.org/drawingml/2006/main">
          <a:off x="3453846" y="1197667"/>
          <a:ext cx="480391" cy="2319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AU" sz="1100"/>
        </a:p>
      </cdr:txBody>
    </cdr:sp>
  </cdr:relSizeAnchor>
  <cdr:relSizeAnchor xmlns:cdr="http://schemas.openxmlformats.org/drawingml/2006/chartDrawing">
    <cdr:from>
      <cdr:x>0.233</cdr:x>
      <cdr:y>0.38252</cdr:y>
    </cdr:from>
    <cdr:to>
      <cdr:x>0.30334</cdr:x>
      <cdr:y>0.4476</cdr:y>
    </cdr:to>
    <cdr:sp macro="" textlink="">
      <cdr:nvSpPr>
        <cdr:cNvPr id="5" name="TextBox 4">
          <a:extLst xmlns:a="http://schemas.openxmlformats.org/drawingml/2006/main">
            <a:ext uri="{FF2B5EF4-FFF2-40B4-BE49-F238E27FC236}">
              <a16:creationId xmlns:a16="http://schemas.microsoft.com/office/drawing/2014/main" id="{59F11B5B-50D0-41DD-B9AF-A83372FE106C}"/>
            </a:ext>
          </a:extLst>
        </cdr:cNvPr>
        <cdr:cNvSpPr txBox="1"/>
      </cdr:nvSpPr>
      <cdr:spPr>
        <a:xfrm xmlns:a="http://schemas.openxmlformats.org/drawingml/2006/main">
          <a:off x="1316933" y="1363318"/>
          <a:ext cx="397566" cy="2319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800">
              <a:latin typeface="Open Sans Light" panose="020B0306030504020204" pitchFamily="34" charset="0"/>
              <a:ea typeface="Open Sans Light" panose="020B0306030504020204" pitchFamily="34" charset="0"/>
              <a:cs typeface="Open Sans Light" panose="020B0306030504020204" pitchFamily="34" charset="0"/>
            </a:rPr>
            <a:t>Vic</a:t>
          </a:r>
          <a:endParaRPr lang="en-AU" sz="1100">
            <a:latin typeface="Open Sans Light" panose="020B0306030504020204" pitchFamily="34" charset="0"/>
            <a:ea typeface="Open Sans Light" panose="020B0306030504020204" pitchFamily="34" charset="0"/>
            <a:cs typeface="Open Sans Light" panose="020B0306030504020204" pitchFamily="34" charset="0"/>
          </a:endParaRPr>
        </a:p>
      </cdr:txBody>
    </cdr:sp>
  </cdr:relSizeAnchor>
  <cdr:relSizeAnchor xmlns:cdr="http://schemas.openxmlformats.org/drawingml/2006/chartDrawing">
    <cdr:from>
      <cdr:x>0.41188</cdr:x>
      <cdr:y>0.20325</cdr:y>
    </cdr:from>
    <cdr:to>
      <cdr:x>0.48662</cdr:x>
      <cdr:y>0.27297</cdr:y>
    </cdr:to>
    <cdr:sp macro="" textlink="">
      <cdr:nvSpPr>
        <cdr:cNvPr id="6" name="TextBox 5">
          <a:extLst xmlns:a="http://schemas.openxmlformats.org/drawingml/2006/main">
            <a:ext uri="{FF2B5EF4-FFF2-40B4-BE49-F238E27FC236}">
              <a16:creationId xmlns:a16="http://schemas.microsoft.com/office/drawing/2014/main" id="{D6130FFD-7B92-4A72-B5FF-F0AB1714D707}"/>
            </a:ext>
          </a:extLst>
        </cdr:cNvPr>
        <cdr:cNvSpPr txBox="1"/>
      </cdr:nvSpPr>
      <cdr:spPr>
        <a:xfrm xmlns:a="http://schemas.openxmlformats.org/drawingml/2006/main">
          <a:off x="2327961" y="724388"/>
          <a:ext cx="422430" cy="2484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800">
              <a:latin typeface="Open Sans Light" panose="020B0306030504020204" pitchFamily="34" charset="0"/>
              <a:ea typeface="Open Sans Light" panose="020B0306030504020204" pitchFamily="34" charset="0"/>
              <a:cs typeface="Open Sans Light" panose="020B0306030504020204" pitchFamily="34" charset="0"/>
            </a:rPr>
            <a:t>Qld</a:t>
          </a:r>
        </a:p>
      </cdr:txBody>
    </cdr:sp>
  </cdr:relSizeAnchor>
  <cdr:relSizeAnchor xmlns:cdr="http://schemas.openxmlformats.org/drawingml/2006/chartDrawing">
    <cdr:from>
      <cdr:x>0.59277</cdr:x>
      <cdr:y>0.39802</cdr:y>
    </cdr:from>
    <cdr:to>
      <cdr:x>0.68509</cdr:x>
      <cdr:y>0.48866</cdr:y>
    </cdr:to>
    <cdr:sp macro="" textlink="">
      <cdr:nvSpPr>
        <cdr:cNvPr id="7" name="TextBox 6">
          <a:extLst xmlns:a="http://schemas.openxmlformats.org/drawingml/2006/main">
            <a:ext uri="{FF2B5EF4-FFF2-40B4-BE49-F238E27FC236}">
              <a16:creationId xmlns:a16="http://schemas.microsoft.com/office/drawing/2014/main" id="{BCA6A475-850F-4DAF-A472-B610D6B02D27}"/>
            </a:ext>
          </a:extLst>
        </cdr:cNvPr>
        <cdr:cNvSpPr txBox="1"/>
      </cdr:nvSpPr>
      <cdr:spPr>
        <a:xfrm xmlns:a="http://schemas.openxmlformats.org/drawingml/2006/main">
          <a:off x="3350324" y="1418533"/>
          <a:ext cx="521792" cy="32304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800">
              <a:latin typeface="Open Sans Light" panose="020B0306030504020204" pitchFamily="34" charset="0"/>
              <a:ea typeface="Open Sans Light" panose="020B0306030504020204" pitchFamily="34" charset="0"/>
              <a:cs typeface="Open Sans Light" panose="020B0306030504020204" pitchFamily="34" charset="0"/>
            </a:rPr>
            <a:t>WA</a:t>
          </a:r>
          <a:endParaRPr lang="en-AU" sz="1100">
            <a:latin typeface="Open Sans Light" panose="020B0306030504020204" pitchFamily="34" charset="0"/>
            <a:ea typeface="Open Sans Light" panose="020B0306030504020204" pitchFamily="34" charset="0"/>
            <a:cs typeface="Open Sans Light" panose="020B0306030504020204" pitchFamily="34" charset="0"/>
          </a:endParaRPr>
        </a:p>
      </cdr:txBody>
    </cdr:sp>
  </cdr:relSizeAnchor>
  <cdr:relSizeAnchor xmlns:cdr="http://schemas.openxmlformats.org/drawingml/2006/chartDrawing">
    <cdr:from>
      <cdr:x>0.90778</cdr:x>
      <cdr:y>0.27557</cdr:y>
    </cdr:from>
    <cdr:to>
      <cdr:x>0.98252</cdr:x>
      <cdr:y>0.34529</cdr:y>
    </cdr:to>
    <cdr:sp macro="" textlink="">
      <cdr:nvSpPr>
        <cdr:cNvPr id="8" name="TextBox 1">
          <a:extLst xmlns:a="http://schemas.openxmlformats.org/drawingml/2006/main">
            <a:ext uri="{FF2B5EF4-FFF2-40B4-BE49-F238E27FC236}">
              <a16:creationId xmlns:a16="http://schemas.microsoft.com/office/drawing/2014/main" id="{600D12C0-2125-CAD8-F5A4-A26C6FF3F310}"/>
            </a:ext>
          </a:extLst>
        </cdr:cNvPr>
        <cdr:cNvSpPr txBox="1"/>
      </cdr:nvSpPr>
      <cdr:spPr>
        <a:xfrm xmlns:a="http://schemas.openxmlformats.org/drawingml/2006/main">
          <a:off x="5130800" y="982133"/>
          <a:ext cx="422430" cy="24848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800">
              <a:latin typeface="Open Sans Light" panose="020B0306030504020204" pitchFamily="34" charset="0"/>
              <a:ea typeface="Open Sans Light" panose="020B0306030504020204" pitchFamily="34" charset="0"/>
              <a:cs typeface="Open Sans Light" panose="020B0306030504020204" pitchFamily="34" charset="0"/>
            </a:rPr>
            <a:t>Qld</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fd0ec3be-4569-4cba-9f1a-cbd548d830fc">
      <UserInfo>
        <DisplayName>Madden, Shannon</DisplayName>
        <AccountId>35</AccountId>
        <AccountType/>
      </UserInfo>
    </SharedWithUsers>
    <lcf76f155ced4ddcb4097134ff3c332f xmlns="90fa3e25-a176-4d82-ad40-74afe5ce8131">
      <Terms xmlns="http://schemas.microsoft.com/office/infopath/2007/PartnerControls"/>
    </lcf76f155ced4ddcb4097134ff3c332f>
    <TaxCatchAll xmlns="fd0ec3be-4569-4cba-9f1a-cbd548d830f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91115572CD2074A8DF493F1808623F4" ma:contentTypeVersion="14" ma:contentTypeDescription="Create a new document." ma:contentTypeScope="" ma:versionID="a1b18ce6dc08ee1df12685951bc497b5">
  <xsd:schema xmlns:xsd="http://www.w3.org/2001/XMLSchema" xmlns:xs="http://www.w3.org/2001/XMLSchema" xmlns:p="http://schemas.microsoft.com/office/2006/metadata/properties" xmlns:ns2="90fa3e25-a176-4d82-ad40-74afe5ce8131" xmlns:ns3="fd0ec3be-4569-4cba-9f1a-cbd548d830fc" targetNamespace="http://schemas.microsoft.com/office/2006/metadata/properties" ma:root="true" ma:fieldsID="c04e5b83d183be4938917a396c4bdf64" ns2:_="" ns3:_="">
    <xsd:import namespace="90fa3e25-a176-4d82-ad40-74afe5ce8131"/>
    <xsd:import namespace="fd0ec3be-4569-4cba-9f1a-cbd548d830f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CR" minOccurs="0"/>
                <xsd:element ref="ns2:MediaServiceGenerationTime" minOccurs="0"/>
                <xsd:element ref="ns2:MediaServiceEventHashCode" minOccurs="0"/>
                <xsd:element ref="ns2:MediaServiceDateTaken"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fa3e25-a176-4d82-ad40-74afe5ce81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218240cd-c75f-40bd-87f4-262ac964b25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d0ec3be-4569-4cba-9f1a-cbd548d830f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88244f2a-d712-4f18-956e-71d587ee79e0}" ma:internalName="TaxCatchAll" ma:readOnly="false" ma:showField="CatchAllData" ma:web="fd0ec3be-4569-4cba-9f1a-cbd548d830f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FA3A920-5695-4BE6-87A8-01E4262EA813}">
  <ds:schemaRefs>
    <ds:schemaRef ds:uri="http://schemas.microsoft.com/office/2006/metadata/properties"/>
    <ds:schemaRef ds:uri="http://schemas.microsoft.com/office/infopath/2007/PartnerControls"/>
    <ds:schemaRef ds:uri="fd0ec3be-4569-4cba-9f1a-cbd548d830fc"/>
    <ds:schemaRef ds:uri="90fa3e25-a176-4d82-ad40-74afe5ce8131"/>
  </ds:schemaRefs>
</ds:datastoreItem>
</file>

<file path=customXml/itemProps2.xml><?xml version="1.0" encoding="utf-8"?>
<ds:datastoreItem xmlns:ds="http://schemas.openxmlformats.org/officeDocument/2006/customXml" ds:itemID="{699BAE16-CC8C-486A-8EB3-0F7494036D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0fa3e25-a176-4d82-ad40-74afe5ce8131"/>
    <ds:schemaRef ds:uri="fd0ec3be-4569-4cba-9f1a-cbd548d830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9291E0D-5249-4EB3-A667-BC88029BF320}">
  <ds:schemaRefs>
    <ds:schemaRef ds:uri="http://schemas.openxmlformats.org/officeDocument/2006/bibliography"/>
  </ds:schemaRefs>
</ds:datastoreItem>
</file>

<file path=customXml/itemProps4.xml><?xml version="1.0" encoding="utf-8"?>
<ds:datastoreItem xmlns:ds="http://schemas.openxmlformats.org/officeDocument/2006/customXml" ds:itemID="{831ADD1E-FD26-4BDA-A997-83D03D3327B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68</Pages>
  <Words>15657</Words>
  <Characters>89250</Characters>
  <Application>Microsoft Office Word</Application>
  <DocSecurity>0</DocSecurity>
  <Lines>743</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104698</CharactersWithSpaces>
  <SharedDoc>false</SharedDoc>
  <HLinks>
    <vt:vector size="168" baseType="variant">
      <vt:variant>
        <vt:i4>1245279</vt:i4>
      </vt:variant>
      <vt:variant>
        <vt:i4>105</vt:i4>
      </vt:variant>
      <vt:variant>
        <vt:i4>0</vt:i4>
      </vt:variant>
      <vt:variant>
        <vt:i4>5</vt:i4>
      </vt:variant>
      <vt:variant>
        <vt:lpwstr>https://budget.gov.au/content/myefo/index.htm</vt:lpwstr>
      </vt:variant>
      <vt:variant>
        <vt:lpwstr/>
      </vt:variant>
      <vt:variant>
        <vt:i4>1245279</vt:i4>
      </vt:variant>
      <vt:variant>
        <vt:i4>102</vt:i4>
      </vt:variant>
      <vt:variant>
        <vt:i4>0</vt:i4>
      </vt:variant>
      <vt:variant>
        <vt:i4>5</vt:i4>
      </vt:variant>
      <vt:variant>
        <vt:lpwstr>https://budget.gov.au/content/myefo/index.htm</vt:lpwstr>
      </vt:variant>
      <vt:variant>
        <vt:lpwstr/>
      </vt:variant>
      <vt:variant>
        <vt:i4>1245279</vt:i4>
      </vt:variant>
      <vt:variant>
        <vt:i4>99</vt:i4>
      </vt:variant>
      <vt:variant>
        <vt:i4>0</vt:i4>
      </vt:variant>
      <vt:variant>
        <vt:i4>5</vt:i4>
      </vt:variant>
      <vt:variant>
        <vt:lpwstr>https://budget.gov.au/content/myefo/index.htm</vt:lpwstr>
      </vt:variant>
      <vt:variant>
        <vt:lpwstr/>
      </vt:variant>
      <vt:variant>
        <vt:i4>1245279</vt:i4>
      </vt:variant>
      <vt:variant>
        <vt:i4>96</vt:i4>
      </vt:variant>
      <vt:variant>
        <vt:i4>0</vt:i4>
      </vt:variant>
      <vt:variant>
        <vt:i4>5</vt:i4>
      </vt:variant>
      <vt:variant>
        <vt:lpwstr>https://budget.gov.au/content/myefo/index.htm</vt:lpwstr>
      </vt:variant>
      <vt:variant>
        <vt:lpwstr/>
      </vt:variant>
      <vt:variant>
        <vt:i4>393237</vt:i4>
      </vt:variant>
      <vt:variant>
        <vt:i4>93</vt:i4>
      </vt:variant>
      <vt:variant>
        <vt:i4>0</vt:i4>
      </vt:variant>
      <vt:variant>
        <vt:i4>5</vt:i4>
      </vt:variant>
      <vt:variant>
        <vt:lpwstr>https://www.cgc.gov.au/reports-for-government/2025-methodology-review</vt:lpwstr>
      </vt:variant>
      <vt:variant>
        <vt:lpwstr/>
      </vt:variant>
      <vt:variant>
        <vt:i4>4849756</vt:i4>
      </vt:variant>
      <vt:variant>
        <vt:i4>90</vt:i4>
      </vt:variant>
      <vt:variant>
        <vt:i4>0</vt:i4>
      </vt:variant>
      <vt:variant>
        <vt:i4>5</vt:i4>
      </vt:variant>
      <vt:variant>
        <vt:lpwstr>https://www.cgc.gov.au/sites/default/files/2023-03/2025 Methodology Review Terms of reference.pdf</vt:lpwstr>
      </vt:variant>
      <vt:variant>
        <vt:lpwstr/>
      </vt:variant>
      <vt:variant>
        <vt:i4>2359345</vt:i4>
      </vt:variant>
      <vt:variant>
        <vt:i4>87</vt:i4>
      </vt:variant>
      <vt:variant>
        <vt:i4>0</vt:i4>
      </vt:variant>
      <vt:variant>
        <vt:i4>5</vt:i4>
      </vt:variant>
      <vt:variant>
        <vt:lpwstr>https://www.cgc.gov.au/sites/default/files/2025-03/R2025 terms of reference.pdf</vt:lpwstr>
      </vt:variant>
      <vt:variant>
        <vt:lpwstr/>
      </vt:variant>
      <vt:variant>
        <vt:i4>1900593</vt:i4>
      </vt:variant>
      <vt:variant>
        <vt:i4>80</vt:i4>
      </vt:variant>
      <vt:variant>
        <vt:i4>0</vt:i4>
      </vt:variant>
      <vt:variant>
        <vt:i4>5</vt:i4>
      </vt:variant>
      <vt:variant>
        <vt:lpwstr/>
      </vt:variant>
      <vt:variant>
        <vt:lpwstr>_Toc190781850</vt:lpwstr>
      </vt:variant>
      <vt:variant>
        <vt:i4>1835057</vt:i4>
      </vt:variant>
      <vt:variant>
        <vt:i4>74</vt:i4>
      </vt:variant>
      <vt:variant>
        <vt:i4>0</vt:i4>
      </vt:variant>
      <vt:variant>
        <vt:i4>5</vt:i4>
      </vt:variant>
      <vt:variant>
        <vt:lpwstr/>
      </vt:variant>
      <vt:variant>
        <vt:lpwstr>_Toc190781849</vt:lpwstr>
      </vt:variant>
      <vt:variant>
        <vt:i4>1835057</vt:i4>
      </vt:variant>
      <vt:variant>
        <vt:i4>68</vt:i4>
      </vt:variant>
      <vt:variant>
        <vt:i4>0</vt:i4>
      </vt:variant>
      <vt:variant>
        <vt:i4>5</vt:i4>
      </vt:variant>
      <vt:variant>
        <vt:lpwstr/>
      </vt:variant>
      <vt:variant>
        <vt:lpwstr>_Toc190781848</vt:lpwstr>
      </vt:variant>
      <vt:variant>
        <vt:i4>1835057</vt:i4>
      </vt:variant>
      <vt:variant>
        <vt:i4>62</vt:i4>
      </vt:variant>
      <vt:variant>
        <vt:i4>0</vt:i4>
      </vt:variant>
      <vt:variant>
        <vt:i4>5</vt:i4>
      </vt:variant>
      <vt:variant>
        <vt:lpwstr/>
      </vt:variant>
      <vt:variant>
        <vt:lpwstr>_Toc190781847</vt:lpwstr>
      </vt:variant>
      <vt:variant>
        <vt:i4>1835057</vt:i4>
      </vt:variant>
      <vt:variant>
        <vt:i4>56</vt:i4>
      </vt:variant>
      <vt:variant>
        <vt:i4>0</vt:i4>
      </vt:variant>
      <vt:variant>
        <vt:i4>5</vt:i4>
      </vt:variant>
      <vt:variant>
        <vt:lpwstr/>
      </vt:variant>
      <vt:variant>
        <vt:lpwstr>_Toc190781846</vt:lpwstr>
      </vt:variant>
      <vt:variant>
        <vt:i4>1835057</vt:i4>
      </vt:variant>
      <vt:variant>
        <vt:i4>50</vt:i4>
      </vt:variant>
      <vt:variant>
        <vt:i4>0</vt:i4>
      </vt:variant>
      <vt:variant>
        <vt:i4>5</vt:i4>
      </vt:variant>
      <vt:variant>
        <vt:lpwstr/>
      </vt:variant>
      <vt:variant>
        <vt:lpwstr>_Toc190781845</vt:lpwstr>
      </vt:variant>
      <vt:variant>
        <vt:i4>1835057</vt:i4>
      </vt:variant>
      <vt:variant>
        <vt:i4>44</vt:i4>
      </vt:variant>
      <vt:variant>
        <vt:i4>0</vt:i4>
      </vt:variant>
      <vt:variant>
        <vt:i4>5</vt:i4>
      </vt:variant>
      <vt:variant>
        <vt:lpwstr/>
      </vt:variant>
      <vt:variant>
        <vt:lpwstr>_Toc190781844</vt:lpwstr>
      </vt:variant>
      <vt:variant>
        <vt:i4>1835057</vt:i4>
      </vt:variant>
      <vt:variant>
        <vt:i4>38</vt:i4>
      </vt:variant>
      <vt:variant>
        <vt:i4>0</vt:i4>
      </vt:variant>
      <vt:variant>
        <vt:i4>5</vt:i4>
      </vt:variant>
      <vt:variant>
        <vt:lpwstr/>
      </vt:variant>
      <vt:variant>
        <vt:lpwstr>_Toc190781843</vt:lpwstr>
      </vt:variant>
      <vt:variant>
        <vt:i4>1835057</vt:i4>
      </vt:variant>
      <vt:variant>
        <vt:i4>32</vt:i4>
      </vt:variant>
      <vt:variant>
        <vt:i4>0</vt:i4>
      </vt:variant>
      <vt:variant>
        <vt:i4>5</vt:i4>
      </vt:variant>
      <vt:variant>
        <vt:lpwstr/>
      </vt:variant>
      <vt:variant>
        <vt:lpwstr>_Toc190781842</vt:lpwstr>
      </vt:variant>
      <vt:variant>
        <vt:i4>1835057</vt:i4>
      </vt:variant>
      <vt:variant>
        <vt:i4>26</vt:i4>
      </vt:variant>
      <vt:variant>
        <vt:i4>0</vt:i4>
      </vt:variant>
      <vt:variant>
        <vt:i4>5</vt:i4>
      </vt:variant>
      <vt:variant>
        <vt:lpwstr/>
      </vt:variant>
      <vt:variant>
        <vt:lpwstr>_Toc190781841</vt:lpwstr>
      </vt:variant>
      <vt:variant>
        <vt:i4>1835057</vt:i4>
      </vt:variant>
      <vt:variant>
        <vt:i4>20</vt:i4>
      </vt:variant>
      <vt:variant>
        <vt:i4>0</vt:i4>
      </vt:variant>
      <vt:variant>
        <vt:i4>5</vt:i4>
      </vt:variant>
      <vt:variant>
        <vt:lpwstr/>
      </vt:variant>
      <vt:variant>
        <vt:lpwstr>_Toc190781840</vt:lpwstr>
      </vt:variant>
      <vt:variant>
        <vt:i4>7602283</vt:i4>
      </vt:variant>
      <vt:variant>
        <vt:i4>15</vt:i4>
      </vt:variant>
      <vt:variant>
        <vt:i4>0</vt:i4>
      </vt:variant>
      <vt:variant>
        <vt:i4>5</vt:i4>
      </vt:variant>
      <vt:variant>
        <vt:lpwstr>https://www.cgc.gov.au/publications/quality-assurance-framework</vt:lpwstr>
      </vt:variant>
      <vt:variant>
        <vt:lpwstr/>
      </vt:variant>
      <vt:variant>
        <vt:i4>7274593</vt:i4>
      </vt:variant>
      <vt:variant>
        <vt:i4>12</vt:i4>
      </vt:variant>
      <vt:variant>
        <vt:i4>0</vt:i4>
      </vt:variant>
      <vt:variant>
        <vt:i4>5</vt:i4>
      </vt:variant>
      <vt:variant>
        <vt:lpwstr>http://www.cgc.gov.au/publications/glossary</vt:lpwstr>
      </vt:variant>
      <vt:variant>
        <vt:lpwstr/>
      </vt:variant>
      <vt:variant>
        <vt:i4>7602221</vt:i4>
      </vt:variant>
      <vt:variant>
        <vt:i4>9</vt:i4>
      </vt:variant>
      <vt:variant>
        <vt:i4>0</vt:i4>
      </vt:variant>
      <vt:variant>
        <vt:i4>5</vt:i4>
      </vt:variant>
      <vt:variant>
        <vt:lpwstr>http://www.cgc.gov.au/</vt:lpwstr>
      </vt:variant>
      <vt:variant>
        <vt:lpwstr/>
      </vt:variant>
      <vt:variant>
        <vt:i4>8323091</vt:i4>
      </vt:variant>
      <vt:variant>
        <vt:i4>6</vt:i4>
      </vt:variant>
      <vt:variant>
        <vt:i4>0</vt:i4>
      </vt:variant>
      <vt:variant>
        <vt:i4>5</vt:i4>
      </vt:variant>
      <vt:variant>
        <vt:lpwstr>mailto:secretary@cgc.gov.au</vt:lpwstr>
      </vt:variant>
      <vt:variant>
        <vt:lpwstr/>
      </vt:variant>
      <vt:variant>
        <vt:i4>25</vt:i4>
      </vt:variant>
      <vt:variant>
        <vt:i4>3</vt:i4>
      </vt:variant>
      <vt:variant>
        <vt:i4>0</vt:i4>
      </vt:variant>
      <vt:variant>
        <vt:i4>5</vt:i4>
      </vt:variant>
      <vt:variant>
        <vt:lpwstr>http://www.pmc.gov.au/honours-and-symbols/commonwealth-coat-arms</vt:lpwstr>
      </vt:variant>
      <vt:variant>
        <vt:lpwstr/>
      </vt:variant>
      <vt:variant>
        <vt:i4>5308424</vt:i4>
      </vt:variant>
      <vt:variant>
        <vt:i4>0</vt:i4>
      </vt:variant>
      <vt:variant>
        <vt:i4>0</vt:i4>
      </vt:variant>
      <vt:variant>
        <vt:i4>5</vt:i4>
      </vt:variant>
      <vt:variant>
        <vt:lpwstr>https://creativecommons.org/licenses/by/4.0/</vt:lpwstr>
      </vt:variant>
      <vt:variant>
        <vt:lpwstr/>
      </vt:variant>
      <vt:variant>
        <vt:i4>589914</vt:i4>
      </vt:variant>
      <vt:variant>
        <vt:i4>9</vt:i4>
      </vt:variant>
      <vt:variant>
        <vt:i4>0</vt:i4>
      </vt:variant>
      <vt:variant>
        <vt:i4>5</vt:i4>
      </vt:variant>
      <vt:variant>
        <vt:lpwstr>https://www.cgc.gov.au/publications/occasional-paper-4-new-arrangements-distributing-gst</vt:lpwstr>
      </vt:variant>
      <vt:variant>
        <vt:lpwstr/>
      </vt:variant>
      <vt:variant>
        <vt:i4>7274593</vt:i4>
      </vt:variant>
      <vt:variant>
        <vt:i4>6</vt:i4>
      </vt:variant>
      <vt:variant>
        <vt:i4>0</vt:i4>
      </vt:variant>
      <vt:variant>
        <vt:i4>5</vt:i4>
      </vt:variant>
      <vt:variant>
        <vt:lpwstr>http://www.cgc.gov.au/publications/glossary</vt:lpwstr>
      </vt:variant>
      <vt:variant>
        <vt:lpwstr/>
      </vt:variant>
      <vt:variant>
        <vt:i4>1245279</vt:i4>
      </vt:variant>
      <vt:variant>
        <vt:i4>3</vt:i4>
      </vt:variant>
      <vt:variant>
        <vt:i4>0</vt:i4>
      </vt:variant>
      <vt:variant>
        <vt:i4>5</vt:i4>
      </vt:variant>
      <vt:variant>
        <vt:lpwstr>https://budget.gov.au/content/myefo/index.htm</vt:lpwstr>
      </vt:variant>
      <vt:variant>
        <vt:lpwstr/>
      </vt:variant>
      <vt:variant>
        <vt:i4>3145775</vt:i4>
      </vt:variant>
      <vt:variant>
        <vt:i4>0</vt:i4>
      </vt:variant>
      <vt:variant>
        <vt:i4>0</vt:i4>
      </vt:variant>
      <vt:variant>
        <vt:i4>5</vt:i4>
      </vt:variant>
      <vt:variant>
        <vt:lpwstr>https://federalfinancialrelations.gov.au/agreements/extension-gst-no-worse-guarantee</vt:lpwstr>
      </vt:variant>
      <vt:variant>
        <vt:lpwstr>:~:text=This%20Agreement%20will%20assist%20states,providing%20untied%20payments%20to%20states.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2025-02-19T22:57:00Z</dcterms:created>
  <dcterms:modified xsi:type="dcterms:W3CDTF">2025-02-26T01:11:00Z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f932d64-9ab1-4d9b-81d2-a3a8b82dd47d_Enabled">
    <vt:lpwstr>true</vt:lpwstr>
  </property>
  <property fmtid="{D5CDD505-2E9C-101B-9397-08002B2CF9AE}" pid="3" name="MSIP_Label_4f932d64-9ab1-4d9b-81d2-a3a8b82dd47d_SetDate">
    <vt:lpwstr>2025-02-19T22:57:24Z</vt:lpwstr>
  </property>
  <property fmtid="{D5CDD505-2E9C-101B-9397-08002B2CF9AE}" pid="4" name="MSIP_Label_4f932d64-9ab1-4d9b-81d2-a3a8b82dd47d_Method">
    <vt:lpwstr>Privileged</vt:lpwstr>
  </property>
  <property fmtid="{D5CDD505-2E9C-101B-9397-08002B2CF9AE}" pid="5" name="MSIP_Label_4f932d64-9ab1-4d9b-81d2-a3a8b82dd47d_Name">
    <vt:lpwstr>OFFICIAL No Visual Marking</vt:lpwstr>
  </property>
  <property fmtid="{D5CDD505-2E9C-101B-9397-08002B2CF9AE}" pid="6" name="MSIP_Label_4f932d64-9ab1-4d9b-81d2-a3a8b82dd47d_SiteId">
    <vt:lpwstr>214f1646-2021-47cc-8397-e3d3a7ba7d9d</vt:lpwstr>
  </property>
  <property fmtid="{D5CDD505-2E9C-101B-9397-08002B2CF9AE}" pid="7" name="MSIP_Label_4f932d64-9ab1-4d9b-81d2-a3a8b82dd47d_ActionId">
    <vt:lpwstr>e1d5853f-d30f-447a-ac11-0276aa3a31a7</vt:lpwstr>
  </property>
  <property fmtid="{D5CDD505-2E9C-101B-9397-08002B2CF9AE}" pid="8" name="MSIP_Label_4f932d64-9ab1-4d9b-81d2-a3a8b82dd47d_ContentBits">
    <vt:lpwstr>0</vt:lpwstr>
  </property>
  <property fmtid="{D5CDD505-2E9C-101B-9397-08002B2CF9AE}" pid="9" name="Order">
    <vt:r8>86000600</vt:r8>
  </property>
  <property fmtid="{D5CDD505-2E9C-101B-9397-08002B2CF9AE}" pid="10" name="xd_ProgID">
    <vt:lpwstr/>
  </property>
  <property fmtid="{D5CDD505-2E9C-101B-9397-08002B2CF9AE}" pid="11" name="MediaServiceImageTags">
    <vt:lpwstr/>
  </property>
  <property fmtid="{D5CDD505-2E9C-101B-9397-08002B2CF9AE}" pid="12" name="ContentTypeId">
    <vt:lpwstr>0x010100B91115572CD2074A8DF493F1808623F4</vt:lpwstr>
  </property>
  <property fmtid="{D5CDD505-2E9C-101B-9397-08002B2CF9AE}" pid="13" name="_ColorHex">
    <vt:lpwstr/>
  </property>
  <property fmtid="{D5CDD505-2E9C-101B-9397-08002B2CF9AE}" pid="14" name="ComplianceAssetId">
    <vt:lpwstr/>
  </property>
  <property fmtid="{D5CDD505-2E9C-101B-9397-08002B2CF9AE}" pid="15" name="TemplateUrl">
    <vt:lpwstr/>
  </property>
  <property fmtid="{D5CDD505-2E9C-101B-9397-08002B2CF9AE}" pid="16" name="_ExtendedDescription">
    <vt:lpwstr/>
  </property>
  <property fmtid="{D5CDD505-2E9C-101B-9397-08002B2CF9AE}" pid="17" name="_ColorTag">
    <vt:lpwstr/>
  </property>
  <property fmtid="{D5CDD505-2E9C-101B-9397-08002B2CF9AE}" pid="18" name="TriggerFlowInfo">
    <vt:lpwstr/>
  </property>
  <property fmtid="{D5CDD505-2E9C-101B-9397-08002B2CF9AE}" pid="19" name="xd_Signature">
    <vt:bool>false</vt:bool>
  </property>
  <property fmtid="{D5CDD505-2E9C-101B-9397-08002B2CF9AE}" pid="20" name="GUID">
    <vt:lpwstr>7dd392b6-332d-4983-8939-af7d4dcb3bca</vt:lpwstr>
  </property>
  <property fmtid="{D5CDD505-2E9C-101B-9397-08002B2CF9AE}" pid="21" name="_Emoji">
    <vt:lpwstr/>
  </property>
</Properties>
</file>