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E4FA" w14:textId="02D79D97" w:rsidR="007876E4" w:rsidRDefault="00F14177" w:rsidP="002E1279">
      <w:pPr>
        <w:pStyle w:val="Heading1"/>
      </w:pPr>
      <w:r w:rsidRPr="0005702C">
        <w:t>Transport</w:t>
      </w:r>
    </w:p>
    <w:p w14:paraId="40A6FC93" w14:textId="77777777" w:rsidR="007876E4" w:rsidRPr="00203A3C" w:rsidRDefault="007876E4" w:rsidP="002E1279">
      <w:pPr>
        <w:pStyle w:val="Heading2"/>
      </w:pPr>
      <w:r w:rsidRPr="00203A3C">
        <w:t xml:space="preserve">Overview </w:t>
      </w:r>
    </w:p>
    <w:p w14:paraId="61345E41" w14:textId="7966BFAA" w:rsidR="007876E4" w:rsidRPr="00F069A4" w:rsidRDefault="007876E4" w:rsidP="007876E4">
      <w:pPr>
        <w:pStyle w:val="CGC2025ParaNumbers"/>
      </w:pPr>
      <w:bookmarkStart w:id="0" w:name="_Hlk173766804"/>
      <w:bookmarkStart w:id="1" w:name="_Hlk173766809"/>
      <w:r w:rsidRPr="00F069A4">
        <w:t xml:space="preserve">The </w:t>
      </w:r>
      <w:r w:rsidR="00F14177" w:rsidRPr="00F069A4">
        <w:t>transport</w:t>
      </w:r>
      <w:r w:rsidRPr="00F069A4">
        <w:t xml:space="preserve"> </w:t>
      </w:r>
      <w:bookmarkEnd w:id="0"/>
      <w:r w:rsidRPr="00F069A4">
        <w:t xml:space="preserve">assessment covers </w:t>
      </w:r>
      <w:r w:rsidR="00343F2D">
        <w:t xml:space="preserve">state and territory </w:t>
      </w:r>
      <w:r w:rsidR="00F17786">
        <w:t xml:space="preserve">(state) </w:t>
      </w:r>
      <w:r w:rsidRPr="00F069A4">
        <w:t>expe</w:t>
      </w:r>
      <w:r w:rsidR="002C5698" w:rsidRPr="00F069A4">
        <w:t>nses</w:t>
      </w:r>
      <w:r w:rsidRPr="00F069A4">
        <w:t xml:space="preserve"> </w:t>
      </w:r>
      <w:bookmarkEnd w:id="1"/>
      <w:r w:rsidRPr="00F069A4">
        <w:t>on</w:t>
      </w:r>
      <w:r w:rsidR="001B3088">
        <w:t xml:space="preserve"> urban and non</w:t>
      </w:r>
      <w:r w:rsidR="00C7290D">
        <w:noBreakHyphen/>
      </w:r>
      <w:r w:rsidR="001B3088">
        <w:t xml:space="preserve">urban </w:t>
      </w:r>
      <w:r w:rsidR="00421CB4" w:rsidRPr="00F069A4">
        <w:t>public transport</w:t>
      </w:r>
      <w:r w:rsidR="001B3088">
        <w:t xml:space="preserve"> services. </w:t>
      </w:r>
      <w:r w:rsidR="00B8545A">
        <w:t>It has the following components:</w:t>
      </w:r>
    </w:p>
    <w:p w14:paraId="3110CF10" w14:textId="182B5370" w:rsidR="007876E4" w:rsidRPr="00F069A4" w:rsidRDefault="00D51D57" w:rsidP="007876E4">
      <w:pPr>
        <w:pStyle w:val="CGC2025Bullet1"/>
      </w:pPr>
      <w:r w:rsidRPr="00F069A4">
        <w:t xml:space="preserve">urban </w:t>
      </w:r>
      <w:r w:rsidR="002C3A2F" w:rsidRPr="00F069A4">
        <w:t>transport</w:t>
      </w:r>
    </w:p>
    <w:p w14:paraId="10072543" w14:textId="5DAF6DF7" w:rsidR="007876E4" w:rsidRDefault="00D51D57" w:rsidP="007876E4">
      <w:pPr>
        <w:pStyle w:val="CGC2025Bullet1"/>
      </w:pPr>
      <w:r w:rsidRPr="00F069A4">
        <w:t>non-urban transport</w:t>
      </w:r>
      <w:r w:rsidR="005B1EAB">
        <w:t>.</w:t>
      </w:r>
    </w:p>
    <w:p w14:paraId="5346761A" w14:textId="60286389" w:rsidR="000000E7" w:rsidRPr="00F270F3" w:rsidRDefault="000000E7" w:rsidP="00277D11">
      <w:pPr>
        <w:pStyle w:val="CGC2025ParaNumbers"/>
      </w:pPr>
      <w:r w:rsidRPr="00F270F3">
        <w:t>The assessment recognises that transport expense needs are influenced by the following</w:t>
      </w:r>
      <w:r w:rsidR="0027017D" w:rsidRPr="00F270F3">
        <w:t>.</w:t>
      </w:r>
    </w:p>
    <w:p w14:paraId="227541D9" w14:textId="69EDDD64" w:rsidR="00492C6A" w:rsidRPr="00F270F3" w:rsidRDefault="00492C6A">
      <w:pPr>
        <w:pStyle w:val="CGC2025Bullet1"/>
      </w:pPr>
      <w:r w:rsidRPr="00F270F3">
        <w:t xml:space="preserve">Demand — </w:t>
      </w:r>
      <w:r w:rsidR="00FC155B" w:rsidRPr="00F270F3">
        <w:rPr>
          <w:bCs/>
        </w:rPr>
        <w:t>urban centres</w:t>
      </w:r>
      <w:r w:rsidR="00893223" w:rsidRPr="00F270F3">
        <w:rPr>
          <w:bCs/>
        </w:rPr>
        <w:t xml:space="preserve"> with</w:t>
      </w:r>
      <w:r w:rsidRPr="00F270F3">
        <w:t xml:space="preserve"> </w:t>
      </w:r>
      <w:r w:rsidR="00516E41" w:rsidRPr="00F270F3">
        <w:rPr>
          <w:bCs/>
        </w:rPr>
        <w:t>above</w:t>
      </w:r>
      <w:r w:rsidR="00C46BAE" w:rsidRPr="00F270F3">
        <w:rPr>
          <w:bCs/>
        </w:rPr>
        <w:t>-</w:t>
      </w:r>
      <w:r w:rsidR="00516E41" w:rsidRPr="00F270F3">
        <w:rPr>
          <w:bCs/>
        </w:rPr>
        <w:t>average</w:t>
      </w:r>
      <w:r w:rsidR="001432D0" w:rsidRPr="00F270F3">
        <w:rPr>
          <w:bCs/>
        </w:rPr>
        <w:t xml:space="preserve"> population-weighted density </w:t>
      </w:r>
      <w:r w:rsidR="005F7B4E" w:rsidRPr="00F270F3">
        <w:rPr>
          <w:bCs/>
        </w:rPr>
        <w:t xml:space="preserve">have higher </w:t>
      </w:r>
      <w:r w:rsidR="002E19A6" w:rsidRPr="00F270F3">
        <w:rPr>
          <w:bCs/>
        </w:rPr>
        <w:t>demand for</w:t>
      </w:r>
      <w:r w:rsidR="00C13797" w:rsidRPr="00F270F3">
        <w:rPr>
          <w:bCs/>
        </w:rPr>
        <w:t xml:space="preserve"> public transport</w:t>
      </w:r>
      <w:r w:rsidR="00B6374B" w:rsidRPr="00F270F3">
        <w:rPr>
          <w:bCs/>
        </w:rPr>
        <w:t>,</w:t>
      </w:r>
      <w:r w:rsidR="002016AA" w:rsidRPr="00F270F3">
        <w:rPr>
          <w:bCs/>
        </w:rPr>
        <w:t xml:space="preserve"> which results in higher spending needs</w:t>
      </w:r>
      <w:r w:rsidR="00C13797" w:rsidRPr="00F270F3">
        <w:rPr>
          <w:bCs/>
        </w:rPr>
        <w:t xml:space="preserve">. </w:t>
      </w:r>
    </w:p>
    <w:p w14:paraId="5BA18975" w14:textId="0543CFE6" w:rsidR="00492C6A" w:rsidRPr="00F270F3" w:rsidRDefault="00492C6A">
      <w:pPr>
        <w:pStyle w:val="CGC2025Bullet1"/>
      </w:pPr>
      <w:r w:rsidRPr="00471869">
        <w:t>Supply —</w:t>
      </w:r>
      <w:r w:rsidR="00152274">
        <w:t xml:space="preserve"> </w:t>
      </w:r>
      <w:r w:rsidR="0099218C" w:rsidRPr="00471869">
        <w:t>t</w:t>
      </w:r>
      <w:r w:rsidR="00780438" w:rsidRPr="00471869">
        <w:t xml:space="preserve">he </w:t>
      </w:r>
      <w:r w:rsidR="00742DD0" w:rsidRPr="00471869">
        <w:t xml:space="preserve">population </w:t>
      </w:r>
      <w:r w:rsidR="0073149F" w:rsidRPr="00471869">
        <w:t xml:space="preserve">of an urban centre </w:t>
      </w:r>
      <w:r w:rsidR="00780438" w:rsidRPr="00471869">
        <w:t>and</w:t>
      </w:r>
      <w:r w:rsidR="000917E8" w:rsidRPr="00471869">
        <w:t xml:space="preserve"> the presence of heavy rail</w:t>
      </w:r>
      <w:r w:rsidR="006E4181" w:rsidRPr="00471869">
        <w:t xml:space="preserve"> </w:t>
      </w:r>
      <w:r w:rsidR="006560CE" w:rsidRPr="00471869">
        <w:t xml:space="preserve">influence </w:t>
      </w:r>
      <w:r w:rsidR="00307464">
        <w:t xml:space="preserve">the </w:t>
      </w:r>
      <w:r w:rsidR="006560CE" w:rsidRPr="00471869">
        <w:t>supply of public transport services.</w:t>
      </w:r>
      <w:r w:rsidR="006E4181" w:rsidRPr="00471869">
        <w:t xml:space="preserve"> </w:t>
      </w:r>
      <w:r w:rsidR="00AE16C8" w:rsidRPr="00471869">
        <w:t>P</w:t>
      </w:r>
      <w:r w:rsidR="005331EB" w:rsidRPr="00471869">
        <w:rPr>
          <w:bCs/>
        </w:rPr>
        <w:t>assenger numbers (heavy rail, bus and light rail) are used to measure the amount of public transport provided in an urban centre.</w:t>
      </w:r>
      <w:r w:rsidR="009230BF" w:rsidRPr="00471869">
        <w:rPr>
          <w:bCs/>
        </w:rPr>
        <w:t xml:space="preserve"> </w:t>
      </w:r>
      <w:r w:rsidR="00D67AA9" w:rsidRPr="00471869">
        <w:rPr>
          <w:bCs/>
        </w:rPr>
        <w:t>U</w:t>
      </w:r>
      <w:r w:rsidR="00FD4CAE" w:rsidRPr="00471869">
        <w:rPr>
          <w:bCs/>
        </w:rPr>
        <w:t>rban</w:t>
      </w:r>
      <w:r w:rsidR="00FD4CAE" w:rsidRPr="00F270F3">
        <w:rPr>
          <w:bCs/>
        </w:rPr>
        <w:t xml:space="preserve"> centres with</w:t>
      </w:r>
      <w:r w:rsidRPr="00F270F3">
        <w:t xml:space="preserve"> </w:t>
      </w:r>
      <w:r w:rsidR="00B535B3" w:rsidRPr="00F270F3">
        <w:rPr>
          <w:bCs/>
        </w:rPr>
        <w:t xml:space="preserve">higher passenger numbers </w:t>
      </w:r>
      <w:r w:rsidR="00C55A1C" w:rsidRPr="00F270F3">
        <w:rPr>
          <w:bCs/>
        </w:rPr>
        <w:t>need to provide more</w:t>
      </w:r>
      <w:r w:rsidR="003157A1" w:rsidRPr="00F270F3">
        <w:rPr>
          <w:bCs/>
        </w:rPr>
        <w:t xml:space="preserve"> </w:t>
      </w:r>
      <w:r w:rsidR="00382AEF" w:rsidRPr="00F270F3">
        <w:rPr>
          <w:bCs/>
        </w:rPr>
        <w:t xml:space="preserve">public </w:t>
      </w:r>
      <w:r w:rsidR="00C55A1C" w:rsidRPr="00F270F3">
        <w:rPr>
          <w:bCs/>
        </w:rPr>
        <w:t>transport</w:t>
      </w:r>
      <w:r w:rsidR="00C61241">
        <w:rPr>
          <w:bCs/>
        </w:rPr>
        <w:t xml:space="preserve"> and have </w:t>
      </w:r>
      <w:r w:rsidR="00FD01E0" w:rsidRPr="00F270F3">
        <w:rPr>
          <w:bCs/>
        </w:rPr>
        <w:t>higher spending needs</w:t>
      </w:r>
      <w:r w:rsidR="003157A1" w:rsidRPr="00F270F3">
        <w:rPr>
          <w:bCs/>
        </w:rPr>
        <w:t>.</w:t>
      </w:r>
      <w:r w:rsidR="002016AA" w:rsidRPr="00F270F3">
        <w:rPr>
          <w:bCs/>
        </w:rPr>
        <w:t xml:space="preserve"> </w:t>
      </w:r>
    </w:p>
    <w:p w14:paraId="39EB87D7" w14:textId="363C7E17" w:rsidR="00492C6A" w:rsidRPr="00F270F3" w:rsidRDefault="00492C6A">
      <w:pPr>
        <w:pStyle w:val="CGC2025Bullet1"/>
      </w:pPr>
      <w:r w:rsidRPr="00F270F3">
        <w:t xml:space="preserve">Presence of transport modes — </w:t>
      </w:r>
      <w:r w:rsidR="00C91B8A" w:rsidRPr="00F270F3">
        <w:rPr>
          <w:bCs/>
        </w:rPr>
        <w:t>urban centres</w:t>
      </w:r>
      <w:r w:rsidR="00C66892" w:rsidRPr="00F270F3">
        <w:rPr>
          <w:bCs/>
        </w:rPr>
        <w:t xml:space="preserve"> </w:t>
      </w:r>
      <w:r w:rsidR="003E2D4D" w:rsidRPr="00F270F3">
        <w:rPr>
          <w:bCs/>
        </w:rPr>
        <w:t xml:space="preserve">that require ferry </w:t>
      </w:r>
      <w:r w:rsidR="00C91B8A" w:rsidRPr="00F270F3">
        <w:rPr>
          <w:bCs/>
        </w:rPr>
        <w:t>services have higher spending needs</w:t>
      </w:r>
      <w:r w:rsidR="00836A70" w:rsidRPr="00F270F3">
        <w:rPr>
          <w:bCs/>
        </w:rPr>
        <w:t>.</w:t>
      </w:r>
    </w:p>
    <w:p w14:paraId="70D90D1C" w14:textId="45781FFC" w:rsidR="00492C6A" w:rsidRPr="00F270F3" w:rsidRDefault="00492C6A">
      <w:pPr>
        <w:pStyle w:val="CGC2025Bullet1"/>
      </w:pPr>
      <w:r w:rsidRPr="00F270F3">
        <w:t xml:space="preserve">Topography — </w:t>
      </w:r>
      <w:r w:rsidR="00472909" w:rsidRPr="00F270F3">
        <w:rPr>
          <w:bCs/>
        </w:rPr>
        <w:t xml:space="preserve">urban areas with </w:t>
      </w:r>
      <w:r w:rsidR="001967C8" w:rsidRPr="00F270F3">
        <w:rPr>
          <w:bCs/>
        </w:rPr>
        <w:t xml:space="preserve">greater slope </w:t>
      </w:r>
      <w:r w:rsidR="00472909" w:rsidRPr="00F270F3">
        <w:rPr>
          <w:bCs/>
        </w:rPr>
        <w:t>have higher spending needs.</w:t>
      </w:r>
    </w:p>
    <w:p w14:paraId="38F69328" w14:textId="0A5FA0B3" w:rsidR="00492C6A" w:rsidRPr="00F270F3" w:rsidRDefault="00492C6A">
      <w:pPr>
        <w:pStyle w:val="CGC2025Bullet1"/>
      </w:pPr>
      <w:r w:rsidRPr="00F270F3">
        <w:t xml:space="preserve">Network complexity — </w:t>
      </w:r>
      <w:r w:rsidR="000602B7" w:rsidRPr="00F270F3">
        <w:t>urban centre</w:t>
      </w:r>
      <w:r w:rsidR="00481641" w:rsidRPr="00F270F3">
        <w:t>s</w:t>
      </w:r>
      <w:r w:rsidR="003624C6" w:rsidRPr="00F270F3">
        <w:t xml:space="preserve"> with </w:t>
      </w:r>
      <w:r w:rsidR="00E00CA4" w:rsidRPr="00F270F3">
        <w:t xml:space="preserve">greater </w:t>
      </w:r>
      <w:r w:rsidR="00C66085" w:rsidRPr="00F270F3">
        <w:t xml:space="preserve">road </w:t>
      </w:r>
      <w:r w:rsidR="00E00CA4" w:rsidRPr="00F270F3">
        <w:t>travel distances</w:t>
      </w:r>
      <w:r w:rsidR="008D7001" w:rsidRPr="00F270F3">
        <w:t xml:space="preserve"> </w:t>
      </w:r>
      <w:r w:rsidR="00B2180E" w:rsidRPr="00F270F3">
        <w:t xml:space="preserve">have higher spending needs. </w:t>
      </w:r>
      <w:r w:rsidR="008D7001" w:rsidRPr="00F270F3">
        <w:t xml:space="preserve"> </w:t>
      </w:r>
    </w:p>
    <w:p w14:paraId="60C93682" w14:textId="38A9ADDC" w:rsidR="00D46FD8" w:rsidRPr="00F270F3" w:rsidRDefault="00D46FD8">
      <w:pPr>
        <w:pStyle w:val="CGC2025Bullet1"/>
      </w:pPr>
      <w:r w:rsidRPr="00F270F3" w:rsidDel="001432D0">
        <w:t xml:space="preserve">Wage </w:t>
      </w:r>
      <w:r w:rsidR="006321F1" w:rsidRPr="00F270F3">
        <w:t>c</w:t>
      </w:r>
      <w:r w:rsidRPr="00F270F3" w:rsidDel="001432D0">
        <w:t>osts</w:t>
      </w:r>
      <w:r w:rsidR="00152274">
        <w:t xml:space="preserve"> </w:t>
      </w:r>
      <w:r w:rsidR="00C007D7" w:rsidRPr="00F270F3" w:rsidDel="001432D0">
        <w:t>—</w:t>
      </w:r>
      <w:r w:rsidR="00E12974" w:rsidRPr="00F270F3" w:rsidDel="001432D0">
        <w:t xml:space="preserve"> </w:t>
      </w:r>
      <w:r w:rsidR="00972D13" w:rsidRPr="00F270F3" w:rsidDel="001432D0">
        <w:t xml:space="preserve">states facing higher cost pressures have </w:t>
      </w:r>
      <w:r w:rsidR="003A6D5B" w:rsidRPr="00F270F3" w:rsidDel="001432D0">
        <w:t>higher spending needs</w:t>
      </w:r>
      <w:r w:rsidR="00A823AE" w:rsidRPr="00F270F3">
        <w:t>.</w:t>
      </w:r>
    </w:p>
    <w:p w14:paraId="2FA3BE7F" w14:textId="2D003317" w:rsidR="00D46FD8" w:rsidRPr="00F270F3" w:rsidDel="00A26A85" w:rsidRDefault="001E1C0C" w:rsidP="00D7681E">
      <w:pPr>
        <w:pStyle w:val="CGC2025Bullet1"/>
      </w:pPr>
      <w:r w:rsidRPr="00F270F3" w:rsidDel="001432D0">
        <w:t>Regional costs</w:t>
      </w:r>
      <w:r w:rsidR="00152274">
        <w:t xml:space="preserve"> </w:t>
      </w:r>
      <w:r w:rsidRPr="00F270F3" w:rsidDel="001432D0">
        <w:t>— the cost of providing services increases as the level of remoteness increases.</w:t>
      </w:r>
    </w:p>
    <w:p w14:paraId="49DA91C1" w14:textId="78D59453" w:rsidR="007876E4" w:rsidRPr="00315AF4" w:rsidRDefault="0003387B" w:rsidP="009742C4">
      <w:pPr>
        <w:pStyle w:val="Heading2"/>
      </w:pPr>
      <w:bookmarkStart w:id="2" w:name="_Toc133236146"/>
      <w:bookmarkStart w:id="3" w:name="_Toc133236172"/>
      <w:bookmarkStart w:id="4" w:name="_Toc164798166"/>
      <w:r>
        <w:t xml:space="preserve">Actual </w:t>
      </w:r>
      <w:r w:rsidR="00043FDA">
        <w:t xml:space="preserve">state </w:t>
      </w:r>
      <w:r>
        <w:t>e</w:t>
      </w:r>
      <w:r w:rsidR="002C5698">
        <w:t>xpenses</w:t>
      </w:r>
    </w:p>
    <w:p w14:paraId="61168409" w14:textId="26BD6B86" w:rsidR="007876E4" w:rsidRPr="00F069A4" w:rsidRDefault="008B0198" w:rsidP="00713F23">
      <w:pPr>
        <w:pStyle w:val="CGCNumberedPara"/>
        <w:keepNext/>
        <w:keepLines/>
        <w:suppressLineNumbers/>
        <w:rPr>
          <w:rFonts w:ascii="Work Sans" w:hAnsi="Work Sans"/>
          <w:sz w:val="20"/>
          <w:szCs w:val="20"/>
        </w:rPr>
      </w:pPr>
      <w:r w:rsidRPr="5CF4B7A6">
        <w:rPr>
          <w:rFonts w:ascii="Work Sans" w:hAnsi="Work Sans"/>
          <w:sz w:val="20"/>
          <w:szCs w:val="20"/>
        </w:rPr>
        <w:t xml:space="preserve">The first step in calculating assessed expenses is </w:t>
      </w:r>
      <w:r>
        <w:rPr>
          <w:rFonts w:ascii="Work Sans" w:hAnsi="Work Sans"/>
          <w:sz w:val="20"/>
          <w:szCs w:val="20"/>
        </w:rPr>
        <w:t>identi</w:t>
      </w:r>
      <w:r w:rsidR="001809D2" w:rsidRPr="5CF4B7A6">
        <w:rPr>
          <w:rFonts w:ascii="Work Sans" w:hAnsi="Work Sans"/>
          <w:sz w:val="20"/>
          <w:szCs w:val="20"/>
        </w:rPr>
        <w:t>fying actual state expenses</w:t>
      </w:r>
      <w:r w:rsidR="001809D2">
        <w:rPr>
          <w:rFonts w:ascii="Work Sans" w:hAnsi="Work Sans"/>
          <w:sz w:val="20"/>
          <w:szCs w:val="20"/>
        </w:rPr>
        <w:t>.</w:t>
      </w:r>
      <w:r w:rsidR="00E764F2">
        <w:rPr>
          <w:rStyle w:val="FootnoteReference"/>
        </w:rPr>
        <w:footnoteReference w:id="2"/>
      </w:r>
      <w:r w:rsidR="001809D2" w:rsidRPr="5CF4B7A6">
        <w:rPr>
          <w:rFonts w:ascii="Work Sans" w:hAnsi="Work Sans"/>
          <w:sz w:val="20"/>
          <w:szCs w:val="20"/>
        </w:rPr>
        <w:t xml:space="preserve"> </w:t>
      </w:r>
      <w:r w:rsidR="005747B3">
        <w:rPr>
          <w:rFonts w:ascii="Work Sans" w:hAnsi="Work Sans"/>
          <w:sz w:val="20"/>
          <w:szCs w:val="20"/>
        </w:rPr>
        <w:t>States collectively spen</w:t>
      </w:r>
      <w:r w:rsidR="0085379C">
        <w:rPr>
          <w:rFonts w:ascii="Work Sans" w:hAnsi="Work Sans"/>
          <w:sz w:val="20"/>
          <w:szCs w:val="20"/>
        </w:rPr>
        <w:t>t</w:t>
      </w:r>
      <w:r w:rsidR="005747B3">
        <w:rPr>
          <w:rFonts w:ascii="Work Sans" w:hAnsi="Work Sans"/>
          <w:sz w:val="20"/>
          <w:szCs w:val="20"/>
        </w:rPr>
        <w:t xml:space="preserve"> </w:t>
      </w:r>
      <w:r w:rsidR="00D227EC">
        <w:rPr>
          <w:rFonts w:ascii="Work Sans" w:hAnsi="Work Sans"/>
          <w:sz w:val="20"/>
          <w:szCs w:val="20"/>
        </w:rPr>
        <w:t>5.</w:t>
      </w:r>
      <w:r w:rsidR="000B0D1A">
        <w:rPr>
          <w:rFonts w:ascii="Work Sans" w:hAnsi="Work Sans"/>
          <w:sz w:val="20"/>
          <w:szCs w:val="20"/>
        </w:rPr>
        <w:t>7</w:t>
      </w:r>
      <w:r w:rsidR="00D227EC">
        <w:rPr>
          <w:rFonts w:ascii="Work Sans" w:hAnsi="Work Sans"/>
          <w:sz w:val="20"/>
          <w:szCs w:val="20"/>
        </w:rPr>
        <w:t xml:space="preserve">% of their total recurrent </w:t>
      </w:r>
      <w:r w:rsidR="007A086B">
        <w:rPr>
          <w:rFonts w:ascii="Work Sans" w:hAnsi="Work Sans"/>
          <w:sz w:val="20"/>
          <w:szCs w:val="20"/>
        </w:rPr>
        <w:t xml:space="preserve">expenses on </w:t>
      </w:r>
      <w:r w:rsidR="00AD3B59">
        <w:rPr>
          <w:rFonts w:ascii="Work Sans" w:hAnsi="Work Sans"/>
          <w:sz w:val="20"/>
          <w:szCs w:val="20"/>
        </w:rPr>
        <w:t>public</w:t>
      </w:r>
      <w:r w:rsidR="007876E4" w:rsidRPr="00F069A4">
        <w:rPr>
          <w:rFonts w:ascii="Work Sans" w:hAnsi="Work Sans"/>
          <w:sz w:val="20"/>
          <w:szCs w:val="20"/>
        </w:rPr>
        <w:t xml:space="preserve"> </w:t>
      </w:r>
      <w:r w:rsidR="00F14177" w:rsidRPr="00F069A4">
        <w:rPr>
          <w:rFonts w:ascii="Work Sans" w:hAnsi="Work Sans"/>
          <w:sz w:val="20"/>
          <w:szCs w:val="20"/>
        </w:rPr>
        <w:t>transport</w:t>
      </w:r>
      <w:r w:rsidR="007876E4" w:rsidRPr="00F069A4">
        <w:rPr>
          <w:rFonts w:ascii="Work Sans" w:hAnsi="Work Sans"/>
          <w:sz w:val="20"/>
          <w:szCs w:val="20"/>
        </w:rPr>
        <w:t xml:space="preserve"> </w:t>
      </w:r>
      <w:r w:rsidR="00AD3B59">
        <w:rPr>
          <w:rFonts w:ascii="Work Sans" w:hAnsi="Work Sans"/>
          <w:sz w:val="20"/>
          <w:szCs w:val="20"/>
        </w:rPr>
        <w:t>in 2022</w:t>
      </w:r>
      <w:r w:rsidR="000B0891">
        <w:rPr>
          <w:rFonts w:ascii="Work Sans" w:hAnsi="Work Sans"/>
          <w:sz w:val="20"/>
          <w:szCs w:val="20"/>
        </w:rPr>
        <w:t>–</w:t>
      </w:r>
      <w:r w:rsidR="00AD3B59">
        <w:rPr>
          <w:rFonts w:ascii="Work Sans" w:hAnsi="Work Sans"/>
          <w:sz w:val="20"/>
          <w:szCs w:val="20"/>
        </w:rPr>
        <w:t>23.</w:t>
      </w:r>
      <w:r w:rsidR="007876E4" w:rsidRPr="00F069A4">
        <w:rPr>
          <w:rFonts w:ascii="Work Sans" w:hAnsi="Work Sans"/>
          <w:sz w:val="20"/>
          <w:szCs w:val="20"/>
        </w:rPr>
        <w:t xml:space="preserve"> </w:t>
      </w:r>
      <w:r w:rsidR="00462CD4" w:rsidRPr="5CF4B7A6">
        <w:rPr>
          <w:rFonts w:ascii="Work Sans" w:hAnsi="Work Sans"/>
          <w:sz w:val="20"/>
          <w:szCs w:val="20"/>
        </w:rPr>
        <w:t xml:space="preserve">Table </w:t>
      </w:r>
      <w:r w:rsidR="00651B25">
        <w:rPr>
          <w:rFonts w:ascii="Work Sans" w:hAnsi="Work Sans"/>
          <w:sz w:val="20"/>
          <w:szCs w:val="20"/>
        </w:rPr>
        <w:t>1</w:t>
      </w:r>
      <w:r w:rsidR="00462CD4" w:rsidRPr="5CF4B7A6">
        <w:rPr>
          <w:rFonts w:ascii="Work Sans" w:hAnsi="Work Sans"/>
          <w:sz w:val="20"/>
          <w:szCs w:val="20"/>
        </w:rPr>
        <w:t xml:space="preserve"> shows </w:t>
      </w:r>
      <w:r w:rsidR="00752BBE" w:rsidRPr="5CF4B7A6">
        <w:rPr>
          <w:rFonts w:ascii="Work Sans" w:hAnsi="Work Sans"/>
          <w:sz w:val="20"/>
          <w:szCs w:val="20"/>
        </w:rPr>
        <w:t xml:space="preserve">expenses broken down by component and Table 2 shows actual </w:t>
      </w:r>
      <w:r w:rsidR="000612EB" w:rsidRPr="5CF4B7A6">
        <w:rPr>
          <w:rFonts w:ascii="Work Sans" w:hAnsi="Work Sans"/>
          <w:sz w:val="20"/>
          <w:szCs w:val="20"/>
        </w:rPr>
        <w:t>expenses by state.</w:t>
      </w:r>
      <w:r w:rsidR="00E764F2">
        <w:rPr>
          <w:rStyle w:val="FootnoteReference"/>
        </w:rPr>
        <w:footnoteReference w:id="3"/>
      </w:r>
    </w:p>
    <w:p w14:paraId="177B6AED" w14:textId="038417A4" w:rsidR="62A47A44" w:rsidRDefault="00895DFB" w:rsidP="00A41C82">
      <w:pPr>
        <w:pStyle w:val="CGC2025Caption"/>
        <w:pageBreakBefore/>
      </w:pPr>
      <w:bookmarkStart w:id="5" w:name="_Ref168058950"/>
      <w:r w:rsidRPr="00F069A4">
        <w:lastRenderedPageBreak/>
        <w:t xml:space="preserve">Table </w:t>
      </w:r>
      <w:bookmarkEnd w:id="5"/>
      <w:r w:rsidR="00651B25">
        <w:t>1</w:t>
      </w:r>
      <w:r w:rsidR="00651B25">
        <w:tab/>
      </w:r>
      <w:r w:rsidRPr="00F069A4">
        <w:tab/>
      </w:r>
      <w:r w:rsidR="00F14177" w:rsidRPr="00F069A4">
        <w:t>Transport</w:t>
      </w:r>
      <w:r w:rsidR="007876E4" w:rsidRPr="00F069A4">
        <w:t xml:space="preserve"> expen</w:t>
      </w:r>
      <w:r w:rsidR="002C5698" w:rsidRPr="00F069A4">
        <w:t>ses</w:t>
      </w:r>
      <w:r w:rsidR="00311829">
        <w:t xml:space="preserve"> by component</w:t>
      </w:r>
      <w:r w:rsidR="007876E4" w:rsidRPr="00F069A4">
        <w:t>, 2</w:t>
      </w:r>
      <w:r w:rsidR="7618AB34" w:rsidRPr="00F069A4">
        <w:t>022</w:t>
      </w:r>
      <w:r w:rsidR="000B0891">
        <w:rPr>
          <w:rFonts w:eastAsia="Work Sans" w:cs="Work Sans"/>
          <w:szCs w:val="20"/>
        </w:rPr>
        <w:t>–</w:t>
      </w:r>
      <w:r w:rsidR="7618AB34" w:rsidRPr="00F069A4">
        <w:t>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6086"/>
        <w:gridCol w:w="1426"/>
        <w:gridCol w:w="1430"/>
      </w:tblGrid>
      <w:tr w:rsidR="00950BC6" w:rsidRPr="00950BC6" w14:paraId="3B7FFFEA" w14:textId="77777777" w:rsidTr="00950BC6">
        <w:trPr>
          <w:trHeight w:val="3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FE19747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6" w:name="_Ref138159738"/>
            <w:r w:rsidRPr="00950BC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7C754FB6" w14:textId="77777777" w:rsidR="00950BC6" w:rsidRPr="00950BC6" w:rsidRDefault="00950BC6" w:rsidP="00032245">
            <w:pPr>
              <w:tabs>
                <w:tab w:val="clear" w:pos="567"/>
              </w:tabs>
              <w:spacing w:before="0" w:line="240" w:lineRule="auto"/>
              <w:ind w:left="1412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2022-23</w:t>
            </w:r>
          </w:p>
        </w:tc>
      </w:tr>
      <w:tr w:rsidR="00950BC6" w:rsidRPr="00950BC6" w14:paraId="7EF53150" w14:textId="77777777" w:rsidTr="00950BC6">
        <w:trPr>
          <w:trHeight w:val="26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38898528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0EC61E82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18D25EF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950BC6" w:rsidRPr="00950BC6" w14:paraId="08AAD62C" w14:textId="77777777" w:rsidTr="00950BC6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1D50F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Urban transport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751D3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604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B0064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15,899</w:t>
            </w:r>
          </w:p>
        </w:tc>
      </w:tr>
      <w:tr w:rsidR="00950BC6" w:rsidRPr="00950BC6" w14:paraId="52D874CD" w14:textId="77777777" w:rsidTr="00950BC6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1CE7014C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Non-urban transport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973A2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60272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1,700</w:t>
            </w:r>
          </w:p>
        </w:tc>
      </w:tr>
      <w:tr w:rsidR="00950BC6" w:rsidRPr="00950BC6" w14:paraId="6E93B9E6" w14:textId="77777777" w:rsidTr="00950BC6">
        <w:trPr>
          <w:trHeight w:val="32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505CED1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ADBF972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3FD7C3B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17,599</w:t>
            </w:r>
          </w:p>
        </w:tc>
      </w:tr>
      <w:tr w:rsidR="00950BC6" w:rsidRPr="00950BC6" w14:paraId="77D98D21" w14:textId="77777777" w:rsidTr="00950BC6">
        <w:trPr>
          <w:trHeight w:val="315"/>
        </w:trPr>
        <w:tc>
          <w:tcPr>
            <w:tcW w:w="64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44F9DEC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expenses (%)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D6A39D4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F3964B7" w14:textId="77777777" w:rsidR="00950BC6" w:rsidRPr="00950BC6" w:rsidRDefault="00950BC6" w:rsidP="00950BC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50BC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5.7</w:t>
            </w:r>
          </w:p>
        </w:tc>
      </w:tr>
    </w:tbl>
    <w:p w14:paraId="69FE80D4" w14:textId="6F1A18AC" w:rsidR="007876E4" w:rsidRPr="000344F5" w:rsidRDefault="007876E4" w:rsidP="00692063">
      <w:pPr>
        <w:pStyle w:val="CGC2025Caption"/>
        <w:keepNext/>
        <w:tabs>
          <w:tab w:val="left" w:pos="1418"/>
        </w:tabs>
      </w:pPr>
      <w:r w:rsidRPr="00F069A4">
        <w:t xml:space="preserve">Table </w:t>
      </w:r>
      <w:bookmarkEnd w:id="6"/>
      <w:r w:rsidR="00651B25">
        <w:t>2</w:t>
      </w:r>
      <w:r w:rsidRPr="00F069A4">
        <w:tab/>
      </w:r>
      <w:r w:rsidR="00F14177" w:rsidRPr="00F069A4">
        <w:t>Transport</w:t>
      </w:r>
      <w:r w:rsidRPr="00F069A4">
        <w:t xml:space="preserve"> expen</w:t>
      </w:r>
      <w:r w:rsidR="002C5698" w:rsidRPr="00F069A4">
        <w:t>ses</w:t>
      </w:r>
      <w:r>
        <w:t xml:space="preserve"> by state, </w:t>
      </w:r>
      <w:r w:rsidR="7DE5F48B">
        <w:t>2022</w:t>
      </w:r>
      <w:r w:rsidR="00F16281">
        <w:rPr>
          <w:rFonts w:eastAsia="Work Sans" w:cs="Work Sans"/>
          <w:szCs w:val="20"/>
        </w:rPr>
        <w:t>–</w:t>
      </w:r>
      <w:r w:rsidR="7DE5F48B">
        <w:t>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235"/>
        <w:gridCol w:w="635"/>
        <w:gridCol w:w="636"/>
        <w:gridCol w:w="636"/>
        <w:gridCol w:w="636"/>
        <w:gridCol w:w="613"/>
        <w:gridCol w:w="613"/>
        <w:gridCol w:w="617"/>
        <w:gridCol w:w="613"/>
        <w:gridCol w:w="708"/>
      </w:tblGrid>
      <w:tr w:rsidR="008C0449" w:rsidRPr="008C0449" w14:paraId="00DF9D68" w14:textId="77777777" w:rsidTr="008C0449">
        <w:trPr>
          <w:trHeight w:val="3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04930A3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2DBAF7C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0E812D2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226D5E8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6E91A65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7A66AEF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6612F49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95FE2E7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E909A87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C84E205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8C0449" w:rsidRPr="008C0449" w14:paraId="3ADC551C" w14:textId="77777777" w:rsidTr="008C0449">
        <w:trPr>
          <w:trHeight w:val="300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64C1E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Transport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2CA42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7,527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5FD29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4,594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DF269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2,827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98680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1,536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9CCF8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744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91238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CDD29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D6088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D3E4F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17,599</w:t>
            </w:r>
          </w:p>
        </w:tc>
      </w:tr>
      <w:tr w:rsidR="008C0449" w:rsidRPr="008C0449" w14:paraId="263945C0" w14:textId="77777777" w:rsidTr="008C0449">
        <w:trPr>
          <w:trHeight w:val="290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9E91E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Transport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0E47D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913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A58EB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684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1EA1D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F43F6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542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EFDA6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405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59582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187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56BA7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482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FADD2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C4E6C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669</w:t>
            </w:r>
          </w:p>
        </w:tc>
      </w:tr>
      <w:tr w:rsidR="008C0449" w:rsidRPr="008C0449" w14:paraId="5AEBD2A8" w14:textId="77777777" w:rsidTr="008C0449">
        <w:trPr>
          <w:trHeight w:val="29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E359948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expenses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9466ABF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7.6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D7A0A83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DF2175C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B77011C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F725D1A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16A5E53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8B1729D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A86D06C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0F67B7B" w14:textId="77777777" w:rsidR="008C0449" w:rsidRPr="008C0449" w:rsidRDefault="008C0449" w:rsidP="008C044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C04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5.7</w:t>
            </w:r>
          </w:p>
        </w:tc>
      </w:tr>
    </w:tbl>
    <w:p w14:paraId="69E1D721" w14:textId="3B1FA404" w:rsidR="007876E4" w:rsidRPr="004B7D11" w:rsidRDefault="007876E4" w:rsidP="009742C4">
      <w:pPr>
        <w:pStyle w:val="Heading2"/>
      </w:pPr>
      <w:r>
        <w:t xml:space="preserve">Structure </w:t>
      </w:r>
      <w:r w:rsidR="002B1917">
        <w:t>of assessment</w:t>
      </w:r>
    </w:p>
    <w:p w14:paraId="18070E2B" w14:textId="12D6EFBA" w:rsidR="007876E4" w:rsidRPr="00D4306E" w:rsidRDefault="000C21BB" w:rsidP="00D4306E">
      <w:pPr>
        <w:pStyle w:val="CGCNumberedPara"/>
        <w:rPr>
          <w:rFonts w:ascii="Work Sans" w:hAnsi="Work Sans"/>
          <w:sz w:val="20"/>
          <w:szCs w:val="20"/>
        </w:rPr>
      </w:pPr>
      <w:bookmarkStart w:id="7" w:name="_Hlk189480512"/>
      <w:r w:rsidRPr="00BD24F8">
        <w:rPr>
          <w:rFonts w:ascii="Work Sans" w:hAnsi="Work Sans"/>
          <w:sz w:val="20"/>
          <w:szCs w:val="20"/>
        </w:rPr>
        <w:t xml:space="preserve">The </w:t>
      </w:r>
      <w:r w:rsidR="00F14177" w:rsidRPr="00BD24F8">
        <w:rPr>
          <w:rFonts w:ascii="Work Sans" w:hAnsi="Work Sans"/>
          <w:sz w:val="20"/>
          <w:szCs w:val="20"/>
        </w:rPr>
        <w:t>transport</w:t>
      </w:r>
      <w:r w:rsidRPr="00BD24F8">
        <w:rPr>
          <w:rFonts w:ascii="Work Sans" w:hAnsi="Work Sans"/>
          <w:sz w:val="20"/>
          <w:szCs w:val="20"/>
        </w:rPr>
        <w:t xml:space="preserve"> assessment </w:t>
      </w:r>
      <w:r w:rsidR="00893AF4">
        <w:rPr>
          <w:rFonts w:ascii="Work Sans" w:hAnsi="Work Sans"/>
          <w:sz w:val="20"/>
          <w:szCs w:val="20"/>
        </w:rPr>
        <w:t>comprises</w:t>
      </w:r>
      <w:r w:rsidR="00D0650A" w:rsidRPr="00BD24F8">
        <w:rPr>
          <w:rFonts w:ascii="Work Sans" w:hAnsi="Work Sans"/>
          <w:sz w:val="20"/>
          <w:szCs w:val="20"/>
        </w:rPr>
        <w:t xml:space="preserve"> </w:t>
      </w:r>
      <w:r w:rsidR="00BD24F8" w:rsidRPr="00BD24F8">
        <w:rPr>
          <w:rFonts w:ascii="Work Sans" w:hAnsi="Work Sans"/>
          <w:sz w:val="20"/>
          <w:szCs w:val="20"/>
        </w:rPr>
        <w:t>2</w:t>
      </w:r>
      <w:r w:rsidR="00D0650A" w:rsidRPr="00BD24F8">
        <w:rPr>
          <w:rFonts w:ascii="Work Sans" w:hAnsi="Work Sans"/>
          <w:sz w:val="20"/>
          <w:szCs w:val="20"/>
        </w:rPr>
        <w:t xml:space="preserve"> components</w:t>
      </w:r>
      <w:r w:rsidR="00204023">
        <w:rPr>
          <w:rFonts w:ascii="Work Sans" w:hAnsi="Work Sans"/>
          <w:sz w:val="20"/>
          <w:szCs w:val="20"/>
        </w:rPr>
        <w:t>:</w:t>
      </w:r>
      <w:r w:rsidR="43E3A343" w:rsidRPr="00BD24F8">
        <w:rPr>
          <w:rFonts w:ascii="Work Sans" w:hAnsi="Work Sans"/>
          <w:sz w:val="20"/>
          <w:szCs w:val="20"/>
        </w:rPr>
        <w:t xml:space="preserve"> urban and non-urban transport</w:t>
      </w:r>
      <w:r w:rsidR="00BD24F8" w:rsidRPr="00BD24F8">
        <w:rPr>
          <w:rFonts w:ascii="Work Sans" w:hAnsi="Work Sans"/>
          <w:sz w:val="20"/>
          <w:szCs w:val="20"/>
        </w:rPr>
        <w:t>.</w:t>
      </w:r>
      <w:r w:rsidR="007876E4" w:rsidRPr="00D4306E">
        <w:rPr>
          <w:rFonts w:ascii="Work Sans" w:hAnsi="Work Sans"/>
          <w:sz w:val="20"/>
          <w:szCs w:val="20"/>
        </w:rPr>
        <w:t xml:space="preserve"> </w:t>
      </w:r>
      <w:r w:rsidR="007F283A">
        <w:rPr>
          <w:rFonts w:ascii="Work Sans" w:hAnsi="Work Sans"/>
          <w:sz w:val="20"/>
          <w:szCs w:val="20"/>
        </w:rPr>
        <w:t>Table 3</w:t>
      </w:r>
      <w:r w:rsidR="003E476B">
        <w:rPr>
          <w:rFonts w:ascii="Work Sans" w:hAnsi="Work Sans"/>
          <w:sz w:val="20"/>
          <w:szCs w:val="20"/>
        </w:rPr>
        <w:t xml:space="preserve"> </w:t>
      </w:r>
      <w:r w:rsidR="007876E4" w:rsidRPr="00D4306E">
        <w:rPr>
          <w:rFonts w:ascii="Work Sans" w:hAnsi="Work Sans"/>
          <w:sz w:val="20"/>
          <w:szCs w:val="20"/>
        </w:rPr>
        <w:t>outlines the drivers that influence</w:t>
      </w:r>
      <w:r w:rsidR="00996E48">
        <w:rPr>
          <w:rFonts w:ascii="Work Sans" w:hAnsi="Work Sans"/>
          <w:sz w:val="20"/>
          <w:szCs w:val="20"/>
        </w:rPr>
        <w:t xml:space="preserve"> spending needs in</w:t>
      </w:r>
      <w:r w:rsidR="007876E4" w:rsidRPr="00D4306E">
        <w:rPr>
          <w:rFonts w:ascii="Work Sans" w:hAnsi="Work Sans"/>
          <w:sz w:val="20"/>
          <w:szCs w:val="20"/>
        </w:rPr>
        <w:t xml:space="preserve"> eac</w:t>
      </w:r>
      <w:r w:rsidR="00BA07B6">
        <w:rPr>
          <w:rFonts w:ascii="Work Sans" w:hAnsi="Work Sans"/>
          <w:sz w:val="20"/>
          <w:szCs w:val="20"/>
        </w:rPr>
        <w:t>h component.</w:t>
      </w:r>
      <w:r w:rsidR="00DD1BE2">
        <w:rPr>
          <w:rFonts w:ascii="Work Sans" w:hAnsi="Work Sans"/>
          <w:sz w:val="20"/>
          <w:szCs w:val="20"/>
        </w:rPr>
        <w:t xml:space="preserve"> </w:t>
      </w:r>
    </w:p>
    <w:p w14:paraId="61B757CB" w14:textId="1E2416BA" w:rsidR="007876E4" w:rsidRDefault="007876E4" w:rsidP="006D3AB6">
      <w:pPr>
        <w:pStyle w:val="CGC2025Caption"/>
        <w:keepNext/>
        <w:tabs>
          <w:tab w:val="left" w:pos="1418"/>
        </w:tabs>
      </w:pPr>
      <w:bookmarkStart w:id="8" w:name="_Ref138159755"/>
      <w:bookmarkEnd w:id="7"/>
      <w:r>
        <w:t xml:space="preserve">Table </w:t>
      </w:r>
      <w:bookmarkEnd w:id="8"/>
      <w:r w:rsidR="00651B25">
        <w:t>3</w:t>
      </w:r>
      <w:r>
        <w:tab/>
      </w:r>
      <w:r w:rsidR="00D56AFE">
        <w:t xml:space="preserve">Structure of the </w:t>
      </w:r>
      <w:r w:rsidR="00F14177">
        <w:t>transport</w:t>
      </w:r>
      <w:r w:rsidR="004D7977">
        <w:t xml:space="preserve"> assessment 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353"/>
        <w:gridCol w:w="263"/>
        <w:gridCol w:w="1928"/>
        <w:gridCol w:w="5387"/>
      </w:tblGrid>
      <w:tr w:rsidR="007876E4" w:rsidRPr="0049472B" w14:paraId="38602051" w14:textId="77777777" w:rsidTr="008664FE">
        <w:trPr>
          <w:trHeight w:val="418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51AFEE39" w14:textId="77777777" w:rsidR="007876E4" w:rsidRPr="00692063" w:rsidRDefault="007876E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6552D4A0" w14:textId="77777777" w:rsidR="007876E4" w:rsidRPr="00692063" w:rsidRDefault="007876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35B3E8C0" w14:textId="77777777" w:rsidR="007876E4" w:rsidRPr="00692063" w:rsidRDefault="007876E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51F4D36F" w14:textId="77777777" w:rsidR="007876E4" w:rsidRPr="00692063" w:rsidRDefault="007876E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</w:tr>
      <w:tr w:rsidR="007876E4" w:rsidRPr="0049472B" w14:paraId="798D6C71" w14:textId="77777777" w:rsidTr="008664FE">
        <w:trPr>
          <w:trHeight w:val="141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B6D5E4"/>
            <w:vAlign w:val="center"/>
            <w:hideMark/>
          </w:tcPr>
          <w:p w14:paraId="5AC498D8" w14:textId="77777777" w:rsidR="007876E4" w:rsidRPr="0049472B" w:rsidRDefault="007876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4947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9472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B6D5E4"/>
            <w:vAlign w:val="center"/>
          </w:tcPr>
          <w:p w14:paraId="43287301" w14:textId="77777777" w:rsidR="007876E4" w:rsidRPr="0049472B" w:rsidRDefault="007876E4">
            <w:pPr>
              <w:tabs>
                <w:tab w:val="clear" w:pos="567"/>
              </w:tabs>
              <w:spacing w:before="0" w:line="240" w:lineRule="auto"/>
              <w:jc w:val="center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B6D5E4"/>
            <w:vAlign w:val="center"/>
            <w:hideMark/>
          </w:tcPr>
          <w:p w14:paraId="01D0D3B8" w14:textId="77777777" w:rsidR="007876E4" w:rsidRPr="0049472B" w:rsidRDefault="007876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4947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9472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B6D5E4"/>
            <w:vAlign w:val="center"/>
            <w:hideMark/>
          </w:tcPr>
          <w:p w14:paraId="4356F1F7" w14:textId="77777777" w:rsidR="007876E4" w:rsidRPr="0049472B" w:rsidRDefault="007876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4947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9472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2C3A2F" w:rsidRPr="0049472B" w14:paraId="4C3E4597" w14:textId="77777777" w:rsidTr="008664FE">
        <w:trPr>
          <w:trHeight w:val="914"/>
        </w:trPr>
        <w:tc>
          <w:tcPr>
            <w:tcW w:w="1353" w:type="dxa"/>
            <w:vMerge w:val="restart"/>
            <w:tcBorders>
              <w:top w:val="single" w:sz="4" w:space="0" w:color="ADD6EA"/>
              <w:left w:val="nil"/>
              <w:right w:val="nil"/>
            </w:tcBorders>
            <w:shd w:val="clear" w:color="auto" w:fill="auto"/>
            <w:hideMark/>
          </w:tcPr>
          <w:p w14:paraId="5D2D8446" w14:textId="4C7D95F8" w:rsidR="002C3A2F" w:rsidRPr="00BE5622" w:rsidRDefault="00F03B75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E762B1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U</w:t>
            </w:r>
            <w:r w:rsidR="002C3A2F" w:rsidRPr="00E762B1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rban transport</w:t>
            </w:r>
            <w:r w:rsidRPr="00E762B1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 xml:space="preserve"> </w:t>
            </w:r>
          </w:p>
          <w:p w14:paraId="38F0A2CB" w14:textId="77777777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  <w:r>
              <w:rPr>
                <w:rStyle w:val="eop"/>
                <w:rFonts w:cs="Open Sans Light"/>
                <w:color w:val="000000"/>
                <w:sz w:val="16"/>
                <w:szCs w:val="16"/>
              </w:rPr>
              <w:t> </w:t>
            </w:r>
          </w:p>
          <w:p w14:paraId="360D0E20" w14:textId="77777777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  <w:r>
              <w:rPr>
                <w:rStyle w:val="eop"/>
                <w:rFonts w:cs="Open Sans Light"/>
                <w:color w:val="000000"/>
                <w:sz w:val="16"/>
                <w:szCs w:val="16"/>
              </w:rPr>
              <w:t> </w:t>
            </w:r>
          </w:p>
          <w:p w14:paraId="4186287B" w14:textId="51D35729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  <w:r>
              <w:rPr>
                <w:rStyle w:val="eop"/>
                <w:rFonts w:cs="Open Sans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D338" w14:textId="4AFDF9E2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8"/>
                <w:szCs w:val="18"/>
                <w:lang w:eastAsia="en-AU"/>
              </w:rPr>
            </w:pPr>
            <w:r>
              <w:rPr>
                <w:rStyle w:val="eop"/>
                <w:rFonts w:cs="Open Sans Light"/>
                <w:sz w:val="18"/>
                <w:szCs w:val="18"/>
              </w:rPr>
              <w:t> </w:t>
            </w:r>
          </w:p>
        </w:tc>
        <w:tc>
          <w:tcPr>
            <w:tcW w:w="192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7072F1B1" w14:textId="480DF217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highlight w:val="yellow"/>
                <w:lang w:eastAsia="en-AU"/>
              </w:rPr>
            </w:pPr>
            <w:r>
              <w:rPr>
                <w:rStyle w:val="normaltextrun"/>
                <w:rFonts w:cs="Open Sans Light"/>
                <w:sz w:val="16"/>
                <w:szCs w:val="16"/>
              </w:rPr>
              <w:t xml:space="preserve">Urban </w:t>
            </w:r>
            <w:r>
              <w:rPr>
                <w:rFonts w:cs="Open Sans Light"/>
                <w:sz w:val="16"/>
                <w:szCs w:val="16"/>
              </w:rPr>
              <w:t>c</w:t>
            </w:r>
            <w:r>
              <w:rPr>
                <w:rStyle w:val="normaltextrun"/>
                <w:rFonts w:cs="Open Sans Light"/>
                <w:sz w:val="16"/>
                <w:szCs w:val="16"/>
              </w:rPr>
              <w:t>entre characteristics</w:t>
            </w:r>
          </w:p>
        </w:tc>
        <w:tc>
          <w:tcPr>
            <w:tcW w:w="538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04AF1827" w14:textId="1FB33923" w:rsidR="002C3A2F" w:rsidRPr="000B3B45" w:rsidRDefault="00A01697" w:rsidP="000B3B45">
            <w:pPr>
              <w:pStyle w:val="paragraph"/>
              <w:spacing w:before="0" w:beforeAutospacing="0" w:after="0" w:afterAutospacing="0"/>
              <w:textAlignment w:val="baseline"/>
              <w:divId w:val="8605126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 Light" w:hAnsi="Open Sans Light" w:cs="Open Sans Light"/>
                <w:color w:val="000000"/>
                <w:sz w:val="16"/>
                <w:szCs w:val="16"/>
              </w:rPr>
              <w:t>P</w:t>
            </w:r>
            <w:r w:rsidR="002C3A2F">
              <w:rPr>
                <w:rStyle w:val="normaltextrun"/>
                <w:rFonts w:ascii="Open Sans Light" w:hAnsi="Open Sans Light" w:cs="Open Sans Light"/>
                <w:color w:val="000000"/>
                <w:sz w:val="16"/>
                <w:szCs w:val="16"/>
              </w:rPr>
              <w:t>opulation</w:t>
            </w:r>
            <w:r w:rsidR="00F16281">
              <w:rPr>
                <w:rStyle w:val="normaltextrun"/>
                <w:rFonts w:ascii="Open Sans Light" w:hAnsi="Open Sans Light" w:cs="Open Sans Light"/>
                <w:color w:val="000000"/>
                <w:sz w:val="16"/>
                <w:szCs w:val="16"/>
              </w:rPr>
              <w:t>-</w:t>
            </w:r>
            <w:r w:rsidR="002C3A2F">
              <w:rPr>
                <w:rStyle w:val="normaltextrun"/>
                <w:rFonts w:ascii="Open Sans Light" w:hAnsi="Open Sans Light" w:cs="Open Sans Light"/>
                <w:color w:val="000000"/>
                <w:sz w:val="16"/>
                <w:szCs w:val="16"/>
              </w:rPr>
              <w:t>weighted density, use and presence of public transport mode</w:t>
            </w:r>
            <w:r>
              <w:rPr>
                <w:rStyle w:val="normaltextrun"/>
                <w:rFonts w:ascii="Open Sans Light" w:hAnsi="Open Sans Light" w:cs="Open Sans Light"/>
                <w:color w:val="000000"/>
                <w:sz w:val="16"/>
                <w:szCs w:val="16"/>
              </w:rPr>
              <w:t>s</w:t>
            </w:r>
            <w:r w:rsidR="002C3A2F">
              <w:rPr>
                <w:rStyle w:val="normaltextrun"/>
                <w:rFonts w:ascii="Open Sans Light" w:hAnsi="Open Sans Light" w:cs="Open Sans Light"/>
                <w:color w:val="000000"/>
                <w:sz w:val="16"/>
                <w:szCs w:val="16"/>
              </w:rPr>
              <w:t>, distance to work and topography</w:t>
            </w:r>
            <w:r>
              <w:rPr>
                <w:rStyle w:val="normaltextrun"/>
                <w:rFonts w:ascii="Open Sans Light" w:hAnsi="Open Sans Light" w:cs="Open Sans Light"/>
                <w:color w:val="000000"/>
                <w:sz w:val="16"/>
                <w:szCs w:val="16"/>
              </w:rPr>
              <w:t xml:space="preserve"> influence the use and cost of services.</w:t>
            </w:r>
          </w:p>
        </w:tc>
      </w:tr>
      <w:tr w:rsidR="002C3A2F" w:rsidRPr="0049472B" w14:paraId="66368C53" w14:textId="77777777" w:rsidTr="008664FE">
        <w:trPr>
          <w:trHeight w:val="476"/>
        </w:trPr>
        <w:tc>
          <w:tcPr>
            <w:tcW w:w="1353" w:type="dxa"/>
            <w:vMerge/>
            <w:hideMark/>
          </w:tcPr>
          <w:p w14:paraId="0C009F41" w14:textId="77777777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A3B96" w14:textId="2C38BEDF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lang w:eastAsia="en-AU"/>
              </w:rPr>
            </w:pPr>
            <w:r>
              <w:rPr>
                <w:rStyle w:val="eop"/>
                <w:rFonts w:cs="Open Sans Light"/>
                <w:sz w:val="18"/>
                <w:szCs w:val="18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4AFC9B18" w14:textId="38269C06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highlight w:val="yellow"/>
                <w:lang w:eastAsia="en-AU"/>
              </w:rPr>
            </w:pP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Urban population</w:t>
            </w:r>
            <w:r>
              <w:rPr>
                <w:rStyle w:val="eop"/>
                <w:rFonts w:cs="Open Sans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57D6CAFF" w14:textId="6C1810C1" w:rsidR="002C3A2F" w:rsidRPr="00BE5622" w:rsidRDefault="00125C98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highlight w:val="yellow"/>
                <w:lang w:eastAsia="en-AU"/>
              </w:rPr>
            </w:pP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U</w:t>
            </w:r>
            <w:r w:rsidR="002C3A2F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rban transport services vary by the share of the state populati</w:t>
            </w:r>
            <w:r w:rsidR="002C3A2F">
              <w:rPr>
                <w:rFonts w:cs="Open Sans Light"/>
                <w:color w:val="000000"/>
                <w:sz w:val="16"/>
                <w:szCs w:val="16"/>
              </w:rPr>
              <w:t>on li</w:t>
            </w:r>
            <w:r w:rsidR="002C3A2F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v</w:t>
            </w:r>
            <w:r w:rsidR="002C3A2F">
              <w:rPr>
                <w:rFonts w:cs="Open Sans Light"/>
                <w:color w:val="000000"/>
                <w:sz w:val="16"/>
                <w:szCs w:val="16"/>
              </w:rPr>
              <w:t>i</w:t>
            </w:r>
            <w:r w:rsidR="002C3A2F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ng in urban are</w:t>
            </w:r>
            <w:r w:rsidR="002C3A2F">
              <w:rPr>
                <w:rFonts w:cs="Open Sans Light"/>
                <w:color w:val="000000"/>
                <w:sz w:val="16"/>
                <w:szCs w:val="16"/>
              </w:rPr>
              <w:t>a</w:t>
            </w:r>
            <w:r w:rsidR="002C3A2F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s</w:t>
            </w:r>
            <w:r w:rsidR="00C05C29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.</w:t>
            </w:r>
          </w:p>
        </w:tc>
      </w:tr>
      <w:tr w:rsidR="002C3A2F" w:rsidRPr="0049472B" w14:paraId="5491B2AC" w14:textId="77777777" w:rsidTr="008664FE">
        <w:trPr>
          <w:trHeight w:val="271"/>
        </w:trPr>
        <w:tc>
          <w:tcPr>
            <w:tcW w:w="1353" w:type="dxa"/>
            <w:vMerge/>
            <w:hideMark/>
          </w:tcPr>
          <w:p w14:paraId="55B23760" w14:textId="77777777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10334F1" w14:textId="5299DD7D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lang w:eastAsia="en-AU"/>
              </w:rPr>
            </w:pPr>
            <w:r>
              <w:rPr>
                <w:rStyle w:val="eop"/>
                <w:rFonts w:cs="Open Sans Light"/>
                <w:sz w:val="18"/>
                <w:szCs w:val="18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6312DDF0" w14:textId="174C59B0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highlight w:val="yellow"/>
                <w:lang w:eastAsia="en-AU"/>
              </w:rPr>
            </w:pP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 xml:space="preserve">Wage costs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65D9189A" w14:textId="7D3D78B8" w:rsidR="00101D6A" w:rsidRPr="00101D6A" w:rsidRDefault="003C08C5" w:rsidP="002C3A2F">
            <w:pPr>
              <w:tabs>
                <w:tab w:val="clear" w:pos="567"/>
              </w:tabs>
              <w:spacing w:before="0" w:line="240" w:lineRule="auto"/>
              <w:rPr>
                <w:rFonts w:cs="Open Sans Light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D</w:t>
            </w:r>
            <w:r w:rsidR="002C3A2F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ifferences in wag</w:t>
            </w:r>
            <w:r w:rsidR="002C3A2F">
              <w:rPr>
                <w:rFonts w:cs="Open Sans Light"/>
                <w:color w:val="000000"/>
                <w:sz w:val="16"/>
                <w:szCs w:val="16"/>
              </w:rPr>
              <w:t>e costs between states</w:t>
            </w:r>
            <w:r>
              <w:rPr>
                <w:rFonts w:cs="Open Sans Light"/>
                <w:color w:val="000000"/>
                <w:sz w:val="16"/>
                <w:szCs w:val="16"/>
              </w:rPr>
              <w:t xml:space="preserve"> affect costs. </w:t>
            </w:r>
          </w:p>
        </w:tc>
      </w:tr>
      <w:tr w:rsidR="002C3A2F" w:rsidRPr="0049472B" w14:paraId="2EBF014A" w14:textId="77777777" w:rsidTr="008664FE">
        <w:trPr>
          <w:trHeight w:val="554"/>
        </w:trPr>
        <w:tc>
          <w:tcPr>
            <w:tcW w:w="1353" w:type="dxa"/>
            <w:vMerge w:val="restart"/>
            <w:tcBorders>
              <w:top w:val="single" w:sz="4" w:space="0" w:color="ADD6EA"/>
              <w:left w:val="nil"/>
              <w:right w:val="nil"/>
            </w:tcBorders>
            <w:shd w:val="clear" w:color="auto" w:fill="auto"/>
          </w:tcPr>
          <w:p w14:paraId="2AA48FFA" w14:textId="432455D7" w:rsidR="002C3A2F" w:rsidRPr="002A382F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E762B1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Non-urban transport</w:t>
            </w:r>
            <w:r w:rsidRPr="002A382F">
              <w:rPr>
                <w:rStyle w:val="eop"/>
                <w:rFonts w:cs="Open Sans Light"/>
                <w:color w:val="000000"/>
                <w:sz w:val="16"/>
                <w:szCs w:val="16"/>
              </w:rPr>
              <w:t> </w:t>
            </w:r>
          </w:p>
          <w:p w14:paraId="358F6862" w14:textId="77777777" w:rsidR="002C3A2F" w:rsidRPr="002A382F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63" w:type="dxa"/>
            <w:tcBorders>
              <w:top w:val="single" w:sz="4" w:space="0" w:color="ADD6EA"/>
              <w:left w:val="nil"/>
              <w:right w:val="nil"/>
            </w:tcBorders>
            <w:shd w:val="clear" w:color="auto" w:fill="auto"/>
            <w:vAlign w:val="bottom"/>
          </w:tcPr>
          <w:p w14:paraId="59A43797" w14:textId="12906D71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lang w:eastAsia="en-AU"/>
              </w:rPr>
            </w:pPr>
            <w:r>
              <w:rPr>
                <w:rStyle w:val="eop"/>
                <w:rFonts w:cs="Open Sans Light"/>
                <w:sz w:val="18"/>
                <w:szCs w:val="18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</w:tcPr>
          <w:p w14:paraId="0BF59159" w14:textId="72F46743" w:rsidR="002C3A2F" w:rsidRDefault="00EA3A30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highlight w:val="yellow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Equal per capita</w:t>
            </w:r>
            <w:r w:rsidRPr="009147F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</w:tcPr>
          <w:p w14:paraId="66D5AF9D" w14:textId="15238B78" w:rsidR="002C3A2F" w:rsidRPr="00BE5622" w:rsidRDefault="00920640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highlight w:val="yellow"/>
                <w:lang w:eastAsia="en-AU"/>
              </w:rPr>
            </w:pP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 xml:space="preserve">Population drives the use and cost of services. </w:t>
            </w:r>
            <w:r w:rsidR="002C3A2F">
              <w:rPr>
                <w:rFonts w:cs="Open Sans Light"/>
                <w:color w:val="000000"/>
                <w:sz w:val="16"/>
                <w:szCs w:val="16"/>
              </w:rPr>
              <w:t> </w:t>
            </w:r>
          </w:p>
        </w:tc>
      </w:tr>
      <w:tr w:rsidR="002C3A2F" w:rsidRPr="0049472B" w14:paraId="047145FE" w14:textId="77777777" w:rsidTr="008664FE">
        <w:trPr>
          <w:trHeight w:val="213"/>
        </w:trPr>
        <w:tc>
          <w:tcPr>
            <w:tcW w:w="1353" w:type="dxa"/>
            <w:vMerge/>
          </w:tcPr>
          <w:p w14:paraId="4CE6B072" w14:textId="77777777" w:rsidR="002C3A2F" w:rsidRPr="002E6F6D" w:rsidRDefault="002C3A2F" w:rsidP="002C3A2F">
            <w:pPr>
              <w:tabs>
                <w:tab w:val="clear" w:pos="567"/>
              </w:tabs>
              <w:spacing w:before="0" w:line="240" w:lineRule="auto"/>
              <w:rPr>
                <w:rStyle w:val="normaltextrun"/>
              </w:rPr>
            </w:pPr>
          </w:p>
        </w:tc>
        <w:tc>
          <w:tcPr>
            <w:tcW w:w="263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</w:tcPr>
          <w:p w14:paraId="490BED57" w14:textId="33C3B30F" w:rsidR="002C3A2F" w:rsidRPr="00BE5622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lang w:eastAsia="en-AU"/>
              </w:rPr>
            </w:pPr>
            <w:r>
              <w:rPr>
                <w:rStyle w:val="eop"/>
                <w:rFonts w:cs="Open Sans Light"/>
                <w:sz w:val="18"/>
                <w:szCs w:val="18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</w:tcPr>
          <w:p w14:paraId="699CF9F8" w14:textId="443E3A53" w:rsidR="002C3A2F" w:rsidRDefault="002C3A2F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highlight w:val="yellow"/>
                <w:lang w:eastAsia="en-AU"/>
              </w:rPr>
            </w:pP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 xml:space="preserve">Wage costs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</w:tcPr>
          <w:p w14:paraId="462E975B" w14:textId="6DB4E5F1" w:rsidR="002C3A2F" w:rsidRPr="00BE5622" w:rsidRDefault="001C164D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highlight w:val="yellow"/>
                <w:lang w:eastAsia="en-AU"/>
              </w:rPr>
            </w:pP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D</w:t>
            </w:r>
            <w:r w:rsidR="002C3A2F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 xml:space="preserve">ifferences in wage costs between states </w:t>
            </w: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affect costs.</w:t>
            </w:r>
          </w:p>
        </w:tc>
      </w:tr>
      <w:tr w:rsidR="00AC4C21" w:rsidRPr="0049472B" w14:paraId="40DB9255" w14:textId="77777777" w:rsidTr="008664FE">
        <w:trPr>
          <w:trHeight w:val="331"/>
        </w:trPr>
        <w:tc>
          <w:tcPr>
            <w:tcW w:w="1353" w:type="dxa"/>
            <w:tcBorders>
              <w:bottom w:val="single" w:sz="4" w:space="0" w:color="ADD6EA"/>
            </w:tcBorders>
          </w:tcPr>
          <w:p w14:paraId="60A65B85" w14:textId="77777777" w:rsidR="00AC4C21" w:rsidRPr="002A382F" w:rsidRDefault="00AC4C21" w:rsidP="002C3A2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63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</w:tcPr>
          <w:p w14:paraId="6911E40A" w14:textId="77777777" w:rsidR="00AC4C21" w:rsidRDefault="00AC4C21" w:rsidP="002C3A2F">
            <w:pPr>
              <w:tabs>
                <w:tab w:val="clear" w:pos="567"/>
              </w:tabs>
              <w:spacing w:before="0" w:line="240" w:lineRule="auto"/>
              <w:rPr>
                <w:rStyle w:val="eop"/>
                <w:rFonts w:cs="Open Sans Light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</w:tcPr>
          <w:p w14:paraId="6E6654F5" w14:textId="2F62B74B" w:rsidR="00AC4C21" w:rsidRDefault="00AC4C21" w:rsidP="002C3A2F">
            <w:pPr>
              <w:tabs>
                <w:tab w:val="clear" w:pos="567"/>
              </w:tabs>
              <w:spacing w:before="0" w:line="240" w:lineRule="auto"/>
              <w:rPr>
                <w:rStyle w:val="normaltextrun"/>
                <w:rFonts w:cs="Open Sans Light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Regional cost</w:t>
            </w:r>
            <w:r w:rsidR="001C164D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</w:tcPr>
          <w:p w14:paraId="66D62879" w14:textId="56EBB848" w:rsidR="00AC4C21" w:rsidRDefault="0024524D" w:rsidP="002C3A2F">
            <w:pPr>
              <w:tabs>
                <w:tab w:val="clear" w:pos="567"/>
              </w:tabs>
              <w:spacing w:before="0" w:line="240" w:lineRule="auto"/>
              <w:rPr>
                <w:rStyle w:val="normaltextrun"/>
                <w:rFonts w:cs="Open Sans Light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The cost of providing services</w:t>
            </w:r>
            <w:r w:rsidR="00C13EAA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 xml:space="preserve"> increases as </w:t>
            </w:r>
            <w:r w:rsidR="0007787A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 xml:space="preserve">the level of </w:t>
            </w:r>
            <w:r w:rsidR="00C13EAA">
              <w:rPr>
                <w:rStyle w:val="normaltextrun"/>
                <w:rFonts w:cs="Open Sans Light"/>
                <w:color w:val="000000"/>
                <w:sz w:val="16"/>
                <w:szCs w:val="16"/>
              </w:rPr>
              <w:t>remoteness increases.</w:t>
            </w:r>
          </w:p>
        </w:tc>
      </w:tr>
    </w:tbl>
    <w:p w14:paraId="7BFB7193" w14:textId="49442063" w:rsidR="007876E4" w:rsidRPr="0011698F" w:rsidRDefault="007876E4" w:rsidP="007876E4">
      <w:pPr>
        <w:pStyle w:val="CGCTablenote"/>
        <w:keepNext/>
        <w:ind w:left="0" w:firstLine="0"/>
        <w:rPr>
          <w:rFonts w:ascii="Work Sans" w:hAnsi="Work Sans"/>
        </w:rPr>
      </w:pPr>
    </w:p>
    <w:p w14:paraId="4E8740B3" w14:textId="77777777" w:rsidR="00651B25" w:rsidRDefault="00651B25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36"/>
          <w:szCs w:val="36"/>
        </w:rPr>
      </w:pPr>
      <w:r>
        <w:br w:type="page"/>
      </w:r>
    </w:p>
    <w:p w14:paraId="358DDD46" w14:textId="719DD1D1" w:rsidR="00762ED8" w:rsidRDefault="00762ED8" w:rsidP="00651B25">
      <w:pPr>
        <w:pStyle w:val="Heading2"/>
        <w:keepNext/>
      </w:pPr>
      <w:r>
        <w:lastRenderedPageBreak/>
        <w:t xml:space="preserve">Data </w:t>
      </w:r>
    </w:p>
    <w:p w14:paraId="0176390E" w14:textId="28FD5698" w:rsidR="00706065" w:rsidRPr="00CC702F" w:rsidRDefault="00762ED8" w:rsidP="00651B25">
      <w:pPr>
        <w:pStyle w:val="CGCNumberedPara"/>
        <w:keepNext/>
        <w:rPr>
          <w:rFonts w:ascii="Work Sans" w:hAnsi="Work Sans"/>
          <w:sz w:val="20"/>
          <w:szCs w:val="20"/>
        </w:rPr>
      </w:pPr>
      <w:bookmarkStart w:id="9" w:name="_Hlk173766829"/>
      <w:r w:rsidRPr="00CC702F">
        <w:rPr>
          <w:rFonts w:ascii="Work Sans" w:hAnsi="Work Sans"/>
          <w:sz w:val="20"/>
          <w:szCs w:val="20"/>
        </w:rPr>
        <w:t xml:space="preserve">The data used in the assessment are outlined in </w:t>
      </w:r>
      <w:r w:rsidR="00A71D50" w:rsidRPr="00CC702F">
        <w:rPr>
          <w:rFonts w:ascii="Work Sans" w:hAnsi="Work Sans"/>
          <w:sz w:val="20"/>
          <w:szCs w:val="20"/>
        </w:rPr>
        <w:t>Table 4</w:t>
      </w:r>
      <w:r w:rsidRPr="00CC702F">
        <w:rPr>
          <w:rFonts w:ascii="Work Sans" w:hAnsi="Work Sans"/>
          <w:sz w:val="20"/>
          <w:szCs w:val="20"/>
        </w:rPr>
        <w:t>.</w:t>
      </w:r>
      <w:bookmarkEnd w:id="9"/>
    </w:p>
    <w:p w14:paraId="3C9E16D9" w14:textId="36E96E44" w:rsidR="00A2388C" w:rsidRPr="00BD24F8" w:rsidRDefault="00A2388C" w:rsidP="00651B25">
      <w:pPr>
        <w:pStyle w:val="CGC2025ParaNumbers"/>
        <w:numPr>
          <w:ilvl w:val="0"/>
          <w:numId w:val="0"/>
        </w:numPr>
        <w:rPr>
          <w:b/>
          <w:bCs/>
        </w:rPr>
      </w:pPr>
      <w:r w:rsidRPr="00BD24F8">
        <w:rPr>
          <w:b/>
          <w:bCs/>
        </w:rPr>
        <w:t xml:space="preserve"> Table </w:t>
      </w:r>
      <w:r w:rsidR="00651B25">
        <w:rPr>
          <w:b/>
          <w:bCs/>
        </w:rPr>
        <w:t>4</w:t>
      </w:r>
      <w:r w:rsidRPr="00BD24F8">
        <w:rPr>
          <w:b/>
          <w:bCs/>
        </w:rPr>
        <w:tab/>
        <w:t>Data used in the transport assessment</w:t>
      </w:r>
    </w:p>
    <w:tbl>
      <w:tblPr>
        <w:tblStyle w:val="TableGrid"/>
        <w:tblpPr w:leftFromText="180" w:rightFromText="180" w:vertAnchor="text" w:horzAnchor="margin" w:tblpY="76"/>
        <w:tblW w:w="8942" w:type="dxa"/>
        <w:tblLayout w:type="fixed"/>
        <w:tblLook w:val="04A0" w:firstRow="1" w:lastRow="0" w:firstColumn="1" w:lastColumn="0" w:noHBand="0" w:noVBand="1"/>
      </w:tblPr>
      <w:tblGrid>
        <w:gridCol w:w="1393"/>
        <w:gridCol w:w="2235"/>
        <w:gridCol w:w="1817"/>
        <w:gridCol w:w="1258"/>
        <w:gridCol w:w="841"/>
        <w:gridCol w:w="1398"/>
      </w:tblGrid>
      <w:tr w:rsidR="008664FE" w14:paraId="0B67E3F3" w14:textId="77777777" w:rsidTr="008A6C3A">
        <w:trPr>
          <w:trHeight w:val="426"/>
        </w:trPr>
        <w:tc>
          <w:tcPr>
            <w:tcW w:w="1413" w:type="dxa"/>
            <w:vMerge w:val="restart"/>
            <w:tcBorders>
              <w:top w:val="nil"/>
              <w:left w:val="single" w:sz="4" w:space="0" w:color="ADD6EA"/>
              <w:right w:val="nil"/>
            </w:tcBorders>
            <w:shd w:val="clear" w:color="auto" w:fill="006991"/>
            <w:vAlign w:val="center"/>
          </w:tcPr>
          <w:p w14:paraId="1098671A" w14:textId="77777777" w:rsidR="001E5615" w:rsidRPr="00692063" w:rsidRDefault="001E5615" w:rsidP="00651B25">
            <w:pPr>
              <w:tabs>
                <w:tab w:val="clear" w:pos="567"/>
              </w:tabs>
              <w:spacing w:before="0" w:after="200" w:line="276" w:lineRule="auto"/>
              <w:rPr>
                <w:rFonts w:ascii="Open Sans Semibold" w:eastAsia="Times New Roman" w:hAnsi="Open Sans Semibold" w:cs="Open Sans Semibold"/>
                <w:color w:val="006991"/>
                <w:sz w:val="28"/>
                <w:szCs w:val="28"/>
              </w:rPr>
            </w:pPr>
            <w:bookmarkStart w:id="10" w:name="_Ref168059099"/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006991"/>
            <w:vAlign w:val="center"/>
          </w:tcPr>
          <w:p w14:paraId="41B81D52" w14:textId="77777777" w:rsidR="001E5615" w:rsidRPr="00692063" w:rsidRDefault="001E5615" w:rsidP="00651B25">
            <w:pPr>
              <w:tabs>
                <w:tab w:val="clear" w:pos="567"/>
              </w:tabs>
              <w:spacing w:before="0" w:after="200" w:line="276" w:lineRule="auto"/>
              <w:rPr>
                <w:rFonts w:ascii="Open Sans Semibold" w:eastAsia="Times New Roman" w:hAnsi="Open Sans Semibold" w:cs="Open Sans Semibold"/>
                <w:color w:val="006991"/>
                <w:sz w:val="28"/>
                <w:szCs w:val="28"/>
              </w:rPr>
            </w:pPr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</w:tcPr>
          <w:p w14:paraId="3B2B9E56" w14:textId="70D86754" w:rsidR="001E5615" w:rsidRPr="00692063" w:rsidRDefault="001E5615" w:rsidP="00651B25">
            <w:pPr>
              <w:tabs>
                <w:tab w:val="clear" w:pos="567"/>
              </w:tabs>
              <w:spacing w:before="0" w:after="200" w:line="276" w:lineRule="auto"/>
              <w:jc w:val="center"/>
              <w:rPr>
                <w:rFonts w:ascii="Open Sans Semibold" w:eastAsia="Times New Roman" w:hAnsi="Open Sans Semibold" w:cs="Open Sans Semibold"/>
                <w:color w:val="006991"/>
                <w:sz w:val="28"/>
                <w:szCs w:val="28"/>
              </w:rPr>
            </w:pPr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006991"/>
            <w:vAlign w:val="center"/>
          </w:tcPr>
          <w:p w14:paraId="5A87161B" w14:textId="0D6D74EF" w:rsidR="001E5615" w:rsidRPr="00692063" w:rsidRDefault="001E5615" w:rsidP="00651B25">
            <w:pPr>
              <w:tabs>
                <w:tab w:val="clear" w:pos="567"/>
              </w:tabs>
              <w:spacing w:before="0" w:after="200" w:line="276" w:lineRule="auto"/>
              <w:rPr>
                <w:rFonts w:ascii="Open Sans Semibold" w:eastAsia="Times New Roman" w:hAnsi="Open Sans Semibold" w:cs="Open Sans Semibold"/>
                <w:color w:val="006991"/>
                <w:sz w:val="28"/>
                <w:szCs w:val="28"/>
              </w:rPr>
            </w:pPr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</w:tr>
      <w:tr w:rsidR="008664FE" w14:paraId="14CE2A84" w14:textId="77777777" w:rsidTr="008A6C3A">
        <w:trPr>
          <w:trHeight w:val="315"/>
        </w:trPr>
        <w:tc>
          <w:tcPr>
            <w:tcW w:w="1413" w:type="dxa"/>
            <w:vMerge/>
            <w:tcBorders>
              <w:left w:val="single" w:sz="4" w:space="0" w:color="ADD6EA"/>
              <w:bottom w:val="single" w:sz="4" w:space="0" w:color="ADD6EA"/>
              <w:right w:val="nil"/>
            </w:tcBorders>
            <w:shd w:val="clear" w:color="auto" w:fill="006991"/>
            <w:vAlign w:val="center"/>
          </w:tcPr>
          <w:p w14:paraId="5C1E441A" w14:textId="77777777" w:rsidR="00136CDC" w:rsidRPr="00692063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102781C0" w14:textId="77777777" w:rsidR="00136CDC" w:rsidRPr="00692063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006991"/>
          </w:tcPr>
          <w:p w14:paraId="56A9503B" w14:textId="55A76BDA" w:rsidR="00136CDC" w:rsidRPr="00692063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Regression</w:t>
            </w: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3877CB17" w14:textId="3DE20FFB" w:rsidR="00136CDC" w:rsidRPr="00692063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Variables</w:t>
            </w:r>
            <w:r w:rsidR="00A1405D"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applied to coefficients</w:t>
            </w: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006991"/>
          </w:tcPr>
          <w:p w14:paraId="763FCC7B" w14:textId="4B0C7FE7" w:rsidR="00136CDC" w:rsidRPr="00692063" w:rsidRDefault="001E5615" w:rsidP="00651B25">
            <w:pPr>
              <w:tabs>
                <w:tab w:val="clear" w:pos="567"/>
              </w:tabs>
              <w:spacing w:before="0" w:after="200" w:line="276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9206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Other</w:t>
            </w: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66B6FB28" w14:textId="36550223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b/>
                <w:bCs/>
                <w:color w:val="FFFFFF"/>
                <w:sz w:val="16"/>
                <w:szCs w:val="16"/>
                <w:lang w:eastAsia="en-AU"/>
              </w:rPr>
            </w:pPr>
          </w:p>
        </w:tc>
      </w:tr>
      <w:tr w:rsidR="008664FE" w14:paraId="0660965F" w14:textId="77777777" w:rsidTr="008A6C3A">
        <w:trPr>
          <w:trHeight w:val="454"/>
        </w:trPr>
        <w:tc>
          <w:tcPr>
            <w:tcW w:w="141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434EBAEE" w14:textId="4F82F06B" w:rsidR="00136CDC" w:rsidRPr="00761931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761931">
              <w:rPr>
                <w:rFonts w:eastAsia="Times New Roman" w:cs="Open Sans Light"/>
                <w:sz w:val="16"/>
                <w:szCs w:val="16"/>
              </w:rPr>
              <w:t>States</w:t>
            </w:r>
          </w:p>
        </w:tc>
        <w:tc>
          <w:tcPr>
            <w:tcW w:w="226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3E661D6B" w14:textId="3B495E9F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Net</w:t>
            </w:r>
            <w:r w:rsidRPr="002F073A">
              <w:rPr>
                <w:rFonts w:eastAsia="Times New Roman" w:cs="Open Sans Light"/>
                <w:sz w:val="16"/>
                <w:szCs w:val="16"/>
              </w:rPr>
              <w:t xml:space="preserve"> </w:t>
            </w:r>
            <w:r>
              <w:rPr>
                <w:rFonts w:eastAsia="Times New Roman" w:cs="Open Sans Light"/>
                <w:sz w:val="16"/>
                <w:szCs w:val="16"/>
              </w:rPr>
              <w:t>e</w:t>
            </w:r>
            <w:r w:rsidRPr="002F073A">
              <w:rPr>
                <w:rFonts w:eastAsia="Times New Roman" w:cs="Open Sans Light"/>
                <w:sz w:val="16"/>
                <w:szCs w:val="16"/>
              </w:rPr>
              <w:t xml:space="preserve">xpense </w:t>
            </w:r>
            <w:r>
              <w:rPr>
                <w:rFonts w:eastAsia="Times New Roman" w:cs="Open Sans Light"/>
                <w:sz w:val="16"/>
                <w:szCs w:val="16"/>
              </w:rPr>
              <w:t>d</w:t>
            </w:r>
            <w:r w:rsidRPr="002F073A">
              <w:rPr>
                <w:rFonts w:eastAsia="Times New Roman" w:cs="Open Sans Light"/>
                <w:sz w:val="16"/>
                <w:szCs w:val="16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7872F1F" w14:textId="32A32753" w:rsidR="00136CDC" w:rsidRDefault="005F60F4" w:rsidP="00651B25">
            <w:pPr>
              <w:pStyle w:val="CGCTablerow"/>
              <w:rPr>
                <w:rFonts w:cs="Open Sans Light"/>
                <w:szCs w:val="16"/>
              </w:rPr>
            </w:pPr>
            <w:r>
              <w:rPr>
                <w:rFonts w:cs="Open Sans Light"/>
                <w:szCs w:val="16"/>
              </w:rPr>
              <w:t>5 yearly during methodology reviews</w:t>
            </w:r>
            <w:r w:rsidR="007E5736">
              <w:rPr>
                <w:rFonts w:cs="Open Sans Light"/>
                <w:szCs w:val="16"/>
              </w:rPr>
              <w:t xml:space="preserve"> </w:t>
            </w:r>
            <w:r w:rsidR="00005AA3" w:rsidRPr="00713E9B">
              <w:rPr>
                <w:color w:val="000000" w:themeColor="text1"/>
              </w:rPr>
              <w:t>(a)</w:t>
            </w: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6E836D5B" w14:textId="0FBCD776" w:rsidR="00136CDC" w:rsidRPr="002F073A" w:rsidRDefault="00136CDC" w:rsidP="00651B25">
            <w:pPr>
              <w:pStyle w:val="CGCTablerow"/>
              <w:rPr>
                <w:rFonts w:cs="Open Sans Light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6489BA2" w14:textId="77777777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430733F2" w14:textId="31BD4AC5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 xml:space="preserve">Urban </w:t>
            </w:r>
            <w:r w:rsidR="0031627A">
              <w:rPr>
                <w:rFonts w:eastAsia="Times New Roman" w:cs="Open Sans Light"/>
                <w:sz w:val="16"/>
                <w:szCs w:val="16"/>
              </w:rPr>
              <w:t>t</w:t>
            </w:r>
            <w:r>
              <w:rPr>
                <w:rFonts w:eastAsia="Times New Roman" w:cs="Open Sans Light"/>
                <w:sz w:val="16"/>
                <w:szCs w:val="16"/>
              </w:rPr>
              <w:t>ransport</w:t>
            </w:r>
          </w:p>
        </w:tc>
      </w:tr>
      <w:tr w:rsidR="008664FE" w14:paraId="7BCB0C0C" w14:textId="77777777" w:rsidTr="008A6C3A">
        <w:trPr>
          <w:trHeight w:val="503"/>
        </w:trPr>
        <w:tc>
          <w:tcPr>
            <w:tcW w:w="141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2C525BA7" w14:textId="77777777" w:rsidR="00136CDC" w:rsidRPr="00761931" w:rsidRDefault="00136CDC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761931">
              <w:rPr>
                <w:rFonts w:eastAsia="Times New Roman" w:cs="Open Sans Light"/>
                <w:sz w:val="16"/>
                <w:szCs w:val="16"/>
              </w:rPr>
              <w:t>Geoscience Australia</w:t>
            </w:r>
          </w:p>
        </w:tc>
        <w:tc>
          <w:tcPr>
            <w:tcW w:w="226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6E92F0A1" w14:textId="06DDBDB3" w:rsidR="00136CDC" w:rsidRPr="002F073A" w:rsidRDefault="00431435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 xml:space="preserve">Significant </w:t>
            </w:r>
            <w:r w:rsidR="00AA1DFC">
              <w:rPr>
                <w:rFonts w:eastAsia="Times New Roman" w:cs="Open Sans Light"/>
                <w:sz w:val="16"/>
                <w:szCs w:val="16"/>
              </w:rPr>
              <w:t>U</w:t>
            </w:r>
            <w:r>
              <w:rPr>
                <w:rFonts w:eastAsia="Times New Roman" w:cs="Open Sans Light"/>
                <w:sz w:val="16"/>
                <w:szCs w:val="16"/>
              </w:rPr>
              <w:t xml:space="preserve">rban </w:t>
            </w:r>
            <w:r w:rsidR="00AA1DFC">
              <w:rPr>
                <w:rFonts w:eastAsia="Times New Roman" w:cs="Open Sans Light"/>
                <w:sz w:val="16"/>
                <w:szCs w:val="16"/>
              </w:rPr>
              <w:t>A</w:t>
            </w:r>
            <w:r>
              <w:rPr>
                <w:rFonts w:eastAsia="Times New Roman" w:cs="Open Sans Light"/>
                <w:sz w:val="16"/>
                <w:szCs w:val="16"/>
              </w:rPr>
              <w:t xml:space="preserve">rea </w:t>
            </w:r>
            <w:r w:rsidR="00136CDC" w:rsidRPr="002F073A">
              <w:rPr>
                <w:rFonts w:eastAsia="Times New Roman" w:cs="Open Sans Light"/>
                <w:sz w:val="16"/>
                <w:szCs w:val="16"/>
              </w:rPr>
              <w:t>slope</w:t>
            </w:r>
          </w:p>
        </w:tc>
        <w:tc>
          <w:tcPr>
            <w:tcW w:w="184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71B67702" w14:textId="217FF52E" w:rsidR="00136CDC" w:rsidRDefault="000D6610" w:rsidP="00651B25">
            <w:pPr>
              <w:pStyle w:val="CGCTablerow"/>
              <w:rPr>
                <w:rFonts w:eastAsia="Times New Roman" w:cs="Open Sans Light"/>
                <w:szCs w:val="16"/>
              </w:rPr>
            </w:pPr>
            <w:r>
              <w:rPr>
                <w:rFonts w:cs="Open Sans Light"/>
                <w:szCs w:val="16"/>
              </w:rPr>
              <w:t>5 yearly during methodology reviews</w:t>
            </w: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6263DF6" w14:textId="121D14A6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Each census</w:t>
            </w: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50E6EA21" w14:textId="77777777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5423C861" w14:textId="0482D24D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 xml:space="preserve">Urban </w:t>
            </w:r>
            <w:r w:rsidR="0031627A">
              <w:rPr>
                <w:rFonts w:eastAsia="Times New Roman" w:cs="Open Sans Light"/>
                <w:sz w:val="16"/>
                <w:szCs w:val="16"/>
              </w:rPr>
              <w:t>t</w:t>
            </w:r>
            <w:r>
              <w:rPr>
                <w:rFonts w:eastAsia="Times New Roman" w:cs="Open Sans Light"/>
                <w:sz w:val="16"/>
                <w:szCs w:val="16"/>
              </w:rPr>
              <w:t>ransport</w:t>
            </w:r>
          </w:p>
        </w:tc>
      </w:tr>
      <w:tr w:rsidR="008664FE" w14:paraId="608D9C81" w14:textId="77777777" w:rsidTr="008A6C3A">
        <w:trPr>
          <w:trHeight w:val="113"/>
        </w:trPr>
        <w:tc>
          <w:tcPr>
            <w:tcW w:w="141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379A2E42" w14:textId="77777777" w:rsidR="00136CDC" w:rsidRPr="00761931" w:rsidRDefault="00136CDC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761931">
              <w:rPr>
                <w:rFonts w:eastAsia="Times New Roman" w:cs="Open Sans Light"/>
                <w:sz w:val="16"/>
                <w:szCs w:val="16"/>
              </w:rPr>
              <w:t>Bureau of Infrastructure and Transport Research Economics</w:t>
            </w:r>
          </w:p>
        </w:tc>
        <w:tc>
          <w:tcPr>
            <w:tcW w:w="226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30ED643B" w14:textId="77777777" w:rsidR="00136CDC" w:rsidRPr="002F073A" w:rsidRDefault="00136CDC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>Kilometres travelled</w:t>
            </w:r>
          </w:p>
        </w:tc>
        <w:tc>
          <w:tcPr>
            <w:tcW w:w="184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3B1A442C" w14:textId="777FD4D9" w:rsidR="00136CDC" w:rsidRDefault="000D6610" w:rsidP="00651B25">
            <w:pPr>
              <w:pStyle w:val="CGCTablerow"/>
              <w:rPr>
                <w:rFonts w:eastAsia="Times New Roman" w:cs="Open Sans Light"/>
                <w:szCs w:val="16"/>
              </w:rPr>
            </w:pPr>
            <w:r>
              <w:rPr>
                <w:rFonts w:cs="Open Sans Light"/>
                <w:szCs w:val="16"/>
              </w:rPr>
              <w:t>5 yearly during methodology reviews</w:t>
            </w: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E2B0580" w14:textId="36622760" w:rsidR="00136CDC" w:rsidRPr="002F073A" w:rsidRDefault="00750509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Annually</w:t>
            </w:r>
            <w:r w:rsidR="00136CDC" w:rsidRPr="002F073A">
              <w:rPr>
                <w:rFonts w:eastAsia="Times New Roman" w:cs="Open Sans Light"/>
                <w:sz w:val="16"/>
                <w:szCs w:val="16"/>
              </w:rPr>
              <w:t xml:space="preserve">, until </w:t>
            </w:r>
            <w:r w:rsidR="00136CDC">
              <w:rPr>
                <w:rFonts w:eastAsia="Times New Roman" w:cs="Open Sans Light"/>
                <w:sz w:val="16"/>
                <w:szCs w:val="16"/>
              </w:rPr>
              <w:t>202</w:t>
            </w:r>
            <w:r w:rsidR="002166A8">
              <w:rPr>
                <w:rFonts w:eastAsia="Times New Roman" w:cs="Open Sans Light"/>
                <w:sz w:val="16"/>
                <w:szCs w:val="16"/>
              </w:rPr>
              <w:t>6</w:t>
            </w:r>
            <w:r w:rsidR="00136CDC">
              <w:rPr>
                <w:rFonts w:eastAsia="Times New Roman" w:cs="Open Sans Light"/>
                <w:sz w:val="16"/>
                <w:szCs w:val="16"/>
              </w:rPr>
              <w:t xml:space="preserve"> Census </w:t>
            </w:r>
            <w:r w:rsidR="00B93700">
              <w:rPr>
                <w:rFonts w:eastAsia="Times New Roman" w:cs="Open Sans Light"/>
                <w:sz w:val="16"/>
                <w:szCs w:val="16"/>
              </w:rPr>
              <w:t>data</w:t>
            </w:r>
            <w:r w:rsidR="00136CDC" w:rsidRPr="002F073A">
              <w:rPr>
                <w:rFonts w:eastAsia="Times New Roman" w:cs="Open Sans Light"/>
                <w:sz w:val="16"/>
                <w:szCs w:val="16"/>
              </w:rPr>
              <w:t xml:space="preserve"> are available</w:t>
            </w: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36E6BD21" w14:textId="77777777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737EBFB6" w14:textId="656CB16F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 xml:space="preserve">Urban </w:t>
            </w:r>
            <w:r w:rsidR="0031627A">
              <w:rPr>
                <w:rFonts w:eastAsia="Times New Roman" w:cs="Open Sans Light"/>
                <w:sz w:val="16"/>
                <w:szCs w:val="16"/>
              </w:rPr>
              <w:t>t</w:t>
            </w:r>
            <w:r>
              <w:rPr>
                <w:rFonts w:eastAsia="Times New Roman" w:cs="Open Sans Light"/>
                <w:sz w:val="16"/>
                <w:szCs w:val="16"/>
              </w:rPr>
              <w:t>ransport</w:t>
            </w:r>
          </w:p>
        </w:tc>
      </w:tr>
      <w:tr w:rsidR="00787727" w14:paraId="54474B49" w14:textId="77777777" w:rsidTr="008A6C3A">
        <w:trPr>
          <w:trHeight w:val="113"/>
        </w:trPr>
        <w:tc>
          <w:tcPr>
            <w:tcW w:w="1413" w:type="dxa"/>
            <w:vMerge w:val="restart"/>
            <w:tcBorders>
              <w:top w:val="single" w:sz="4" w:space="0" w:color="ADD6EA"/>
              <w:left w:val="nil"/>
              <w:right w:val="nil"/>
            </w:tcBorders>
            <w:vAlign w:val="center"/>
          </w:tcPr>
          <w:p w14:paraId="33B9F694" w14:textId="2D48541A" w:rsidR="00787727" w:rsidRPr="00761931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ABS</w:t>
            </w:r>
          </w:p>
        </w:tc>
        <w:tc>
          <w:tcPr>
            <w:tcW w:w="226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0354CF5" w14:textId="4B5377B0" w:rsidR="00787727" w:rsidRPr="002F073A" w:rsidRDefault="00787727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Significant Urban Area and Urban Centre and Locality classifications</w:t>
            </w:r>
          </w:p>
        </w:tc>
        <w:tc>
          <w:tcPr>
            <w:tcW w:w="1843" w:type="dxa"/>
            <w:vMerge w:val="restart"/>
            <w:tcBorders>
              <w:top w:val="single" w:sz="4" w:space="0" w:color="ADD6EA"/>
              <w:left w:val="nil"/>
              <w:right w:val="nil"/>
            </w:tcBorders>
            <w:vAlign w:val="center"/>
          </w:tcPr>
          <w:p w14:paraId="2122A1B8" w14:textId="29F383B6" w:rsidR="00787727" w:rsidRDefault="00787727" w:rsidP="00651B25">
            <w:pPr>
              <w:pStyle w:val="CGCTablerow"/>
              <w:rPr>
                <w:rFonts w:eastAsia="Times New Roman" w:cs="Open Sans Light"/>
                <w:szCs w:val="16"/>
              </w:rPr>
            </w:pPr>
            <w:r>
              <w:rPr>
                <w:rFonts w:cs="Open Sans Light"/>
                <w:szCs w:val="16"/>
              </w:rPr>
              <w:t>5 yearly during methodology reviews</w:t>
            </w: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7D60788" w14:textId="49A5E747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Each census</w:t>
            </w: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B880D09" w14:textId="77777777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8EBAC8D" w14:textId="4EE9ED81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 xml:space="preserve">Urban </w:t>
            </w:r>
            <w:r w:rsidR="0031627A">
              <w:rPr>
                <w:rFonts w:eastAsia="Times New Roman" w:cs="Open Sans Light"/>
                <w:sz w:val="16"/>
                <w:szCs w:val="16"/>
              </w:rPr>
              <w:t>t</w:t>
            </w:r>
            <w:r>
              <w:rPr>
                <w:rFonts w:eastAsia="Times New Roman" w:cs="Open Sans Light"/>
                <w:sz w:val="16"/>
                <w:szCs w:val="16"/>
              </w:rPr>
              <w:t>ransport</w:t>
            </w:r>
          </w:p>
        </w:tc>
      </w:tr>
      <w:tr w:rsidR="00787727" w14:paraId="091D4FD6" w14:textId="77777777" w:rsidTr="008A6C3A">
        <w:trPr>
          <w:trHeight w:val="113"/>
        </w:trPr>
        <w:tc>
          <w:tcPr>
            <w:tcW w:w="1413" w:type="dxa"/>
            <w:vMerge/>
            <w:tcBorders>
              <w:left w:val="nil"/>
              <w:right w:val="nil"/>
            </w:tcBorders>
          </w:tcPr>
          <w:p w14:paraId="54DBAC57" w14:textId="77777777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A6F6DD6" w14:textId="5AA64454" w:rsidR="00787727" w:rsidRPr="002F073A" w:rsidRDefault="00787727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>Census</w:t>
            </w:r>
            <w:r>
              <w:rPr>
                <w:rFonts w:eastAsia="Times New Roman" w:cs="Open Sans Light"/>
                <w:sz w:val="16"/>
                <w:szCs w:val="16"/>
              </w:rPr>
              <w:t xml:space="preserve"> journey</w:t>
            </w:r>
            <w:r w:rsidRPr="002F073A">
              <w:rPr>
                <w:rFonts w:eastAsia="Times New Roman" w:cs="Open Sans Light"/>
                <w:sz w:val="16"/>
                <w:szCs w:val="16"/>
              </w:rPr>
              <w:t xml:space="preserve"> to work data</w:t>
            </w:r>
            <w:r>
              <w:rPr>
                <w:rFonts w:eastAsia="Times New Roman" w:cs="Open Sans Light"/>
                <w:sz w:val="16"/>
                <w:szCs w:val="16"/>
              </w:rPr>
              <w:t xml:space="preserve"> (method of travel to work)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0D856868" w14:textId="02FEF9E1" w:rsidR="00787727" w:rsidRDefault="00787727" w:rsidP="00651B25">
            <w:pPr>
              <w:pStyle w:val="CGCTablerow"/>
              <w:rPr>
                <w:rFonts w:eastAsia="Times New Roman" w:cs="Open Sans Light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6FD55141" w14:textId="33A34AAF" w:rsidR="00787727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Each census</w:t>
            </w: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30B4727" w14:textId="77777777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659B1263" w14:textId="57D725A8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 xml:space="preserve">Urban </w:t>
            </w:r>
            <w:r w:rsidR="0031627A">
              <w:rPr>
                <w:rFonts w:eastAsia="Times New Roman" w:cs="Open Sans Light"/>
                <w:sz w:val="16"/>
                <w:szCs w:val="16"/>
              </w:rPr>
              <w:t>t</w:t>
            </w:r>
            <w:r>
              <w:rPr>
                <w:rFonts w:eastAsia="Times New Roman" w:cs="Open Sans Light"/>
                <w:sz w:val="16"/>
                <w:szCs w:val="16"/>
              </w:rPr>
              <w:t>ransport</w:t>
            </w:r>
          </w:p>
        </w:tc>
      </w:tr>
      <w:tr w:rsidR="00787727" w14:paraId="0145D0C9" w14:textId="77777777" w:rsidTr="008A6C3A">
        <w:trPr>
          <w:trHeight w:val="113"/>
        </w:trPr>
        <w:tc>
          <w:tcPr>
            <w:tcW w:w="1413" w:type="dxa"/>
            <w:vMerge/>
            <w:tcBorders>
              <w:left w:val="nil"/>
              <w:right w:val="nil"/>
            </w:tcBorders>
          </w:tcPr>
          <w:p w14:paraId="4E20060B" w14:textId="77777777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3D94ADD6" w14:textId="2CE9AA3C" w:rsidR="00787727" w:rsidRPr="002F073A" w:rsidRDefault="00787727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Square kilometre population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3FE9C25F" w14:textId="0AC4DAAC" w:rsidR="00787727" w:rsidRPr="002F073A" w:rsidRDefault="00787727" w:rsidP="00651B25">
            <w:pPr>
              <w:pStyle w:val="CGCTablerow"/>
              <w:rPr>
                <w:rFonts w:eastAsia="Times New Roman" w:cs="Open Sans Light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BDDBC6B" w14:textId="74895D2C" w:rsidR="00787727" w:rsidRPr="003D040E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  <w:vertAlign w:val="superscript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>Annually</w:t>
            </w:r>
            <w:r w:rsidRPr="003D040E">
              <w:rPr>
                <w:rFonts w:eastAsia="Times New Roman" w:cs="Open Sans Light"/>
                <w:szCs w:val="16"/>
                <w:vertAlign w:val="superscript"/>
              </w:rPr>
              <w:t>(</w:t>
            </w:r>
            <w:r>
              <w:rPr>
                <w:rFonts w:eastAsia="Times New Roman" w:cs="Open Sans Light"/>
                <w:szCs w:val="16"/>
                <w:vertAlign w:val="superscript"/>
              </w:rPr>
              <w:t>b</w:t>
            </w:r>
            <w:r w:rsidRPr="003D040E">
              <w:rPr>
                <w:rFonts w:eastAsia="Times New Roman" w:cs="Open Sans Light"/>
                <w:szCs w:val="16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23343CFA" w14:textId="77777777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549207E5" w14:textId="4D58D769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 xml:space="preserve">Urban </w:t>
            </w:r>
            <w:r w:rsidR="0031627A">
              <w:rPr>
                <w:rFonts w:eastAsia="Times New Roman" w:cs="Open Sans Light"/>
                <w:sz w:val="16"/>
                <w:szCs w:val="16"/>
              </w:rPr>
              <w:t>t</w:t>
            </w:r>
            <w:r>
              <w:rPr>
                <w:rFonts w:eastAsia="Times New Roman" w:cs="Open Sans Light"/>
                <w:sz w:val="16"/>
                <w:szCs w:val="16"/>
              </w:rPr>
              <w:t>ransport</w:t>
            </w:r>
          </w:p>
        </w:tc>
      </w:tr>
      <w:tr w:rsidR="00787727" w14:paraId="334E3825" w14:textId="77777777" w:rsidTr="008A6C3A">
        <w:trPr>
          <w:trHeight w:val="113"/>
        </w:trPr>
        <w:tc>
          <w:tcPr>
            <w:tcW w:w="1413" w:type="dxa"/>
            <w:vMerge/>
            <w:tcBorders>
              <w:left w:val="nil"/>
              <w:right w:val="nil"/>
            </w:tcBorders>
          </w:tcPr>
          <w:p w14:paraId="6C1D349E" w14:textId="77777777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nil"/>
            </w:tcBorders>
          </w:tcPr>
          <w:p w14:paraId="37788025" w14:textId="7338D2B8" w:rsidR="00787727" w:rsidRPr="002F073A" w:rsidRDefault="00787727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Census journey to work (distance to work)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DD6EA"/>
              <w:right w:val="nil"/>
            </w:tcBorders>
          </w:tcPr>
          <w:p w14:paraId="582FAB99" w14:textId="3D05B93A" w:rsidR="00787727" w:rsidRDefault="00787727" w:rsidP="00651B25">
            <w:pPr>
              <w:pStyle w:val="CGCTablerow"/>
              <w:rPr>
                <w:rFonts w:eastAsia="Times New Roman" w:cs="Open Sans Light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24D8D0E7" w14:textId="6D372CCB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Each census</w:t>
            </w: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4427763" w14:textId="77777777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2CD2F002" w14:textId="6BA02087" w:rsidR="00787727" w:rsidRPr="002F073A" w:rsidRDefault="00787727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 w:rsidRPr="002F073A">
              <w:rPr>
                <w:rFonts w:eastAsia="Times New Roman" w:cs="Open Sans Light"/>
                <w:sz w:val="16"/>
                <w:szCs w:val="16"/>
              </w:rPr>
              <w:t xml:space="preserve">Urban </w:t>
            </w:r>
            <w:r w:rsidR="0031627A">
              <w:rPr>
                <w:rFonts w:eastAsia="Times New Roman" w:cs="Open Sans Light"/>
                <w:sz w:val="16"/>
                <w:szCs w:val="16"/>
              </w:rPr>
              <w:t>t</w:t>
            </w:r>
            <w:r>
              <w:rPr>
                <w:rFonts w:eastAsia="Times New Roman" w:cs="Open Sans Light"/>
                <w:sz w:val="16"/>
                <w:szCs w:val="16"/>
              </w:rPr>
              <w:t>ransport</w:t>
            </w:r>
          </w:p>
        </w:tc>
      </w:tr>
      <w:tr w:rsidR="008664FE" w:rsidRPr="007A49AA" w14:paraId="64533FF5" w14:textId="77777777" w:rsidTr="008A6C3A">
        <w:trPr>
          <w:trHeight w:val="113"/>
        </w:trPr>
        <w:tc>
          <w:tcPr>
            <w:tcW w:w="1413" w:type="dxa"/>
            <w:vMerge/>
            <w:tcBorders>
              <w:left w:val="nil"/>
              <w:bottom w:val="nil"/>
              <w:right w:val="nil"/>
            </w:tcBorders>
          </w:tcPr>
          <w:p w14:paraId="74830F3B" w14:textId="77777777" w:rsidR="00136CDC" w:rsidRPr="002F073A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nil"/>
            </w:tcBorders>
          </w:tcPr>
          <w:p w14:paraId="62EC4085" w14:textId="337923A4" w:rsidR="00136CDC" w:rsidRPr="001B7FFD" w:rsidRDefault="00136CDC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 xml:space="preserve">Significant </w:t>
            </w:r>
            <w:r w:rsidR="00930385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U</w:t>
            </w:r>
            <w:r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 xml:space="preserve">rban </w:t>
            </w:r>
            <w:r w:rsidR="00930385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A</w:t>
            </w:r>
            <w:r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rea p</w:t>
            </w:r>
            <w:r w:rsidRPr="001B7FFD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 xml:space="preserve">opulation </w:t>
            </w:r>
            <w:r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d</w:t>
            </w:r>
            <w:r w:rsidRPr="001B7FFD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C741259" w14:textId="77777777" w:rsidR="00136CDC" w:rsidRPr="001B7FFD" w:rsidRDefault="00136CDC" w:rsidP="00651B25">
            <w:pPr>
              <w:pStyle w:val="CGCTablerow"/>
              <w:rPr>
                <w:rFonts w:cs="Open Sans Light"/>
                <w:color w:val="000000" w:themeColor="text1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2BF0A69E" w14:textId="67332E0F" w:rsidR="00136CDC" w:rsidRPr="001B7FFD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color w:val="000000" w:themeColor="text1"/>
                <w:sz w:val="16"/>
                <w:szCs w:val="16"/>
              </w:rPr>
            </w:pPr>
            <w:r w:rsidRPr="001B7FFD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Annually</w:t>
            </w: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BEA1F90" w14:textId="77777777" w:rsidR="00136CDC" w:rsidRPr="001B7FFD" w:rsidRDefault="00136CDC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4A34BD69" w14:textId="7AAF68DD" w:rsidR="00136CDC" w:rsidRPr="001B7FFD" w:rsidRDefault="00DA2972" w:rsidP="00651B25">
            <w:pPr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color w:val="000000" w:themeColor="text1"/>
                <w:sz w:val="16"/>
                <w:szCs w:val="16"/>
              </w:rPr>
            </w:pPr>
            <w:r w:rsidRPr="001B7FFD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 xml:space="preserve">Urban </w:t>
            </w:r>
            <w:r w:rsidR="0031627A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t</w:t>
            </w:r>
            <w:r w:rsidRPr="001B7FFD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ransport</w:t>
            </w:r>
          </w:p>
        </w:tc>
      </w:tr>
      <w:tr w:rsidR="008664FE" w:rsidRPr="007A49AA" w14:paraId="63B8430C" w14:textId="77777777" w:rsidTr="008A6C3A">
        <w:trPr>
          <w:trHeight w:val="113"/>
        </w:trPr>
        <w:tc>
          <w:tcPr>
            <w:tcW w:w="1413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641AB0DC" w14:textId="77777777" w:rsidR="00136CDC" w:rsidRPr="002F073A" w:rsidRDefault="00136CDC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C6D9F1" w:themeColor="text2" w:themeTint="33"/>
              <w:left w:val="nil"/>
              <w:bottom w:val="single" w:sz="4" w:space="0" w:color="ADD6EA"/>
              <w:right w:val="nil"/>
            </w:tcBorders>
          </w:tcPr>
          <w:p w14:paraId="6EFFE413" w14:textId="7DC79237" w:rsidR="00136CDC" w:rsidRPr="001B7FFD" w:rsidRDefault="00136CDC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State population data</w:t>
            </w:r>
          </w:p>
        </w:tc>
        <w:tc>
          <w:tcPr>
            <w:tcW w:w="184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69DDAC47" w14:textId="77777777" w:rsidR="00136CDC" w:rsidRPr="001B7FFD" w:rsidRDefault="00136CDC" w:rsidP="00651B25">
            <w:pPr>
              <w:pStyle w:val="CGCTablerow"/>
              <w:rPr>
                <w:rFonts w:cs="Open Sans Light"/>
                <w:color w:val="000000" w:themeColor="text1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782717E6" w14:textId="4E1E97AC" w:rsidR="00136CDC" w:rsidRPr="001B7FFD" w:rsidRDefault="00136CDC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72618738" w14:textId="4091A3E4" w:rsidR="00136CDC" w:rsidRDefault="005920AC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Annually</w:t>
            </w:r>
          </w:p>
        </w:tc>
        <w:tc>
          <w:tcPr>
            <w:tcW w:w="14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ECCD947" w14:textId="2BD55A1A" w:rsidR="00136CDC" w:rsidRPr="001B7FFD" w:rsidRDefault="00136CDC" w:rsidP="00651B25">
            <w:pPr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 xml:space="preserve">Urban and </w:t>
            </w:r>
            <w:r w:rsidRPr="001B7FFD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Non-</w:t>
            </w:r>
            <w:r w:rsidR="0031627A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u</w:t>
            </w:r>
            <w:r w:rsidRPr="001B7FFD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 xml:space="preserve">rban </w:t>
            </w:r>
            <w:r w:rsidR="0031627A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t</w:t>
            </w:r>
            <w:r w:rsidRPr="001B7FFD">
              <w:rPr>
                <w:rFonts w:eastAsia="Times New Roman" w:cs="Open Sans Light"/>
                <w:color w:val="000000" w:themeColor="text1"/>
                <w:sz w:val="16"/>
                <w:szCs w:val="16"/>
              </w:rPr>
              <w:t>ransport</w:t>
            </w:r>
          </w:p>
        </w:tc>
      </w:tr>
    </w:tbl>
    <w:bookmarkEnd w:id="10"/>
    <w:p w14:paraId="4A47D4DC" w14:textId="6EC3D99A" w:rsidR="00005AA3" w:rsidRPr="00D7681E" w:rsidRDefault="00752C31" w:rsidP="00651B25">
      <w:pPr>
        <w:pStyle w:val="CGC2025TableNote"/>
        <w:numPr>
          <w:ilvl w:val="0"/>
          <w:numId w:val="22"/>
        </w:numPr>
      </w:pPr>
      <w:r w:rsidRPr="00D7681E">
        <w:t>In the 2026 Update, the regression will be updated with state n</w:t>
      </w:r>
      <w:r w:rsidR="00224A16" w:rsidRPr="00D7681E">
        <w:t>et expense data for 202</w:t>
      </w:r>
      <w:r w:rsidR="00EB647C" w:rsidRPr="00D7681E">
        <w:t>3</w:t>
      </w:r>
      <w:r w:rsidR="00B21625">
        <w:t>–</w:t>
      </w:r>
      <w:r w:rsidR="00EB647C" w:rsidRPr="00D7681E">
        <w:t>24</w:t>
      </w:r>
      <w:r w:rsidRPr="00D7681E">
        <w:t xml:space="preserve">. </w:t>
      </w:r>
      <w:r w:rsidR="00F65D8D" w:rsidRPr="00D7681E">
        <w:t>After this, e</w:t>
      </w:r>
      <w:r w:rsidR="007C7A28" w:rsidRPr="00D7681E">
        <w:t xml:space="preserve">xpense data will remain </w:t>
      </w:r>
      <w:r w:rsidR="00E76093" w:rsidRPr="00D7681E">
        <w:t xml:space="preserve">fixed until the </w:t>
      </w:r>
      <w:r w:rsidR="00F65D8D" w:rsidRPr="00D7681E">
        <w:t xml:space="preserve">next </w:t>
      </w:r>
      <w:r w:rsidR="00E76093" w:rsidRPr="00D7681E">
        <w:t xml:space="preserve">review. </w:t>
      </w:r>
    </w:p>
    <w:p w14:paraId="0B681943" w14:textId="0E0C15F0" w:rsidR="003D040E" w:rsidRDefault="003D040E" w:rsidP="00651B25">
      <w:pPr>
        <w:pStyle w:val="CGC2025TableNote"/>
        <w:numPr>
          <w:ilvl w:val="0"/>
          <w:numId w:val="22"/>
        </w:numPr>
      </w:pPr>
      <w:r w:rsidRPr="00FF0E98">
        <w:t xml:space="preserve">Population-weighted density is lagged by one year. This is </w:t>
      </w:r>
      <w:r w:rsidR="0048561A" w:rsidRPr="00FF0E98">
        <w:t>because</w:t>
      </w:r>
      <w:r w:rsidRPr="00FF0E98">
        <w:t xml:space="preserve"> ABS population data for the square kilometre grid </w:t>
      </w:r>
      <w:r w:rsidR="00FC4E4B">
        <w:t>are</w:t>
      </w:r>
      <w:r w:rsidRPr="00FF0E98">
        <w:t xml:space="preserve"> not available until late March.</w:t>
      </w:r>
    </w:p>
    <w:p w14:paraId="5CB11584" w14:textId="6FC7F624" w:rsidR="00D229F1" w:rsidRDefault="00D229F1" w:rsidP="00651B25">
      <w:pPr>
        <w:pStyle w:val="CGC2025TableNote"/>
        <w:ind w:left="113" w:firstLine="0"/>
      </w:pPr>
      <w:r>
        <w:t xml:space="preserve">Note: </w:t>
      </w:r>
      <w:r w:rsidR="00AA39BC">
        <w:tab/>
        <w:t>Data for the wage costs adjustment are also included in this assessment.</w:t>
      </w:r>
    </w:p>
    <w:p w14:paraId="09CDD8ED" w14:textId="3B48748D" w:rsidR="00AA39BC" w:rsidRPr="00AA39BC" w:rsidRDefault="00AA39BC" w:rsidP="00651B25">
      <w:pPr>
        <w:pStyle w:val="CGC2025TableNote"/>
        <w:ind w:left="567" w:hanging="454"/>
        <w:rPr>
          <w:i/>
          <w:iCs/>
        </w:rPr>
      </w:pPr>
      <w:r>
        <w:tab/>
        <w:t xml:space="preserve">The adjusted budget data sources are outlined in the adjusted budget chapter of the </w:t>
      </w:r>
      <w:r>
        <w:rPr>
          <w:i/>
          <w:iCs/>
        </w:rPr>
        <w:t>Commission’s Assessment Methodology</w:t>
      </w:r>
    </w:p>
    <w:p w14:paraId="4E21A61D" w14:textId="77777777" w:rsidR="006370E6" w:rsidRDefault="006370E6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36"/>
          <w:szCs w:val="36"/>
        </w:rPr>
      </w:pPr>
      <w:r>
        <w:br w:type="page"/>
      </w:r>
    </w:p>
    <w:p w14:paraId="5E61E6AC" w14:textId="7918F952" w:rsidR="007876E4" w:rsidRDefault="007876E4" w:rsidP="00E931DD">
      <w:pPr>
        <w:pStyle w:val="Heading2"/>
      </w:pPr>
      <w:r>
        <w:lastRenderedPageBreak/>
        <w:t>Assessment method</w:t>
      </w:r>
      <w:bookmarkEnd w:id="2"/>
      <w:bookmarkEnd w:id="3"/>
      <w:bookmarkEnd w:id="4"/>
    </w:p>
    <w:p w14:paraId="5699CC2C" w14:textId="282CB064" w:rsidR="005D5DF5" w:rsidRDefault="67A6B628" w:rsidP="00541264">
      <w:pPr>
        <w:pStyle w:val="CGCNumberedPara"/>
        <w:rPr>
          <w:rFonts w:ascii="Work Sans" w:hAnsi="Work Sans"/>
          <w:sz w:val="20"/>
          <w:szCs w:val="20"/>
        </w:rPr>
      </w:pPr>
      <w:r w:rsidRPr="00541264">
        <w:rPr>
          <w:rFonts w:ascii="Work Sans" w:hAnsi="Work Sans"/>
          <w:sz w:val="20"/>
          <w:szCs w:val="20"/>
        </w:rPr>
        <w:t xml:space="preserve">The urban transport </w:t>
      </w:r>
      <w:r w:rsidR="0046404D">
        <w:rPr>
          <w:rFonts w:ascii="Work Sans" w:hAnsi="Work Sans"/>
          <w:sz w:val="20"/>
          <w:szCs w:val="20"/>
        </w:rPr>
        <w:t xml:space="preserve">component </w:t>
      </w:r>
      <w:r w:rsidRPr="00541264">
        <w:rPr>
          <w:rFonts w:ascii="Work Sans" w:hAnsi="Work Sans"/>
          <w:sz w:val="20"/>
          <w:szCs w:val="20"/>
        </w:rPr>
        <w:t>uses a regression-based approach reflecting the conceptual drivers of urban transport</w:t>
      </w:r>
      <w:r w:rsidR="000F4253">
        <w:rPr>
          <w:rFonts w:ascii="Work Sans" w:hAnsi="Work Sans"/>
          <w:sz w:val="20"/>
          <w:szCs w:val="20"/>
        </w:rPr>
        <w:t xml:space="preserve"> costs</w:t>
      </w:r>
      <w:r w:rsidRPr="00541264">
        <w:rPr>
          <w:rFonts w:ascii="Work Sans" w:hAnsi="Work Sans"/>
          <w:sz w:val="20"/>
          <w:szCs w:val="20"/>
        </w:rPr>
        <w:t>. This is blended with state shares of urban populations</w:t>
      </w:r>
      <w:r w:rsidR="00E848B0">
        <w:rPr>
          <w:rFonts w:ascii="Work Sans" w:hAnsi="Work Sans"/>
          <w:sz w:val="20"/>
          <w:szCs w:val="20"/>
        </w:rPr>
        <w:t>.</w:t>
      </w:r>
      <w:r w:rsidR="00041EA8">
        <w:rPr>
          <w:rStyle w:val="FootnoteReference"/>
          <w:rFonts w:eastAsia="Work Sans" w:cs="Work Sans"/>
        </w:rPr>
        <w:footnoteReference w:id="4"/>
      </w:r>
      <w:r w:rsidRPr="00541264">
        <w:rPr>
          <w:rFonts w:ascii="Work Sans" w:hAnsi="Work Sans"/>
          <w:sz w:val="20"/>
          <w:szCs w:val="20"/>
        </w:rPr>
        <w:t xml:space="preserve"> </w:t>
      </w:r>
    </w:p>
    <w:p w14:paraId="41A1C9D6" w14:textId="5604C4A0" w:rsidR="00541264" w:rsidRPr="00541264" w:rsidRDefault="005D5DF5" w:rsidP="00541264">
      <w:pPr>
        <w:pStyle w:val="CGCNumberedPara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 xml:space="preserve">The </w:t>
      </w:r>
      <w:r w:rsidR="67A6B628" w:rsidRPr="00541264">
        <w:rPr>
          <w:rFonts w:ascii="Work Sans" w:hAnsi="Work Sans"/>
          <w:sz w:val="20"/>
          <w:szCs w:val="20"/>
        </w:rPr>
        <w:t xml:space="preserve">non-urban transport </w:t>
      </w:r>
      <w:r>
        <w:rPr>
          <w:rFonts w:ascii="Work Sans" w:hAnsi="Work Sans"/>
          <w:sz w:val="20"/>
          <w:szCs w:val="20"/>
        </w:rPr>
        <w:t xml:space="preserve">component </w:t>
      </w:r>
      <w:r w:rsidR="67A6B628" w:rsidRPr="00541264">
        <w:rPr>
          <w:rFonts w:ascii="Work Sans" w:hAnsi="Work Sans"/>
          <w:sz w:val="20"/>
          <w:szCs w:val="20"/>
        </w:rPr>
        <w:t xml:space="preserve">is </w:t>
      </w:r>
      <w:r w:rsidR="00A921B5">
        <w:rPr>
          <w:rFonts w:ascii="Work Sans" w:hAnsi="Work Sans"/>
          <w:sz w:val="20"/>
          <w:szCs w:val="20"/>
        </w:rPr>
        <w:t xml:space="preserve">assessed </w:t>
      </w:r>
      <w:r w:rsidR="00A32CC3">
        <w:rPr>
          <w:rFonts w:ascii="Work Sans" w:hAnsi="Work Sans"/>
          <w:sz w:val="20"/>
          <w:szCs w:val="20"/>
        </w:rPr>
        <w:t xml:space="preserve">using </w:t>
      </w:r>
      <w:r w:rsidR="67A6B628" w:rsidRPr="00541264">
        <w:rPr>
          <w:rFonts w:ascii="Work Sans" w:hAnsi="Work Sans"/>
          <w:sz w:val="20"/>
          <w:szCs w:val="20"/>
        </w:rPr>
        <w:t>a state’s population share</w:t>
      </w:r>
      <w:r w:rsidR="000D5BA2">
        <w:rPr>
          <w:rFonts w:ascii="Work Sans" w:hAnsi="Work Sans"/>
          <w:sz w:val="20"/>
          <w:szCs w:val="20"/>
        </w:rPr>
        <w:t xml:space="preserve"> (equal per capita)</w:t>
      </w:r>
      <w:r w:rsidR="67A6B628" w:rsidRPr="00541264">
        <w:rPr>
          <w:rFonts w:ascii="Work Sans" w:hAnsi="Work Sans"/>
          <w:sz w:val="20"/>
          <w:szCs w:val="20"/>
        </w:rPr>
        <w:t xml:space="preserve">. </w:t>
      </w:r>
    </w:p>
    <w:p w14:paraId="55598D28" w14:textId="7F762B5E" w:rsidR="002A6827" w:rsidRPr="002378A5" w:rsidRDefault="67A6B628" w:rsidP="00541264">
      <w:pPr>
        <w:pStyle w:val="CGCNumberedPara"/>
        <w:rPr>
          <w:rFonts w:ascii="Work Sans" w:hAnsi="Work Sans"/>
          <w:sz w:val="20"/>
          <w:szCs w:val="20"/>
        </w:rPr>
      </w:pPr>
      <w:r w:rsidRPr="00541264">
        <w:rPr>
          <w:rFonts w:ascii="Work Sans" w:eastAsia="Work Sans" w:hAnsi="Work Sans" w:cs="Work Sans"/>
          <w:sz w:val="20"/>
          <w:szCs w:val="20"/>
        </w:rPr>
        <w:t>For both components</w:t>
      </w:r>
      <w:r w:rsidR="00DF144C">
        <w:rPr>
          <w:rFonts w:ascii="Work Sans" w:eastAsia="Work Sans" w:hAnsi="Work Sans" w:cs="Work Sans"/>
          <w:sz w:val="20"/>
          <w:szCs w:val="20"/>
        </w:rPr>
        <w:t>,</w:t>
      </w:r>
      <w:r w:rsidRPr="00541264">
        <w:rPr>
          <w:rFonts w:ascii="Work Sans" w:eastAsia="Work Sans" w:hAnsi="Work Sans" w:cs="Work Sans"/>
          <w:sz w:val="20"/>
          <w:szCs w:val="20"/>
        </w:rPr>
        <w:t xml:space="preserve"> a wage cost adjustment is made to reflect differen</w:t>
      </w:r>
      <w:r w:rsidR="00BD4484">
        <w:rPr>
          <w:rFonts w:ascii="Work Sans" w:eastAsia="Work Sans" w:hAnsi="Work Sans" w:cs="Work Sans"/>
          <w:sz w:val="20"/>
          <w:szCs w:val="20"/>
        </w:rPr>
        <w:t>ces in</w:t>
      </w:r>
      <w:r w:rsidRPr="00541264">
        <w:rPr>
          <w:rFonts w:ascii="Work Sans" w:eastAsia="Work Sans" w:hAnsi="Work Sans" w:cs="Work Sans"/>
          <w:sz w:val="20"/>
          <w:szCs w:val="20"/>
        </w:rPr>
        <w:t xml:space="preserve"> wage costs across states. </w:t>
      </w:r>
    </w:p>
    <w:p w14:paraId="3C24BE13" w14:textId="77777777" w:rsidR="009A74FF" w:rsidRPr="002378A5" w:rsidRDefault="67A6B628" w:rsidP="00541264">
      <w:pPr>
        <w:pStyle w:val="CGCNumberedPara"/>
        <w:rPr>
          <w:rFonts w:ascii="Work Sans" w:hAnsi="Work Sans"/>
          <w:sz w:val="20"/>
          <w:szCs w:val="20"/>
        </w:rPr>
      </w:pPr>
      <w:r w:rsidRPr="00541264">
        <w:rPr>
          <w:rFonts w:ascii="Work Sans" w:eastAsia="Work Sans" w:hAnsi="Work Sans" w:cs="Work Sans"/>
          <w:sz w:val="20"/>
          <w:szCs w:val="20"/>
        </w:rPr>
        <w:t>For the non-urban transport component, a</w:t>
      </w:r>
      <w:r w:rsidR="00BD4484">
        <w:rPr>
          <w:rFonts w:ascii="Work Sans" w:eastAsia="Work Sans" w:hAnsi="Work Sans" w:cs="Work Sans"/>
          <w:sz w:val="20"/>
          <w:szCs w:val="20"/>
        </w:rPr>
        <w:t>n additional</w:t>
      </w:r>
      <w:r w:rsidRPr="00541264">
        <w:rPr>
          <w:rFonts w:ascii="Work Sans" w:eastAsia="Work Sans" w:hAnsi="Work Sans" w:cs="Work Sans"/>
          <w:sz w:val="20"/>
          <w:szCs w:val="20"/>
        </w:rPr>
        <w:t xml:space="preserve"> regional cost adjustment is made to reflect the higher cost of providing transport services in remote areas. </w:t>
      </w:r>
    </w:p>
    <w:p w14:paraId="44F5ABDB" w14:textId="258DF778" w:rsidR="0090088A" w:rsidRPr="002378A5" w:rsidRDefault="0090088A" w:rsidP="00541264">
      <w:pPr>
        <w:pStyle w:val="CGCNumberedPara"/>
        <w:rPr>
          <w:rFonts w:ascii="Work Sans" w:hAnsi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For more information about these adjustments</w:t>
      </w:r>
      <w:r w:rsidR="00CB5CDC">
        <w:rPr>
          <w:rFonts w:ascii="Work Sans" w:eastAsia="Work Sans" w:hAnsi="Work Sans" w:cs="Work Sans"/>
          <w:sz w:val="20"/>
          <w:szCs w:val="20"/>
        </w:rPr>
        <w:t>,</w:t>
      </w:r>
      <w:r>
        <w:rPr>
          <w:rFonts w:ascii="Work Sans" w:eastAsia="Work Sans" w:hAnsi="Work Sans" w:cs="Work Sans"/>
          <w:sz w:val="20"/>
          <w:szCs w:val="20"/>
        </w:rPr>
        <w:t xml:space="preserve"> refer to </w:t>
      </w:r>
      <w:r w:rsidR="00F94D95">
        <w:rPr>
          <w:rFonts w:ascii="Work Sans" w:eastAsia="Work Sans" w:hAnsi="Work Sans" w:cs="Work Sans"/>
          <w:sz w:val="20"/>
          <w:szCs w:val="20"/>
        </w:rPr>
        <w:t xml:space="preserve">the </w:t>
      </w:r>
      <w:r>
        <w:rPr>
          <w:rFonts w:ascii="Work Sans" w:eastAsia="Work Sans" w:hAnsi="Work Sans" w:cs="Work Sans"/>
          <w:sz w:val="20"/>
          <w:szCs w:val="20"/>
        </w:rPr>
        <w:t xml:space="preserve">wage costs and geography </w:t>
      </w:r>
      <w:r w:rsidR="00F94D95">
        <w:rPr>
          <w:rFonts w:ascii="Work Sans" w:eastAsia="Work Sans" w:hAnsi="Work Sans" w:cs="Work Sans"/>
          <w:sz w:val="20"/>
          <w:szCs w:val="20"/>
        </w:rPr>
        <w:t xml:space="preserve">chapters of the </w:t>
      </w:r>
      <w:r w:rsidR="00F94D95" w:rsidRPr="003164A2">
        <w:rPr>
          <w:rFonts w:ascii="Work Sans" w:eastAsia="Work Sans" w:hAnsi="Work Sans" w:cs="Work Sans"/>
          <w:i/>
          <w:sz w:val="20"/>
          <w:szCs w:val="20"/>
        </w:rPr>
        <w:t xml:space="preserve">Commission’s </w:t>
      </w:r>
      <w:r w:rsidR="001E2274" w:rsidRPr="003164A2">
        <w:rPr>
          <w:rFonts w:ascii="Work Sans" w:eastAsia="Work Sans" w:hAnsi="Work Sans" w:cs="Work Sans"/>
          <w:i/>
          <w:sz w:val="20"/>
          <w:szCs w:val="20"/>
        </w:rPr>
        <w:t>A</w:t>
      </w:r>
      <w:r w:rsidR="00C44937" w:rsidRPr="003164A2">
        <w:rPr>
          <w:rFonts w:ascii="Work Sans" w:eastAsia="Work Sans" w:hAnsi="Work Sans" w:cs="Work Sans"/>
          <w:i/>
          <w:sz w:val="20"/>
          <w:szCs w:val="20"/>
        </w:rPr>
        <w:t>ssessment</w:t>
      </w:r>
      <w:r w:rsidR="00BA7E1E" w:rsidRPr="003164A2">
        <w:rPr>
          <w:rFonts w:ascii="Work Sans" w:eastAsia="Work Sans" w:hAnsi="Work Sans" w:cs="Work Sans"/>
          <w:i/>
          <w:sz w:val="20"/>
          <w:szCs w:val="20"/>
        </w:rPr>
        <w:t xml:space="preserve"> </w:t>
      </w:r>
      <w:r w:rsidR="001E2274" w:rsidRPr="003164A2">
        <w:rPr>
          <w:rFonts w:ascii="Work Sans" w:eastAsia="Work Sans" w:hAnsi="Work Sans" w:cs="Work Sans"/>
          <w:i/>
          <w:sz w:val="20"/>
          <w:szCs w:val="20"/>
        </w:rPr>
        <w:t>M</w:t>
      </w:r>
      <w:r w:rsidR="00C44937" w:rsidRPr="003164A2">
        <w:rPr>
          <w:rFonts w:ascii="Work Sans" w:eastAsia="Work Sans" w:hAnsi="Work Sans" w:cs="Work Sans"/>
          <w:i/>
          <w:sz w:val="20"/>
          <w:szCs w:val="20"/>
        </w:rPr>
        <w:t>ethodology</w:t>
      </w:r>
      <w:r w:rsidRPr="003164A2">
        <w:rPr>
          <w:rFonts w:ascii="Work Sans" w:eastAsia="Work Sans" w:hAnsi="Work Sans" w:cs="Work Sans"/>
          <w:sz w:val="20"/>
          <w:szCs w:val="20"/>
        </w:rPr>
        <w:t>.</w:t>
      </w:r>
    </w:p>
    <w:p w14:paraId="7A30B592" w14:textId="769F92FB" w:rsidR="00054591" w:rsidRPr="00041EA8" w:rsidRDefault="001741CF" w:rsidP="00041EA8">
      <w:pPr>
        <w:pStyle w:val="CGCNumberedPara"/>
        <w:rPr>
          <w:rFonts w:ascii="Work Sans" w:hAnsi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F</w:t>
      </w:r>
      <w:r w:rsidR="00580945">
        <w:rPr>
          <w:rFonts w:ascii="Work Sans" w:eastAsia="Work Sans" w:hAnsi="Work Sans" w:cs="Work Sans"/>
          <w:sz w:val="20"/>
          <w:szCs w:val="20"/>
        </w:rPr>
        <w:t xml:space="preserve">igure </w:t>
      </w:r>
      <w:r w:rsidR="00674C47">
        <w:rPr>
          <w:rFonts w:ascii="Work Sans" w:eastAsia="Work Sans" w:hAnsi="Work Sans" w:cs="Work Sans"/>
          <w:sz w:val="20"/>
          <w:szCs w:val="20"/>
        </w:rPr>
        <w:t>1</w:t>
      </w:r>
      <w:r w:rsidR="003A65E3">
        <w:rPr>
          <w:rFonts w:ascii="Work Sans" w:eastAsia="Work Sans" w:hAnsi="Work Sans" w:cs="Work Sans"/>
          <w:sz w:val="20"/>
          <w:szCs w:val="20"/>
        </w:rPr>
        <w:t xml:space="preserve"> presents a stylised flow diagram of the transport assessment</w:t>
      </w:r>
      <w:r w:rsidR="00580945">
        <w:rPr>
          <w:rFonts w:ascii="Work Sans" w:eastAsia="Work Sans" w:hAnsi="Work Sans" w:cs="Work Sans"/>
          <w:sz w:val="20"/>
          <w:szCs w:val="20"/>
        </w:rPr>
        <w:t>.</w:t>
      </w:r>
      <w:r>
        <w:rPr>
          <w:rFonts w:ascii="Work Sans" w:eastAsia="Work Sans" w:hAnsi="Work Sans" w:cs="Work Sans"/>
          <w:sz w:val="20"/>
          <w:szCs w:val="20"/>
        </w:rPr>
        <w:t xml:space="preserve"> </w:t>
      </w:r>
    </w:p>
    <w:p w14:paraId="09782B7D" w14:textId="61999BC3" w:rsidR="00674C47" w:rsidRPr="00674C47" w:rsidRDefault="00674C47" w:rsidP="00267A25">
      <w:pPr>
        <w:pStyle w:val="CGC2025Caption"/>
        <w:tabs>
          <w:tab w:val="left" w:pos="1418"/>
        </w:tabs>
      </w:pPr>
      <w:bookmarkStart w:id="11" w:name="_Ref132915144"/>
      <w:bookmarkStart w:id="12" w:name="_Ref138763107"/>
      <w:r>
        <w:t xml:space="preserve">Figure </w:t>
      </w:r>
      <w:bookmarkEnd w:id="11"/>
      <w:bookmarkEnd w:id="12"/>
      <w:r w:rsidR="00651B25">
        <w:t>1</w:t>
      </w:r>
      <w:r>
        <w:tab/>
        <w:t xml:space="preserve">Stylised representation of the transport assessment </w:t>
      </w:r>
    </w:p>
    <w:p w14:paraId="5833ACEA" w14:textId="4F03D62B" w:rsidR="00481BA7" w:rsidRDefault="004B13FE" w:rsidP="00674C47">
      <w:pPr>
        <w:pStyle w:val="CGC2025Caption"/>
        <w:tabs>
          <w:tab w:val="left" w:pos="1134"/>
        </w:tabs>
        <w:rPr>
          <w:bCs/>
        </w:rPr>
      </w:pPr>
      <w:r>
        <w:rPr>
          <w:bCs/>
          <w:noProof/>
        </w:rPr>
        <w:drawing>
          <wp:inline distT="0" distB="0" distL="0" distR="0" wp14:anchorId="613C1659" wp14:editId="2F38C3DE">
            <wp:extent cx="5731510" cy="2790190"/>
            <wp:effectExtent l="0" t="0" r="2540" b="0"/>
            <wp:docPr id="473658044" name="Picture 5" descr="A diagram of a transportation expen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58044" name="Picture 5" descr="A diagram of a transportation expens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947A" w14:textId="77777777" w:rsidR="006370E6" w:rsidRDefault="006370E6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28"/>
          <w:szCs w:val="28"/>
        </w:rPr>
      </w:pPr>
      <w:r>
        <w:br w:type="page"/>
      </w:r>
    </w:p>
    <w:p w14:paraId="7CDD6149" w14:textId="7BEE92F4" w:rsidR="00A30780" w:rsidRPr="00A30780" w:rsidRDefault="0058303C" w:rsidP="00A30780">
      <w:pPr>
        <w:pStyle w:val="Heading3"/>
      </w:pPr>
      <w:r>
        <w:lastRenderedPageBreak/>
        <w:t xml:space="preserve">Urban </w:t>
      </w:r>
      <w:r w:rsidR="0087392E">
        <w:t>t</w:t>
      </w:r>
      <w:r w:rsidR="463D530D">
        <w:t>ransport</w:t>
      </w:r>
    </w:p>
    <w:p w14:paraId="3E4E301B" w14:textId="5400CCD2" w:rsidR="00E363B6" w:rsidRPr="00541264" w:rsidRDefault="463D530D" w:rsidP="00CF152B">
      <w:pPr>
        <w:pStyle w:val="CGCNumberedPara"/>
        <w:rPr>
          <w:rFonts w:ascii="Work Sans" w:hAnsi="Work Sans"/>
          <w:sz w:val="16"/>
          <w:szCs w:val="16"/>
        </w:rPr>
      </w:pPr>
      <w:r w:rsidRPr="00541264">
        <w:rPr>
          <w:rFonts w:ascii="Work Sans" w:hAnsi="Work Sans"/>
          <w:sz w:val="20"/>
          <w:szCs w:val="20"/>
        </w:rPr>
        <w:t xml:space="preserve">Figure </w:t>
      </w:r>
      <w:r w:rsidR="001178C5">
        <w:rPr>
          <w:rFonts w:ascii="Work Sans" w:hAnsi="Work Sans"/>
          <w:sz w:val="20"/>
          <w:szCs w:val="20"/>
        </w:rPr>
        <w:t>2</w:t>
      </w:r>
      <w:r w:rsidR="00B942BA" w:rsidRPr="00541264">
        <w:rPr>
          <w:rFonts w:ascii="Work Sans" w:hAnsi="Work Sans"/>
          <w:sz w:val="20"/>
          <w:szCs w:val="20"/>
        </w:rPr>
        <w:t xml:space="preserve"> </w:t>
      </w:r>
      <w:r w:rsidRPr="00541264">
        <w:rPr>
          <w:rFonts w:ascii="Work Sans" w:hAnsi="Work Sans"/>
          <w:sz w:val="20"/>
          <w:szCs w:val="20"/>
        </w:rPr>
        <w:t xml:space="preserve">shows the method used to assess urban transport </w:t>
      </w:r>
      <w:r w:rsidR="00EF2E8D">
        <w:rPr>
          <w:rFonts w:ascii="Work Sans" w:hAnsi="Work Sans"/>
          <w:sz w:val="20"/>
          <w:szCs w:val="20"/>
        </w:rPr>
        <w:t xml:space="preserve">expenses </w:t>
      </w:r>
      <w:r w:rsidRPr="00541264">
        <w:rPr>
          <w:rFonts w:ascii="Work Sans" w:hAnsi="Work Sans"/>
          <w:sz w:val="20"/>
          <w:szCs w:val="20"/>
        </w:rPr>
        <w:t xml:space="preserve">in each state. </w:t>
      </w:r>
    </w:p>
    <w:p w14:paraId="04190D97" w14:textId="6B7A8473" w:rsidR="00A30780" w:rsidRPr="00A30780" w:rsidRDefault="463D530D" w:rsidP="00F00445">
      <w:pPr>
        <w:pStyle w:val="CGC2025Caption"/>
        <w:keepNext/>
        <w:rPr>
          <w:rFonts w:eastAsia="Work Sans" w:cs="Work Sans"/>
          <w:bCs/>
          <w:color w:val="000000" w:themeColor="text1"/>
          <w:szCs w:val="20"/>
        </w:rPr>
      </w:pPr>
      <w:r w:rsidRPr="62A47A44">
        <w:rPr>
          <w:rFonts w:eastAsia="Work Sans" w:cs="Work Sans"/>
          <w:bCs/>
          <w:color w:val="000000" w:themeColor="text1"/>
          <w:szCs w:val="20"/>
        </w:rPr>
        <w:t xml:space="preserve">Figure </w:t>
      </w:r>
      <w:r w:rsidR="00651B25">
        <w:rPr>
          <w:rFonts w:eastAsia="Work Sans" w:cs="Work Sans"/>
          <w:bCs/>
          <w:color w:val="000000" w:themeColor="text1"/>
          <w:szCs w:val="20"/>
        </w:rPr>
        <w:t>2</w:t>
      </w:r>
      <w:r w:rsidR="0058303C">
        <w:tab/>
      </w:r>
      <w:r w:rsidR="000E2D93">
        <w:rPr>
          <w:rFonts w:eastAsia="Work Sans" w:cs="Work Sans"/>
          <w:bCs/>
          <w:color w:val="000000" w:themeColor="text1"/>
          <w:szCs w:val="20"/>
        </w:rPr>
        <w:t>U</w:t>
      </w:r>
      <w:r w:rsidRPr="62A47A44">
        <w:rPr>
          <w:rFonts w:eastAsia="Work Sans" w:cs="Work Sans"/>
          <w:bCs/>
          <w:color w:val="000000" w:themeColor="text1"/>
          <w:szCs w:val="20"/>
        </w:rPr>
        <w:t>rban transport component</w:t>
      </w:r>
      <w:r w:rsidR="000E2D93">
        <w:rPr>
          <w:rFonts w:eastAsia="Work Sans" w:cs="Work Sans"/>
          <w:bCs/>
          <w:color w:val="000000" w:themeColor="text1"/>
          <w:szCs w:val="20"/>
        </w:rPr>
        <w:t xml:space="preserve"> assessment</w:t>
      </w:r>
      <w:r w:rsidR="00FD6EA8">
        <w:rPr>
          <w:rFonts w:eastAsia="Work Sans" w:cs="Work Sans"/>
          <w:bCs/>
          <w:color w:val="000000" w:themeColor="text1"/>
          <w:szCs w:val="20"/>
        </w:rPr>
        <w:t xml:space="preserve"> (recurrent)</w:t>
      </w:r>
    </w:p>
    <w:p w14:paraId="3C52A82E" w14:textId="72E3690C" w:rsidR="00CB3967" w:rsidRPr="00C26181" w:rsidRDefault="00C1712D" w:rsidP="00C26181">
      <w:pPr>
        <w:spacing w:before="240" w:after="120" w:line="240" w:lineRule="auto"/>
        <w:jc w:val="center"/>
        <w:rPr>
          <w:rFonts w:ascii="Work Sans" w:eastAsia="Work Sans" w:hAnsi="Work Sans" w:cs="Work Sans"/>
          <w:b/>
          <w:color w:val="000000" w:themeColor="text1"/>
          <w:szCs w:val="20"/>
        </w:rPr>
      </w:pPr>
      <w:r>
        <w:rPr>
          <w:rFonts w:ascii="Work Sans" w:eastAsia="Work Sans" w:hAnsi="Work Sans" w:cs="Work Sans"/>
          <w:b/>
          <w:noProof/>
          <w:color w:val="000000" w:themeColor="text1"/>
          <w:szCs w:val="20"/>
        </w:rPr>
        <w:drawing>
          <wp:inline distT="0" distB="0" distL="0" distR="0" wp14:anchorId="585EF183" wp14:editId="19780C15">
            <wp:extent cx="5694045" cy="5456555"/>
            <wp:effectExtent l="0" t="0" r="1905" b="0"/>
            <wp:docPr id="865600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45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A4183" w14:textId="009F9A63" w:rsidR="249CEAEC" w:rsidRDefault="249CEAEC" w:rsidP="00F84666">
      <w:pPr>
        <w:pStyle w:val="Heading4"/>
      </w:pPr>
      <w:r>
        <w:t xml:space="preserve">Urban </w:t>
      </w:r>
      <w:r w:rsidR="00F23702">
        <w:t>c</w:t>
      </w:r>
      <w:r w:rsidR="08FC794F">
        <w:t xml:space="preserve">entre </w:t>
      </w:r>
      <w:r w:rsidR="00F23702">
        <w:t>c</w:t>
      </w:r>
      <w:r>
        <w:t>haracteristics</w:t>
      </w:r>
    </w:p>
    <w:p w14:paraId="5A51EA98" w14:textId="18833365" w:rsidR="00677CC9" w:rsidRDefault="00247670" w:rsidP="00811C12">
      <w:pPr>
        <w:pStyle w:val="Heading5"/>
      </w:pPr>
      <w:r>
        <w:t xml:space="preserve">Step 1 - </w:t>
      </w:r>
      <w:r w:rsidR="00811C12">
        <w:t xml:space="preserve">Estimating </w:t>
      </w:r>
      <w:r w:rsidR="003B3197">
        <w:t xml:space="preserve">urban centre characteristics </w:t>
      </w:r>
      <w:r w:rsidR="00811C12">
        <w:t>regression coefficients</w:t>
      </w:r>
      <w:r w:rsidR="00472BBE">
        <w:t xml:space="preserve"> </w:t>
      </w:r>
    </w:p>
    <w:p w14:paraId="18CF882E" w14:textId="4B7BC0B4" w:rsidR="00E800FD" w:rsidRPr="00874194" w:rsidRDefault="00E800FD">
      <w:pPr>
        <w:pStyle w:val="CGCNumberedPara"/>
        <w:rPr>
          <w:rFonts w:ascii="Work Sans" w:hAnsi="Work Sans"/>
          <w:sz w:val="20"/>
          <w:szCs w:val="20"/>
        </w:rPr>
      </w:pPr>
      <w:r w:rsidRPr="00874194">
        <w:rPr>
          <w:rFonts w:ascii="Work Sans" w:hAnsi="Work Sans"/>
          <w:sz w:val="20"/>
          <w:szCs w:val="20"/>
        </w:rPr>
        <w:t xml:space="preserve">The </w:t>
      </w:r>
      <w:r w:rsidR="00F257AB" w:rsidRPr="00874194">
        <w:rPr>
          <w:rFonts w:ascii="Work Sans" w:hAnsi="Work Sans"/>
          <w:sz w:val="20"/>
          <w:szCs w:val="20"/>
        </w:rPr>
        <w:t>Commission</w:t>
      </w:r>
      <w:r w:rsidR="00A9579F" w:rsidRPr="00874194">
        <w:rPr>
          <w:rFonts w:ascii="Work Sans" w:hAnsi="Work Sans"/>
          <w:sz w:val="20"/>
          <w:szCs w:val="20"/>
        </w:rPr>
        <w:t xml:space="preserve"> </w:t>
      </w:r>
      <w:r w:rsidRPr="00874194">
        <w:rPr>
          <w:rFonts w:ascii="Work Sans" w:hAnsi="Work Sans"/>
          <w:sz w:val="20"/>
          <w:szCs w:val="20"/>
        </w:rPr>
        <w:t xml:space="preserve">uses a regression model to calculate the net per capita costs of providing public transport in an urban area. </w:t>
      </w:r>
      <w:r w:rsidRPr="00874194">
        <w:rPr>
          <w:rFonts w:ascii="Work Sans" w:eastAsia="Work Sans" w:hAnsi="Work Sans" w:cs="Work Sans"/>
          <w:sz w:val="20"/>
          <w:szCs w:val="20"/>
        </w:rPr>
        <w:t>The regression model allows the Commission to estimate</w:t>
      </w:r>
      <w:r w:rsidR="00AE3982" w:rsidRPr="00874194">
        <w:rPr>
          <w:rFonts w:ascii="Work Sans" w:eastAsia="Work Sans" w:hAnsi="Work Sans" w:cs="Work Sans"/>
          <w:sz w:val="20"/>
          <w:szCs w:val="20"/>
        </w:rPr>
        <w:t xml:space="preserve"> the</w:t>
      </w:r>
      <w:r w:rsidRPr="00874194">
        <w:rPr>
          <w:rFonts w:ascii="Work Sans" w:eastAsia="Work Sans" w:hAnsi="Work Sans" w:cs="Work Sans"/>
          <w:sz w:val="20"/>
          <w:szCs w:val="20"/>
        </w:rPr>
        <w:t xml:space="preserve"> impact of urban centre characteristics on net per capita spending on urban transport. </w:t>
      </w:r>
    </w:p>
    <w:p w14:paraId="6CA81E61" w14:textId="469CD5AA" w:rsidR="00E800FD" w:rsidRPr="00055B9E" w:rsidRDefault="00E800FD" w:rsidP="00E800FD">
      <w:pPr>
        <w:pStyle w:val="CGCNumberedPara"/>
        <w:rPr>
          <w:rFonts w:ascii="Work Sans" w:hAnsi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Expenses and urban characteristics are assessed based on </w:t>
      </w:r>
      <w:r w:rsidR="00E97A02">
        <w:rPr>
          <w:rFonts w:ascii="Work Sans" w:eastAsia="Work Sans" w:hAnsi="Work Sans" w:cs="Work Sans"/>
          <w:sz w:val="20"/>
          <w:szCs w:val="20"/>
        </w:rPr>
        <w:t>S</w:t>
      </w:r>
      <w:r>
        <w:rPr>
          <w:rFonts w:ascii="Work Sans" w:eastAsia="Work Sans" w:hAnsi="Work Sans" w:cs="Work Sans"/>
          <w:sz w:val="20"/>
          <w:szCs w:val="20"/>
        </w:rPr>
        <w:t xml:space="preserve">ignificant </w:t>
      </w:r>
      <w:r w:rsidR="00CA4C41">
        <w:rPr>
          <w:rFonts w:ascii="Work Sans" w:eastAsia="Work Sans" w:hAnsi="Work Sans" w:cs="Work Sans"/>
          <w:sz w:val="20"/>
          <w:szCs w:val="20"/>
        </w:rPr>
        <w:t>U</w:t>
      </w:r>
      <w:r>
        <w:rPr>
          <w:rFonts w:ascii="Work Sans" w:eastAsia="Work Sans" w:hAnsi="Work Sans" w:cs="Work Sans"/>
          <w:sz w:val="20"/>
          <w:szCs w:val="20"/>
        </w:rPr>
        <w:t xml:space="preserve">rban </w:t>
      </w:r>
      <w:r w:rsidR="00CA4C41">
        <w:rPr>
          <w:rFonts w:ascii="Work Sans" w:eastAsia="Work Sans" w:hAnsi="Work Sans" w:cs="Work Sans"/>
          <w:sz w:val="20"/>
          <w:szCs w:val="20"/>
        </w:rPr>
        <w:t>A</w:t>
      </w:r>
      <w:r>
        <w:rPr>
          <w:rFonts w:ascii="Work Sans" w:eastAsia="Work Sans" w:hAnsi="Work Sans" w:cs="Work Sans"/>
          <w:sz w:val="20"/>
          <w:szCs w:val="20"/>
        </w:rPr>
        <w:t>reas, defined by the ABS as urban areas with a population above 10,000 (see</w:t>
      </w:r>
      <w:r w:rsidR="00144C29">
        <w:rPr>
          <w:rFonts w:ascii="Work Sans" w:eastAsia="Work Sans" w:hAnsi="Work Sans" w:cs="Work Sans"/>
          <w:sz w:val="20"/>
          <w:szCs w:val="20"/>
        </w:rPr>
        <w:t> </w:t>
      </w:r>
      <w:r>
        <w:rPr>
          <w:rFonts w:ascii="Work Sans" w:eastAsia="Work Sans" w:hAnsi="Work Sans" w:cs="Work Sans"/>
          <w:sz w:val="20"/>
          <w:szCs w:val="20"/>
        </w:rPr>
        <w:t>Attachment</w:t>
      </w:r>
      <w:r w:rsidR="0080651F">
        <w:rPr>
          <w:rFonts w:ascii="Work Sans" w:eastAsia="Work Sans" w:hAnsi="Work Sans" w:cs="Work Sans"/>
          <w:sz w:val="20"/>
          <w:szCs w:val="20"/>
        </w:rPr>
        <w:t> </w:t>
      </w:r>
      <w:r>
        <w:rPr>
          <w:rFonts w:ascii="Work Sans" w:eastAsia="Work Sans" w:hAnsi="Work Sans" w:cs="Work Sans"/>
          <w:sz w:val="20"/>
          <w:szCs w:val="20"/>
        </w:rPr>
        <w:t>A).</w:t>
      </w:r>
    </w:p>
    <w:p w14:paraId="75069711" w14:textId="6BEFB8EB" w:rsidR="00811C12" w:rsidRPr="00811C12" w:rsidRDefault="00C6090C" w:rsidP="00824CDD">
      <w:pPr>
        <w:pStyle w:val="Heading6"/>
      </w:pPr>
      <w:r>
        <w:lastRenderedPageBreak/>
        <w:t>Conceptual</w:t>
      </w:r>
      <w:r w:rsidR="25336822">
        <w:t xml:space="preserve"> drivers of </w:t>
      </w:r>
      <w:r w:rsidR="35C3ED68">
        <w:t>urban transport spending</w:t>
      </w:r>
    </w:p>
    <w:p w14:paraId="2ED1E377" w14:textId="084722F3" w:rsidR="00CC50AA" w:rsidRPr="00F57639" w:rsidRDefault="005B37F4">
      <w:pPr>
        <w:pStyle w:val="CGCNumberedPara"/>
        <w:rPr>
          <w:rFonts w:ascii="Work Sans" w:hAnsi="Work Sans"/>
          <w:sz w:val="20"/>
          <w:szCs w:val="20"/>
        </w:rPr>
      </w:pPr>
      <w:bookmarkStart w:id="13" w:name="_Hlk178692384"/>
      <w:r w:rsidRPr="00F57639">
        <w:rPr>
          <w:rFonts w:ascii="Work Sans" w:hAnsi="Work Sans"/>
          <w:sz w:val="20"/>
          <w:szCs w:val="20"/>
        </w:rPr>
        <w:t xml:space="preserve">The variables selected for use in the regression model </w:t>
      </w:r>
      <w:r w:rsidR="00FF7F17" w:rsidRPr="00F57639">
        <w:rPr>
          <w:rFonts w:ascii="Work Sans" w:hAnsi="Work Sans"/>
          <w:sz w:val="20"/>
          <w:szCs w:val="20"/>
        </w:rPr>
        <w:t>are</w:t>
      </w:r>
      <w:r w:rsidRPr="00F57639">
        <w:rPr>
          <w:rFonts w:ascii="Work Sans" w:hAnsi="Work Sans"/>
          <w:sz w:val="20"/>
          <w:szCs w:val="20"/>
        </w:rPr>
        <w:t xml:space="preserve"> based on the conceptual drivers of urban transport spending. </w:t>
      </w:r>
      <w:r w:rsidR="0022102F" w:rsidRPr="00F57639">
        <w:rPr>
          <w:rFonts w:ascii="Work Sans" w:eastAsia="Work Sans" w:hAnsi="Work Sans" w:cs="Work Sans"/>
          <w:sz w:val="20"/>
          <w:szCs w:val="20"/>
        </w:rPr>
        <w:t>They are</w:t>
      </w:r>
      <w:r w:rsidR="00A10805" w:rsidRPr="00F57639">
        <w:rPr>
          <w:rFonts w:ascii="Work Sans" w:eastAsia="Work Sans" w:hAnsi="Work Sans" w:cs="Work Sans"/>
          <w:sz w:val="20"/>
          <w:szCs w:val="20"/>
        </w:rPr>
        <w:t>:</w:t>
      </w:r>
      <w:r w:rsidRPr="00F57639">
        <w:rPr>
          <w:rFonts w:ascii="Work Sans" w:eastAsia="Work Sans" w:hAnsi="Work Sans" w:cs="Work Sans"/>
          <w:sz w:val="20"/>
          <w:szCs w:val="20"/>
        </w:rPr>
        <w:t xml:space="preserve"> demand for urban transport, supply of urban transport services, network complexity, topography and the presence of transport modes. </w:t>
      </w:r>
      <w:r w:rsidR="5B4D8D16" w:rsidRPr="00F57639">
        <w:rPr>
          <w:rFonts w:ascii="Work Sans" w:eastAsia="Work Sans" w:hAnsi="Work Sans" w:cs="Work Sans"/>
          <w:sz w:val="20"/>
          <w:szCs w:val="20"/>
        </w:rPr>
        <w:t xml:space="preserve">To capture these characteristics, proxy variables </w:t>
      </w:r>
      <w:r w:rsidR="001E5BEC" w:rsidRPr="00F57639">
        <w:rPr>
          <w:rFonts w:ascii="Work Sans" w:eastAsia="Work Sans" w:hAnsi="Work Sans" w:cs="Work Sans"/>
          <w:sz w:val="20"/>
          <w:szCs w:val="20"/>
        </w:rPr>
        <w:t>are</w:t>
      </w:r>
      <w:r w:rsidR="002916A7" w:rsidRPr="00F57639">
        <w:rPr>
          <w:rFonts w:ascii="Work Sans" w:eastAsia="Work Sans" w:hAnsi="Work Sans" w:cs="Work Sans"/>
          <w:sz w:val="20"/>
          <w:szCs w:val="20"/>
        </w:rPr>
        <w:t xml:space="preserve"> used</w:t>
      </w:r>
      <w:bookmarkEnd w:id="13"/>
      <w:r w:rsidR="002916A7" w:rsidRPr="00F57639">
        <w:rPr>
          <w:rFonts w:ascii="Work Sans" w:eastAsia="Work Sans" w:hAnsi="Work Sans" w:cs="Work Sans"/>
          <w:sz w:val="20"/>
          <w:szCs w:val="20"/>
        </w:rPr>
        <w:t xml:space="preserve">. </w:t>
      </w:r>
    </w:p>
    <w:p w14:paraId="687C9F3C" w14:textId="42362E0E" w:rsidR="5B4D8D16" w:rsidRDefault="00160F38" w:rsidP="00F85B1C">
      <w:pPr>
        <w:pStyle w:val="Heading6"/>
      </w:pPr>
      <w:r w:rsidRPr="005D32EE">
        <w:t>Proxy</w:t>
      </w:r>
      <w:r w:rsidRPr="003F3461">
        <w:t xml:space="preserve"> variables</w:t>
      </w:r>
      <w:r w:rsidR="00C24B1F">
        <w:t xml:space="preserve"> to capture drivers of urban transport spending</w:t>
      </w:r>
    </w:p>
    <w:p w14:paraId="0906C236" w14:textId="224317A6" w:rsidR="001F52CA" w:rsidRPr="001F52CA" w:rsidRDefault="001F52CA" w:rsidP="001F52CA">
      <w:pPr>
        <w:pStyle w:val="CGCNumberedPara"/>
        <w:rPr>
          <w:rFonts w:ascii="Work Sans" w:hAnsi="Work Sans"/>
          <w:sz w:val="20"/>
          <w:szCs w:val="20"/>
        </w:rPr>
      </w:pPr>
      <w:bookmarkStart w:id="14" w:name="_Hlk178692474"/>
      <w:r w:rsidRPr="001F52CA">
        <w:rPr>
          <w:rFonts w:ascii="Work Sans" w:hAnsi="Work Sans"/>
          <w:sz w:val="20"/>
          <w:szCs w:val="20"/>
        </w:rPr>
        <w:t>Figure 3 shows the proxy variables used to capture drivers.</w:t>
      </w:r>
    </w:p>
    <w:p w14:paraId="6ADF3C06" w14:textId="445EE450" w:rsidR="00BD68E9" w:rsidRPr="009E6DFE" w:rsidRDefault="00BD68E9" w:rsidP="007179B7">
      <w:pPr>
        <w:pStyle w:val="CGC2025Caption"/>
        <w:keepNext/>
        <w:tabs>
          <w:tab w:val="left" w:pos="1418"/>
        </w:tabs>
        <w:ind w:left="1418" w:hanging="1418"/>
      </w:pPr>
      <w:bookmarkStart w:id="15" w:name="_Ref132915077"/>
      <w:bookmarkStart w:id="16" w:name="_Ref138763044"/>
      <w:bookmarkEnd w:id="14"/>
      <w:r w:rsidRPr="004B3E54">
        <w:t xml:space="preserve">Figure </w:t>
      </w:r>
      <w:bookmarkEnd w:id="15"/>
      <w:bookmarkEnd w:id="16"/>
      <w:r w:rsidR="00651B25">
        <w:t>3</w:t>
      </w:r>
      <w:r>
        <w:tab/>
      </w:r>
      <w:r w:rsidRPr="00F91A96">
        <w:t>Urban centre characteristics recognised in the transport regression model and the explanatory variables used to represent them</w:t>
      </w:r>
    </w:p>
    <w:p w14:paraId="4A738506" w14:textId="73830320" w:rsidR="00FC7D88" w:rsidRDefault="009C51F4" w:rsidP="00895DB6">
      <w:r>
        <w:rPr>
          <w:noProof/>
        </w:rPr>
        <w:drawing>
          <wp:inline distT="0" distB="0" distL="0" distR="0" wp14:anchorId="63780BE0" wp14:editId="291E4A41">
            <wp:extent cx="5886081" cy="1364086"/>
            <wp:effectExtent l="0" t="0" r="635" b="0"/>
            <wp:docPr id="6852695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730" cy="1374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C0580" w14:textId="31B445C8" w:rsidR="528E4083" w:rsidRPr="00B847D4" w:rsidRDefault="004307DF" w:rsidP="001F52CA">
      <w:pPr>
        <w:pStyle w:val="CGCNumberedPara"/>
        <w:rPr>
          <w:rFonts w:ascii="Work Sans" w:hAnsi="Work Sans"/>
          <w:sz w:val="20"/>
          <w:szCs w:val="20"/>
        </w:rPr>
      </w:pPr>
      <w:r w:rsidRPr="00B847D4">
        <w:rPr>
          <w:rFonts w:ascii="Work Sans" w:hAnsi="Work Sans"/>
          <w:b/>
          <w:sz w:val="20"/>
          <w:szCs w:val="20"/>
        </w:rPr>
        <w:t>De</w:t>
      </w:r>
      <w:r w:rsidR="00C7604A" w:rsidRPr="00B847D4">
        <w:rPr>
          <w:rFonts w:ascii="Work Sans" w:hAnsi="Work Sans"/>
          <w:b/>
          <w:sz w:val="20"/>
          <w:szCs w:val="20"/>
        </w:rPr>
        <w:t>mand</w:t>
      </w:r>
      <w:r w:rsidR="00C06C44" w:rsidRPr="00B847D4">
        <w:rPr>
          <w:rFonts w:ascii="Work Sans" w:hAnsi="Work Sans"/>
          <w:sz w:val="20"/>
          <w:szCs w:val="20"/>
        </w:rPr>
        <w:t xml:space="preserve"> is </w:t>
      </w:r>
      <w:r w:rsidR="00730FB1" w:rsidRPr="00B847D4">
        <w:rPr>
          <w:rFonts w:ascii="Work Sans" w:hAnsi="Work Sans"/>
          <w:sz w:val="20"/>
          <w:szCs w:val="20"/>
        </w:rPr>
        <w:t xml:space="preserve">captured </w:t>
      </w:r>
      <w:r w:rsidR="00C06C44" w:rsidRPr="00B847D4">
        <w:rPr>
          <w:rFonts w:ascii="Work Sans" w:hAnsi="Work Sans"/>
          <w:sz w:val="20"/>
          <w:szCs w:val="20"/>
        </w:rPr>
        <w:t xml:space="preserve">by </w:t>
      </w:r>
      <w:r w:rsidR="00CF016E">
        <w:rPr>
          <w:rFonts w:ascii="Work Sans" w:hAnsi="Work Sans"/>
          <w:sz w:val="20"/>
          <w:szCs w:val="20"/>
        </w:rPr>
        <w:t>p</w:t>
      </w:r>
      <w:r w:rsidR="00CB4298" w:rsidRPr="00B847D4">
        <w:rPr>
          <w:rFonts w:ascii="Work Sans" w:hAnsi="Work Sans"/>
          <w:sz w:val="20"/>
          <w:szCs w:val="20"/>
        </w:rPr>
        <w:t>op</w:t>
      </w:r>
      <w:r w:rsidR="528E4083" w:rsidRPr="00B847D4">
        <w:rPr>
          <w:rFonts w:ascii="Work Sans" w:hAnsi="Work Sans"/>
          <w:sz w:val="20"/>
          <w:szCs w:val="20"/>
        </w:rPr>
        <w:t>ulation</w:t>
      </w:r>
      <w:r w:rsidR="00163563">
        <w:rPr>
          <w:rFonts w:ascii="Work Sans" w:hAnsi="Work Sans"/>
          <w:sz w:val="20"/>
          <w:szCs w:val="20"/>
        </w:rPr>
        <w:t>-</w:t>
      </w:r>
      <w:r w:rsidR="528E4083" w:rsidRPr="00B847D4">
        <w:rPr>
          <w:rFonts w:ascii="Work Sans" w:hAnsi="Work Sans"/>
          <w:sz w:val="20"/>
          <w:szCs w:val="20"/>
        </w:rPr>
        <w:t>weighted density</w:t>
      </w:r>
      <w:r w:rsidR="003A2090" w:rsidRPr="00B847D4">
        <w:rPr>
          <w:rFonts w:ascii="Work Sans" w:hAnsi="Work Sans"/>
          <w:sz w:val="20"/>
          <w:szCs w:val="20"/>
        </w:rPr>
        <w:t>.</w:t>
      </w:r>
      <w:r w:rsidR="00E200F1" w:rsidRPr="00B847D4">
        <w:rPr>
          <w:rFonts w:ascii="Work Sans" w:hAnsi="Work Sans"/>
          <w:sz w:val="20"/>
          <w:szCs w:val="20"/>
        </w:rPr>
        <w:t xml:space="preserve"> Higher density is associated with an increase in congestion on public roads, and a greater reliance on public transport. Th</w:t>
      </w:r>
      <w:r w:rsidR="004B4AF6">
        <w:rPr>
          <w:rFonts w:ascii="Work Sans" w:hAnsi="Work Sans"/>
          <w:sz w:val="20"/>
          <w:szCs w:val="20"/>
        </w:rPr>
        <w:t xml:space="preserve">is higher </w:t>
      </w:r>
      <w:r w:rsidR="00E200F1" w:rsidRPr="00B847D4">
        <w:rPr>
          <w:rFonts w:ascii="Work Sans" w:hAnsi="Work Sans"/>
          <w:sz w:val="20"/>
          <w:szCs w:val="20"/>
        </w:rPr>
        <w:t>demand for public transport necessitates the use of more frequent or higher capacity public transport services, which raises net expenses.</w:t>
      </w:r>
      <w:r w:rsidR="0094529D" w:rsidRPr="00B847D4">
        <w:rPr>
          <w:rFonts w:ascii="Work Sans" w:hAnsi="Work Sans"/>
          <w:sz w:val="20"/>
          <w:szCs w:val="20"/>
        </w:rPr>
        <w:t xml:space="preserve"> </w:t>
      </w:r>
    </w:p>
    <w:p w14:paraId="7DDE9CCB" w14:textId="611D3996" w:rsidR="00A26C2B" w:rsidRDefault="009B7A87" w:rsidP="001F52CA">
      <w:pPr>
        <w:pStyle w:val="CGCNumberedPara"/>
        <w:rPr>
          <w:rFonts w:ascii="Work Sans" w:hAnsi="Work Sans"/>
          <w:sz w:val="20"/>
          <w:szCs w:val="20"/>
        </w:rPr>
      </w:pPr>
      <w:r w:rsidRPr="00B847D4">
        <w:rPr>
          <w:rFonts w:ascii="Work Sans" w:hAnsi="Work Sans"/>
          <w:b/>
          <w:sz w:val="20"/>
          <w:szCs w:val="20"/>
        </w:rPr>
        <w:t xml:space="preserve">Supply </w:t>
      </w:r>
      <w:r w:rsidR="007E199F" w:rsidRPr="00B847D4">
        <w:rPr>
          <w:rFonts w:ascii="Work Sans" w:hAnsi="Work Sans"/>
          <w:sz w:val="20"/>
          <w:szCs w:val="20"/>
        </w:rPr>
        <w:t xml:space="preserve">is </w:t>
      </w:r>
      <w:r w:rsidR="00730FB1" w:rsidRPr="00B847D4">
        <w:rPr>
          <w:rFonts w:ascii="Work Sans" w:hAnsi="Work Sans"/>
          <w:sz w:val="20"/>
          <w:szCs w:val="20"/>
        </w:rPr>
        <w:t>captured</w:t>
      </w:r>
      <w:r w:rsidR="007E199F" w:rsidRPr="001F52CA">
        <w:rPr>
          <w:rFonts w:ascii="Work Sans" w:hAnsi="Work Sans"/>
          <w:sz w:val="20"/>
          <w:szCs w:val="20"/>
        </w:rPr>
        <w:t xml:space="preserve"> by </w:t>
      </w:r>
      <w:r w:rsidR="00730FB1" w:rsidRPr="001F52CA">
        <w:rPr>
          <w:rFonts w:ascii="Work Sans" w:hAnsi="Work Sans"/>
          <w:sz w:val="20"/>
          <w:szCs w:val="20"/>
        </w:rPr>
        <w:t>h</w:t>
      </w:r>
      <w:r w:rsidR="007E199F" w:rsidRPr="001F52CA">
        <w:rPr>
          <w:rFonts w:ascii="Work Sans" w:hAnsi="Work Sans"/>
          <w:sz w:val="20"/>
          <w:szCs w:val="20"/>
        </w:rPr>
        <w:t xml:space="preserve">eavy rail passenger numbers </w:t>
      </w:r>
      <w:r w:rsidR="001D1883" w:rsidRPr="001F52CA">
        <w:rPr>
          <w:rFonts w:ascii="Work Sans" w:hAnsi="Work Sans"/>
          <w:sz w:val="20"/>
          <w:szCs w:val="20"/>
        </w:rPr>
        <w:t xml:space="preserve">and </w:t>
      </w:r>
      <w:r w:rsidR="00730FB1" w:rsidRPr="001F52CA">
        <w:rPr>
          <w:rFonts w:ascii="Work Sans" w:hAnsi="Work Sans"/>
          <w:sz w:val="20"/>
          <w:szCs w:val="20"/>
        </w:rPr>
        <w:t>b</w:t>
      </w:r>
      <w:r w:rsidR="001D1883" w:rsidRPr="001F52CA">
        <w:rPr>
          <w:rFonts w:ascii="Work Sans" w:hAnsi="Work Sans"/>
          <w:sz w:val="20"/>
          <w:szCs w:val="20"/>
        </w:rPr>
        <w:t>us and light rail passenger numbers</w:t>
      </w:r>
      <w:r w:rsidR="00AA09CB">
        <w:rPr>
          <w:rFonts w:ascii="Work Sans" w:hAnsi="Work Sans"/>
          <w:sz w:val="20"/>
          <w:szCs w:val="20"/>
        </w:rPr>
        <w:t>.</w:t>
      </w:r>
      <w:r w:rsidR="00243C1F">
        <w:rPr>
          <w:rStyle w:val="FootnoteReference"/>
        </w:rPr>
        <w:footnoteReference w:id="5"/>
      </w:r>
      <w:r w:rsidR="00AA09AD">
        <w:rPr>
          <w:rFonts w:ascii="Work Sans" w:hAnsi="Work Sans"/>
          <w:sz w:val="20"/>
          <w:szCs w:val="20"/>
        </w:rPr>
        <w:t xml:space="preserve"> </w:t>
      </w:r>
      <w:r w:rsidR="00775115">
        <w:rPr>
          <w:rFonts w:ascii="Work Sans" w:hAnsi="Work Sans"/>
          <w:sz w:val="20"/>
          <w:szCs w:val="20"/>
        </w:rPr>
        <w:t>H</w:t>
      </w:r>
      <w:r w:rsidR="00A26C2B" w:rsidRPr="001F52CA">
        <w:rPr>
          <w:rFonts w:ascii="Work Sans" w:hAnsi="Work Sans"/>
          <w:sz w:val="20"/>
          <w:szCs w:val="20"/>
        </w:rPr>
        <w:t xml:space="preserve">eavy rail </w:t>
      </w:r>
      <w:r w:rsidR="009F3989">
        <w:rPr>
          <w:rFonts w:ascii="Work Sans" w:hAnsi="Work Sans"/>
          <w:sz w:val="20"/>
          <w:szCs w:val="20"/>
        </w:rPr>
        <w:t>accounts for</w:t>
      </w:r>
      <w:r w:rsidR="00A26C2B" w:rsidRPr="001F52CA">
        <w:rPr>
          <w:rFonts w:ascii="Work Sans" w:hAnsi="Work Sans"/>
          <w:sz w:val="20"/>
          <w:szCs w:val="20"/>
        </w:rPr>
        <w:t xml:space="preserve"> high-capacity public transport, while bus and light rail services </w:t>
      </w:r>
      <w:r w:rsidR="009F3989">
        <w:rPr>
          <w:rFonts w:ascii="Work Sans" w:hAnsi="Work Sans"/>
          <w:sz w:val="20"/>
          <w:szCs w:val="20"/>
        </w:rPr>
        <w:t>account for</w:t>
      </w:r>
      <w:r w:rsidR="00A26C2B" w:rsidRPr="001F52CA">
        <w:rPr>
          <w:rFonts w:ascii="Work Sans" w:hAnsi="Work Sans"/>
          <w:sz w:val="20"/>
          <w:szCs w:val="20"/>
        </w:rPr>
        <w:t xml:space="preserve"> low-capacity </w:t>
      </w:r>
      <w:r w:rsidR="009F3989">
        <w:rPr>
          <w:rFonts w:ascii="Work Sans" w:hAnsi="Work Sans"/>
          <w:sz w:val="20"/>
          <w:szCs w:val="20"/>
        </w:rPr>
        <w:t>public transport</w:t>
      </w:r>
      <w:r w:rsidR="00A26C2B" w:rsidRPr="001F52CA">
        <w:rPr>
          <w:rFonts w:ascii="Work Sans" w:hAnsi="Work Sans"/>
          <w:sz w:val="20"/>
          <w:szCs w:val="20"/>
        </w:rPr>
        <w:t xml:space="preserve">. </w:t>
      </w:r>
      <w:r w:rsidR="00D60076">
        <w:rPr>
          <w:rFonts w:ascii="Work Sans" w:hAnsi="Work Sans"/>
          <w:sz w:val="20"/>
          <w:szCs w:val="20"/>
        </w:rPr>
        <w:t>This</w:t>
      </w:r>
      <w:r w:rsidR="00A26C2B" w:rsidRPr="001F52CA">
        <w:rPr>
          <w:rFonts w:ascii="Work Sans" w:hAnsi="Work Sans"/>
          <w:sz w:val="20"/>
          <w:szCs w:val="20"/>
        </w:rPr>
        <w:t xml:space="preserve"> recognises that once cities become sufficiently large</w:t>
      </w:r>
      <w:r w:rsidR="00A36F23">
        <w:rPr>
          <w:rFonts w:ascii="Work Sans" w:hAnsi="Work Sans"/>
          <w:sz w:val="20"/>
          <w:szCs w:val="20"/>
        </w:rPr>
        <w:t>,</w:t>
      </w:r>
      <w:r w:rsidR="00A26C2B" w:rsidRPr="001F52CA">
        <w:rPr>
          <w:rFonts w:ascii="Work Sans" w:hAnsi="Work Sans"/>
          <w:sz w:val="20"/>
          <w:szCs w:val="20"/>
        </w:rPr>
        <w:t xml:space="preserve"> heavy rail networks are unavoidable. Bus and light rail passengers are combined into a single measure as they are substitute forms of transport.</w:t>
      </w:r>
      <w:r w:rsidR="0093211D" w:rsidRPr="001F52CA">
        <w:rPr>
          <w:rFonts w:ascii="Work Sans" w:hAnsi="Work Sans"/>
          <w:sz w:val="20"/>
          <w:szCs w:val="20"/>
        </w:rPr>
        <w:t xml:space="preserve"> </w:t>
      </w:r>
    </w:p>
    <w:p w14:paraId="68EEB894" w14:textId="77777777" w:rsidR="528E4083" w:rsidRPr="001F52CA" w:rsidRDefault="00747FE7" w:rsidP="001F52CA">
      <w:pPr>
        <w:pStyle w:val="CGCNumberedPara"/>
        <w:rPr>
          <w:rFonts w:ascii="Work Sans" w:hAnsi="Work Sans"/>
          <w:sz w:val="20"/>
          <w:szCs w:val="20"/>
        </w:rPr>
      </w:pPr>
      <w:r w:rsidRPr="001F52CA">
        <w:rPr>
          <w:rFonts w:ascii="Work Sans" w:hAnsi="Work Sans"/>
          <w:b/>
          <w:sz w:val="20"/>
          <w:szCs w:val="20"/>
        </w:rPr>
        <w:t>Presence of transport modes</w:t>
      </w:r>
      <w:r w:rsidRPr="001F52CA">
        <w:rPr>
          <w:rFonts w:ascii="Work Sans" w:hAnsi="Work Sans"/>
          <w:sz w:val="20"/>
          <w:szCs w:val="20"/>
        </w:rPr>
        <w:t xml:space="preserve"> is represented by a </w:t>
      </w:r>
      <w:r w:rsidR="00871CFC" w:rsidRPr="001F52CA">
        <w:rPr>
          <w:rFonts w:ascii="Work Sans" w:hAnsi="Work Sans"/>
          <w:sz w:val="20"/>
          <w:szCs w:val="20"/>
        </w:rPr>
        <w:t>f</w:t>
      </w:r>
      <w:r w:rsidRPr="001F52CA">
        <w:rPr>
          <w:rFonts w:ascii="Work Sans" w:hAnsi="Work Sans"/>
          <w:sz w:val="20"/>
          <w:szCs w:val="20"/>
        </w:rPr>
        <w:t xml:space="preserve">erry dummy </w:t>
      </w:r>
      <w:r w:rsidR="006D36DB" w:rsidRPr="001F52CA">
        <w:rPr>
          <w:rFonts w:ascii="Work Sans" w:hAnsi="Work Sans"/>
          <w:sz w:val="20"/>
          <w:szCs w:val="20"/>
        </w:rPr>
        <w:t xml:space="preserve">variable </w:t>
      </w:r>
      <w:r w:rsidR="006D36DB" w:rsidRPr="001F52CA">
        <w:rPr>
          <w:rFonts w:ascii="Work Sans" w:eastAsiaTheme="minorEastAsia" w:hAnsi="Work Sans"/>
          <w:sz w:val="20"/>
          <w:szCs w:val="20"/>
        </w:rPr>
        <w:t>to ensure the model captures all transport modes</w:t>
      </w:r>
      <w:r w:rsidR="009E1620" w:rsidRPr="001F52CA">
        <w:rPr>
          <w:rFonts w:ascii="Work Sans" w:eastAsiaTheme="minorEastAsia" w:hAnsi="Work Sans"/>
          <w:sz w:val="20"/>
          <w:szCs w:val="20"/>
        </w:rPr>
        <w:t>.</w:t>
      </w:r>
      <w:r w:rsidR="001C670B" w:rsidRPr="001F52CA">
        <w:rPr>
          <w:rFonts w:ascii="Work Sans" w:eastAsiaTheme="minorEastAsia" w:hAnsi="Work Sans"/>
          <w:sz w:val="20"/>
          <w:szCs w:val="20"/>
        </w:rPr>
        <w:t xml:space="preserve"> </w:t>
      </w:r>
    </w:p>
    <w:p w14:paraId="7CDDC2FA" w14:textId="0D4C9125" w:rsidR="001C670B" w:rsidRPr="001F52CA" w:rsidRDefault="001C670B" w:rsidP="001F52CA">
      <w:pPr>
        <w:pStyle w:val="CGCNumberedPara"/>
        <w:rPr>
          <w:rFonts w:ascii="Work Sans" w:hAnsi="Work Sans"/>
          <w:sz w:val="20"/>
          <w:szCs w:val="20"/>
        </w:rPr>
      </w:pPr>
      <w:r w:rsidRPr="001F52CA">
        <w:rPr>
          <w:rFonts w:ascii="Work Sans" w:hAnsi="Work Sans"/>
          <w:b/>
          <w:sz w:val="20"/>
          <w:szCs w:val="20"/>
        </w:rPr>
        <w:t>Topography</w:t>
      </w:r>
      <w:r w:rsidR="00730FB1" w:rsidRPr="001F52CA">
        <w:rPr>
          <w:rFonts w:ascii="Work Sans" w:hAnsi="Work Sans"/>
          <w:b/>
          <w:sz w:val="20"/>
          <w:szCs w:val="20"/>
        </w:rPr>
        <w:t xml:space="preserve"> </w:t>
      </w:r>
      <w:r w:rsidR="00730FB1" w:rsidRPr="001F52CA">
        <w:rPr>
          <w:rFonts w:ascii="Work Sans" w:hAnsi="Work Sans"/>
          <w:sz w:val="20"/>
          <w:szCs w:val="20"/>
        </w:rPr>
        <w:t xml:space="preserve">is captured by </w:t>
      </w:r>
      <w:r w:rsidR="005B39C0" w:rsidRPr="001F52CA">
        <w:rPr>
          <w:rFonts w:ascii="Work Sans" w:hAnsi="Work Sans"/>
          <w:sz w:val="20"/>
          <w:szCs w:val="20"/>
        </w:rPr>
        <w:t>s</w:t>
      </w:r>
      <w:r w:rsidRPr="001F52CA">
        <w:rPr>
          <w:rFonts w:ascii="Work Sans" w:hAnsi="Work Sans"/>
          <w:sz w:val="20"/>
          <w:szCs w:val="20"/>
        </w:rPr>
        <w:t>lope</w:t>
      </w:r>
      <w:r w:rsidR="005B39C0" w:rsidRPr="001F52CA">
        <w:rPr>
          <w:rFonts w:ascii="Work Sans" w:hAnsi="Work Sans"/>
          <w:sz w:val="20"/>
          <w:szCs w:val="20"/>
        </w:rPr>
        <w:t xml:space="preserve">. Slope </w:t>
      </w:r>
      <w:r w:rsidRPr="001F52CA">
        <w:rPr>
          <w:rFonts w:ascii="Work Sans" w:hAnsi="Work Sans"/>
          <w:sz w:val="20"/>
          <w:szCs w:val="20"/>
        </w:rPr>
        <w:t>reflects differences in the topographic features of urban areas</w:t>
      </w:r>
      <w:r w:rsidR="00810871">
        <w:rPr>
          <w:rFonts w:ascii="Work Sans" w:hAnsi="Work Sans"/>
          <w:sz w:val="20"/>
          <w:szCs w:val="20"/>
        </w:rPr>
        <w:t>,</w:t>
      </w:r>
      <w:r w:rsidRPr="001F52CA">
        <w:rPr>
          <w:rFonts w:ascii="Work Sans" w:hAnsi="Work Sans"/>
          <w:sz w:val="20"/>
          <w:szCs w:val="20"/>
        </w:rPr>
        <w:t xml:space="preserve"> which can influence transport spending</w:t>
      </w:r>
      <w:r w:rsidR="00826B50" w:rsidRPr="001F52CA">
        <w:rPr>
          <w:rFonts w:ascii="Work Sans" w:hAnsi="Work Sans"/>
          <w:sz w:val="20"/>
          <w:szCs w:val="20"/>
        </w:rPr>
        <w:t>.</w:t>
      </w:r>
    </w:p>
    <w:p w14:paraId="1FA13255" w14:textId="18C29BC0" w:rsidR="528E4083" w:rsidRPr="001F52CA" w:rsidRDefault="00513154" w:rsidP="001F52CA">
      <w:pPr>
        <w:pStyle w:val="CGCNumberedPara"/>
        <w:rPr>
          <w:rFonts w:ascii="Work Sans" w:hAnsi="Work Sans"/>
          <w:sz w:val="20"/>
          <w:szCs w:val="20"/>
        </w:rPr>
      </w:pPr>
      <w:bookmarkStart w:id="17" w:name="_Hlk178692581"/>
      <w:r w:rsidRPr="001F52CA">
        <w:rPr>
          <w:rFonts w:ascii="Work Sans" w:hAnsi="Work Sans"/>
          <w:b/>
          <w:sz w:val="20"/>
          <w:szCs w:val="20"/>
        </w:rPr>
        <w:t>Network complexity</w:t>
      </w:r>
      <w:r w:rsidRPr="001F52CA">
        <w:rPr>
          <w:rFonts w:ascii="Work Sans" w:hAnsi="Work Sans"/>
          <w:sz w:val="20"/>
          <w:szCs w:val="20"/>
        </w:rPr>
        <w:t xml:space="preserve"> </w:t>
      </w:r>
      <w:r w:rsidR="00C730E9" w:rsidRPr="001F52CA">
        <w:rPr>
          <w:rFonts w:ascii="Work Sans" w:hAnsi="Work Sans"/>
          <w:sz w:val="20"/>
          <w:szCs w:val="20"/>
        </w:rPr>
        <w:t>is captured by d</w:t>
      </w:r>
      <w:r w:rsidR="528E4083" w:rsidRPr="001F52CA">
        <w:rPr>
          <w:rFonts w:ascii="Work Sans" w:hAnsi="Work Sans"/>
          <w:sz w:val="20"/>
          <w:szCs w:val="20"/>
        </w:rPr>
        <w:t>istance to work</w:t>
      </w:r>
      <w:r w:rsidR="00C730E9" w:rsidRPr="001F52CA">
        <w:rPr>
          <w:rFonts w:ascii="Work Sans" w:hAnsi="Work Sans"/>
          <w:sz w:val="20"/>
          <w:szCs w:val="20"/>
        </w:rPr>
        <w:t xml:space="preserve">. </w:t>
      </w:r>
      <w:r w:rsidR="00C20311" w:rsidRPr="001F52CA">
        <w:rPr>
          <w:rFonts w:ascii="Work Sans" w:hAnsi="Work Sans"/>
          <w:sz w:val="20"/>
          <w:szCs w:val="20"/>
        </w:rPr>
        <w:t>It reflects increased</w:t>
      </w:r>
      <w:r w:rsidR="00A26C2B" w:rsidRPr="001F52CA">
        <w:rPr>
          <w:rFonts w:ascii="Work Sans" w:hAnsi="Work Sans"/>
          <w:sz w:val="20"/>
          <w:szCs w:val="20"/>
        </w:rPr>
        <w:t xml:space="preserve"> costs associated with the greater complexity of transport networks. As urban cities extend</w:t>
      </w:r>
      <w:r w:rsidR="00C730E9" w:rsidRPr="001F52CA">
        <w:rPr>
          <w:rFonts w:ascii="Work Sans" w:hAnsi="Work Sans"/>
          <w:sz w:val="20"/>
          <w:szCs w:val="20"/>
        </w:rPr>
        <w:t>,</w:t>
      </w:r>
      <w:r w:rsidR="00A26C2B" w:rsidRPr="001F52CA">
        <w:rPr>
          <w:rFonts w:ascii="Work Sans" w:hAnsi="Work Sans"/>
          <w:sz w:val="20"/>
          <w:szCs w:val="20"/>
        </w:rPr>
        <w:t xml:space="preserve"> the complexity of individual trips increases, often requiring multi-modal interchanges and routes.</w:t>
      </w:r>
    </w:p>
    <w:bookmarkEnd w:id="17"/>
    <w:p w14:paraId="692DF33A" w14:textId="3ED2AFF6" w:rsidR="003954F9" w:rsidRDefault="007B0FBC" w:rsidP="000F615A">
      <w:pPr>
        <w:pStyle w:val="Heading6"/>
      </w:pPr>
      <w:r>
        <w:t xml:space="preserve">How variables are measured </w:t>
      </w:r>
      <w:r w:rsidR="008B7CA6">
        <w:t xml:space="preserve">for use in the </w:t>
      </w:r>
      <w:r w:rsidR="003B3197">
        <w:t xml:space="preserve">urban centre characteristics </w:t>
      </w:r>
      <w:r w:rsidR="008B7CA6">
        <w:t>regression</w:t>
      </w:r>
    </w:p>
    <w:p w14:paraId="690ECC47" w14:textId="4ACF27B6" w:rsidR="001F52CA" w:rsidRPr="00CD18B8" w:rsidRDefault="001F52CA" w:rsidP="001F52CA">
      <w:pPr>
        <w:pStyle w:val="CGCNumberedPara"/>
        <w:rPr>
          <w:rFonts w:ascii="Work Sans" w:hAnsi="Work Sans"/>
          <w:sz w:val="20"/>
          <w:szCs w:val="20"/>
        </w:rPr>
      </w:pPr>
      <w:r w:rsidRPr="001F52CA">
        <w:rPr>
          <w:rFonts w:ascii="Work Sans" w:hAnsi="Work Sans"/>
          <w:sz w:val="20"/>
          <w:szCs w:val="20"/>
        </w:rPr>
        <w:t>Variables are derived for all urban areas across Australia. The assessment uses the</w:t>
      </w:r>
      <w:r w:rsidR="00960BFA">
        <w:rPr>
          <w:rFonts w:ascii="Work Sans" w:hAnsi="Work Sans"/>
          <w:sz w:val="20"/>
          <w:szCs w:val="20"/>
        </w:rPr>
        <w:t xml:space="preserve"> </w:t>
      </w:r>
      <w:r w:rsidRPr="00CD18B8">
        <w:rPr>
          <w:rFonts w:ascii="Work Sans" w:hAnsi="Work Sans"/>
          <w:sz w:val="20"/>
          <w:szCs w:val="20"/>
        </w:rPr>
        <w:t xml:space="preserve">ABS definition of an urban centre, Urban Centres and Localities contained within </w:t>
      </w:r>
      <w:r w:rsidRPr="00CD18B8">
        <w:rPr>
          <w:rFonts w:ascii="Work Sans" w:hAnsi="Work Sans"/>
          <w:sz w:val="20"/>
          <w:szCs w:val="20"/>
        </w:rPr>
        <w:lastRenderedPageBreak/>
        <w:t>Significant Urban Areas. See A</w:t>
      </w:r>
      <w:r w:rsidR="007A2D4C" w:rsidRPr="00CD18B8">
        <w:rPr>
          <w:rFonts w:ascii="Work Sans" w:hAnsi="Work Sans"/>
          <w:sz w:val="20"/>
          <w:szCs w:val="20"/>
        </w:rPr>
        <w:t>ttachment</w:t>
      </w:r>
      <w:r w:rsidRPr="00CD18B8">
        <w:rPr>
          <w:rFonts w:ascii="Work Sans" w:hAnsi="Work Sans"/>
          <w:sz w:val="20"/>
          <w:szCs w:val="20"/>
        </w:rPr>
        <w:t xml:space="preserve"> A for more details on the specification of urban areas and methods described below.</w:t>
      </w:r>
    </w:p>
    <w:p w14:paraId="07AB0137" w14:textId="6AA6C787" w:rsidR="005C3FA3" w:rsidRPr="00CD18B8" w:rsidRDefault="00EF6AC7" w:rsidP="005C3FA3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 w:rsidRPr="00CD18B8">
        <w:rPr>
          <w:rFonts w:ascii="Work Sans" w:hAnsi="Work Sans"/>
          <w:b/>
          <w:bCs/>
          <w:sz w:val="20"/>
          <w:szCs w:val="20"/>
        </w:rPr>
        <w:t>P</w:t>
      </w:r>
      <w:r w:rsidR="005C3FA3" w:rsidRPr="00CD18B8">
        <w:rPr>
          <w:rFonts w:ascii="Work Sans" w:hAnsi="Work Sans"/>
          <w:b/>
          <w:bCs/>
          <w:sz w:val="20"/>
          <w:szCs w:val="20"/>
        </w:rPr>
        <w:t>opulation</w:t>
      </w:r>
      <w:r w:rsidR="00FE15F0">
        <w:rPr>
          <w:rFonts w:ascii="Work Sans" w:hAnsi="Work Sans"/>
          <w:b/>
          <w:bCs/>
          <w:sz w:val="20"/>
          <w:szCs w:val="20"/>
        </w:rPr>
        <w:t>-</w:t>
      </w:r>
      <w:r w:rsidR="005C3FA3" w:rsidRPr="00CD18B8">
        <w:rPr>
          <w:rFonts w:ascii="Work Sans" w:hAnsi="Work Sans"/>
          <w:b/>
          <w:bCs/>
          <w:sz w:val="20"/>
          <w:szCs w:val="20"/>
        </w:rPr>
        <w:t>weighted density</w:t>
      </w:r>
      <w:r w:rsidR="00C72104" w:rsidRPr="00CD18B8">
        <w:rPr>
          <w:rFonts w:ascii="Work Sans" w:hAnsi="Work Sans"/>
          <w:b/>
          <w:bCs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density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C72104" w:rsidRPr="00CD18B8">
        <w:rPr>
          <w:rFonts w:ascii="Work Sans" w:hAnsi="Work Sans"/>
          <w:b/>
          <w:bCs/>
          <w:sz w:val="20"/>
          <w:szCs w:val="20"/>
        </w:rPr>
        <w:t>)</w:t>
      </w:r>
      <w:r w:rsidR="00C72104" w:rsidRPr="001C1B8E">
        <w:rPr>
          <w:rFonts w:ascii="Work Sans" w:hAnsi="Work Sans"/>
          <w:sz w:val="20"/>
          <w:szCs w:val="20"/>
        </w:rPr>
        <w:t>.</w:t>
      </w:r>
      <w:r w:rsidR="00BD2FB6" w:rsidRPr="00CD18B8">
        <w:rPr>
          <w:rFonts w:ascii="Work Sans" w:hAnsi="Work Sans"/>
          <w:sz w:val="20"/>
          <w:szCs w:val="20"/>
        </w:rPr>
        <w:t xml:space="preserve"> </w:t>
      </w:r>
      <w:r w:rsidR="00D00F11" w:rsidRPr="00CD18B8">
        <w:rPr>
          <w:rFonts w:ascii="Work Sans" w:hAnsi="Work Sans"/>
          <w:sz w:val="20"/>
          <w:szCs w:val="20"/>
        </w:rPr>
        <w:t>First, t</w:t>
      </w:r>
      <w:r w:rsidR="00B3662E" w:rsidRPr="00CD18B8">
        <w:rPr>
          <w:rFonts w:ascii="Work Sans" w:hAnsi="Work Sans"/>
          <w:sz w:val="20"/>
          <w:szCs w:val="20"/>
        </w:rPr>
        <w:t>he p</w:t>
      </w:r>
      <w:r w:rsidR="00F568AA" w:rsidRPr="00CD18B8">
        <w:rPr>
          <w:rFonts w:ascii="Work Sans" w:hAnsi="Work Sans"/>
          <w:sz w:val="20"/>
          <w:szCs w:val="20"/>
        </w:rPr>
        <w:t xml:space="preserve">opulation </w:t>
      </w:r>
      <w:r w:rsidR="005A5A82" w:rsidRPr="00CD18B8">
        <w:rPr>
          <w:rFonts w:ascii="Work Sans" w:hAnsi="Work Sans"/>
          <w:sz w:val="20"/>
          <w:szCs w:val="20"/>
        </w:rPr>
        <w:t>densi</w:t>
      </w:r>
      <w:r w:rsidR="00B3662E" w:rsidRPr="00CD18B8">
        <w:rPr>
          <w:rFonts w:ascii="Work Sans" w:hAnsi="Work Sans"/>
          <w:sz w:val="20"/>
          <w:szCs w:val="20"/>
        </w:rPr>
        <w:t>t</w:t>
      </w:r>
      <w:r w:rsidR="0085624D" w:rsidRPr="00CD18B8">
        <w:rPr>
          <w:rFonts w:ascii="Work Sans" w:hAnsi="Work Sans"/>
          <w:sz w:val="20"/>
          <w:szCs w:val="20"/>
        </w:rPr>
        <w:t>y</w:t>
      </w:r>
      <w:r w:rsidR="00B3662E" w:rsidRPr="00CD18B8">
        <w:rPr>
          <w:rFonts w:ascii="Work Sans" w:hAnsi="Work Sans"/>
          <w:sz w:val="20"/>
          <w:szCs w:val="20"/>
        </w:rPr>
        <w:t xml:space="preserve"> </w:t>
      </w:r>
      <w:r w:rsidR="00387032" w:rsidRPr="00CD18B8">
        <w:rPr>
          <w:rFonts w:ascii="Work Sans" w:hAnsi="Work Sans"/>
          <w:sz w:val="20"/>
          <w:szCs w:val="20"/>
        </w:rPr>
        <w:t xml:space="preserve">of </w:t>
      </w:r>
      <w:r w:rsidR="00153DB9" w:rsidRPr="00CD18B8">
        <w:rPr>
          <w:rFonts w:ascii="Work Sans" w:hAnsi="Work Sans"/>
          <w:sz w:val="20"/>
          <w:szCs w:val="20"/>
        </w:rPr>
        <w:t>cells in the square kilometre grid</w:t>
      </w:r>
      <w:r w:rsidR="00021453" w:rsidRPr="00CD18B8">
        <w:rPr>
          <w:rFonts w:ascii="Work Sans" w:hAnsi="Work Sans"/>
          <w:sz w:val="20"/>
          <w:szCs w:val="20"/>
        </w:rPr>
        <w:t xml:space="preserve"> within an </w:t>
      </w:r>
      <w:r w:rsidR="00B3662E" w:rsidRPr="00CD18B8">
        <w:rPr>
          <w:rFonts w:ascii="Work Sans" w:hAnsi="Work Sans"/>
          <w:sz w:val="20"/>
          <w:szCs w:val="20"/>
        </w:rPr>
        <w:t>urban area</w:t>
      </w:r>
      <w:r w:rsidR="00021453" w:rsidRPr="00CD18B8">
        <w:rPr>
          <w:rFonts w:ascii="Work Sans" w:hAnsi="Work Sans"/>
          <w:sz w:val="20"/>
          <w:szCs w:val="20"/>
        </w:rPr>
        <w:t xml:space="preserve"> </w:t>
      </w:r>
      <w:r w:rsidR="00AB7C8D" w:rsidRPr="00CD18B8">
        <w:rPr>
          <w:rFonts w:ascii="Work Sans" w:hAnsi="Work Sans"/>
          <w:sz w:val="20"/>
          <w:szCs w:val="20"/>
        </w:rPr>
        <w:t xml:space="preserve">is </w:t>
      </w:r>
      <w:r w:rsidR="0085624D" w:rsidRPr="00CD18B8">
        <w:rPr>
          <w:rFonts w:ascii="Work Sans" w:hAnsi="Work Sans"/>
          <w:sz w:val="20"/>
          <w:szCs w:val="20"/>
        </w:rPr>
        <w:t>calculated</w:t>
      </w:r>
      <w:r w:rsidR="00772EAD">
        <w:rPr>
          <w:rFonts w:ascii="Work Sans" w:hAnsi="Work Sans"/>
          <w:sz w:val="20"/>
          <w:szCs w:val="20"/>
        </w:rPr>
        <w:t>.</w:t>
      </w:r>
      <w:r w:rsidR="00BF2B5F" w:rsidRPr="00CD18B8">
        <w:rPr>
          <w:rStyle w:val="FootnoteReference"/>
        </w:rPr>
        <w:footnoteReference w:id="6"/>
      </w:r>
      <w:r w:rsidR="00021453" w:rsidRPr="00CD18B8">
        <w:rPr>
          <w:rFonts w:ascii="Work Sans" w:hAnsi="Work Sans"/>
          <w:sz w:val="20"/>
          <w:szCs w:val="20"/>
        </w:rPr>
        <w:t xml:space="preserve"> The density of </w:t>
      </w:r>
      <w:r w:rsidR="00305705" w:rsidRPr="00CD18B8">
        <w:rPr>
          <w:rFonts w:ascii="Work Sans" w:hAnsi="Work Sans"/>
          <w:sz w:val="20"/>
          <w:szCs w:val="20"/>
        </w:rPr>
        <w:t>the cells</w:t>
      </w:r>
      <w:r w:rsidR="00021453" w:rsidRPr="00CD18B8">
        <w:rPr>
          <w:rFonts w:ascii="Work Sans" w:hAnsi="Work Sans"/>
          <w:sz w:val="20"/>
          <w:szCs w:val="20"/>
        </w:rPr>
        <w:t xml:space="preserve"> </w:t>
      </w:r>
      <w:r w:rsidR="00C06BE8" w:rsidRPr="00CD18B8">
        <w:rPr>
          <w:rFonts w:ascii="Work Sans" w:hAnsi="Work Sans"/>
          <w:sz w:val="20"/>
          <w:szCs w:val="20"/>
        </w:rPr>
        <w:t>is</w:t>
      </w:r>
      <w:r w:rsidR="00305705" w:rsidRPr="00CD18B8">
        <w:rPr>
          <w:rFonts w:ascii="Work Sans" w:hAnsi="Work Sans"/>
          <w:sz w:val="20"/>
          <w:szCs w:val="20"/>
        </w:rPr>
        <w:t xml:space="preserve"> </w:t>
      </w:r>
      <w:r w:rsidR="00021453" w:rsidRPr="00CD18B8">
        <w:rPr>
          <w:rFonts w:ascii="Work Sans" w:hAnsi="Work Sans"/>
          <w:sz w:val="20"/>
          <w:szCs w:val="20"/>
        </w:rPr>
        <w:t xml:space="preserve">then weighted by </w:t>
      </w:r>
      <w:r w:rsidR="00305705" w:rsidRPr="00CD18B8">
        <w:rPr>
          <w:rFonts w:ascii="Work Sans" w:hAnsi="Work Sans"/>
          <w:sz w:val="20"/>
          <w:szCs w:val="20"/>
        </w:rPr>
        <w:t xml:space="preserve">their </w:t>
      </w:r>
      <w:r w:rsidR="00CF77BA" w:rsidRPr="00CD18B8">
        <w:rPr>
          <w:rFonts w:ascii="Work Sans" w:hAnsi="Work Sans"/>
          <w:sz w:val="20"/>
          <w:szCs w:val="20"/>
        </w:rPr>
        <w:t>share of the urban area</w:t>
      </w:r>
      <w:r w:rsidR="0085624D" w:rsidRPr="00CD18B8">
        <w:rPr>
          <w:rFonts w:ascii="Work Sans" w:hAnsi="Work Sans"/>
          <w:sz w:val="20"/>
          <w:szCs w:val="20"/>
        </w:rPr>
        <w:t xml:space="preserve"> population</w:t>
      </w:r>
      <w:r w:rsidR="00CF77BA" w:rsidRPr="00CD18B8">
        <w:rPr>
          <w:rFonts w:ascii="Work Sans" w:hAnsi="Work Sans"/>
          <w:sz w:val="20"/>
          <w:szCs w:val="20"/>
        </w:rPr>
        <w:t xml:space="preserve">. For example, </w:t>
      </w:r>
      <w:r w:rsidR="000F1B34" w:rsidRPr="00CD18B8">
        <w:rPr>
          <w:rFonts w:ascii="Work Sans" w:hAnsi="Work Sans"/>
          <w:sz w:val="20"/>
          <w:szCs w:val="20"/>
        </w:rPr>
        <w:t xml:space="preserve">if a </w:t>
      </w:r>
      <w:r w:rsidR="00497E7F" w:rsidRPr="00CD18B8">
        <w:rPr>
          <w:rFonts w:ascii="Work Sans" w:hAnsi="Work Sans"/>
          <w:sz w:val="20"/>
          <w:szCs w:val="20"/>
        </w:rPr>
        <w:t>cell has</w:t>
      </w:r>
      <w:r w:rsidR="00C23DA9" w:rsidRPr="00CD18B8">
        <w:rPr>
          <w:rFonts w:ascii="Work Sans" w:hAnsi="Work Sans"/>
          <w:sz w:val="20"/>
          <w:szCs w:val="20"/>
        </w:rPr>
        <w:t xml:space="preserve"> a density of</w:t>
      </w:r>
      <w:r w:rsidR="00CF77BA" w:rsidRPr="00CD18B8">
        <w:rPr>
          <w:rFonts w:ascii="Work Sans" w:hAnsi="Work Sans"/>
          <w:sz w:val="20"/>
          <w:szCs w:val="20"/>
        </w:rPr>
        <w:t xml:space="preserve"> </w:t>
      </w:r>
      <w:r w:rsidR="00F16E0E" w:rsidRPr="00CD18B8">
        <w:rPr>
          <w:rFonts w:ascii="Work Sans" w:hAnsi="Work Sans"/>
          <w:sz w:val="20"/>
          <w:szCs w:val="20"/>
        </w:rPr>
        <w:t>100</w:t>
      </w:r>
      <w:r w:rsidR="00C23DA9" w:rsidRPr="00CD18B8">
        <w:rPr>
          <w:rFonts w:ascii="Work Sans" w:hAnsi="Work Sans"/>
          <w:sz w:val="20"/>
          <w:szCs w:val="20"/>
        </w:rPr>
        <w:t xml:space="preserve"> </w:t>
      </w:r>
      <w:r w:rsidR="00BA15A7" w:rsidRPr="00CD18B8">
        <w:rPr>
          <w:rFonts w:ascii="Work Sans" w:hAnsi="Work Sans"/>
          <w:sz w:val="20"/>
          <w:szCs w:val="20"/>
        </w:rPr>
        <w:t xml:space="preserve">and </w:t>
      </w:r>
      <w:r w:rsidR="009D7D50" w:rsidRPr="00CD18B8">
        <w:rPr>
          <w:rFonts w:ascii="Work Sans" w:hAnsi="Work Sans"/>
          <w:sz w:val="20"/>
          <w:szCs w:val="20"/>
        </w:rPr>
        <w:t xml:space="preserve">a population share of </w:t>
      </w:r>
      <w:r w:rsidR="00322882" w:rsidRPr="00CD18B8">
        <w:rPr>
          <w:rFonts w:ascii="Work Sans" w:hAnsi="Work Sans"/>
          <w:sz w:val="20"/>
          <w:szCs w:val="20"/>
        </w:rPr>
        <w:t>0.1</w:t>
      </w:r>
      <w:r w:rsidR="0043351F" w:rsidRPr="00CD18B8">
        <w:rPr>
          <w:rFonts w:ascii="Work Sans" w:hAnsi="Work Sans"/>
          <w:sz w:val="20"/>
          <w:szCs w:val="20"/>
        </w:rPr>
        <w:t>,</w:t>
      </w:r>
      <w:r w:rsidR="00322882" w:rsidRPr="00CD18B8">
        <w:rPr>
          <w:rFonts w:ascii="Work Sans" w:hAnsi="Work Sans"/>
          <w:sz w:val="20"/>
          <w:szCs w:val="20"/>
        </w:rPr>
        <w:t xml:space="preserve"> </w:t>
      </w:r>
      <w:r w:rsidR="00902DCC" w:rsidRPr="00CD18B8">
        <w:rPr>
          <w:rFonts w:ascii="Work Sans" w:hAnsi="Work Sans"/>
          <w:sz w:val="20"/>
          <w:szCs w:val="20"/>
        </w:rPr>
        <w:t>its</w:t>
      </w:r>
      <w:r w:rsidR="0002372B" w:rsidRPr="00CD18B8">
        <w:rPr>
          <w:rFonts w:ascii="Work Sans" w:hAnsi="Work Sans"/>
          <w:sz w:val="20"/>
          <w:szCs w:val="20"/>
        </w:rPr>
        <w:t xml:space="preserve"> </w:t>
      </w:r>
      <w:r w:rsidR="003A6181" w:rsidRPr="00CD18B8">
        <w:rPr>
          <w:rFonts w:ascii="Work Sans" w:hAnsi="Work Sans"/>
          <w:sz w:val="20"/>
          <w:szCs w:val="20"/>
        </w:rPr>
        <w:t>contribution to</w:t>
      </w:r>
      <w:r w:rsidR="00A172FA" w:rsidRPr="00CD18B8">
        <w:rPr>
          <w:rFonts w:ascii="Work Sans" w:hAnsi="Work Sans"/>
          <w:sz w:val="20"/>
          <w:szCs w:val="20"/>
        </w:rPr>
        <w:t xml:space="preserve"> </w:t>
      </w:r>
      <w:r w:rsidR="0002372B" w:rsidRPr="00CD18B8">
        <w:rPr>
          <w:rFonts w:ascii="Work Sans" w:hAnsi="Work Sans"/>
          <w:sz w:val="20"/>
          <w:szCs w:val="20"/>
        </w:rPr>
        <w:t>population</w:t>
      </w:r>
      <w:r w:rsidR="000A2AF6">
        <w:rPr>
          <w:rFonts w:ascii="Work Sans" w:hAnsi="Work Sans"/>
          <w:sz w:val="20"/>
          <w:szCs w:val="20"/>
        </w:rPr>
        <w:t>-</w:t>
      </w:r>
      <w:r w:rsidR="00F568AA" w:rsidRPr="00CD18B8">
        <w:rPr>
          <w:rFonts w:ascii="Work Sans" w:hAnsi="Work Sans"/>
          <w:sz w:val="20"/>
          <w:szCs w:val="20"/>
        </w:rPr>
        <w:t xml:space="preserve">weighted density </w:t>
      </w:r>
      <w:r w:rsidR="00722CDB" w:rsidRPr="00CD18B8">
        <w:rPr>
          <w:rFonts w:ascii="Work Sans" w:hAnsi="Work Sans"/>
          <w:sz w:val="20"/>
          <w:szCs w:val="20"/>
        </w:rPr>
        <w:t xml:space="preserve">is </w:t>
      </w:r>
      <w:r w:rsidR="00131BE6" w:rsidRPr="00CD18B8">
        <w:rPr>
          <w:rFonts w:ascii="Work Sans" w:hAnsi="Work Sans"/>
          <w:sz w:val="20"/>
          <w:szCs w:val="20"/>
        </w:rPr>
        <w:t>10</w:t>
      </w:r>
      <w:r w:rsidR="000337F5" w:rsidRPr="00CD18B8">
        <w:rPr>
          <w:rFonts w:ascii="Work Sans" w:hAnsi="Work Sans"/>
          <w:sz w:val="20"/>
          <w:szCs w:val="20"/>
        </w:rPr>
        <w:t>. The population</w:t>
      </w:r>
      <w:r w:rsidR="000A2AF6">
        <w:rPr>
          <w:rFonts w:ascii="Work Sans" w:hAnsi="Work Sans"/>
          <w:sz w:val="20"/>
          <w:szCs w:val="20"/>
        </w:rPr>
        <w:t>-</w:t>
      </w:r>
      <w:r w:rsidR="000337F5" w:rsidRPr="00CD18B8">
        <w:rPr>
          <w:rFonts w:ascii="Work Sans" w:hAnsi="Work Sans"/>
          <w:sz w:val="20"/>
          <w:szCs w:val="20"/>
        </w:rPr>
        <w:t xml:space="preserve">weighted </w:t>
      </w:r>
      <w:r w:rsidR="00CC52D7" w:rsidRPr="00CD18B8">
        <w:rPr>
          <w:rFonts w:ascii="Work Sans" w:hAnsi="Work Sans"/>
          <w:sz w:val="20"/>
          <w:szCs w:val="20"/>
        </w:rPr>
        <w:t xml:space="preserve">density contribution </w:t>
      </w:r>
      <w:r w:rsidR="000337F5" w:rsidRPr="00CD18B8">
        <w:rPr>
          <w:rFonts w:ascii="Work Sans" w:hAnsi="Work Sans"/>
          <w:sz w:val="20"/>
          <w:szCs w:val="20"/>
        </w:rPr>
        <w:t xml:space="preserve">of </w:t>
      </w:r>
      <w:r w:rsidR="00BF2B5F" w:rsidRPr="00CD18B8">
        <w:rPr>
          <w:rFonts w:ascii="Work Sans" w:hAnsi="Work Sans"/>
          <w:sz w:val="20"/>
          <w:szCs w:val="20"/>
        </w:rPr>
        <w:t>all</w:t>
      </w:r>
      <w:r w:rsidR="002F713D" w:rsidRPr="00CD18B8">
        <w:rPr>
          <w:rFonts w:ascii="Work Sans" w:hAnsi="Work Sans"/>
          <w:sz w:val="20"/>
          <w:szCs w:val="20"/>
        </w:rPr>
        <w:t xml:space="preserve"> </w:t>
      </w:r>
      <w:r w:rsidR="00497E7F" w:rsidRPr="00CD18B8">
        <w:rPr>
          <w:rFonts w:ascii="Work Sans" w:hAnsi="Work Sans"/>
          <w:sz w:val="20"/>
          <w:szCs w:val="20"/>
        </w:rPr>
        <w:t>cells</w:t>
      </w:r>
      <w:r w:rsidR="00A815D5" w:rsidRPr="00CD18B8">
        <w:rPr>
          <w:rFonts w:ascii="Work Sans" w:hAnsi="Work Sans"/>
          <w:sz w:val="20"/>
          <w:szCs w:val="20"/>
        </w:rPr>
        <w:t xml:space="preserve"> </w:t>
      </w:r>
      <w:r w:rsidR="00497E7F" w:rsidRPr="00CD18B8">
        <w:rPr>
          <w:rFonts w:ascii="Work Sans" w:hAnsi="Work Sans"/>
          <w:sz w:val="20"/>
          <w:szCs w:val="20"/>
        </w:rPr>
        <w:t xml:space="preserve">are </w:t>
      </w:r>
      <w:r w:rsidR="002866C0" w:rsidRPr="00CD18B8">
        <w:rPr>
          <w:rFonts w:ascii="Work Sans" w:hAnsi="Work Sans"/>
          <w:sz w:val="20"/>
          <w:szCs w:val="20"/>
        </w:rPr>
        <w:t xml:space="preserve">then combined </w:t>
      </w:r>
      <w:r w:rsidR="004707D9" w:rsidRPr="00CD18B8">
        <w:rPr>
          <w:rFonts w:ascii="Work Sans" w:hAnsi="Work Sans"/>
          <w:sz w:val="20"/>
          <w:szCs w:val="20"/>
        </w:rPr>
        <w:t xml:space="preserve">to </w:t>
      </w:r>
      <w:r w:rsidR="007D2732" w:rsidRPr="00CD18B8">
        <w:rPr>
          <w:rFonts w:ascii="Work Sans" w:hAnsi="Work Sans"/>
          <w:sz w:val="20"/>
          <w:szCs w:val="20"/>
        </w:rPr>
        <w:t xml:space="preserve">derive </w:t>
      </w:r>
      <w:r w:rsidR="004707D9" w:rsidRPr="00CD18B8">
        <w:rPr>
          <w:rFonts w:ascii="Work Sans" w:hAnsi="Work Sans"/>
          <w:sz w:val="20"/>
          <w:szCs w:val="20"/>
        </w:rPr>
        <w:t>the</w:t>
      </w:r>
      <w:r w:rsidR="00463CDE" w:rsidRPr="00CD18B8">
        <w:rPr>
          <w:rFonts w:ascii="Work Sans" w:hAnsi="Work Sans"/>
          <w:sz w:val="20"/>
          <w:szCs w:val="20"/>
        </w:rPr>
        <w:t xml:space="preserve"> </w:t>
      </w:r>
      <w:r w:rsidR="00433306" w:rsidRPr="00CD18B8">
        <w:rPr>
          <w:rFonts w:ascii="Work Sans" w:hAnsi="Work Sans"/>
          <w:sz w:val="20"/>
          <w:szCs w:val="20"/>
        </w:rPr>
        <w:t>population</w:t>
      </w:r>
      <w:r w:rsidR="000A2AF6">
        <w:rPr>
          <w:rFonts w:ascii="Work Sans" w:hAnsi="Work Sans"/>
          <w:sz w:val="20"/>
          <w:szCs w:val="20"/>
        </w:rPr>
        <w:t>-</w:t>
      </w:r>
      <w:r w:rsidR="004707D9" w:rsidRPr="00CD18B8">
        <w:rPr>
          <w:rFonts w:ascii="Work Sans" w:hAnsi="Work Sans"/>
          <w:sz w:val="20"/>
          <w:szCs w:val="20"/>
        </w:rPr>
        <w:t>weighted density</w:t>
      </w:r>
      <w:r w:rsidR="003C639E" w:rsidRPr="00CD18B8">
        <w:rPr>
          <w:rFonts w:ascii="Work Sans" w:hAnsi="Work Sans"/>
          <w:sz w:val="20"/>
          <w:szCs w:val="20"/>
        </w:rPr>
        <w:t xml:space="preserve"> of </w:t>
      </w:r>
      <w:r w:rsidR="00A815D5" w:rsidRPr="00CD18B8">
        <w:rPr>
          <w:rFonts w:ascii="Work Sans" w:hAnsi="Work Sans"/>
          <w:sz w:val="20"/>
          <w:szCs w:val="20"/>
        </w:rPr>
        <w:t xml:space="preserve">an urban </w:t>
      </w:r>
      <w:r w:rsidR="003C639E" w:rsidRPr="00CD18B8">
        <w:rPr>
          <w:rFonts w:ascii="Work Sans" w:hAnsi="Work Sans"/>
          <w:sz w:val="20"/>
          <w:szCs w:val="20"/>
        </w:rPr>
        <w:t>area</w:t>
      </w:r>
      <w:r w:rsidR="00D40136" w:rsidRPr="00CD18B8">
        <w:rPr>
          <w:rFonts w:ascii="Work Sans" w:hAnsi="Work Sans"/>
          <w:sz w:val="20"/>
          <w:szCs w:val="20"/>
        </w:rPr>
        <w:t>.</w:t>
      </w:r>
      <w:r w:rsidR="00925D7F" w:rsidRPr="00CD18B8">
        <w:rPr>
          <w:rFonts w:ascii="Work Sans" w:hAnsi="Work Sans"/>
          <w:sz w:val="20"/>
          <w:szCs w:val="20"/>
        </w:rPr>
        <w:t xml:space="preserve"> </w:t>
      </w:r>
    </w:p>
    <w:p w14:paraId="673BFA0F" w14:textId="5AD4A956" w:rsidR="005C3FA3" w:rsidRDefault="00F15BA0" w:rsidP="005C3FA3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 w:rsidRPr="00CD18B8">
        <w:rPr>
          <w:rFonts w:ascii="Work Sans" w:eastAsia="Work Sans" w:hAnsi="Work Sans" w:cs="Work Sans"/>
          <w:b/>
          <w:bCs/>
          <w:sz w:val="20"/>
          <w:szCs w:val="20"/>
        </w:rPr>
        <w:t>A</w:t>
      </w:r>
      <w:r w:rsidR="005C3FA3" w:rsidRPr="00CD18B8">
        <w:rPr>
          <w:rFonts w:ascii="Work Sans" w:eastAsia="Work Sans" w:hAnsi="Work Sans" w:cs="Work Sans"/>
          <w:b/>
          <w:bCs/>
          <w:sz w:val="20"/>
          <w:szCs w:val="20"/>
        </w:rPr>
        <w:t>ctual</w:t>
      </w:r>
      <w:r w:rsidR="005C3FA3" w:rsidRPr="004A7C0E">
        <w:rPr>
          <w:rFonts w:ascii="Work Sans" w:eastAsia="Work Sans" w:hAnsi="Work Sans" w:cs="Work Sans"/>
          <w:b/>
          <w:bCs/>
          <w:sz w:val="20"/>
          <w:szCs w:val="20"/>
        </w:rPr>
        <w:t xml:space="preserve"> passenger numbers</w:t>
      </w:r>
      <w:r w:rsidR="00F70E89">
        <w:rPr>
          <w:rFonts w:ascii="Work Sans" w:eastAsia="Work Sans" w:hAnsi="Work Sans" w:cs="Work Sans"/>
          <w:b/>
          <w:bCs/>
          <w:sz w:val="20"/>
          <w:szCs w:val="20"/>
        </w:rPr>
        <w:t xml:space="preserve"> </w:t>
      </w:r>
      <w:r w:rsidR="00F70E89" w:rsidRPr="00F70E89">
        <w:rPr>
          <w:rFonts w:ascii="Work Sans" w:eastAsia="Work Sans" w:hAnsi="Work Sans" w:cs="Work Sans"/>
          <w:b/>
          <w:bCs/>
          <w:sz w:val="20"/>
          <w:szCs w:val="20"/>
        </w:rPr>
        <w:t>(</w:t>
      </w:r>
      <m:oMath>
        <m:sSub>
          <m:sSubPr>
            <m:ctrlPr>
              <w:rPr>
                <w:rFonts w:ascii="Cambria Math" w:eastAsia="Work Sans" w:hAnsi="Cambria Math" w:cs="Work Sans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eastAsia="Work Sans" w:hAnsi="Cambria Math" w:cs="Work Sans"/>
                <w:sz w:val="20"/>
                <w:szCs w:val="20"/>
              </w:rPr>
              <m:t>pax</m:t>
            </m:r>
          </m:e>
          <m:sub>
            <m:r>
              <m:rPr>
                <m:sty m:val="bi"/>
              </m:rPr>
              <w:rPr>
                <w:rFonts w:ascii="Cambria Math" w:eastAsia="Work Sans" w:hAnsi="Cambria Math" w:cs="Work Sans"/>
                <w:sz w:val="20"/>
                <w:szCs w:val="20"/>
              </w:rPr>
              <m:t>i,  B+LR</m:t>
            </m:r>
          </m:sub>
        </m:sSub>
      </m:oMath>
      <w:r w:rsidR="00F70E89" w:rsidRPr="00F70E89">
        <w:rPr>
          <w:rFonts w:ascii="Work Sans" w:eastAsia="Work Sans" w:hAnsi="Work Sans" w:cs="Work Sans"/>
          <w:b/>
          <w:bCs/>
          <w:sz w:val="20"/>
          <w:szCs w:val="20"/>
        </w:rPr>
        <w:t>)</w:t>
      </w:r>
      <w:r w:rsidR="00F70E89">
        <w:rPr>
          <w:rFonts w:ascii="Work Sans" w:eastAsia="Work Sans" w:hAnsi="Work Sans" w:cs="Work Sans"/>
          <w:b/>
          <w:bCs/>
          <w:sz w:val="20"/>
          <w:szCs w:val="20"/>
        </w:rPr>
        <w:t xml:space="preserve"> </w:t>
      </w:r>
      <w:r w:rsidR="00F70E89" w:rsidRPr="00F70E89">
        <w:rPr>
          <w:rFonts w:ascii="Work Sans" w:eastAsia="Work Sans" w:hAnsi="Work Sans" w:cs="Work Sans"/>
          <w:b/>
          <w:bCs/>
          <w:sz w:val="20"/>
          <w:szCs w:val="20"/>
        </w:rPr>
        <w:t>(</w:t>
      </w:r>
      <m:oMath>
        <m:sSub>
          <m:sSubPr>
            <m:ctrlPr>
              <w:rPr>
                <w:rFonts w:ascii="Cambria Math" w:eastAsia="Work Sans" w:hAnsi="Cambria Math" w:cs="Work Sans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eastAsia="Work Sans" w:hAnsi="Cambria Math" w:cs="Work Sans"/>
                <w:sz w:val="20"/>
                <w:szCs w:val="20"/>
              </w:rPr>
              <m:t>pax</m:t>
            </m:r>
          </m:e>
          <m:sub>
            <m:r>
              <m:rPr>
                <m:sty m:val="bi"/>
              </m:rPr>
              <w:rPr>
                <w:rFonts w:ascii="Cambria Math" w:eastAsia="Work Sans" w:hAnsi="Cambria Math" w:cs="Work Sans"/>
                <w:sz w:val="20"/>
                <w:szCs w:val="20"/>
              </w:rPr>
              <m:t>i, HR</m:t>
            </m:r>
          </m:sub>
        </m:sSub>
      </m:oMath>
      <w:r w:rsidR="00F70E89" w:rsidRPr="00F70E89">
        <w:rPr>
          <w:rFonts w:ascii="Work Sans" w:eastAsia="Work Sans" w:hAnsi="Work Sans" w:cs="Work Sans"/>
          <w:b/>
          <w:bCs/>
          <w:sz w:val="20"/>
          <w:szCs w:val="20"/>
        </w:rPr>
        <w:t>)</w:t>
      </w:r>
      <w:r w:rsidR="00080C6E" w:rsidRPr="001C1B8E">
        <w:rPr>
          <w:rFonts w:ascii="Work Sans" w:eastAsia="Work Sans" w:hAnsi="Work Sans" w:cs="Work Sans"/>
          <w:sz w:val="20"/>
          <w:szCs w:val="20"/>
        </w:rPr>
        <w:t>.</w:t>
      </w:r>
      <w:r w:rsidR="005C3FA3">
        <w:rPr>
          <w:rFonts w:ascii="Work Sans" w:eastAsia="Work Sans" w:hAnsi="Work Sans" w:cs="Work Sans"/>
          <w:sz w:val="20"/>
          <w:szCs w:val="20"/>
        </w:rPr>
        <w:t xml:space="preserve"> </w:t>
      </w:r>
      <w:r w:rsidR="00E206A6">
        <w:rPr>
          <w:rFonts w:ascii="Work Sans" w:eastAsia="Work Sans" w:hAnsi="Work Sans" w:cs="Work Sans"/>
          <w:sz w:val="20"/>
          <w:szCs w:val="20"/>
        </w:rPr>
        <w:t xml:space="preserve">Passenger numbers are </w:t>
      </w:r>
      <w:r w:rsidR="00EE28CC">
        <w:rPr>
          <w:rFonts w:ascii="Work Sans" w:eastAsia="Work Sans" w:hAnsi="Work Sans" w:cs="Work Sans"/>
          <w:sz w:val="20"/>
          <w:szCs w:val="20"/>
        </w:rPr>
        <w:t>estimated for</w:t>
      </w:r>
      <w:r w:rsidR="008B77AD">
        <w:rPr>
          <w:rFonts w:ascii="Work Sans" w:eastAsia="Work Sans" w:hAnsi="Work Sans" w:cs="Work Sans"/>
          <w:sz w:val="20"/>
          <w:szCs w:val="20"/>
        </w:rPr>
        <w:t xml:space="preserve"> bus and light rail and heavy rail </w:t>
      </w:r>
      <w:r w:rsidR="00EE28CC">
        <w:rPr>
          <w:rFonts w:ascii="Work Sans" w:eastAsia="Work Sans" w:hAnsi="Work Sans" w:cs="Work Sans"/>
          <w:sz w:val="20"/>
          <w:szCs w:val="20"/>
        </w:rPr>
        <w:t>separately. U</w:t>
      </w:r>
      <w:r w:rsidR="00063133">
        <w:rPr>
          <w:rFonts w:ascii="Work Sans" w:eastAsia="Work Sans" w:hAnsi="Work Sans" w:cs="Work Sans"/>
          <w:sz w:val="20"/>
          <w:szCs w:val="20"/>
        </w:rPr>
        <w:t>se rates</w:t>
      </w:r>
      <w:r w:rsidR="00520D70">
        <w:rPr>
          <w:rFonts w:ascii="Work Sans" w:eastAsia="Work Sans" w:hAnsi="Work Sans" w:cs="Work Sans"/>
          <w:sz w:val="20"/>
          <w:szCs w:val="20"/>
        </w:rPr>
        <w:t xml:space="preserve"> for</w:t>
      </w:r>
      <w:r w:rsidR="00EE28CC">
        <w:rPr>
          <w:rFonts w:ascii="Work Sans" w:eastAsia="Work Sans" w:hAnsi="Work Sans" w:cs="Work Sans"/>
          <w:sz w:val="20"/>
          <w:szCs w:val="20"/>
        </w:rPr>
        <w:t xml:space="preserve"> each mode</w:t>
      </w:r>
      <w:r w:rsidR="00520D70">
        <w:rPr>
          <w:rFonts w:ascii="Work Sans" w:eastAsia="Work Sans" w:hAnsi="Work Sans" w:cs="Work Sans"/>
          <w:sz w:val="20"/>
          <w:szCs w:val="20"/>
        </w:rPr>
        <w:t xml:space="preserve"> are </w:t>
      </w:r>
      <w:r w:rsidR="008F6671">
        <w:rPr>
          <w:rFonts w:ascii="Work Sans" w:eastAsia="Work Sans" w:hAnsi="Work Sans" w:cs="Work Sans"/>
          <w:sz w:val="20"/>
          <w:szCs w:val="20"/>
        </w:rPr>
        <w:t>calculated</w:t>
      </w:r>
      <w:r w:rsidR="00236A86">
        <w:rPr>
          <w:rFonts w:ascii="Work Sans" w:eastAsia="Work Sans" w:hAnsi="Work Sans" w:cs="Work Sans"/>
          <w:sz w:val="20"/>
          <w:szCs w:val="20"/>
        </w:rPr>
        <w:t xml:space="preserve"> </w:t>
      </w:r>
      <w:r w:rsidR="00BC78F7">
        <w:rPr>
          <w:rFonts w:ascii="Work Sans" w:eastAsia="Work Sans" w:hAnsi="Work Sans" w:cs="Work Sans"/>
          <w:sz w:val="20"/>
          <w:szCs w:val="20"/>
        </w:rPr>
        <w:t xml:space="preserve">by </w:t>
      </w:r>
      <w:r w:rsidR="00D34113">
        <w:rPr>
          <w:rFonts w:ascii="Work Sans" w:eastAsia="Work Sans" w:hAnsi="Work Sans" w:cs="Work Sans"/>
          <w:sz w:val="20"/>
          <w:szCs w:val="20"/>
        </w:rPr>
        <w:t>taking</w:t>
      </w:r>
      <w:r w:rsidR="0010220F">
        <w:rPr>
          <w:rFonts w:ascii="Work Sans" w:eastAsia="Work Sans" w:hAnsi="Work Sans" w:cs="Work Sans"/>
          <w:sz w:val="20"/>
          <w:szCs w:val="20"/>
        </w:rPr>
        <w:t xml:space="preserve"> commuter </w:t>
      </w:r>
      <w:r w:rsidR="00811652">
        <w:rPr>
          <w:rFonts w:ascii="Work Sans" w:eastAsia="Work Sans" w:hAnsi="Work Sans" w:cs="Work Sans"/>
          <w:sz w:val="20"/>
          <w:szCs w:val="20"/>
        </w:rPr>
        <w:t xml:space="preserve">use </w:t>
      </w:r>
      <w:r w:rsidR="005C3FA3">
        <w:rPr>
          <w:rFonts w:ascii="Work Sans" w:eastAsia="Work Sans" w:hAnsi="Work Sans" w:cs="Work Sans"/>
          <w:sz w:val="20"/>
          <w:szCs w:val="20"/>
        </w:rPr>
        <w:t xml:space="preserve">as </w:t>
      </w:r>
      <w:r w:rsidR="00AE3982">
        <w:rPr>
          <w:rFonts w:ascii="Work Sans" w:eastAsia="Work Sans" w:hAnsi="Work Sans" w:cs="Work Sans"/>
          <w:sz w:val="20"/>
          <w:szCs w:val="20"/>
        </w:rPr>
        <w:t xml:space="preserve">a </w:t>
      </w:r>
      <w:r w:rsidR="005C3FA3">
        <w:rPr>
          <w:rFonts w:ascii="Work Sans" w:eastAsia="Work Sans" w:hAnsi="Work Sans" w:cs="Work Sans"/>
          <w:sz w:val="20"/>
          <w:szCs w:val="20"/>
        </w:rPr>
        <w:t>proportion of total urban area population</w:t>
      </w:r>
      <w:r w:rsidR="00B70B6E">
        <w:rPr>
          <w:rFonts w:ascii="Work Sans" w:eastAsia="Work Sans" w:hAnsi="Work Sans" w:cs="Work Sans"/>
          <w:sz w:val="20"/>
          <w:szCs w:val="20"/>
        </w:rPr>
        <w:t>.</w:t>
      </w:r>
      <w:r w:rsidR="005C3FA3">
        <w:rPr>
          <w:rFonts w:ascii="Work Sans" w:eastAsia="Work Sans" w:hAnsi="Work Sans" w:cs="Work Sans"/>
          <w:sz w:val="20"/>
          <w:szCs w:val="20"/>
        </w:rPr>
        <w:t xml:space="preserve"> </w:t>
      </w:r>
      <w:r w:rsidR="002655E3">
        <w:rPr>
          <w:rFonts w:ascii="Work Sans" w:eastAsia="Work Sans" w:hAnsi="Work Sans" w:cs="Work Sans"/>
          <w:sz w:val="20"/>
          <w:szCs w:val="20"/>
        </w:rPr>
        <w:t>Commuter</w:t>
      </w:r>
      <w:r w:rsidR="0059778A">
        <w:rPr>
          <w:rFonts w:ascii="Work Sans" w:eastAsia="Work Sans" w:hAnsi="Work Sans" w:cs="Work Sans"/>
          <w:sz w:val="20"/>
          <w:szCs w:val="20"/>
        </w:rPr>
        <w:t xml:space="preserve"> numbers are used as they reflect peak load on urban transport systems. </w:t>
      </w:r>
      <w:r w:rsidR="00092552">
        <w:rPr>
          <w:rFonts w:ascii="Work Sans" w:eastAsia="Work Sans" w:hAnsi="Work Sans" w:cs="Work Sans"/>
          <w:sz w:val="20"/>
          <w:szCs w:val="20"/>
        </w:rPr>
        <w:t>U</w:t>
      </w:r>
      <w:r w:rsidR="0010220F">
        <w:rPr>
          <w:rFonts w:ascii="Work Sans" w:eastAsia="Work Sans" w:hAnsi="Work Sans" w:cs="Work Sans"/>
          <w:sz w:val="20"/>
          <w:szCs w:val="20"/>
        </w:rPr>
        <w:t>se</w:t>
      </w:r>
      <w:r w:rsidR="005C3FA3">
        <w:rPr>
          <w:rFonts w:ascii="Work Sans" w:eastAsia="Work Sans" w:hAnsi="Work Sans" w:cs="Work Sans"/>
          <w:sz w:val="20"/>
          <w:szCs w:val="20"/>
        </w:rPr>
        <w:t xml:space="preserve"> rates </w:t>
      </w:r>
      <w:r w:rsidR="00B70B6E">
        <w:rPr>
          <w:rFonts w:ascii="Work Sans" w:eastAsia="Work Sans" w:hAnsi="Work Sans" w:cs="Work Sans"/>
          <w:sz w:val="20"/>
          <w:szCs w:val="20"/>
        </w:rPr>
        <w:t>are</w:t>
      </w:r>
      <w:r w:rsidR="005C3FA3">
        <w:rPr>
          <w:rFonts w:ascii="Work Sans" w:eastAsia="Work Sans" w:hAnsi="Work Sans" w:cs="Work Sans"/>
          <w:sz w:val="20"/>
          <w:szCs w:val="20"/>
        </w:rPr>
        <w:t xml:space="preserve"> multiplied by the urban area populations to obtain actual passenger numbers.</w:t>
      </w:r>
      <w:r w:rsidR="005C3FA3" w:rsidRPr="00DE79CA">
        <w:rPr>
          <w:rFonts w:ascii="Work Sans" w:eastAsia="Work Sans" w:hAnsi="Work Sans" w:cs="Work Sans"/>
          <w:sz w:val="20"/>
          <w:szCs w:val="20"/>
        </w:rPr>
        <w:t xml:space="preserve"> </w:t>
      </w:r>
      <w:r w:rsidR="0048710B">
        <w:rPr>
          <w:rFonts w:ascii="Work Sans" w:eastAsia="Work Sans" w:hAnsi="Work Sans" w:cs="Work Sans"/>
          <w:sz w:val="20"/>
          <w:szCs w:val="20"/>
        </w:rPr>
        <w:t xml:space="preserve">For example, </w:t>
      </w:r>
      <w:r w:rsidR="002256BD">
        <w:rPr>
          <w:rFonts w:ascii="Work Sans" w:eastAsia="Work Sans" w:hAnsi="Work Sans" w:cs="Work Sans"/>
          <w:sz w:val="20"/>
          <w:szCs w:val="20"/>
        </w:rPr>
        <w:t xml:space="preserve">if </w:t>
      </w:r>
      <w:r w:rsidR="009A4BAE">
        <w:rPr>
          <w:rFonts w:ascii="Work Sans" w:eastAsia="Work Sans" w:hAnsi="Work Sans" w:cs="Work Sans"/>
          <w:sz w:val="20"/>
          <w:szCs w:val="20"/>
        </w:rPr>
        <w:t>a third of commuters use heavy rail,</w:t>
      </w:r>
      <w:r w:rsidR="00E942B6">
        <w:rPr>
          <w:rFonts w:ascii="Work Sans" w:eastAsia="Work Sans" w:hAnsi="Work Sans" w:cs="Work Sans"/>
          <w:sz w:val="20"/>
          <w:szCs w:val="20"/>
        </w:rPr>
        <w:t xml:space="preserve"> heavy rail passenger numbers </w:t>
      </w:r>
      <w:r w:rsidR="00CF681C">
        <w:rPr>
          <w:rFonts w:ascii="Work Sans" w:eastAsia="Work Sans" w:hAnsi="Work Sans" w:cs="Work Sans"/>
          <w:sz w:val="20"/>
          <w:szCs w:val="20"/>
        </w:rPr>
        <w:t>are</w:t>
      </w:r>
      <w:r w:rsidR="00E942B6">
        <w:rPr>
          <w:rFonts w:ascii="Work Sans" w:eastAsia="Work Sans" w:hAnsi="Work Sans" w:cs="Work Sans"/>
          <w:sz w:val="20"/>
          <w:szCs w:val="20"/>
        </w:rPr>
        <w:t xml:space="preserve"> estimated to </w:t>
      </w:r>
      <w:r w:rsidR="0031488D">
        <w:rPr>
          <w:rFonts w:ascii="Work Sans" w:eastAsia="Work Sans" w:hAnsi="Work Sans" w:cs="Work Sans"/>
          <w:sz w:val="20"/>
          <w:szCs w:val="20"/>
        </w:rPr>
        <w:t>equal one</w:t>
      </w:r>
      <w:r w:rsidR="00E942B6">
        <w:rPr>
          <w:rFonts w:ascii="Work Sans" w:eastAsia="Work Sans" w:hAnsi="Work Sans" w:cs="Work Sans"/>
          <w:sz w:val="20"/>
          <w:szCs w:val="20"/>
        </w:rPr>
        <w:t xml:space="preserve"> third of the </w:t>
      </w:r>
      <w:r w:rsidR="0071139C">
        <w:rPr>
          <w:rFonts w:ascii="Work Sans" w:eastAsia="Work Sans" w:hAnsi="Work Sans" w:cs="Work Sans"/>
          <w:sz w:val="20"/>
          <w:szCs w:val="20"/>
        </w:rPr>
        <w:t>urban area</w:t>
      </w:r>
      <w:r w:rsidR="00CF681C">
        <w:rPr>
          <w:rFonts w:ascii="Work Sans" w:eastAsia="Work Sans" w:hAnsi="Work Sans" w:cs="Work Sans"/>
          <w:sz w:val="20"/>
          <w:szCs w:val="20"/>
        </w:rPr>
        <w:t xml:space="preserve"> </w:t>
      </w:r>
      <w:r w:rsidR="0071139C">
        <w:rPr>
          <w:rFonts w:ascii="Work Sans" w:eastAsia="Work Sans" w:hAnsi="Work Sans" w:cs="Work Sans"/>
          <w:sz w:val="20"/>
          <w:szCs w:val="20"/>
        </w:rPr>
        <w:t>population.</w:t>
      </w:r>
      <w:r w:rsidR="00F14718">
        <w:rPr>
          <w:rFonts w:ascii="Work Sans" w:eastAsia="Work Sans" w:hAnsi="Work Sans" w:cs="Work Sans"/>
          <w:sz w:val="20"/>
          <w:szCs w:val="20"/>
        </w:rPr>
        <w:t xml:space="preserve"> To account for economies of scale in public transport provision, the lo</w:t>
      </w:r>
      <w:r w:rsidR="006A0ACE">
        <w:rPr>
          <w:rFonts w:ascii="Work Sans" w:eastAsia="Work Sans" w:hAnsi="Work Sans" w:cs="Work Sans"/>
          <w:sz w:val="20"/>
          <w:szCs w:val="20"/>
        </w:rPr>
        <w:t>g of actual passenger numbers is used.</w:t>
      </w:r>
    </w:p>
    <w:p w14:paraId="35610CFC" w14:textId="1F4E7590" w:rsidR="005C3FA3" w:rsidRDefault="00504D92" w:rsidP="005C3FA3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U</w:t>
      </w:r>
      <w:r w:rsidR="005C3FA3" w:rsidRPr="002D7B97">
        <w:rPr>
          <w:rFonts w:ascii="Work Sans" w:eastAsia="Work Sans" w:hAnsi="Work Sans" w:cs="Work Sans"/>
          <w:sz w:val="20"/>
          <w:szCs w:val="20"/>
        </w:rPr>
        <w:t>se</w:t>
      </w:r>
      <w:r w:rsidR="005C3FA3">
        <w:rPr>
          <w:rFonts w:ascii="Work Sans" w:eastAsia="Work Sans" w:hAnsi="Work Sans" w:cs="Work Sans"/>
          <w:sz w:val="20"/>
          <w:szCs w:val="20"/>
        </w:rPr>
        <w:t xml:space="preserve"> rates </w:t>
      </w:r>
      <w:r w:rsidR="00114386" w:rsidDel="00504D92">
        <w:rPr>
          <w:rFonts w:ascii="Work Sans" w:eastAsia="Work Sans" w:hAnsi="Work Sans" w:cs="Work Sans"/>
          <w:sz w:val="20"/>
          <w:szCs w:val="20"/>
        </w:rPr>
        <w:t>are</w:t>
      </w:r>
      <w:r w:rsidR="005C3FA3" w:rsidRPr="002D7B97" w:rsidDel="00504D92">
        <w:rPr>
          <w:rFonts w:ascii="Work Sans" w:eastAsia="Work Sans" w:hAnsi="Work Sans" w:cs="Work Sans"/>
          <w:sz w:val="20"/>
          <w:szCs w:val="20"/>
        </w:rPr>
        <w:t xml:space="preserve"> </w:t>
      </w:r>
      <w:r w:rsidR="00643ABD">
        <w:rPr>
          <w:rFonts w:ascii="Work Sans" w:eastAsia="Work Sans" w:hAnsi="Work Sans" w:cs="Work Sans"/>
          <w:sz w:val="20"/>
          <w:szCs w:val="20"/>
        </w:rPr>
        <w:t>then</w:t>
      </w:r>
      <w:r>
        <w:rPr>
          <w:rFonts w:ascii="Work Sans" w:eastAsia="Work Sans" w:hAnsi="Work Sans" w:cs="Work Sans"/>
          <w:sz w:val="20"/>
          <w:szCs w:val="20"/>
        </w:rPr>
        <w:t xml:space="preserve"> index</w:t>
      </w:r>
      <w:r w:rsidR="00367301">
        <w:rPr>
          <w:rFonts w:ascii="Work Sans" w:eastAsia="Work Sans" w:hAnsi="Work Sans" w:cs="Work Sans"/>
          <w:sz w:val="20"/>
          <w:szCs w:val="20"/>
        </w:rPr>
        <w:t>ed</w:t>
      </w:r>
      <w:r>
        <w:rPr>
          <w:rFonts w:ascii="Work Sans" w:eastAsia="Work Sans" w:hAnsi="Work Sans" w:cs="Work Sans"/>
          <w:sz w:val="20"/>
          <w:szCs w:val="20"/>
        </w:rPr>
        <w:t xml:space="preserve"> using</w:t>
      </w:r>
      <w:r w:rsidR="005C3FA3" w:rsidDel="00504D92">
        <w:rPr>
          <w:rFonts w:ascii="Work Sans" w:eastAsia="Work Sans" w:hAnsi="Work Sans" w:cs="Work Sans"/>
          <w:sz w:val="20"/>
          <w:szCs w:val="20"/>
        </w:rPr>
        <w:t xml:space="preserve"> </w:t>
      </w:r>
      <w:r w:rsidR="005C3FA3" w:rsidRPr="00CC71F4">
        <w:rPr>
          <w:rFonts w:ascii="Work Sans" w:eastAsia="Work Sans" w:hAnsi="Work Sans" w:cs="Work Sans"/>
          <w:sz w:val="20"/>
          <w:szCs w:val="20"/>
        </w:rPr>
        <w:t>Bureau of Infrastructure and Transport Research Economics data</w:t>
      </w:r>
      <w:r w:rsidR="005C3FA3">
        <w:rPr>
          <w:rFonts w:ascii="Work Sans" w:eastAsia="Work Sans" w:hAnsi="Work Sans" w:cs="Work Sans"/>
          <w:sz w:val="20"/>
          <w:szCs w:val="20"/>
        </w:rPr>
        <w:t xml:space="preserve"> on passenger kilometres travelled</w:t>
      </w:r>
      <w:r w:rsidR="00547DB6">
        <w:rPr>
          <w:rFonts w:ascii="Work Sans" w:eastAsia="Work Sans" w:hAnsi="Work Sans" w:cs="Work Sans"/>
          <w:sz w:val="20"/>
          <w:szCs w:val="20"/>
        </w:rPr>
        <w:t>.</w:t>
      </w:r>
      <w:r w:rsidR="005F3E1C" w:rsidRPr="005E17F2">
        <w:rPr>
          <w:rStyle w:val="FootnoteReference"/>
          <w:rFonts w:eastAsia="Work Sans" w:cs="Work Sans"/>
        </w:rPr>
        <w:footnoteReference w:id="7"/>
      </w:r>
      <w:r w:rsidR="00FD16E8" w:rsidRPr="005E17F2">
        <w:rPr>
          <w:rFonts w:ascii="Work Sans" w:eastAsia="Work Sans" w:hAnsi="Work Sans" w:cs="Work Sans"/>
          <w:sz w:val="20"/>
          <w:szCs w:val="20"/>
        </w:rPr>
        <w:t xml:space="preserve"> </w:t>
      </w:r>
      <w:r w:rsidR="00DA4F64" w:rsidRPr="005E17F2">
        <w:rPr>
          <w:rFonts w:ascii="Work Sans" w:eastAsia="Work Sans" w:hAnsi="Work Sans" w:cs="Work Sans"/>
          <w:sz w:val="20"/>
          <w:szCs w:val="20"/>
        </w:rPr>
        <w:t>T</w:t>
      </w:r>
      <w:r w:rsidR="00780596" w:rsidRPr="005E17F2">
        <w:rPr>
          <w:rFonts w:ascii="Work Sans" w:eastAsia="Work Sans" w:hAnsi="Work Sans" w:cs="Work Sans"/>
          <w:sz w:val="20"/>
          <w:szCs w:val="20"/>
        </w:rPr>
        <w:t xml:space="preserve">his adjustment </w:t>
      </w:r>
      <w:r w:rsidR="00C06BE8" w:rsidRPr="005E17F2">
        <w:rPr>
          <w:rFonts w:ascii="Work Sans" w:eastAsia="Work Sans" w:hAnsi="Work Sans" w:cs="Work Sans"/>
          <w:sz w:val="20"/>
          <w:szCs w:val="20"/>
        </w:rPr>
        <w:t>will</w:t>
      </w:r>
      <w:r w:rsidR="00780596" w:rsidRPr="005E17F2">
        <w:rPr>
          <w:rFonts w:ascii="Work Sans" w:eastAsia="Work Sans" w:hAnsi="Work Sans" w:cs="Work Sans"/>
          <w:sz w:val="20"/>
          <w:szCs w:val="20"/>
        </w:rPr>
        <w:t xml:space="preserve"> be removed </w:t>
      </w:r>
      <w:r w:rsidR="00784719" w:rsidRPr="005E17F2">
        <w:rPr>
          <w:rFonts w:ascii="Work Sans" w:eastAsia="Work Sans" w:hAnsi="Work Sans" w:cs="Work Sans"/>
          <w:sz w:val="20"/>
          <w:szCs w:val="20"/>
        </w:rPr>
        <w:t>if</w:t>
      </w:r>
      <w:r w:rsidR="00780596" w:rsidRPr="005E17F2">
        <w:rPr>
          <w:rFonts w:ascii="Work Sans" w:eastAsia="Work Sans" w:hAnsi="Work Sans" w:cs="Work Sans"/>
          <w:sz w:val="20"/>
          <w:szCs w:val="20"/>
        </w:rPr>
        <w:t xml:space="preserve"> 202</w:t>
      </w:r>
      <w:r w:rsidR="005F5F4C" w:rsidRPr="005E17F2">
        <w:rPr>
          <w:rFonts w:ascii="Work Sans" w:eastAsia="Work Sans" w:hAnsi="Work Sans" w:cs="Work Sans"/>
          <w:sz w:val="20"/>
          <w:szCs w:val="20"/>
        </w:rPr>
        <w:t>6</w:t>
      </w:r>
      <w:r w:rsidR="00780596" w:rsidRPr="005E17F2">
        <w:rPr>
          <w:rFonts w:ascii="Work Sans" w:eastAsia="Work Sans" w:hAnsi="Work Sans" w:cs="Work Sans"/>
          <w:sz w:val="20"/>
          <w:szCs w:val="20"/>
        </w:rPr>
        <w:t xml:space="preserve"> Census </w:t>
      </w:r>
      <w:r w:rsidR="0004447D" w:rsidRPr="005E17F2">
        <w:rPr>
          <w:rFonts w:ascii="Work Sans" w:eastAsia="Work Sans" w:hAnsi="Work Sans" w:cs="Work Sans"/>
          <w:sz w:val="20"/>
          <w:szCs w:val="20"/>
        </w:rPr>
        <w:t>commuter</w:t>
      </w:r>
      <w:r w:rsidR="00DA4F64" w:rsidRPr="005E17F2">
        <w:rPr>
          <w:rFonts w:ascii="Work Sans" w:eastAsia="Work Sans" w:hAnsi="Work Sans" w:cs="Work Sans"/>
          <w:sz w:val="20"/>
          <w:szCs w:val="20"/>
        </w:rPr>
        <w:t xml:space="preserve"> </w:t>
      </w:r>
      <w:r w:rsidR="00780596" w:rsidRPr="005E17F2">
        <w:rPr>
          <w:rFonts w:ascii="Work Sans" w:eastAsia="Work Sans" w:hAnsi="Work Sans" w:cs="Work Sans"/>
          <w:sz w:val="20"/>
          <w:szCs w:val="20"/>
        </w:rPr>
        <w:t>data are incorporated into the assessment</w:t>
      </w:r>
      <w:r w:rsidR="00547DB6">
        <w:rPr>
          <w:rFonts w:ascii="Work Sans" w:eastAsia="Work Sans" w:hAnsi="Work Sans" w:cs="Work Sans"/>
          <w:sz w:val="20"/>
          <w:szCs w:val="20"/>
        </w:rPr>
        <w:t>.</w:t>
      </w:r>
      <w:r w:rsidR="004E6752" w:rsidRPr="005E17F2">
        <w:rPr>
          <w:rStyle w:val="FootnoteReference"/>
          <w:rFonts w:eastAsia="Work Sans" w:cs="Work Sans"/>
        </w:rPr>
        <w:footnoteReference w:id="8"/>
      </w:r>
    </w:p>
    <w:p w14:paraId="08D49BFF" w14:textId="09C6098D" w:rsidR="005C3FA3" w:rsidRPr="00FE136B" w:rsidRDefault="003B789C" w:rsidP="005C3FA3">
      <w:pPr>
        <w:pStyle w:val="CGCNumberedPara"/>
        <w:rPr>
          <w:rFonts w:ascii="Work Sans" w:eastAsia="Work Sans" w:hAnsi="Work Sans" w:cs="Work Sans"/>
          <w:sz w:val="12"/>
          <w:szCs w:val="12"/>
        </w:rPr>
      </w:pPr>
      <w:r w:rsidRPr="003B789C">
        <w:rPr>
          <w:rFonts w:ascii="Work Sans" w:hAnsi="Work Sans"/>
          <w:b/>
          <w:bCs/>
          <w:sz w:val="20"/>
          <w:szCs w:val="20"/>
        </w:rPr>
        <w:t>D</w:t>
      </w:r>
      <w:r w:rsidR="005C3FA3" w:rsidRPr="003B789C">
        <w:rPr>
          <w:rFonts w:ascii="Work Sans" w:hAnsi="Work Sans"/>
          <w:b/>
          <w:bCs/>
          <w:sz w:val="20"/>
          <w:szCs w:val="20"/>
        </w:rPr>
        <w:t>istance to work</w:t>
      </w:r>
      <w:r w:rsidR="00F70E89">
        <w:rPr>
          <w:rFonts w:ascii="Work Sans" w:hAnsi="Work Sans"/>
          <w:b/>
          <w:bCs/>
          <w:sz w:val="20"/>
          <w:szCs w:val="20"/>
        </w:rPr>
        <w:t xml:space="preserve"> </w:t>
      </w:r>
      <w:r w:rsidR="00F70E89" w:rsidRPr="00F70E89">
        <w:rPr>
          <w:rFonts w:ascii="Work Sans" w:hAnsi="Work Sans"/>
          <w:b/>
          <w:bCs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dist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F70E89" w:rsidRPr="00F70E89">
        <w:rPr>
          <w:rFonts w:ascii="Work Sans" w:hAnsi="Work Sans"/>
          <w:b/>
          <w:bCs/>
          <w:sz w:val="20"/>
          <w:szCs w:val="20"/>
        </w:rPr>
        <w:t>)</w:t>
      </w:r>
      <w:r w:rsidR="001D602D">
        <w:rPr>
          <w:rFonts w:ascii="Work Sans" w:hAnsi="Work Sans"/>
          <w:sz w:val="20"/>
          <w:szCs w:val="20"/>
        </w:rPr>
        <w:t>. Distance to work</w:t>
      </w:r>
      <w:r w:rsidR="005C3FA3">
        <w:rPr>
          <w:rFonts w:ascii="Work Sans" w:hAnsi="Work Sans"/>
          <w:sz w:val="20"/>
          <w:szCs w:val="20"/>
        </w:rPr>
        <w:t xml:space="preserve"> is </w:t>
      </w:r>
      <w:r w:rsidR="001D602D">
        <w:rPr>
          <w:rFonts w:ascii="Work Sans" w:hAnsi="Work Sans"/>
          <w:sz w:val="20"/>
          <w:szCs w:val="20"/>
        </w:rPr>
        <w:t>calculated as</w:t>
      </w:r>
      <w:r w:rsidR="005C3FA3">
        <w:rPr>
          <w:rFonts w:ascii="Work Sans" w:hAnsi="Work Sans"/>
          <w:sz w:val="20"/>
          <w:szCs w:val="20"/>
        </w:rPr>
        <w:t xml:space="preserve"> the shortest distance between a</w:t>
      </w:r>
      <w:r w:rsidR="005F3D55">
        <w:rPr>
          <w:rFonts w:ascii="Work Sans" w:hAnsi="Work Sans"/>
          <w:sz w:val="20"/>
          <w:szCs w:val="20"/>
        </w:rPr>
        <w:t xml:space="preserve">n </w:t>
      </w:r>
      <w:r w:rsidR="00992164">
        <w:rPr>
          <w:rFonts w:ascii="Work Sans" w:hAnsi="Work Sans"/>
          <w:sz w:val="20"/>
          <w:szCs w:val="20"/>
        </w:rPr>
        <w:t>individual’s</w:t>
      </w:r>
      <w:r w:rsidR="005C3FA3">
        <w:rPr>
          <w:rFonts w:ascii="Work Sans" w:hAnsi="Work Sans"/>
          <w:sz w:val="20"/>
          <w:szCs w:val="20"/>
        </w:rPr>
        <w:t xml:space="preserve"> residence and their place of work</w:t>
      </w:r>
      <w:r w:rsidR="00F905A3">
        <w:rPr>
          <w:rFonts w:ascii="Work Sans" w:hAnsi="Work Sans"/>
          <w:sz w:val="20"/>
          <w:szCs w:val="20"/>
        </w:rPr>
        <w:t>.</w:t>
      </w:r>
      <w:r w:rsidR="005040DA">
        <w:rPr>
          <w:rStyle w:val="FootnoteReference"/>
        </w:rPr>
        <w:footnoteReference w:id="9"/>
      </w:r>
      <w:r w:rsidR="005C3FA3">
        <w:rPr>
          <w:rFonts w:ascii="Work Sans" w:hAnsi="Work Sans"/>
          <w:sz w:val="20"/>
          <w:szCs w:val="20"/>
        </w:rPr>
        <w:t xml:space="preserve"> </w:t>
      </w:r>
    </w:p>
    <w:p w14:paraId="1E28C989" w14:textId="4428AA34" w:rsidR="00141DB9" w:rsidRPr="00FE136B" w:rsidRDefault="00DE0023" w:rsidP="005C3FA3">
      <w:pPr>
        <w:pStyle w:val="CGCNumberedPara"/>
        <w:rPr>
          <w:rFonts w:ascii="Work Sans" w:eastAsia="Work Sans" w:hAnsi="Work Sans" w:cs="Work Sans"/>
          <w:sz w:val="12"/>
          <w:szCs w:val="12"/>
        </w:rPr>
      </w:pPr>
      <w:r w:rsidRPr="00FD16E8">
        <w:rPr>
          <w:rFonts w:ascii="Work Sans" w:hAnsi="Work Sans"/>
          <w:b/>
          <w:bCs/>
          <w:sz w:val="20"/>
          <w:szCs w:val="20"/>
        </w:rPr>
        <w:t>Slope</w:t>
      </w:r>
      <w:r w:rsidR="00F70E89">
        <w:rPr>
          <w:rFonts w:ascii="Work Sans" w:hAnsi="Work Sans"/>
          <w:b/>
          <w:bCs/>
          <w:sz w:val="20"/>
          <w:szCs w:val="20"/>
        </w:rPr>
        <w:t xml:space="preserve"> </w:t>
      </w:r>
      <w:r w:rsidR="00F70E89" w:rsidRPr="00F70E89">
        <w:rPr>
          <w:rFonts w:ascii="Work Sans" w:hAnsi="Work Sans"/>
          <w:b/>
          <w:bCs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slope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F70E89" w:rsidRPr="00F70E89">
        <w:rPr>
          <w:rFonts w:ascii="Work Sans" w:hAnsi="Work Sans"/>
          <w:b/>
          <w:bCs/>
          <w:sz w:val="20"/>
          <w:szCs w:val="20"/>
        </w:rPr>
        <w:t>)</w:t>
      </w:r>
      <w:r w:rsidR="00AE0B2E" w:rsidRPr="001C1B8E">
        <w:rPr>
          <w:rFonts w:ascii="Work Sans" w:hAnsi="Work Sans"/>
          <w:sz w:val="20"/>
          <w:szCs w:val="20"/>
        </w:rPr>
        <w:t>.</w:t>
      </w:r>
      <w:r w:rsidR="00AE0B2E">
        <w:rPr>
          <w:rFonts w:ascii="Work Sans" w:hAnsi="Work Sans"/>
          <w:b/>
          <w:bCs/>
          <w:sz w:val="20"/>
          <w:szCs w:val="20"/>
        </w:rPr>
        <w:t xml:space="preserve"> </w:t>
      </w:r>
      <w:r w:rsidR="00D928F7">
        <w:rPr>
          <w:rFonts w:ascii="Work Sans" w:hAnsi="Work Sans"/>
          <w:sz w:val="20"/>
          <w:szCs w:val="20"/>
        </w:rPr>
        <w:t>First</w:t>
      </w:r>
      <w:r w:rsidR="00AE0B2E">
        <w:rPr>
          <w:rFonts w:ascii="Work Sans" w:hAnsi="Work Sans"/>
          <w:sz w:val="20"/>
          <w:szCs w:val="20"/>
        </w:rPr>
        <w:t>,</w:t>
      </w:r>
      <w:r w:rsidR="00141DB9">
        <w:rPr>
          <w:rFonts w:ascii="Work Sans" w:hAnsi="Work Sans"/>
          <w:sz w:val="20"/>
          <w:szCs w:val="20"/>
        </w:rPr>
        <w:t xml:space="preserve"> the average</w:t>
      </w:r>
      <w:r w:rsidR="0025462F">
        <w:rPr>
          <w:rFonts w:ascii="Work Sans" w:hAnsi="Work Sans"/>
          <w:sz w:val="20"/>
          <w:szCs w:val="20"/>
        </w:rPr>
        <w:t xml:space="preserve"> </w:t>
      </w:r>
      <w:r w:rsidR="003B255B">
        <w:rPr>
          <w:rFonts w:ascii="Work Sans" w:hAnsi="Work Sans"/>
          <w:sz w:val="20"/>
          <w:szCs w:val="20"/>
        </w:rPr>
        <w:t xml:space="preserve">slope </w:t>
      </w:r>
      <w:r w:rsidR="00141DB9">
        <w:rPr>
          <w:rFonts w:ascii="Work Sans" w:hAnsi="Work Sans"/>
          <w:sz w:val="20"/>
          <w:szCs w:val="20"/>
        </w:rPr>
        <w:t>of</w:t>
      </w:r>
      <w:r w:rsidR="00806C9D">
        <w:rPr>
          <w:rFonts w:ascii="Work Sans" w:hAnsi="Work Sans"/>
          <w:sz w:val="20"/>
          <w:szCs w:val="20"/>
        </w:rPr>
        <w:t xml:space="preserve"> </w:t>
      </w:r>
      <w:r w:rsidR="00122D95">
        <w:rPr>
          <w:rFonts w:ascii="Work Sans" w:hAnsi="Work Sans"/>
          <w:sz w:val="20"/>
          <w:szCs w:val="20"/>
        </w:rPr>
        <w:t>U</w:t>
      </w:r>
      <w:r w:rsidR="00527EFF">
        <w:rPr>
          <w:rFonts w:ascii="Work Sans" w:hAnsi="Work Sans"/>
          <w:sz w:val="20"/>
          <w:szCs w:val="20"/>
        </w:rPr>
        <w:t xml:space="preserve">rban </w:t>
      </w:r>
      <w:r w:rsidR="00122D95">
        <w:rPr>
          <w:rFonts w:ascii="Work Sans" w:hAnsi="Work Sans"/>
          <w:sz w:val="20"/>
          <w:szCs w:val="20"/>
        </w:rPr>
        <w:t>C</w:t>
      </w:r>
      <w:r w:rsidR="00527EFF">
        <w:rPr>
          <w:rFonts w:ascii="Work Sans" w:hAnsi="Work Sans"/>
          <w:sz w:val="20"/>
          <w:szCs w:val="20"/>
        </w:rPr>
        <w:t xml:space="preserve">entres and </w:t>
      </w:r>
      <w:r w:rsidR="00122D95">
        <w:rPr>
          <w:rFonts w:ascii="Work Sans" w:hAnsi="Work Sans"/>
          <w:sz w:val="20"/>
          <w:szCs w:val="20"/>
        </w:rPr>
        <w:t>L</w:t>
      </w:r>
      <w:r w:rsidR="00527EFF">
        <w:rPr>
          <w:rFonts w:ascii="Work Sans" w:hAnsi="Work Sans"/>
          <w:sz w:val="20"/>
          <w:szCs w:val="20"/>
        </w:rPr>
        <w:t xml:space="preserve">ocalities </w:t>
      </w:r>
      <w:r w:rsidR="00D928F7">
        <w:rPr>
          <w:rFonts w:ascii="Work Sans" w:hAnsi="Work Sans"/>
          <w:sz w:val="20"/>
          <w:szCs w:val="20"/>
        </w:rPr>
        <w:t>is derived using data from</w:t>
      </w:r>
      <w:r w:rsidR="00141DB9">
        <w:rPr>
          <w:rFonts w:ascii="Work Sans" w:hAnsi="Work Sans"/>
          <w:sz w:val="20"/>
          <w:szCs w:val="20"/>
        </w:rPr>
        <w:t xml:space="preserve"> Geoscience Australia. The slope of these </w:t>
      </w:r>
      <w:r w:rsidR="00122D95">
        <w:rPr>
          <w:rFonts w:ascii="Work Sans" w:hAnsi="Work Sans"/>
          <w:sz w:val="20"/>
          <w:szCs w:val="20"/>
        </w:rPr>
        <w:t xml:space="preserve">Urban Centres and Localities </w:t>
      </w:r>
      <w:r w:rsidR="00577D43">
        <w:rPr>
          <w:rFonts w:ascii="Work Sans" w:hAnsi="Work Sans"/>
          <w:sz w:val="20"/>
          <w:szCs w:val="20"/>
        </w:rPr>
        <w:t>are</w:t>
      </w:r>
      <w:r w:rsidR="00141DB9">
        <w:rPr>
          <w:rFonts w:ascii="Work Sans" w:hAnsi="Work Sans"/>
          <w:sz w:val="20"/>
          <w:szCs w:val="20"/>
        </w:rPr>
        <w:t xml:space="preserve"> </w:t>
      </w:r>
      <w:r w:rsidR="00E651BA">
        <w:rPr>
          <w:rFonts w:ascii="Work Sans" w:hAnsi="Work Sans"/>
          <w:sz w:val="20"/>
          <w:szCs w:val="20"/>
        </w:rPr>
        <w:t xml:space="preserve">then </w:t>
      </w:r>
      <w:r w:rsidR="00141DB9">
        <w:rPr>
          <w:rFonts w:ascii="Work Sans" w:hAnsi="Work Sans"/>
          <w:sz w:val="20"/>
          <w:szCs w:val="20"/>
        </w:rPr>
        <w:t xml:space="preserve">weighted by their share of the total </w:t>
      </w:r>
      <w:r w:rsidR="002C105A">
        <w:rPr>
          <w:rFonts w:ascii="Work Sans" w:hAnsi="Work Sans"/>
          <w:sz w:val="20"/>
          <w:szCs w:val="20"/>
        </w:rPr>
        <w:t xml:space="preserve">area of </w:t>
      </w:r>
      <w:r w:rsidR="00441343">
        <w:rPr>
          <w:rFonts w:ascii="Work Sans" w:hAnsi="Work Sans"/>
          <w:sz w:val="20"/>
          <w:szCs w:val="20"/>
        </w:rPr>
        <w:t xml:space="preserve">a </w:t>
      </w:r>
      <w:r w:rsidR="00A77970">
        <w:rPr>
          <w:rFonts w:ascii="Work Sans" w:hAnsi="Work Sans"/>
          <w:sz w:val="20"/>
          <w:szCs w:val="20"/>
        </w:rPr>
        <w:t>S</w:t>
      </w:r>
      <w:r w:rsidR="00D96C63">
        <w:rPr>
          <w:rFonts w:ascii="Work Sans" w:hAnsi="Work Sans"/>
          <w:sz w:val="20"/>
          <w:szCs w:val="20"/>
        </w:rPr>
        <w:t xml:space="preserve">ignificant </w:t>
      </w:r>
      <w:r w:rsidR="00A77970">
        <w:rPr>
          <w:rFonts w:ascii="Work Sans" w:hAnsi="Work Sans"/>
          <w:sz w:val="20"/>
          <w:szCs w:val="20"/>
        </w:rPr>
        <w:t>U</w:t>
      </w:r>
      <w:r w:rsidR="00D96C63">
        <w:rPr>
          <w:rFonts w:ascii="Work Sans" w:hAnsi="Work Sans"/>
          <w:sz w:val="20"/>
          <w:szCs w:val="20"/>
        </w:rPr>
        <w:t xml:space="preserve">rban </w:t>
      </w:r>
      <w:r w:rsidR="00A77970">
        <w:rPr>
          <w:rFonts w:ascii="Work Sans" w:hAnsi="Work Sans"/>
          <w:sz w:val="20"/>
          <w:szCs w:val="20"/>
        </w:rPr>
        <w:t>A</w:t>
      </w:r>
      <w:r w:rsidR="00D96C63">
        <w:rPr>
          <w:rFonts w:ascii="Work Sans" w:hAnsi="Work Sans"/>
          <w:sz w:val="20"/>
          <w:szCs w:val="20"/>
        </w:rPr>
        <w:t>rea</w:t>
      </w:r>
      <w:r w:rsidR="00CF1B83">
        <w:rPr>
          <w:rFonts w:ascii="Work Sans" w:hAnsi="Work Sans"/>
          <w:sz w:val="20"/>
          <w:szCs w:val="20"/>
        </w:rPr>
        <w:t xml:space="preserve">. </w:t>
      </w:r>
      <w:r w:rsidR="00E86EC8">
        <w:rPr>
          <w:rFonts w:ascii="Work Sans" w:hAnsi="Work Sans"/>
          <w:sz w:val="20"/>
          <w:szCs w:val="20"/>
        </w:rPr>
        <w:t>The</w:t>
      </w:r>
      <w:r w:rsidR="00E651BA">
        <w:rPr>
          <w:rFonts w:ascii="Work Sans" w:hAnsi="Work Sans"/>
          <w:sz w:val="20"/>
          <w:szCs w:val="20"/>
        </w:rPr>
        <w:t xml:space="preserve"> weighted values </w:t>
      </w:r>
      <w:r w:rsidR="008A313D">
        <w:rPr>
          <w:rFonts w:ascii="Work Sans" w:hAnsi="Work Sans"/>
          <w:sz w:val="20"/>
          <w:szCs w:val="20"/>
        </w:rPr>
        <w:t xml:space="preserve">for </w:t>
      </w:r>
      <w:r w:rsidR="001829C9">
        <w:rPr>
          <w:rFonts w:ascii="Work Sans" w:hAnsi="Work Sans"/>
          <w:sz w:val="20"/>
          <w:szCs w:val="20"/>
        </w:rPr>
        <w:t>the</w:t>
      </w:r>
      <w:r w:rsidR="00D364EF">
        <w:rPr>
          <w:rFonts w:ascii="Work Sans" w:hAnsi="Work Sans"/>
          <w:sz w:val="20"/>
          <w:szCs w:val="20"/>
        </w:rPr>
        <w:t xml:space="preserve"> </w:t>
      </w:r>
      <w:r w:rsidR="00122D95">
        <w:rPr>
          <w:rFonts w:ascii="Work Sans" w:hAnsi="Work Sans"/>
          <w:sz w:val="20"/>
          <w:szCs w:val="20"/>
        </w:rPr>
        <w:t xml:space="preserve">Urban Centres and Localities </w:t>
      </w:r>
      <w:r w:rsidR="00876EB6">
        <w:rPr>
          <w:rFonts w:ascii="Work Sans" w:hAnsi="Work Sans"/>
          <w:sz w:val="20"/>
          <w:szCs w:val="20"/>
        </w:rPr>
        <w:t>with the urban area</w:t>
      </w:r>
      <w:r w:rsidR="008A313D">
        <w:rPr>
          <w:rFonts w:ascii="Work Sans" w:hAnsi="Work Sans"/>
          <w:sz w:val="20"/>
          <w:szCs w:val="20"/>
        </w:rPr>
        <w:t xml:space="preserve"> are</w:t>
      </w:r>
      <w:r w:rsidR="00075D7C">
        <w:rPr>
          <w:rFonts w:ascii="Work Sans" w:hAnsi="Work Sans"/>
          <w:sz w:val="20"/>
          <w:szCs w:val="20"/>
        </w:rPr>
        <w:t xml:space="preserve"> combined to calc</w:t>
      </w:r>
      <w:r w:rsidR="00A815D5">
        <w:rPr>
          <w:rFonts w:ascii="Work Sans" w:hAnsi="Work Sans"/>
          <w:sz w:val="20"/>
          <w:szCs w:val="20"/>
        </w:rPr>
        <w:t xml:space="preserve">ulate the </w:t>
      </w:r>
      <w:r w:rsidR="0075273B">
        <w:rPr>
          <w:rFonts w:ascii="Work Sans" w:hAnsi="Work Sans"/>
          <w:sz w:val="20"/>
          <w:szCs w:val="20"/>
        </w:rPr>
        <w:t>average</w:t>
      </w:r>
      <w:r>
        <w:rPr>
          <w:rFonts w:ascii="Work Sans" w:hAnsi="Work Sans"/>
          <w:sz w:val="20"/>
          <w:szCs w:val="20"/>
        </w:rPr>
        <w:t xml:space="preserve"> slope of</w:t>
      </w:r>
      <w:r w:rsidR="00876EB6">
        <w:rPr>
          <w:rFonts w:ascii="Work Sans" w:hAnsi="Work Sans"/>
          <w:sz w:val="20"/>
          <w:szCs w:val="20"/>
        </w:rPr>
        <w:t xml:space="preserve"> the </w:t>
      </w:r>
      <w:r>
        <w:rPr>
          <w:rFonts w:ascii="Work Sans" w:hAnsi="Work Sans"/>
          <w:sz w:val="20"/>
          <w:szCs w:val="20"/>
        </w:rPr>
        <w:t>area</w:t>
      </w:r>
      <w:r w:rsidR="00424BAD">
        <w:rPr>
          <w:rFonts w:ascii="Work Sans" w:hAnsi="Work Sans"/>
          <w:sz w:val="20"/>
          <w:szCs w:val="20"/>
        </w:rPr>
        <w:t>.</w:t>
      </w:r>
      <w:r w:rsidR="0075273B">
        <w:rPr>
          <w:rFonts w:ascii="Work Sans" w:hAnsi="Work Sans"/>
          <w:sz w:val="20"/>
          <w:szCs w:val="20"/>
        </w:rPr>
        <w:t xml:space="preserve"> </w:t>
      </w:r>
    </w:p>
    <w:p w14:paraId="05509A97" w14:textId="2A44C828" w:rsidR="00FE136B" w:rsidRPr="005C3FA3" w:rsidRDefault="001C14B5" w:rsidP="005C3FA3">
      <w:pPr>
        <w:pStyle w:val="CGCNumberedPara"/>
        <w:rPr>
          <w:rFonts w:ascii="Work Sans" w:eastAsia="Work Sans" w:hAnsi="Work Sans" w:cs="Work Sans"/>
          <w:sz w:val="12"/>
          <w:szCs w:val="12"/>
        </w:rPr>
      </w:pPr>
      <w:r>
        <w:rPr>
          <w:rFonts w:ascii="Work Sans" w:hAnsi="Work Sans"/>
          <w:b/>
          <w:bCs/>
          <w:sz w:val="20"/>
          <w:szCs w:val="20"/>
        </w:rPr>
        <w:t xml:space="preserve">Presence of </w:t>
      </w:r>
      <w:r w:rsidR="004B14B1">
        <w:rPr>
          <w:rFonts w:ascii="Work Sans" w:hAnsi="Work Sans"/>
          <w:b/>
          <w:bCs/>
          <w:sz w:val="20"/>
          <w:szCs w:val="20"/>
        </w:rPr>
        <w:t>a ferry service</w:t>
      </w:r>
      <w:r w:rsidR="00F70E89">
        <w:rPr>
          <w:rFonts w:ascii="Work Sans" w:hAnsi="Work Sans"/>
          <w:b/>
          <w:bCs/>
          <w:sz w:val="20"/>
          <w:szCs w:val="20"/>
        </w:rPr>
        <w:t xml:space="preserve"> </w:t>
      </w:r>
      <w:r w:rsidR="003A2090" w:rsidRPr="003A2090">
        <w:rPr>
          <w:rFonts w:ascii="Work Sans" w:hAnsi="Work Sans"/>
          <w:b/>
          <w:bCs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ferry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3A2090" w:rsidRPr="003A2090">
        <w:rPr>
          <w:rFonts w:ascii="Work Sans" w:hAnsi="Work Sans"/>
          <w:b/>
          <w:bCs/>
          <w:sz w:val="20"/>
          <w:szCs w:val="20"/>
        </w:rPr>
        <w:t>)</w:t>
      </w:r>
      <w:r w:rsidR="005829A8" w:rsidRPr="001C1B8E">
        <w:rPr>
          <w:rFonts w:ascii="Work Sans" w:hAnsi="Work Sans"/>
          <w:sz w:val="20"/>
          <w:szCs w:val="20"/>
        </w:rPr>
        <w:t>.</w:t>
      </w:r>
      <w:r w:rsidR="006920BE">
        <w:rPr>
          <w:rFonts w:ascii="Work Sans" w:hAnsi="Work Sans"/>
          <w:sz w:val="20"/>
          <w:szCs w:val="20"/>
        </w:rPr>
        <w:t xml:space="preserve"> </w:t>
      </w:r>
      <w:r w:rsidR="00FE136B">
        <w:rPr>
          <w:rFonts w:ascii="Work Sans" w:hAnsi="Work Sans"/>
          <w:sz w:val="20"/>
          <w:szCs w:val="20"/>
        </w:rPr>
        <w:t>A</w:t>
      </w:r>
      <w:r w:rsidR="00C2230D">
        <w:rPr>
          <w:rFonts w:ascii="Work Sans" w:hAnsi="Work Sans"/>
          <w:sz w:val="20"/>
          <w:szCs w:val="20"/>
        </w:rPr>
        <w:t>n urban area</w:t>
      </w:r>
      <w:r w:rsidR="00BD4803">
        <w:rPr>
          <w:rFonts w:ascii="Work Sans" w:hAnsi="Work Sans"/>
          <w:sz w:val="20"/>
          <w:szCs w:val="20"/>
        </w:rPr>
        <w:t xml:space="preserve"> </w:t>
      </w:r>
      <w:r w:rsidR="00F33628">
        <w:rPr>
          <w:rFonts w:ascii="Work Sans" w:hAnsi="Work Sans"/>
          <w:sz w:val="20"/>
          <w:szCs w:val="20"/>
        </w:rPr>
        <w:t>is</w:t>
      </w:r>
      <w:r w:rsidR="00FE136B">
        <w:rPr>
          <w:rFonts w:ascii="Work Sans" w:hAnsi="Work Sans"/>
          <w:sz w:val="20"/>
          <w:szCs w:val="20"/>
        </w:rPr>
        <w:t xml:space="preserve"> identified as having a ferry service if it has a ferry service that </w:t>
      </w:r>
      <w:r w:rsidR="00B72081">
        <w:rPr>
          <w:rFonts w:ascii="Work Sans" w:hAnsi="Work Sans"/>
          <w:sz w:val="20"/>
          <w:szCs w:val="20"/>
        </w:rPr>
        <w:t>operates wholly</w:t>
      </w:r>
      <w:r w:rsidR="00FE136B">
        <w:rPr>
          <w:rFonts w:ascii="Work Sans" w:hAnsi="Work Sans"/>
          <w:sz w:val="20"/>
          <w:szCs w:val="20"/>
        </w:rPr>
        <w:t xml:space="preserve"> within </w:t>
      </w:r>
      <w:r w:rsidR="00023B56">
        <w:rPr>
          <w:rFonts w:ascii="Work Sans" w:hAnsi="Work Sans"/>
          <w:sz w:val="20"/>
          <w:szCs w:val="20"/>
        </w:rPr>
        <w:t>the</w:t>
      </w:r>
      <w:r w:rsidR="00FE136B">
        <w:rPr>
          <w:rFonts w:ascii="Work Sans" w:hAnsi="Work Sans"/>
          <w:sz w:val="20"/>
          <w:szCs w:val="20"/>
        </w:rPr>
        <w:t xml:space="preserve"> urban </w:t>
      </w:r>
      <w:r w:rsidR="00B72081">
        <w:rPr>
          <w:rFonts w:ascii="Work Sans" w:hAnsi="Work Sans"/>
          <w:sz w:val="20"/>
          <w:szCs w:val="20"/>
        </w:rPr>
        <w:t>area</w:t>
      </w:r>
      <w:r w:rsidR="0037642D">
        <w:rPr>
          <w:rFonts w:ascii="Work Sans" w:hAnsi="Work Sans"/>
          <w:sz w:val="20"/>
          <w:szCs w:val="20"/>
        </w:rPr>
        <w:t>.</w:t>
      </w:r>
      <w:r w:rsidR="007C7AAF">
        <w:rPr>
          <w:rStyle w:val="FootnoteReference"/>
        </w:rPr>
        <w:footnoteReference w:id="10"/>
      </w:r>
      <w:r w:rsidR="00FE136B">
        <w:rPr>
          <w:rFonts w:ascii="Work Sans" w:hAnsi="Work Sans"/>
          <w:sz w:val="20"/>
          <w:szCs w:val="20"/>
        </w:rPr>
        <w:t xml:space="preserve"> </w:t>
      </w:r>
    </w:p>
    <w:p w14:paraId="4395F449" w14:textId="02AE00AB" w:rsidR="002B6B11" w:rsidRDefault="00FF4F9D" w:rsidP="005829A8">
      <w:pPr>
        <w:pStyle w:val="Heading6"/>
      </w:pPr>
      <w:r>
        <w:lastRenderedPageBreak/>
        <w:t xml:space="preserve">Running the </w:t>
      </w:r>
      <w:r w:rsidR="003B3197">
        <w:t xml:space="preserve">urban centre characteristics </w:t>
      </w:r>
      <w:r>
        <w:t>regression</w:t>
      </w:r>
    </w:p>
    <w:p w14:paraId="3BE60395" w14:textId="12E8EDF6" w:rsidR="5B4D8D16" w:rsidRPr="002A6364" w:rsidRDefault="00055B9E" w:rsidP="006370E6">
      <w:pPr>
        <w:pStyle w:val="CGCNumberedPara"/>
        <w:keepNext/>
        <w:rPr>
          <w:rFonts w:ascii="Work Sans" w:eastAsia="Work Sans" w:hAnsi="Work Sans" w:cs="Work Sans"/>
          <w:sz w:val="20"/>
          <w:szCs w:val="20"/>
        </w:rPr>
      </w:pPr>
      <w:r w:rsidRPr="002A6364">
        <w:rPr>
          <w:rFonts w:ascii="Work Sans" w:hAnsi="Work Sans"/>
          <w:sz w:val="20"/>
          <w:szCs w:val="20"/>
        </w:rPr>
        <w:t xml:space="preserve">The </w:t>
      </w:r>
      <w:r w:rsidR="5B4D8D16" w:rsidRPr="002A6364">
        <w:rPr>
          <w:rFonts w:ascii="Work Sans" w:eastAsia="Work Sans" w:hAnsi="Work Sans" w:cs="Work Sans"/>
          <w:sz w:val="20"/>
          <w:szCs w:val="20"/>
        </w:rPr>
        <w:t>regression model can be specified as:</w:t>
      </w:r>
    </w:p>
    <w:p w14:paraId="40E72CB4" w14:textId="469F096F" w:rsidR="009B1712" w:rsidRDefault="00000000" w:rsidP="009B1712">
      <w:pPr>
        <w:pStyle w:val="CGC2025ParaNumbers"/>
        <w:numPr>
          <w:ilvl w:val="0"/>
          <w:numId w:val="0"/>
        </w:num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net exp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density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ln(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pax</m:t>
              </m:r>
            </m:e>
            <m:sub>
              <m:r>
                <w:rPr>
                  <w:rFonts w:ascii="Cambria Math" w:hAnsi="Cambria Math"/>
                </w:rPr>
                <m:t>i, HR</m:t>
              </m:r>
            </m:sub>
          </m:sSub>
          <m:r>
            <w:rPr>
              <w:rFonts w:ascii="Cambria Math" w:hAnsi="Cambria Math"/>
            </w:rPr>
            <m:t>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ln(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pax</m:t>
              </m:r>
            </m:e>
            <m:sub>
              <m:r>
                <w:rPr>
                  <w:rFonts w:ascii="Cambria Math" w:hAnsi="Cambria Math"/>
                </w:rPr>
                <m:t>i,  B+LR</m:t>
              </m:r>
            </m:sub>
          </m:sSub>
          <m:r>
            <w:rPr>
              <w:rFonts w:ascii="Cambria Math" w:hAnsi="Cambria Math"/>
            </w:rPr>
            <m:t>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dist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slope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ferry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3FAFCE79" w14:textId="6BE5C8D2" w:rsidR="00706065" w:rsidRPr="004C0A8F" w:rsidRDefault="004C0A8F" w:rsidP="004C0A8F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The regression coefficients </w:t>
      </w:r>
      <w:r w:rsidR="00687141">
        <w:rPr>
          <w:rFonts w:ascii="Work Sans" w:eastAsia="Work Sans" w:hAnsi="Work Sans" w:cs="Work Sans"/>
          <w:sz w:val="20"/>
          <w:szCs w:val="20"/>
        </w:rPr>
        <w:t>applied in the 2025 Review</w:t>
      </w:r>
      <w:r w:rsidR="00B172F6">
        <w:rPr>
          <w:rFonts w:ascii="Work Sans" w:eastAsia="Work Sans" w:hAnsi="Work Sans" w:cs="Work Sans"/>
          <w:sz w:val="20"/>
          <w:szCs w:val="20"/>
        </w:rPr>
        <w:t xml:space="preserve"> </w:t>
      </w:r>
      <w:r>
        <w:rPr>
          <w:rFonts w:ascii="Work Sans" w:eastAsia="Work Sans" w:hAnsi="Work Sans" w:cs="Work Sans"/>
          <w:sz w:val="20"/>
          <w:szCs w:val="20"/>
        </w:rPr>
        <w:t xml:space="preserve">are provided in </w:t>
      </w:r>
      <w:r w:rsidR="00CE25AC">
        <w:rPr>
          <w:rFonts w:ascii="Work Sans" w:eastAsia="Work Sans" w:hAnsi="Work Sans" w:cs="Work Sans"/>
          <w:sz w:val="20"/>
          <w:szCs w:val="20"/>
        </w:rPr>
        <w:t>Table 5</w:t>
      </w:r>
      <w:r>
        <w:rPr>
          <w:rFonts w:ascii="Work Sans" w:eastAsia="Work Sans" w:hAnsi="Work Sans" w:cs="Work Sans"/>
          <w:sz w:val="20"/>
          <w:szCs w:val="20"/>
        </w:rPr>
        <w:t>.</w:t>
      </w:r>
    </w:p>
    <w:p w14:paraId="251418A8" w14:textId="7BF94FA6" w:rsidR="72AB9BFE" w:rsidRDefault="004C0A8F" w:rsidP="001C1B8E">
      <w:pPr>
        <w:pStyle w:val="Caption"/>
        <w:keepLines w:val="0"/>
        <w:tabs>
          <w:tab w:val="clear" w:pos="1134"/>
        </w:tabs>
        <w:rPr>
          <w:rFonts w:ascii="Work Sans" w:eastAsia="Work Sans" w:hAnsi="Work Sans" w:cs="Work Sans"/>
          <w:b w:val="0"/>
        </w:rPr>
      </w:pPr>
      <w:bookmarkStart w:id="18" w:name="_Ref174012199"/>
      <w:r w:rsidRPr="004C0A8F">
        <w:rPr>
          <w:rFonts w:ascii="Work Sans" w:hAnsi="Work Sans"/>
        </w:rPr>
        <w:t xml:space="preserve">Table </w:t>
      </w:r>
      <w:bookmarkEnd w:id="18"/>
      <w:r w:rsidR="00651B25">
        <w:rPr>
          <w:rFonts w:ascii="Work Sans" w:hAnsi="Work Sans"/>
        </w:rPr>
        <w:t>5</w:t>
      </w:r>
      <w:r w:rsidRPr="004C0A8F">
        <w:rPr>
          <w:rFonts w:ascii="Work Sans" w:hAnsi="Work Sans"/>
        </w:rPr>
        <w:tab/>
      </w:r>
      <w:r w:rsidR="001C1B8E">
        <w:rPr>
          <w:rFonts w:ascii="Work Sans" w:hAnsi="Work Sans"/>
        </w:rPr>
        <w:tab/>
      </w:r>
      <w:r w:rsidR="5B4D8D16" w:rsidRPr="72AB9BFE">
        <w:rPr>
          <w:rFonts w:ascii="Work Sans" w:eastAsia="Work Sans" w:hAnsi="Work Sans" w:cs="Work Sans"/>
        </w:rPr>
        <w:t>Urban characteristics regression results</w:t>
      </w:r>
      <w:r>
        <w:rPr>
          <w:rFonts w:ascii="Work Sans" w:eastAsia="Work Sans" w:hAnsi="Work Sans" w:cs="Work Sans"/>
        </w:rPr>
        <w:t>, 2022</w:t>
      </w:r>
      <w:r w:rsidR="00040FA5">
        <w:rPr>
          <w:rFonts w:ascii="Work Sans" w:eastAsia="Work Sans" w:hAnsi="Work Sans" w:cs="Work Sans"/>
        </w:rPr>
        <w:t>–</w:t>
      </w:r>
      <w:r>
        <w:rPr>
          <w:rFonts w:ascii="Work Sans" w:eastAsia="Work Sans" w:hAnsi="Work Sans" w:cs="Work Sans"/>
        </w:rPr>
        <w:t>23</w:t>
      </w:r>
    </w:p>
    <w:tbl>
      <w:tblPr>
        <w:tblW w:w="8942" w:type="dxa"/>
        <w:tblLayout w:type="fixed"/>
        <w:tblLook w:val="04A0" w:firstRow="1" w:lastRow="0" w:firstColumn="1" w:lastColumn="0" w:noHBand="0" w:noVBand="1"/>
      </w:tblPr>
      <w:tblGrid>
        <w:gridCol w:w="7322"/>
        <w:gridCol w:w="1620"/>
      </w:tblGrid>
      <w:tr w:rsidR="00D23BC8" w14:paraId="0851A960" w14:textId="77777777" w:rsidTr="008A6C3A">
        <w:trPr>
          <w:cantSplit/>
          <w:trHeight w:val="300"/>
        </w:trPr>
        <w:tc>
          <w:tcPr>
            <w:tcW w:w="732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006991"/>
            <w:tcMar>
              <w:left w:w="108" w:type="dxa"/>
              <w:right w:w="108" w:type="dxa"/>
            </w:tcMar>
            <w:vAlign w:val="center"/>
          </w:tcPr>
          <w:p w14:paraId="0D085C08" w14:textId="52DBAE2D" w:rsidR="00D23BC8" w:rsidRPr="00963E0D" w:rsidRDefault="00440E4E" w:rsidP="0092308E">
            <w:pPr>
              <w:keepNext/>
              <w:tabs>
                <w:tab w:val="left" w:pos="720"/>
              </w:tabs>
              <w:spacing w:before="0"/>
              <w:rPr>
                <w:rFonts w:ascii="Open Sans Semibold" w:hAnsi="Open Sans Semibold" w:cs="Open Sans Semibold"/>
                <w:color w:val="FFFFFF" w:themeColor="background1"/>
              </w:rPr>
            </w:pPr>
            <w:r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Variable</w:t>
            </w:r>
          </w:p>
        </w:tc>
        <w:tc>
          <w:tcPr>
            <w:tcW w:w="162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006991"/>
            <w:tcMar>
              <w:left w:w="108" w:type="dxa"/>
              <w:right w:w="108" w:type="dxa"/>
            </w:tcMar>
            <w:vAlign w:val="center"/>
          </w:tcPr>
          <w:p w14:paraId="59E9B1F9" w14:textId="15FF27E1" w:rsidR="00D23BC8" w:rsidRPr="00963E0D" w:rsidRDefault="00963E0D" w:rsidP="0092308E">
            <w:pPr>
              <w:keepNext/>
              <w:tabs>
                <w:tab w:val="left" w:pos="720"/>
              </w:tabs>
              <w:spacing w:before="0"/>
              <w:jc w:val="right"/>
              <w:rPr>
                <w:rFonts w:ascii="Open Sans Semibold" w:hAnsi="Open Sans Semibold" w:cs="Open Sans Semibold"/>
                <w:color w:val="FFFFFF" w:themeColor="background1"/>
              </w:rPr>
            </w:pPr>
            <w:r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  <w:t>Coefficient</w:t>
            </w:r>
            <w:r w:rsidR="00D23BC8" w:rsidRPr="00963E0D"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D23BC8" w14:paraId="104FABEE" w14:textId="77777777" w:rsidTr="008A6C3A">
        <w:trPr>
          <w:cantSplit/>
          <w:trHeight w:val="315"/>
        </w:trPr>
        <w:tc>
          <w:tcPr>
            <w:tcW w:w="7320" w:type="dxa"/>
            <w:shd w:val="clear" w:color="auto" w:fill="ADD6EA"/>
            <w:tcMar>
              <w:left w:w="108" w:type="dxa"/>
              <w:right w:w="108" w:type="dxa"/>
            </w:tcMar>
            <w:vAlign w:val="center"/>
          </w:tcPr>
          <w:p w14:paraId="3971502E" w14:textId="5F75544A" w:rsidR="00D23BC8" w:rsidRDefault="00D23BC8" w:rsidP="0092308E">
            <w:pPr>
              <w:keepNext/>
              <w:tabs>
                <w:tab w:val="left" w:pos="720"/>
              </w:tabs>
              <w:spacing w:before="0"/>
            </w:pPr>
          </w:p>
        </w:tc>
        <w:tc>
          <w:tcPr>
            <w:tcW w:w="1620" w:type="dxa"/>
            <w:shd w:val="clear" w:color="auto" w:fill="ADD6EA"/>
            <w:tcMar>
              <w:left w:w="108" w:type="dxa"/>
              <w:right w:w="108" w:type="dxa"/>
            </w:tcMar>
            <w:vAlign w:val="center"/>
          </w:tcPr>
          <w:p w14:paraId="6D7EB346" w14:textId="1765DE27" w:rsidR="00D23BC8" w:rsidRDefault="00D23BC8" w:rsidP="0092308E">
            <w:pPr>
              <w:keepNext/>
              <w:tabs>
                <w:tab w:val="left" w:pos="720"/>
              </w:tabs>
              <w:spacing w:before="0"/>
              <w:jc w:val="right"/>
            </w:pPr>
            <w:r w:rsidRPr="62A47A44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($ per capita)</w:t>
            </w:r>
          </w:p>
        </w:tc>
      </w:tr>
      <w:tr w:rsidR="00D23BC8" w14:paraId="3FA54A4F" w14:textId="77777777" w:rsidTr="008A6C3A">
        <w:trPr>
          <w:cantSplit/>
          <w:trHeight w:val="315"/>
        </w:trPr>
        <w:tc>
          <w:tcPr>
            <w:tcW w:w="73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DA9A49E" w14:textId="3BFD78D5" w:rsidR="00D23BC8" w:rsidRDefault="00D23BC8" w:rsidP="0092308E">
            <w:pPr>
              <w:keepNext/>
              <w:tabs>
                <w:tab w:val="left" w:pos="720"/>
              </w:tabs>
              <w:spacing w:before="0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 xml:space="preserve">Intercept </w:t>
            </w:r>
          </w:p>
        </w:tc>
        <w:tc>
          <w:tcPr>
            <w:tcW w:w="16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E3CB328" w14:textId="0E48DE7A" w:rsidR="00D23BC8" w:rsidRDefault="00D23BC8" w:rsidP="0092308E">
            <w:pPr>
              <w:keepNext/>
              <w:tabs>
                <w:tab w:val="left" w:pos="720"/>
              </w:tabs>
              <w:spacing w:before="0"/>
              <w:jc w:val="right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-19</w:t>
            </w:r>
            <w:r w:rsidR="008A14B7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7.</w:t>
            </w:r>
            <w:r w:rsidR="003A6B01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</w:t>
            </w:r>
            <w:r w:rsidR="002944FF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</w:t>
            </w:r>
          </w:p>
        </w:tc>
      </w:tr>
      <w:tr w:rsidR="00D23BC8" w14:paraId="588827EF" w14:textId="77777777" w:rsidTr="008A6C3A">
        <w:trPr>
          <w:cantSplit/>
          <w:trHeight w:val="315"/>
        </w:trPr>
        <w:tc>
          <w:tcPr>
            <w:tcW w:w="73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61C94F0" w14:textId="4D4B7DD1" w:rsidR="00D23BC8" w:rsidRDefault="00D23BC8" w:rsidP="0092308E">
            <w:pPr>
              <w:keepNext/>
              <w:tabs>
                <w:tab w:val="left" w:pos="720"/>
              </w:tabs>
              <w:spacing w:before="0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Population</w:t>
            </w:r>
            <w:r w:rsidR="000A2AF6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-</w:t>
            </w: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weighted density</w:t>
            </w:r>
          </w:p>
        </w:tc>
        <w:tc>
          <w:tcPr>
            <w:tcW w:w="16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200A7B6" w14:textId="3201D558" w:rsidR="00D23BC8" w:rsidRDefault="00D23BC8" w:rsidP="0092308E">
            <w:pPr>
              <w:keepNext/>
              <w:tabs>
                <w:tab w:val="left" w:pos="720"/>
              </w:tabs>
              <w:spacing w:before="0"/>
              <w:jc w:val="right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0.1</w:t>
            </w:r>
            <w:r w:rsidR="003A6B01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6</w:t>
            </w:r>
          </w:p>
        </w:tc>
      </w:tr>
      <w:tr w:rsidR="00D23BC8" w14:paraId="0ECD27D4" w14:textId="77777777" w:rsidTr="008A6C3A">
        <w:trPr>
          <w:cantSplit/>
          <w:trHeight w:val="315"/>
        </w:trPr>
        <w:tc>
          <w:tcPr>
            <w:tcW w:w="73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314FB74" w14:textId="44DDC014" w:rsidR="00D23BC8" w:rsidRDefault="00D23BC8" w:rsidP="0092308E">
            <w:pPr>
              <w:keepNext/>
              <w:tabs>
                <w:tab w:val="left" w:pos="720"/>
              </w:tabs>
              <w:spacing w:before="0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Heavy rail passengers (logged)</w:t>
            </w:r>
          </w:p>
        </w:tc>
        <w:tc>
          <w:tcPr>
            <w:tcW w:w="16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D293DF8" w14:textId="581B61FA" w:rsidR="00D23BC8" w:rsidRDefault="003A6B01" w:rsidP="0092308E">
            <w:pPr>
              <w:keepNext/>
              <w:tabs>
                <w:tab w:val="left" w:pos="720"/>
              </w:tabs>
              <w:spacing w:before="0"/>
              <w:jc w:val="right"/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9.0</w:t>
            </w:r>
            <w:r w:rsidR="002944FF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8</w:t>
            </w:r>
          </w:p>
        </w:tc>
      </w:tr>
      <w:tr w:rsidR="00D23BC8" w14:paraId="0333E0AB" w14:textId="77777777" w:rsidTr="008A6C3A">
        <w:trPr>
          <w:cantSplit/>
          <w:trHeight w:val="315"/>
        </w:trPr>
        <w:tc>
          <w:tcPr>
            <w:tcW w:w="73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C3ECC1E" w14:textId="1F562D6D" w:rsidR="00D23BC8" w:rsidRDefault="00D23BC8" w:rsidP="0092308E">
            <w:pPr>
              <w:keepNext/>
              <w:tabs>
                <w:tab w:val="left" w:pos="720"/>
              </w:tabs>
              <w:spacing w:before="0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 xml:space="preserve">Bus </w:t>
            </w:r>
            <w:r w:rsidR="0034729D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and</w:t>
            </w: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 xml:space="preserve"> light rail passengers (logged)</w:t>
            </w:r>
          </w:p>
        </w:tc>
        <w:tc>
          <w:tcPr>
            <w:tcW w:w="16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3BB475B" w14:textId="37F9179A" w:rsidR="00D23BC8" w:rsidRDefault="003A6B01" w:rsidP="0092308E">
            <w:pPr>
              <w:keepNext/>
              <w:tabs>
                <w:tab w:val="left" w:pos="720"/>
              </w:tabs>
              <w:spacing w:before="0"/>
              <w:jc w:val="right"/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10.7</w:t>
            </w:r>
            <w:r w:rsidR="002944FF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4</w:t>
            </w:r>
          </w:p>
        </w:tc>
      </w:tr>
      <w:tr w:rsidR="00D23BC8" w14:paraId="36232E78" w14:textId="77777777" w:rsidTr="008A6C3A">
        <w:trPr>
          <w:cantSplit/>
          <w:trHeight w:val="315"/>
        </w:trPr>
        <w:tc>
          <w:tcPr>
            <w:tcW w:w="73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B0324A5" w14:textId="4E762C0E" w:rsidR="00D23BC8" w:rsidRDefault="00D23BC8" w:rsidP="0092308E">
            <w:pPr>
              <w:keepNext/>
              <w:tabs>
                <w:tab w:val="left" w:pos="720"/>
              </w:tabs>
              <w:spacing w:before="0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Median distance to work</w:t>
            </w:r>
          </w:p>
        </w:tc>
        <w:tc>
          <w:tcPr>
            <w:tcW w:w="16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E6AF9ED" w14:textId="133F1ECC" w:rsidR="00D23BC8" w:rsidRDefault="00ED0E97" w:rsidP="0092308E">
            <w:pPr>
              <w:keepNext/>
              <w:tabs>
                <w:tab w:val="left" w:pos="720"/>
              </w:tabs>
              <w:spacing w:before="0"/>
              <w:jc w:val="right"/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2.08</w:t>
            </w:r>
          </w:p>
        </w:tc>
      </w:tr>
      <w:tr w:rsidR="00D23BC8" w14:paraId="4B5E83FD" w14:textId="77777777" w:rsidTr="008A6C3A">
        <w:trPr>
          <w:cantSplit/>
          <w:trHeight w:val="315"/>
        </w:trPr>
        <w:tc>
          <w:tcPr>
            <w:tcW w:w="73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D3EFACA" w14:textId="057B90D9" w:rsidR="00D23BC8" w:rsidRDefault="00D23BC8" w:rsidP="0092308E">
            <w:pPr>
              <w:keepNext/>
              <w:tabs>
                <w:tab w:val="left" w:pos="720"/>
              </w:tabs>
              <w:spacing w:before="0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Average slope</w:t>
            </w:r>
          </w:p>
        </w:tc>
        <w:tc>
          <w:tcPr>
            <w:tcW w:w="16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680A0D0" w14:textId="4BC0B20A" w:rsidR="00D23BC8" w:rsidRDefault="00D23BC8" w:rsidP="0092308E">
            <w:pPr>
              <w:keepNext/>
              <w:tabs>
                <w:tab w:val="left" w:pos="720"/>
              </w:tabs>
              <w:spacing w:before="0"/>
              <w:jc w:val="right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</w:t>
            </w:r>
            <w:r w:rsidR="00ED0E97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2.5</w:t>
            </w:r>
            <w:r w:rsidR="002944FF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</w:t>
            </w:r>
          </w:p>
        </w:tc>
      </w:tr>
      <w:tr w:rsidR="00D23BC8" w14:paraId="1C89D2C4" w14:textId="77777777" w:rsidTr="008A6C3A">
        <w:trPr>
          <w:cantSplit/>
          <w:trHeight w:val="315"/>
        </w:trPr>
        <w:tc>
          <w:tcPr>
            <w:tcW w:w="73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D209A8D" w14:textId="5CE5E90E" w:rsidR="00D23BC8" w:rsidRDefault="00D23BC8" w:rsidP="00004944">
            <w:pPr>
              <w:tabs>
                <w:tab w:val="left" w:pos="720"/>
              </w:tabs>
              <w:spacing w:before="0"/>
            </w:pPr>
            <w:r w:rsidRPr="62A47A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Ferry dummy variable</w:t>
            </w:r>
          </w:p>
        </w:tc>
        <w:tc>
          <w:tcPr>
            <w:tcW w:w="162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5F65014" w14:textId="1C8047C9" w:rsidR="00D23BC8" w:rsidRDefault="00ED0E97" w:rsidP="00004944">
            <w:pPr>
              <w:tabs>
                <w:tab w:val="left" w:pos="720"/>
              </w:tabs>
              <w:spacing w:before="0"/>
              <w:jc w:val="right"/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40.4</w:t>
            </w:r>
            <w:r w:rsidR="002944FF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5</w:t>
            </w:r>
          </w:p>
        </w:tc>
      </w:tr>
    </w:tbl>
    <w:p w14:paraId="6B9B5AEB" w14:textId="7AA14F12" w:rsidR="5B4D8D16" w:rsidRDefault="5B4D8D16" w:rsidP="001C1B8E">
      <w:pPr>
        <w:pStyle w:val="CGC2025TableNote"/>
      </w:pPr>
      <w:r w:rsidRPr="62A47A44">
        <w:t>Note: The urban transport regression uses net expense data from 2022</w:t>
      </w:r>
      <w:r w:rsidR="00CD0DB4">
        <w:t>–</w:t>
      </w:r>
      <w:r w:rsidRPr="62A47A44">
        <w:t>23.</w:t>
      </w:r>
    </w:p>
    <w:p w14:paraId="215C165D" w14:textId="5C567395" w:rsidR="1AEA0E00" w:rsidRDefault="3E07F151" w:rsidP="001C1B8E">
      <w:pPr>
        <w:pStyle w:val="CGC2025TableNote"/>
      </w:pPr>
      <w:r w:rsidRPr="203BD3AE">
        <w:rPr>
          <w:color w:val="FFFFFF" w:themeColor="background1"/>
        </w:rPr>
        <w:t>Note:</w:t>
      </w:r>
      <w:r w:rsidR="2641580C" w:rsidRPr="4453A376">
        <w:t xml:space="preserve"> </w:t>
      </w:r>
      <w:r w:rsidR="2641580C" w:rsidRPr="630A9626">
        <w:t>8</w:t>
      </w:r>
      <w:r w:rsidR="00E43E4C">
        <w:t>0</w:t>
      </w:r>
      <w:r w:rsidR="2641580C" w:rsidRPr="630A9626">
        <w:t xml:space="preserve"> urban </w:t>
      </w:r>
      <w:r w:rsidR="2641580C" w:rsidRPr="2D48C25B">
        <w:t xml:space="preserve">areas with </w:t>
      </w:r>
      <w:r w:rsidR="2641580C" w:rsidRPr="659ABB6F">
        <w:t xml:space="preserve">available </w:t>
      </w:r>
      <w:r w:rsidR="2641580C" w:rsidRPr="607D348B">
        <w:t>data were used to estima</w:t>
      </w:r>
      <w:r w:rsidR="1059B564" w:rsidRPr="607D348B">
        <w:t xml:space="preserve">te </w:t>
      </w:r>
      <w:r w:rsidR="1059B564" w:rsidRPr="1FC3A625">
        <w:t xml:space="preserve">the </w:t>
      </w:r>
      <w:r w:rsidR="1059B564" w:rsidRPr="70F11980">
        <w:t>regression</w:t>
      </w:r>
      <w:r w:rsidR="004A0210">
        <w:t>.</w:t>
      </w:r>
    </w:p>
    <w:p w14:paraId="344FE248" w14:textId="15D8750C" w:rsidR="008A036F" w:rsidRDefault="00472F42" w:rsidP="001C1B8E">
      <w:pPr>
        <w:pStyle w:val="CGC2025TableNote"/>
      </w:pPr>
      <w:r w:rsidRPr="00472F42">
        <w:rPr>
          <w:color w:val="FFFFFF" w:themeColor="background1"/>
        </w:rPr>
        <w:t xml:space="preserve">Note: </w:t>
      </w:r>
      <w:r>
        <w:t xml:space="preserve">These coefficients will be revised in the 2026 Update </w:t>
      </w:r>
      <w:r w:rsidR="003E578A">
        <w:t>with</w:t>
      </w:r>
      <w:r>
        <w:t xml:space="preserve"> 2023</w:t>
      </w:r>
      <w:r w:rsidR="00CD0DB4">
        <w:t>–</w:t>
      </w:r>
      <w:r>
        <w:t xml:space="preserve">24 </w:t>
      </w:r>
      <w:r w:rsidR="003E578A">
        <w:t xml:space="preserve">state </w:t>
      </w:r>
      <w:r>
        <w:t>net</w:t>
      </w:r>
      <w:r w:rsidRPr="00B8289C">
        <w:rPr>
          <w:sz w:val="12"/>
          <w:szCs w:val="12"/>
        </w:rPr>
        <w:t xml:space="preserve"> </w:t>
      </w:r>
      <w:r>
        <w:t>expense data</w:t>
      </w:r>
      <w:r w:rsidR="003E578A">
        <w:t>.</w:t>
      </w:r>
      <w:r>
        <w:t xml:space="preserve"> </w:t>
      </w:r>
    </w:p>
    <w:p w14:paraId="4CA3FBBF" w14:textId="77777777" w:rsidR="00E54CF4" w:rsidRDefault="00E54CF4" w:rsidP="00472F42">
      <w:pPr>
        <w:spacing w:before="40"/>
        <w:rPr>
          <w:rFonts w:ascii="Work Sans" w:eastAsia="Work Sans" w:hAnsi="Work Sans" w:cs="Work Sans"/>
          <w:sz w:val="14"/>
          <w:szCs w:val="14"/>
        </w:rPr>
      </w:pPr>
    </w:p>
    <w:p w14:paraId="25464775" w14:textId="6240EAC5" w:rsidR="000E5028" w:rsidRPr="000E5028" w:rsidRDefault="000E5028" w:rsidP="000E5028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 w:rsidRPr="00055B9E">
        <w:rPr>
          <w:rFonts w:ascii="Work Sans" w:eastAsia="Work Sans" w:hAnsi="Work Sans" w:cs="Work Sans"/>
          <w:sz w:val="20"/>
          <w:szCs w:val="20"/>
        </w:rPr>
        <w:t xml:space="preserve">The regression estimates the impact of urban characteristics on the net per capita expenses </w:t>
      </w:r>
      <w:r>
        <w:rPr>
          <w:rFonts w:ascii="Work Sans" w:eastAsia="Work Sans" w:hAnsi="Work Sans" w:cs="Work Sans"/>
          <w:sz w:val="20"/>
          <w:szCs w:val="20"/>
        </w:rPr>
        <w:t>in an urban area</w:t>
      </w:r>
      <w:r w:rsidRPr="00055B9E">
        <w:rPr>
          <w:rFonts w:ascii="Work Sans" w:eastAsia="Work Sans" w:hAnsi="Work Sans" w:cs="Work Sans"/>
          <w:sz w:val="20"/>
          <w:szCs w:val="20"/>
        </w:rPr>
        <w:t xml:space="preserve">. For example, as Table 5 shows, an additional person per square kilometre in an urban area increases public transport demand and results in an additional </w:t>
      </w:r>
      <w:r>
        <w:rPr>
          <w:rFonts w:ascii="Work Sans" w:eastAsia="Work Sans" w:hAnsi="Work Sans" w:cs="Work Sans"/>
          <w:sz w:val="20"/>
          <w:szCs w:val="20"/>
        </w:rPr>
        <w:t xml:space="preserve">cost of </w:t>
      </w:r>
      <w:r w:rsidRPr="00055B9E">
        <w:rPr>
          <w:rFonts w:ascii="Work Sans" w:eastAsia="Work Sans" w:hAnsi="Work Sans" w:cs="Work Sans"/>
          <w:sz w:val="20"/>
          <w:szCs w:val="20"/>
        </w:rPr>
        <w:t>$0.1</w:t>
      </w:r>
      <w:r>
        <w:rPr>
          <w:rFonts w:ascii="Work Sans" w:eastAsia="Work Sans" w:hAnsi="Work Sans" w:cs="Work Sans"/>
          <w:sz w:val="20"/>
          <w:szCs w:val="20"/>
        </w:rPr>
        <w:t>6</w:t>
      </w:r>
      <w:r w:rsidRPr="00055B9E">
        <w:rPr>
          <w:rFonts w:ascii="Work Sans" w:eastAsia="Work Sans" w:hAnsi="Work Sans" w:cs="Work Sans"/>
          <w:sz w:val="20"/>
          <w:szCs w:val="20"/>
        </w:rPr>
        <w:t xml:space="preserve"> per person</w:t>
      </w:r>
      <w:r>
        <w:rPr>
          <w:rFonts w:ascii="Work Sans" w:eastAsia="Work Sans" w:hAnsi="Work Sans" w:cs="Work Sans"/>
          <w:sz w:val="20"/>
          <w:szCs w:val="20"/>
        </w:rPr>
        <w:t>.</w:t>
      </w:r>
      <w:r>
        <w:rPr>
          <w:rStyle w:val="FootnoteReference"/>
          <w:rFonts w:eastAsia="Work Sans" w:cs="Work Sans"/>
        </w:rPr>
        <w:footnoteReference w:id="11"/>
      </w:r>
      <w:r w:rsidRPr="00055B9E">
        <w:rPr>
          <w:rFonts w:ascii="Work Sans" w:eastAsia="Work Sans" w:hAnsi="Work Sans" w:cs="Work Sans"/>
          <w:sz w:val="20"/>
          <w:szCs w:val="20"/>
        </w:rPr>
        <w:t xml:space="preserve"> </w:t>
      </w:r>
    </w:p>
    <w:p w14:paraId="53FFE45D" w14:textId="00E67C96" w:rsidR="00A87F30" w:rsidRPr="00055B9E" w:rsidRDefault="00A87F30" w:rsidP="00A87F30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2022</w:t>
      </w:r>
      <w:r w:rsidR="00040FA5">
        <w:rPr>
          <w:rFonts w:ascii="Work Sans" w:eastAsia="Work Sans" w:hAnsi="Work Sans" w:cs="Work Sans"/>
          <w:sz w:val="20"/>
          <w:szCs w:val="20"/>
        </w:rPr>
        <w:t>–</w:t>
      </w:r>
      <w:r>
        <w:rPr>
          <w:rFonts w:ascii="Work Sans" w:eastAsia="Work Sans" w:hAnsi="Work Sans" w:cs="Work Sans"/>
          <w:sz w:val="20"/>
          <w:szCs w:val="20"/>
        </w:rPr>
        <w:t>23 state net expense data for each urban area are used to estimate costs associated with the drivers of need identified above</w:t>
      </w:r>
      <w:r w:rsidR="00736F23">
        <w:rPr>
          <w:rFonts w:ascii="Work Sans" w:eastAsia="Work Sans" w:hAnsi="Work Sans" w:cs="Work Sans"/>
          <w:sz w:val="20"/>
          <w:szCs w:val="20"/>
        </w:rPr>
        <w:t>.</w:t>
      </w:r>
      <w:r>
        <w:rPr>
          <w:rStyle w:val="FootnoteReference"/>
          <w:rFonts w:eastAsia="Work Sans" w:cs="Work Sans"/>
        </w:rPr>
        <w:footnoteReference w:id="12"/>
      </w:r>
      <w:r>
        <w:rPr>
          <w:rFonts w:ascii="Work Sans" w:eastAsia="Work Sans" w:hAnsi="Work Sans" w:cs="Work Sans"/>
          <w:sz w:val="20"/>
          <w:szCs w:val="20"/>
        </w:rPr>
        <w:t xml:space="preserve"> </w:t>
      </w:r>
      <w:r w:rsidRPr="00055B9E">
        <w:rPr>
          <w:rFonts w:ascii="Work Sans" w:eastAsia="Work Sans" w:hAnsi="Work Sans" w:cs="Work Sans"/>
          <w:sz w:val="20"/>
          <w:szCs w:val="20"/>
        </w:rPr>
        <w:t xml:space="preserve">For some smaller </w:t>
      </w:r>
      <w:r>
        <w:rPr>
          <w:rFonts w:ascii="Work Sans" w:eastAsia="Work Sans" w:hAnsi="Work Sans" w:cs="Work Sans"/>
          <w:sz w:val="20"/>
          <w:szCs w:val="20"/>
        </w:rPr>
        <w:t>urban areas</w:t>
      </w:r>
      <w:r w:rsidRPr="00055B9E">
        <w:rPr>
          <w:rFonts w:ascii="Work Sans" w:eastAsia="Work Sans" w:hAnsi="Work Sans" w:cs="Work Sans"/>
          <w:sz w:val="20"/>
          <w:szCs w:val="20"/>
        </w:rPr>
        <w:t xml:space="preserve">, a minimum cost of $20 per capita is applied to account </w:t>
      </w:r>
      <w:r>
        <w:rPr>
          <w:rFonts w:ascii="Work Sans" w:eastAsia="Work Sans" w:hAnsi="Work Sans" w:cs="Work Sans"/>
          <w:sz w:val="20"/>
          <w:szCs w:val="20"/>
        </w:rPr>
        <w:t xml:space="preserve">for </w:t>
      </w:r>
      <w:r w:rsidRPr="00055B9E">
        <w:rPr>
          <w:rFonts w:ascii="Work Sans" w:eastAsia="Work Sans" w:hAnsi="Work Sans" w:cs="Work Sans"/>
          <w:sz w:val="20"/>
          <w:szCs w:val="20"/>
        </w:rPr>
        <w:t>the fixed costs associated with transport services.</w:t>
      </w:r>
    </w:p>
    <w:p w14:paraId="2B983FED" w14:textId="77777777" w:rsidR="00A87F30" w:rsidRDefault="00A87F30" w:rsidP="00472F42">
      <w:pPr>
        <w:spacing w:before="40"/>
        <w:rPr>
          <w:rFonts w:ascii="Work Sans" w:eastAsia="Work Sans" w:hAnsi="Work Sans" w:cs="Work Sans"/>
          <w:sz w:val="14"/>
          <w:szCs w:val="14"/>
        </w:rPr>
      </w:pPr>
    </w:p>
    <w:p w14:paraId="41C7FE78" w14:textId="3C5D9A93" w:rsidR="009D25E9" w:rsidRPr="00811C12" w:rsidRDefault="00247670" w:rsidP="009D25E9">
      <w:pPr>
        <w:pStyle w:val="Heading5"/>
      </w:pPr>
      <w:r>
        <w:t xml:space="preserve">Step 2 </w:t>
      </w:r>
      <w:r w:rsidR="000E645B">
        <w:t xml:space="preserve">- </w:t>
      </w:r>
      <w:r w:rsidR="009D25E9">
        <w:t xml:space="preserve">Applying the </w:t>
      </w:r>
      <w:r w:rsidR="003B3197">
        <w:t xml:space="preserve">urban centre characteristics </w:t>
      </w:r>
      <w:r w:rsidR="009D25E9">
        <w:t>regression coefficients</w:t>
      </w:r>
    </w:p>
    <w:p w14:paraId="66EDF3DB" w14:textId="238CD901" w:rsidR="00F61EF6" w:rsidRDefault="001E1C79" w:rsidP="00F8113D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T</w:t>
      </w:r>
      <w:r w:rsidR="00AF37B4">
        <w:rPr>
          <w:rFonts w:ascii="Work Sans" w:eastAsia="Work Sans" w:hAnsi="Work Sans" w:cs="Work Sans"/>
          <w:sz w:val="20"/>
          <w:szCs w:val="20"/>
        </w:rPr>
        <w:t xml:space="preserve">o obtain </w:t>
      </w:r>
      <w:r w:rsidR="00C017DF">
        <w:rPr>
          <w:rFonts w:ascii="Work Sans" w:eastAsia="Work Sans" w:hAnsi="Work Sans" w:cs="Work Sans"/>
          <w:sz w:val="20"/>
          <w:szCs w:val="20"/>
        </w:rPr>
        <w:t>spending estimates, the</w:t>
      </w:r>
      <w:r>
        <w:rPr>
          <w:rFonts w:ascii="Work Sans" w:eastAsia="Work Sans" w:hAnsi="Work Sans" w:cs="Work Sans"/>
          <w:sz w:val="20"/>
          <w:szCs w:val="20"/>
        </w:rPr>
        <w:t xml:space="preserve"> </w:t>
      </w:r>
      <w:r w:rsidR="00AF37B4">
        <w:rPr>
          <w:rFonts w:ascii="Work Sans" w:eastAsia="Work Sans" w:hAnsi="Work Sans" w:cs="Work Sans"/>
          <w:sz w:val="20"/>
          <w:szCs w:val="20"/>
        </w:rPr>
        <w:t xml:space="preserve">regression </w:t>
      </w:r>
      <w:r>
        <w:rPr>
          <w:rFonts w:ascii="Work Sans" w:eastAsia="Work Sans" w:hAnsi="Work Sans" w:cs="Work Sans"/>
          <w:sz w:val="20"/>
          <w:szCs w:val="20"/>
        </w:rPr>
        <w:t xml:space="preserve">coefficients are applied to </w:t>
      </w:r>
      <w:r w:rsidR="000D25ED">
        <w:rPr>
          <w:rFonts w:ascii="Work Sans" w:eastAsia="Work Sans" w:hAnsi="Work Sans" w:cs="Work Sans"/>
          <w:sz w:val="20"/>
          <w:szCs w:val="20"/>
        </w:rPr>
        <w:t xml:space="preserve">the characteristics </w:t>
      </w:r>
      <w:r>
        <w:rPr>
          <w:rFonts w:ascii="Work Sans" w:eastAsia="Work Sans" w:hAnsi="Work Sans" w:cs="Work Sans"/>
          <w:sz w:val="20"/>
          <w:szCs w:val="20"/>
        </w:rPr>
        <w:t xml:space="preserve">for each individual </w:t>
      </w:r>
      <w:r w:rsidR="00A77970">
        <w:rPr>
          <w:rFonts w:ascii="Work Sans" w:eastAsia="Work Sans" w:hAnsi="Work Sans" w:cs="Work Sans"/>
          <w:sz w:val="20"/>
          <w:szCs w:val="20"/>
        </w:rPr>
        <w:t>S</w:t>
      </w:r>
      <w:r w:rsidR="00B52121">
        <w:rPr>
          <w:rFonts w:ascii="Work Sans" w:eastAsia="Work Sans" w:hAnsi="Work Sans" w:cs="Work Sans"/>
          <w:sz w:val="20"/>
          <w:szCs w:val="20"/>
        </w:rPr>
        <w:t xml:space="preserve">ignificant </w:t>
      </w:r>
      <w:r w:rsidR="00A77970">
        <w:rPr>
          <w:rFonts w:ascii="Work Sans" w:eastAsia="Work Sans" w:hAnsi="Work Sans" w:cs="Work Sans"/>
          <w:sz w:val="20"/>
          <w:szCs w:val="20"/>
        </w:rPr>
        <w:t>U</w:t>
      </w:r>
      <w:r>
        <w:rPr>
          <w:rFonts w:ascii="Work Sans" w:eastAsia="Work Sans" w:hAnsi="Work Sans" w:cs="Work Sans"/>
          <w:sz w:val="20"/>
          <w:szCs w:val="20"/>
        </w:rPr>
        <w:t xml:space="preserve">rban </w:t>
      </w:r>
      <w:r w:rsidR="00A77970">
        <w:rPr>
          <w:rFonts w:ascii="Work Sans" w:eastAsia="Work Sans" w:hAnsi="Work Sans" w:cs="Work Sans"/>
          <w:sz w:val="20"/>
          <w:szCs w:val="20"/>
        </w:rPr>
        <w:t>A</w:t>
      </w:r>
      <w:r>
        <w:rPr>
          <w:rFonts w:ascii="Work Sans" w:eastAsia="Work Sans" w:hAnsi="Work Sans" w:cs="Work Sans"/>
          <w:sz w:val="20"/>
          <w:szCs w:val="20"/>
        </w:rPr>
        <w:t>rea</w:t>
      </w:r>
      <w:r w:rsidR="00C017DF">
        <w:rPr>
          <w:rFonts w:ascii="Work Sans" w:eastAsia="Work Sans" w:hAnsi="Work Sans" w:cs="Work Sans"/>
          <w:sz w:val="20"/>
          <w:szCs w:val="20"/>
        </w:rPr>
        <w:t>.</w:t>
      </w:r>
      <w:r w:rsidR="009F031F">
        <w:rPr>
          <w:rFonts w:ascii="Work Sans" w:eastAsia="Work Sans" w:hAnsi="Work Sans" w:cs="Work Sans"/>
          <w:sz w:val="20"/>
          <w:szCs w:val="20"/>
        </w:rPr>
        <w:t xml:space="preserve"> </w:t>
      </w:r>
    </w:p>
    <w:p w14:paraId="0CB2D74D" w14:textId="5EB734B4" w:rsidR="0005123F" w:rsidRDefault="00E67AC1" w:rsidP="00F8113D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For some </w:t>
      </w:r>
      <w:r w:rsidR="00142DB7">
        <w:rPr>
          <w:rFonts w:ascii="Work Sans" w:eastAsia="Work Sans" w:hAnsi="Work Sans" w:cs="Work Sans"/>
          <w:sz w:val="20"/>
          <w:szCs w:val="20"/>
        </w:rPr>
        <w:t>variables</w:t>
      </w:r>
      <w:r>
        <w:rPr>
          <w:rFonts w:ascii="Work Sans" w:eastAsia="Work Sans" w:hAnsi="Work Sans" w:cs="Work Sans"/>
          <w:sz w:val="20"/>
          <w:szCs w:val="20"/>
        </w:rPr>
        <w:t xml:space="preserve">, annual </w:t>
      </w:r>
      <w:r w:rsidR="00142DB7">
        <w:rPr>
          <w:rFonts w:ascii="Work Sans" w:eastAsia="Work Sans" w:hAnsi="Work Sans" w:cs="Work Sans"/>
          <w:sz w:val="20"/>
          <w:szCs w:val="20"/>
        </w:rPr>
        <w:t>data</w:t>
      </w:r>
      <w:r>
        <w:rPr>
          <w:rFonts w:ascii="Work Sans" w:eastAsia="Work Sans" w:hAnsi="Work Sans" w:cs="Work Sans"/>
          <w:sz w:val="20"/>
          <w:szCs w:val="20"/>
        </w:rPr>
        <w:t xml:space="preserve"> can be used to account for the changing nature of </w:t>
      </w:r>
      <w:r w:rsidR="009F5FE4">
        <w:rPr>
          <w:rFonts w:ascii="Work Sans" w:eastAsia="Work Sans" w:hAnsi="Work Sans" w:cs="Work Sans"/>
          <w:sz w:val="20"/>
          <w:szCs w:val="20"/>
        </w:rPr>
        <w:t>urban areas</w:t>
      </w:r>
      <w:r>
        <w:rPr>
          <w:rFonts w:ascii="Work Sans" w:eastAsia="Work Sans" w:hAnsi="Work Sans" w:cs="Work Sans"/>
          <w:sz w:val="20"/>
          <w:szCs w:val="20"/>
        </w:rPr>
        <w:t xml:space="preserve">, while other </w:t>
      </w:r>
      <w:r w:rsidR="00D03D2B">
        <w:rPr>
          <w:rFonts w:ascii="Work Sans" w:eastAsia="Work Sans" w:hAnsi="Work Sans" w:cs="Work Sans"/>
          <w:sz w:val="20"/>
          <w:szCs w:val="20"/>
        </w:rPr>
        <w:t>variables will</w:t>
      </w:r>
      <w:r w:rsidR="00FC7FB2">
        <w:rPr>
          <w:rFonts w:ascii="Work Sans" w:eastAsia="Work Sans" w:hAnsi="Work Sans" w:cs="Work Sans"/>
          <w:sz w:val="20"/>
          <w:szCs w:val="20"/>
        </w:rPr>
        <w:t xml:space="preserve"> remain fixed until new data become available.</w:t>
      </w:r>
      <w:r>
        <w:rPr>
          <w:rFonts w:ascii="Work Sans" w:eastAsia="Work Sans" w:hAnsi="Work Sans" w:cs="Work Sans"/>
          <w:sz w:val="20"/>
          <w:szCs w:val="20"/>
        </w:rPr>
        <w:t xml:space="preserve"> </w:t>
      </w:r>
      <w:r w:rsidR="00350CE3">
        <w:rPr>
          <w:rFonts w:ascii="Work Sans" w:eastAsia="Work Sans" w:hAnsi="Work Sans" w:cs="Work Sans"/>
          <w:sz w:val="20"/>
          <w:szCs w:val="20"/>
        </w:rPr>
        <w:t xml:space="preserve">Table 6 outlines </w:t>
      </w:r>
      <w:r w:rsidR="003160DB">
        <w:rPr>
          <w:rFonts w:ascii="Work Sans" w:eastAsia="Work Sans" w:hAnsi="Work Sans" w:cs="Work Sans"/>
          <w:sz w:val="20"/>
          <w:szCs w:val="20"/>
        </w:rPr>
        <w:t xml:space="preserve">when </w:t>
      </w:r>
      <w:r w:rsidR="00350CE3">
        <w:rPr>
          <w:rFonts w:ascii="Work Sans" w:eastAsia="Work Sans" w:hAnsi="Work Sans" w:cs="Work Sans"/>
          <w:sz w:val="20"/>
          <w:szCs w:val="20"/>
        </w:rPr>
        <w:t xml:space="preserve">variables are updated and the corresponding methods. </w:t>
      </w:r>
    </w:p>
    <w:p w14:paraId="550191D6" w14:textId="77777777" w:rsidR="00144C29" w:rsidRDefault="00144C29">
      <w:pPr>
        <w:tabs>
          <w:tab w:val="clear" w:pos="567"/>
        </w:tabs>
        <w:spacing w:before="0" w:after="200" w:line="276" w:lineRule="auto"/>
        <w:rPr>
          <w:rFonts w:ascii="Work Sans" w:hAnsi="Work Sans"/>
          <w:b/>
          <w:bCs/>
          <w:szCs w:val="24"/>
        </w:rPr>
      </w:pPr>
      <w:r>
        <w:rPr>
          <w:b/>
          <w:bCs/>
        </w:rPr>
        <w:br w:type="page"/>
      </w:r>
    </w:p>
    <w:p w14:paraId="7E77A2A0" w14:textId="7395CDB5" w:rsidR="00F51F0D" w:rsidRPr="00BD24F8" w:rsidRDefault="00F51F0D" w:rsidP="00144C29">
      <w:pPr>
        <w:pStyle w:val="CGC2025ParaNumbers"/>
        <w:keepNext/>
        <w:keepLines/>
        <w:numPr>
          <w:ilvl w:val="0"/>
          <w:numId w:val="0"/>
        </w:numPr>
        <w:rPr>
          <w:b/>
          <w:bCs/>
        </w:rPr>
      </w:pPr>
      <w:r w:rsidRPr="00BD24F8">
        <w:rPr>
          <w:b/>
          <w:bCs/>
        </w:rPr>
        <w:lastRenderedPageBreak/>
        <w:t xml:space="preserve">Table </w:t>
      </w:r>
      <w:r w:rsidR="00651B25">
        <w:rPr>
          <w:b/>
          <w:bCs/>
        </w:rPr>
        <w:t>6</w:t>
      </w:r>
      <w:r w:rsidRPr="00BD24F8">
        <w:rPr>
          <w:b/>
          <w:bCs/>
        </w:rPr>
        <w:tab/>
      </w:r>
      <w:r w:rsidR="00D36AA7">
        <w:rPr>
          <w:b/>
          <w:bCs/>
        </w:rPr>
        <w:t xml:space="preserve">Updating variables applied to the regression </w:t>
      </w:r>
      <w:r w:rsidR="009E3FB0">
        <w:rPr>
          <w:b/>
          <w:bCs/>
        </w:rPr>
        <w:t>coefficients</w:t>
      </w:r>
    </w:p>
    <w:tbl>
      <w:tblPr>
        <w:tblStyle w:val="TableGrid"/>
        <w:tblpPr w:leftFromText="180" w:rightFromText="180" w:vertAnchor="text" w:horzAnchor="margin" w:tblpY="76"/>
        <w:tblW w:w="8942" w:type="dxa"/>
        <w:tblLook w:val="04A0" w:firstRow="1" w:lastRow="0" w:firstColumn="1" w:lastColumn="0" w:noHBand="0" w:noVBand="1"/>
      </w:tblPr>
      <w:tblGrid>
        <w:gridCol w:w="2413"/>
        <w:gridCol w:w="2981"/>
        <w:gridCol w:w="3548"/>
      </w:tblGrid>
      <w:tr w:rsidR="005B5D5B" w14:paraId="123EFF10" w14:textId="77777777" w:rsidTr="002A5A26">
        <w:trPr>
          <w:trHeight w:val="4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4EA6CC9C" w14:textId="6F7B854F" w:rsidR="005B5D5B" w:rsidRPr="00E47A4B" w:rsidRDefault="005B5D5B" w:rsidP="00144C29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6991"/>
                <w:sz w:val="28"/>
                <w:szCs w:val="28"/>
              </w:rPr>
            </w:pPr>
            <w:r w:rsidRPr="0071797F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Variable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71EAAC16" w14:textId="23A66FF1" w:rsidR="005B5D5B" w:rsidRPr="00E47A4B" w:rsidRDefault="005B5D5B" w:rsidP="00144C29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1797F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Updated</w:t>
            </w:r>
            <w:r w:rsidRPr="00E47A4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52D8BC81" w14:textId="0F315AF9" w:rsidR="005B5D5B" w:rsidRPr="00E47A4B" w:rsidRDefault="005B5D5B" w:rsidP="00144C29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6991"/>
                <w:sz w:val="28"/>
                <w:szCs w:val="28"/>
              </w:rPr>
            </w:pPr>
            <w:r w:rsidRPr="0071797F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Method</w:t>
            </w:r>
          </w:p>
        </w:tc>
      </w:tr>
      <w:tr w:rsidR="005B5D5B" w14:paraId="0B264014" w14:textId="77777777" w:rsidTr="008A6C3A">
        <w:trPr>
          <w:trHeight w:val="247"/>
        </w:trPr>
        <w:tc>
          <w:tcPr>
            <w:tcW w:w="241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5CBBED7" w14:textId="5704EE32" w:rsidR="005B5D5B" w:rsidRPr="00761931" w:rsidRDefault="005B5D5B" w:rsidP="00144C29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P</w:t>
            </w:r>
            <w:r w:rsidR="00041EA8">
              <w:rPr>
                <w:rFonts w:eastAsia="Times New Roman" w:cs="Open Sans Light"/>
                <w:sz w:val="16"/>
                <w:szCs w:val="16"/>
              </w:rPr>
              <w:t>opulation</w:t>
            </w:r>
            <w:r w:rsidR="000A2AF6">
              <w:rPr>
                <w:rFonts w:eastAsia="Times New Roman" w:cs="Open Sans Light"/>
                <w:sz w:val="16"/>
                <w:szCs w:val="16"/>
              </w:rPr>
              <w:t>-</w:t>
            </w:r>
            <w:r w:rsidR="00041EA8">
              <w:rPr>
                <w:rFonts w:eastAsia="Times New Roman" w:cs="Open Sans Light"/>
                <w:sz w:val="16"/>
                <w:szCs w:val="16"/>
              </w:rPr>
              <w:t>weighted density</w:t>
            </w:r>
          </w:p>
        </w:tc>
        <w:tc>
          <w:tcPr>
            <w:tcW w:w="297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6F5E1541" w14:textId="0A53E094" w:rsidR="005B5D5B" w:rsidRPr="009F4CCC" w:rsidRDefault="006F517C" w:rsidP="00144C29">
            <w:pPr>
              <w:pStyle w:val="CGCTablerow"/>
              <w:keepNext/>
              <w:keepLines/>
              <w:rPr>
                <w:rFonts w:cs="Open Sans Light"/>
                <w:szCs w:val="16"/>
                <w:vertAlign w:val="superscript"/>
              </w:rPr>
            </w:pPr>
            <w:r>
              <w:rPr>
                <w:rFonts w:cs="Open Sans Light"/>
                <w:szCs w:val="16"/>
              </w:rPr>
              <w:t>Annually</w:t>
            </w:r>
            <w:r w:rsidR="009F4CCC">
              <w:rPr>
                <w:rFonts w:cs="Open Sans Light"/>
                <w:szCs w:val="16"/>
                <w:vertAlign w:val="superscript"/>
              </w:rPr>
              <w:t>(a)</w:t>
            </w:r>
          </w:p>
        </w:tc>
        <w:tc>
          <w:tcPr>
            <w:tcW w:w="35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7625FF1" w14:textId="18CFF4A9" w:rsidR="005B5D5B" w:rsidRPr="002F073A" w:rsidRDefault="00F70A05" w:rsidP="00144C29">
            <w:pPr>
              <w:pStyle w:val="CGCTablerow"/>
              <w:keepNext/>
              <w:keepLines/>
              <w:rPr>
                <w:rFonts w:cs="Open Sans Light"/>
                <w:szCs w:val="16"/>
              </w:rPr>
            </w:pPr>
            <w:r>
              <w:rPr>
                <w:rFonts w:cs="Open Sans Light"/>
                <w:szCs w:val="16"/>
              </w:rPr>
              <w:t xml:space="preserve">Same method used in the </w:t>
            </w:r>
            <w:r w:rsidR="00B93E9F">
              <w:rPr>
                <w:rFonts w:cs="Open Sans Light"/>
                <w:szCs w:val="16"/>
              </w:rPr>
              <w:t>regression</w:t>
            </w:r>
          </w:p>
        </w:tc>
      </w:tr>
      <w:tr w:rsidR="005B5D5B" w14:paraId="5DDA5AE4" w14:textId="77777777" w:rsidTr="008A6C3A">
        <w:trPr>
          <w:trHeight w:val="495"/>
        </w:trPr>
        <w:tc>
          <w:tcPr>
            <w:tcW w:w="241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5574E481" w14:textId="00EE1A45" w:rsidR="005B5D5B" w:rsidRPr="00761931" w:rsidRDefault="005B5D5B" w:rsidP="00144C29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Passenger numbers</w:t>
            </w:r>
          </w:p>
        </w:tc>
        <w:tc>
          <w:tcPr>
            <w:tcW w:w="297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3F5CD2D4" w14:textId="3B48AA1D" w:rsidR="005B5D5B" w:rsidRDefault="006F517C" w:rsidP="00144C29">
            <w:pPr>
              <w:pStyle w:val="CGCTablerow"/>
              <w:keepNext/>
              <w:keepLines/>
              <w:rPr>
                <w:rFonts w:eastAsia="Times New Roman" w:cs="Open Sans Light"/>
                <w:szCs w:val="16"/>
              </w:rPr>
            </w:pPr>
            <w:r>
              <w:rPr>
                <w:rFonts w:eastAsia="Times New Roman" w:cs="Open Sans Light"/>
                <w:szCs w:val="16"/>
              </w:rPr>
              <w:t>Annually</w:t>
            </w:r>
          </w:p>
        </w:tc>
        <w:tc>
          <w:tcPr>
            <w:tcW w:w="35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6710E2C9" w14:textId="41A5E4BB" w:rsidR="005B5D5B" w:rsidRPr="002F073A" w:rsidRDefault="000C4F6C" w:rsidP="00144C29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Modelled passenger numbers</w:t>
            </w:r>
            <w:r w:rsidR="00B93E9F">
              <w:rPr>
                <w:rFonts w:eastAsia="Times New Roman" w:cs="Open Sans Light"/>
                <w:sz w:val="16"/>
                <w:szCs w:val="16"/>
              </w:rPr>
              <w:t>, indexed by BITRE</w:t>
            </w:r>
            <w:r w:rsidR="00027FD0">
              <w:rPr>
                <w:rFonts w:eastAsia="Times New Roman" w:cs="Open Sans Light"/>
                <w:sz w:val="16"/>
                <w:szCs w:val="16"/>
              </w:rPr>
              <w:t xml:space="preserve"> (see below)</w:t>
            </w:r>
          </w:p>
        </w:tc>
      </w:tr>
      <w:tr w:rsidR="005B5D5B" w14:paraId="2442A1C4" w14:textId="77777777" w:rsidTr="008A6C3A">
        <w:trPr>
          <w:trHeight w:val="113"/>
        </w:trPr>
        <w:tc>
          <w:tcPr>
            <w:tcW w:w="241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CDDC8BA" w14:textId="045747B2" w:rsidR="005B5D5B" w:rsidRPr="00761931" w:rsidRDefault="005B5D5B" w:rsidP="00144C29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Distance to work</w:t>
            </w:r>
            <w:r w:rsidRPr="00761931">
              <w:rPr>
                <w:rFonts w:eastAsia="Times New Roman" w:cs="Open Sans Light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20A3E7CA" w14:textId="20328811" w:rsidR="005B5D5B" w:rsidRDefault="00F13D34" w:rsidP="00144C29">
            <w:pPr>
              <w:pStyle w:val="CGCTablerow"/>
              <w:keepNext/>
              <w:keepLines/>
              <w:rPr>
                <w:rFonts w:eastAsia="Times New Roman" w:cs="Open Sans Light"/>
                <w:szCs w:val="16"/>
              </w:rPr>
            </w:pPr>
            <w:r>
              <w:rPr>
                <w:rFonts w:eastAsia="Times New Roman" w:cs="Open Sans Light"/>
                <w:szCs w:val="16"/>
              </w:rPr>
              <w:t>When</w:t>
            </w:r>
            <w:r w:rsidR="00E47D46">
              <w:rPr>
                <w:rFonts w:eastAsia="Times New Roman" w:cs="Open Sans Light"/>
                <w:szCs w:val="16"/>
              </w:rPr>
              <w:t xml:space="preserve"> new census data</w:t>
            </w:r>
            <w:r>
              <w:rPr>
                <w:rFonts w:eastAsia="Times New Roman" w:cs="Open Sans Light"/>
                <w:szCs w:val="16"/>
              </w:rPr>
              <w:t xml:space="preserve"> </w:t>
            </w:r>
            <w:r w:rsidR="0055161D">
              <w:rPr>
                <w:rFonts w:eastAsia="Times New Roman" w:cs="Open Sans Light"/>
                <w:szCs w:val="16"/>
              </w:rPr>
              <w:t>become</w:t>
            </w:r>
            <w:r>
              <w:rPr>
                <w:rFonts w:eastAsia="Times New Roman" w:cs="Open Sans Light"/>
                <w:szCs w:val="16"/>
              </w:rPr>
              <w:t xml:space="preserve"> available</w:t>
            </w:r>
          </w:p>
        </w:tc>
        <w:tc>
          <w:tcPr>
            <w:tcW w:w="35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4AFFE5CE" w14:textId="1FAEF935" w:rsidR="005B5D5B" w:rsidRPr="002F073A" w:rsidRDefault="00F70A05" w:rsidP="00144C29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Same method used in the</w:t>
            </w:r>
            <w:r w:rsidR="001A155E">
              <w:rPr>
                <w:rFonts w:eastAsia="Times New Roman" w:cs="Open Sans Light"/>
                <w:sz w:val="16"/>
                <w:szCs w:val="16"/>
              </w:rPr>
              <w:t xml:space="preserve"> </w:t>
            </w:r>
            <w:r w:rsidR="00B93E9F">
              <w:rPr>
                <w:rFonts w:eastAsia="Times New Roman" w:cs="Open Sans Light"/>
                <w:sz w:val="16"/>
                <w:szCs w:val="16"/>
              </w:rPr>
              <w:t>regression</w:t>
            </w:r>
          </w:p>
        </w:tc>
      </w:tr>
      <w:tr w:rsidR="005B5D5B" w14:paraId="56260887" w14:textId="77777777" w:rsidTr="008A6C3A">
        <w:trPr>
          <w:trHeight w:val="113"/>
        </w:trPr>
        <w:tc>
          <w:tcPr>
            <w:tcW w:w="241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2B44B42C" w14:textId="165AD75F" w:rsidR="005B5D5B" w:rsidRPr="00761931" w:rsidRDefault="005B5D5B" w:rsidP="00144C29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Slope</w:t>
            </w:r>
          </w:p>
        </w:tc>
        <w:tc>
          <w:tcPr>
            <w:tcW w:w="297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4D82433E" w14:textId="0AED6112" w:rsidR="005B5D5B" w:rsidRDefault="00ED52A7" w:rsidP="00144C29">
            <w:pPr>
              <w:pStyle w:val="CGCTablerow"/>
              <w:keepNext/>
              <w:keepLines/>
              <w:rPr>
                <w:rFonts w:eastAsia="Times New Roman" w:cs="Open Sans Light"/>
                <w:szCs w:val="16"/>
              </w:rPr>
            </w:pPr>
            <w:r>
              <w:rPr>
                <w:rFonts w:eastAsia="Times New Roman" w:cs="Open Sans Light"/>
                <w:szCs w:val="16"/>
              </w:rPr>
              <w:t>W</w:t>
            </w:r>
            <w:r w:rsidR="00F13D34">
              <w:rPr>
                <w:rFonts w:eastAsia="Times New Roman" w:cs="Open Sans Light"/>
                <w:szCs w:val="16"/>
              </w:rPr>
              <w:t xml:space="preserve">hen new </w:t>
            </w:r>
            <w:r w:rsidR="00EA78F9">
              <w:rPr>
                <w:rFonts w:eastAsia="Times New Roman" w:cs="Open Sans Light"/>
                <w:szCs w:val="16"/>
              </w:rPr>
              <w:t>c</w:t>
            </w:r>
            <w:r w:rsidR="00F13D34">
              <w:rPr>
                <w:rFonts w:eastAsia="Times New Roman" w:cs="Open Sans Light"/>
                <w:szCs w:val="16"/>
              </w:rPr>
              <w:t xml:space="preserve">ensus data </w:t>
            </w:r>
            <w:r w:rsidR="0055161D">
              <w:rPr>
                <w:rFonts w:eastAsia="Times New Roman" w:cs="Open Sans Light"/>
                <w:szCs w:val="16"/>
              </w:rPr>
              <w:t>become</w:t>
            </w:r>
            <w:r w:rsidR="00F13D34">
              <w:rPr>
                <w:rFonts w:eastAsia="Times New Roman" w:cs="Open Sans Light"/>
                <w:szCs w:val="16"/>
              </w:rPr>
              <w:t xml:space="preserve"> available</w:t>
            </w:r>
          </w:p>
        </w:tc>
        <w:tc>
          <w:tcPr>
            <w:tcW w:w="35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195A8CC0" w14:textId="7F953383" w:rsidR="005B5D5B" w:rsidRPr="002F073A" w:rsidRDefault="00F70A05" w:rsidP="00144C29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Same method used in the</w:t>
            </w:r>
            <w:r w:rsidR="001A155E">
              <w:rPr>
                <w:rFonts w:eastAsia="Times New Roman" w:cs="Open Sans Light"/>
                <w:sz w:val="16"/>
                <w:szCs w:val="16"/>
              </w:rPr>
              <w:t xml:space="preserve"> </w:t>
            </w:r>
            <w:r w:rsidR="00B93E9F">
              <w:rPr>
                <w:rFonts w:eastAsia="Times New Roman" w:cs="Open Sans Light"/>
                <w:sz w:val="16"/>
                <w:szCs w:val="16"/>
              </w:rPr>
              <w:t>regression</w:t>
            </w:r>
          </w:p>
        </w:tc>
      </w:tr>
      <w:tr w:rsidR="005B5D5B" w14:paraId="7DF257BE" w14:textId="77777777" w:rsidTr="008A6C3A">
        <w:trPr>
          <w:trHeight w:val="113"/>
        </w:trPr>
        <w:tc>
          <w:tcPr>
            <w:tcW w:w="241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77746E23" w14:textId="01633EEE" w:rsidR="005B5D5B" w:rsidRDefault="005B5D5B" w:rsidP="00144C29">
            <w:pPr>
              <w:keepNext/>
              <w:keepLines/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>Ferry</w:t>
            </w:r>
          </w:p>
        </w:tc>
        <w:tc>
          <w:tcPr>
            <w:tcW w:w="297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48B21F56" w14:textId="36DB7503" w:rsidR="005B5D5B" w:rsidRDefault="007B0742" w:rsidP="00144C29">
            <w:pPr>
              <w:pStyle w:val="CGCTablerow"/>
              <w:keepNext/>
              <w:keepLines/>
              <w:rPr>
                <w:rFonts w:cs="Open Sans Light"/>
                <w:szCs w:val="16"/>
              </w:rPr>
            </w:pPr>
            <w:r>
              <w:rPr>
                <w:rFonts w:cs="Open Sans Light"/>
                <w:szCs w:val="16"/>
              </w:rPr>
              <w:t xml:space="preserve">When </w:t>
            </w:r>
            <w:r w:rsidR="003A46D1">
              <w:rPr>
                <w:rFonts w:cs="Open Sans Light"/>
                <w:szCs w:val="16"/>
              </w:rPr>
              <w:t xml:space="preserve">new </w:t>
            </w:r>
            <w:r w:rsidR="00CA3E59">
              <w:rPr>
                <w:rFonts w:cs="Open Sans Light"/>
                <w:szCs w:val="16"/>
              </w:rPr>
              <w:t xml:space="preserve">urban </w:t>
            </w:r>
            <w:r w:rsidR="003A46D1">
              <w:rPr>
                <w:rFonts w:cs="Open Sans Light"/>
                <w:szCs w:val="16"/>
              </w:rPr>
              <w:t xml:space="preserve">ferry services begin or existing ferry services </w:t>
            </w:r>
            <w:r w:rsidR="00860390">
              <w:rPr>
                <w:rFonts w:cs="Open Sans Light"/>
                <w:szCs w:val="16"/>
              </w:rPr>
              <w:t>cease</w:t>
            </w:r>
          </w:p>
        </w:tc>
        <w:tc>
          <w:tcPr>
            <w:tcW w:w="35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7469125C" w14:textId="66A13C61" w:rsidR="005B5D5B" w:rsidRDefault="00774355" w:rsidP="00144C29">
            <w:pPr>
              <w:keepNext/>
              <w:keepLines/>
              <w:tabs>
                <w:tab w:val="clear" w:pos="567"/>
              </w:tabs>
              <w:spacing w:before="0" w:after="200" w:line="276" w:lineRule="auto"/>
              <w:rPr>
                <w:rFonts w:eastAsia="Times New Roman" w:cs="Open Sans Light"/>
                <w:sz w:val="16"/>
                <w:szCs w:val="16"/>
              </w:rPr>
            </w:pPr>
            <w:r>
              <w:rPr>
                <w:rFonts w:eastAsia="Times New Roman" w:cs="Open Sans Light"/>
                <w:sz w:val="16"/>
                <w:szCs w:val="16"/>
              </w:rPr>
              <w:t xml:space="preserve">Urban areas included </w:t>
            </w:r>
            <w:r w:rsidR="00620166">
              <w:rPr>
                <w:rFonts w:eastAsia="Times New Roman" w:cs="Open Sans Light"/>
                <w:sz w:val="16"/>
                <w:szCs w:val="16"/>
              </w:rPr>
              <w:t>as required</w:t>
            </w:r>
          </w:p>
        </w:tc>
      </w:tr>
    </w:tbl>
    <w:p w14:paraId="76ED7D2C" w14:textId="08723671" w:rsidR="009F4CCC" w:rsidRPr="009F4CCC" w:rsidRDefault="00EE703D" w:rsidP="00144C29">
      <w:pPr>
        <w:pStyle w:val="CGC2025TableNote"/>
        <w:keepNext/>
        <w:keepLines/>
        <w:numPr>
          <w:ilvl w:val="0"/>
          <w:numId w:val="19"/>
        </w:numPr>
      </w:pPr>
      <w:r>
        <w:t>Population-weighted density</w:t>
      </w:r>
      <w:r w:rsidR="00263811">
        <w:t xml:space="preserve"> </w:t>
      </w:r>
      <w:r w:rsidR="001E2355" w:rsidRPr="001E2355">
        <w:t xml:space="preserve">is lagged by one year. This is because ABS population </w:t>
      </w:r>
      <w:r w:rsidR="00263811">
        <w:t>data</w:t>
      </w:r>
      <w:r>
        <w:t xml:space="preserve"> </w:t>
      </w:r>
      <w:r w:rsidR="00BF5A5A">
        <w:t xml:space="preserve">for </w:t>
      </w:r>
      <w:r w:rsidR="001E2355" w:rsidRPr="001E2355">
        <w:t>the square kilometre grid</w:t>
      </w:r>
      <w:r w:rsidR="003B052A">
        <w:t xml:space="preserve"> is not available until </w:t>
      </w:r>
      <w:r w:rsidR="001E2355" w:rsidRPr="001E2355">
        <w:t xml:space="preserve">late </w:t>
      </w:r>
      <w:r w:rsidR="003B052A">
        <w:t>March</w:t>
      </w:r>
      <w:r w:rsidR="00B54EBE">
        <w:t>.</w:t>
      </w:r>
    </w:p>
    <w:p w14:paraId="545F090C" w14:textId="1883D600" w:rsidR="001B1DFF" w:rsidRPr="0016243B" w:rsidRDefault="00F76C21" w:rsidP="00CC54CE">
      <w:pPr>
        <w:pStyle w:val="CGCNumberedPara"/>
        <w:rPr>
          <w:rFonts w:ascii="Work Sans" w:hAnsi="Work Sans"/>
          <w:sz w:val="20"/>
          <w:szCs w:val="20"/>
        </w:rPr>
      </w:pPr>
      <w:r w:rsidRPr="0016243B">
        <w:rPr>
          <w:rFonts w:ascii="Work Sans" w:hAnsi="Work Sans"/>
          <w:sz w:val="20"/>
          <w:szCs w:val="20"/>
        </w:rPr>
        <w:t xml:space="preserve">The urban areas </w:t>
      </w:r>
      <w:r w:rsidR="001448EF" w:rsidRPr="0016243B">
        <w:rPr>
          <w:rFonts w:ascii="Work Sans" w:hAnsi="Work Sans"/>
          <w:sz w:val="20"/>
          <w:szCs w:val="20"/>
        </w:rPr>
        <w:t xml:space="preserve">to </w:t>
      </w:r>
      <w:r w:rsidRPr="0016243B">
        <w:rPr>
          <w:rFonts w:ascii="Work Sans" w:hAnsi="Work Sans"/>
          <w:sz w:val="20"/>
          <w:szCs w:val="20"/>
        </w:rPr>
        <w:t xml:space="preserve">which the regression variables </w:t>
      </w:r>
      <w:r w:rsidR="00BE289D" w:rsidRPr="0016243B">
        <w:rPr>
          <w:rFonts w:ascii="Work Sans" w:hAnsi="Work Sans"/>
          <w:sz w:val="20"/>
          <w:szCs w:val="20"/>
        </w:rPr>
        <w:t xml:space="preserve">are applied will be updated following the release of </w:t>
      </w:r>
      <w:r w:rsidR="00342D3F">
        <w:rPr>
          <w:rFonts w:ascii="Work Sans" w:hAnsi="Work Sans"/>
          <w:sz w:val="20"/>
          <w:szCs w:val="20"/>
        </w:rPr>
        <w:t xml:space="preserve">the </w:t>
      </w:r>
      <w:r w:rsidR="00972243" w:rsidRPr="0016243B">
        <w:rPr>
          <w:rFonts w:ascii="Work Sans" w:hAnsi="Work Sans"/>
          <w:sz w:val="20"/>
          <w:szCs w:val="20"/>
        </w:rPr>
        <w:t>next Australian Statistical Geography Standard (</w:t>
      </w:r>
      <w:r w:rsidR="000174ED" w:rsidRPr="0016243B">
        <w:rPr>
          <w:rFonts w:ascii="Work Sans" w:hAnsi="Work Sans"/>
          <w:sz w:val="20"/>
          <w:szCs w:val="20"/>
        </w:rPr>
        <w:t xml:space="preserve">expected </w:t>
      </w:r>
      <w:r w:rsidR="00812172" w:rsidRPr="0016243B">
        <w:rPr>
          <w:rFonts w:ascii="Work Sans" w:hAnsi="Work Sans"/>
          <w:sz w:val="20"/>
          <w:szCs w:val="20"/>
        </w:rPr>
        <w:t>in</w:t>
      </w:r>
      <w:r w:rsidR="00615CF6" w:rsidRPr="0016243B">
        <w:rPr>
          <w:rFonts w:ascii="Work Sans" w:hAnsi="Work Sans"/>
          <w:sz w:val="20"/>
          <w:szCs w:val="20"/>
        </w:rPr>
        <w:t xml:space="preserve"> the</w:t>
      </w:r>
      <w:r w:rsidR="00812172" w:rsidRPr="0016243B">
        <w:rPr>
          <w:rFonts w:ascii="Work Sans" w:hAnsi="Work Sans"/>
          <w:sz w:val="20"/>
          <w:szCs w:val="20"/>
        </w:rPr>
        <w:t xml:space="preserve"> 20</w:t>
      </w:r>
      <w:r w:rsidR="005E224A" w:rsidRPr="0016243B">
        <w:rPr>
          <w:rFonts w:ascii="Work Sans" w:hAnsi="Work Sans"/>
          <w:sz w:val="20"/>
          <w:szCs w:val="20"/>
        </w:rPr>
        <w:t>2</w:t>
      </w:r>
      <w:r w:rsidR="005743C4" w:rsidRPr="0016243B">
        <w:rPr>
          <w:rFonts w:ascii="Work Sans" w:hAnsi="Work Sans"/>
          <w:sz w:val="20"/>
          <w:szCs w:val="20"/>
        </w:rPr>
        <w:t>8</w:t>
      </w:r>
      <w:r w:rsidR="00615CF6" w:rsidRPr="0016243B">
        <w:rPr>
          <w:rFonts w:ascii="Work Sans" w:hAnsi="Work Sans"/>
          <w:sz w:val="20"/>
          <w:szCs w:val="20"/>
        </w:rPr>
        <w:t xml:space="preserve"> Update</w:t>
      </w:r>
      <w:r w:rsidR="005E224A" w:rsidRPr="0016243B">
        <w:rPr>
          <w:rFonts w:ascii="Work Sans" w:hAnsi="Work Sans"/>
          <w:sz w:val="20"/>
          <w:szCs w:val="20"/>
        </w:rPr>
        <w:t>).</w:t>
      </w:r>
      <w:r w:rsidR="0000698A" w:rsidRPr="0016243B">
        <w:rPr>
          <w:rFonts w:ascii="Work Sans" w:hAnsi="Work Sans"/>
          <w:sz w:val="20"/>
          <w:szCs w:val="20"/>
        </w:rPr>
        <w:t xml:space="preserve"> </w:t>
      </w:r>
    </w:p>
    <w:p w14:paraId="0BCDFEAE" w14:textId="3FF70898" w:rsidR="00C90D55" w:rsidRDefault="00C90D55" w:rsidP="00C90D55">
      <w:pPr>
        <w:pStyle w:val="Heading6"/>
      </w:pPr>
      <w:r>
        <w:t>Modelling passenger numbers</w:t>
      </w:r>
    </w:p>
    <w:p w14:paraId="1ED32BCF" w14:textId="5A3B7085" w:rsidR="00E714E4" w:rsidRPr="00643C1A" w:rsidRDefault="00404CA3" w:rsidP="0036420B">
      <w:pPr>
        <w:pStyle w:val="CGCNumberedPara"/>
        <w:rPr>
          <w:rFonts w:ascii="Work Sans" w:hAnsi="Work Sans"/>
          <w:sz w:val="20"/>
          <w:szCs w:val="20"/>
        </w:rPr>
      </w:pPr>
      <w:r w:rsidRPr="00643C1A">
        <w:rPr>
          <w:rFonts w:ascii="Work Sans" w:hAnsi="Work Sans"/>
          <w:sz w:val="20"/>
          <w:szCs w:val="20"/>
        </w:rPr>
        <w:t xml:space="preserve">To remove the </w:t>
      </w:r>
      <w:r w:rsidR="00453135" w:rsidRPr="00643C1A">
        <w:rPr>
          <w:rFonts w:ascii="Work Sans" w:hAnsi="Work Sans"/>
          <w:sz w:val="20"/>
          <w:szCs w:val="20"/>
        </w:rPr>
        <w:t>potential influence</w:t>
      </w:r>
      <w:r w:rsidRPr="00643C1A">
        <w:rPr>
          <w:rFonts w:ascii="Work Sans" w:hAnsi="Work Sans"/>
          <w:sz w:val="20"/>
          <w:szCs w:val="20"/>
        </w:rPr>
        <w:t xml:space="preserve"> of policy decisions </w:t>
      </w:r>
      <w:r w:rsidR="00BB7504" w:rsidRPr="00643C1A">
        <w:rPr>
          <w:rFonts w:ascii="Work Sans" w:hAnsi="Work Sans"/>
          <w:sz w:val="20"/>
          <w:szCs w:val="20"/>
        </w:rPr>
        <w:t xml:space="preserve">which can </w:t>
      </w:r>
      <w:r w:rsidR="00CB3540" w:rsidRPr="00643C1A">
        <w:rPr>
          <w:rFonts w:ascii="Work Sans" w:hAnsi="Work Sans"/>
          <w:sz w:val="20"/>
          <w:szCs w:val="20"/>
        </w:rPr>
        <w:t>affect</w:t>
      </w:r>
      <w:r w:rsidR="00BB7504" w:rsidRPr="00643C1A">
        <w:rPr>
          <w:rFonts w:ascii="Work Sans" w:hAnsi="Work Sans"/>
          <w:sz w:val="20"/>
          <w:szCs w:val="20"/>
        </w:rPr>
        <w:t xml:space="preserve"> </w:t>
      </w:r>
      <w:r w:rsidR="00F61EF6" w:rsidRPr="00643C1A">
        <w:rPr>
          <w:rFonts w:ascii="Work Sans" w:hAnsi="Work Sans"/>
          <w:sz w:val="20"/>
          <w:szCs w:val="20"/>
        </w:rPr>
        <w:t>public transport use</w:t>
      </w:r>
      <w:r w:rsidR="009A24A9" w:rsidRPr="00643C1A">
        <w:rPr>
          <w:rFonts w:ascii="Work Sans" w:hAnsi="Work Sans"/>
          <w:sz w:val="20"/>
          <w:szCs w:val="20"/>
        </w:rPr>
        <w:t>,</w:t>
      </w:r>
      <w:r w:rsidR="00F61EF6" w:rsidRPr="00643C1A">
        <w:rPr>
          <w:rFonts w:ascii="Work Sans" w:hAnsi="Work Sans"/>
          <w:sz w:val="20"/>
          <w:szCs w:val="20"/>
        </w:rPr>
        <w:t xml:space="preserve"> p</w:t>
      </w:r>
      <w:r w:rsidR="00692FCF" w:rsidRPr="00643C1A">
        <w:rPr>
          <w:rFonts w:ascii="Work Sans" w:hAnsi="Work Sans"/>
          <w:sz w:val="20"/>
          <w:szCs w:val="20"/>
        </w:rPr>
        <w:t>assenger numbers</w:t>
      </w:r>
      <w:r w:rsidR="00214AA6" w:rsidRPr="00643C1A">
        <w:rPr>
          <w:rFonts w:ascii="Work Sans" w:hAnsi="Work Sans"/>
          <w:sz w:val="20"/>
          <w:szCs w:val="20"/>
        </w:rPr>
        <w:t xml:space="preserve"> are modelled using </w:t>
      </w:r>
      <w:r w:rsidR="00245B4D" w:rsidRPr="00643C1A">
        <w:rPr>
          <w:rFonts w:ascii="Work Sans" w:hAnsi="Work Sans"/>
          <w:sz w:val="20"/>
          <w:szCs w:val="20"/>
        </w:rPr>
        <w:t xml:space="preserve">a separate </w:t>
      </w:r>
      <w:r w:rsidR="00214AA6" w:rsidRPr="00643C1A">
        <w:rPr>
          <w:rFonts w:ascii="Work Sans" w:hAnsi="Work Sans"/>
          <w:sz w:val="20"/>
          <w:szCs w:val="20"/>
        </w:rPr>
        <w:t>regression mode</w:t>
      </w:r>
      <w:r w:rsidR="007E4BFF" w:rsidRPr="00643C1A">
        <w:rPr>
          <w:rFonts w:ascii="Work Sans" w:hAnsi="Work Sans"/>
          <w:sz w:val="20"/>
          <w:szCs w:val="20"/>
        </w:rPr>
        <w:t>l</w:t>
      </w:r>
      <w:r w:rsidR="00E22E01" w:rsidRPr="00643C1A">
        <w:rPr>
          <w:rFonts w:ascii="Work Sans" w:hAnsi="Work Sans"/>
          <w:sz w:val="20"/>
          <w:szCs w:val="20"/>
        </w:rPr>
        <w:t>. Th</w:t>
      </w:r>
      <w:r w:rsidR="007E4BFF" w:rsidRPr="00643C1A">
        <w:rPr>
          <w:rFonts w:ascii="Work Sans" w:hAnsi="Work Sans"/>
          <w:sz w:val="20"/>
          <w:szCs w:val="20"/>
        </w:rPr>
        <w:t>e regression</w:t>
      </w:r>
      <w:r w:rsidR="00E22E01" w:rsidRPr="00643C1A">
        <w:rPr>
          <w:rFonts w:ascii="Work Sans" w:hAnsi="Work Sans"/>
          <w:sz w:val="20"/>
          <w:szCs w:val="20"/>
        </w:rPr>
        <w:t xml:space="preserve"> </w:t>
      </w:r>
      <w:r w:rsidR="00214AA6" w:rsidRPr="00643C1A">
        <w:rPr>
          <w:rFonts w:ascii="Work Sans" w:hAnsi="Work Sans"/>
          <w:sz w:val="20"/>
          <w:szCs w:val="20"/>
        </w:rPr>
        <w:t>model</w:t>
      </w:r>
      <w:r w:rsidR="00E22E01" w:rsidRPr="00643C1A">
        <w:rPr>
          <w:rFonts w:ascii="Work Sans" w:hAnsi="Work Sans"/>
          <w:sz w:val="20"/>
          <w:szCs w:val="20"/>
        </w:rPr>
        <w:t xml:space="preserve"> </w:t>
      </w:r>
      <w:r w:rsidR="00EB686C" w:rsidRPr="00643C1A">
        <w:rPr>
          <w:rFonts w:ascii="Work Sans" w:hAnsi="Work Sans"/>
          <w:sz w:val="20"/>
          <w:szCs w:val="20"/>
        </w:rPr>
        <w:t>assumes</w:t>
      </w:r>
      <w:r w:rsidR="00E22E01" w:rsidRPr="00643C1A">
        <w:rPr>
          <w:rFonts w:ascii="Work Sans" w:hAnsi="Work Sans"/>
          <w:sz w:val="20"/>
          <w:szCs w:val="20"/>
        </w:rPr>
        <w:t xml:space="preserve"> </w:t>
      </w:r>
      <w:r w:rsidR="00E30926" w:rsidRPr="00643C1A">
        <w:rPr>
          <w:rFonts w:ascii="Work Sans" w:hAnsi="Work Sans"/>
          <w:sz w:val="20"/>
          <w:szCs w:val="20"/>
        </w:rPr>
        <w:t xml:space="preserve">there is a constant </w:t>
      </w:r>
      <w:r w:rsidR="0049176D" w:rsidRPr="00643C1A">
        <w:rPr>
          <w:rFonts w:ascii="Work Sans" w:hAnsi="Work Sans"/>
          <w:sz w:val="20"/>
          <w:szCs w:val="20"/>
        </w:rPr>
        <w:t>relationship between the percentage growth in urban populations</w:t>
      </w:r>
      <w:r w:rsidR="00AB4916" w:rsidRPr="00643C1A">
        <w:rPr>
          <w:rFonts w:ascii="Work Sans" w:hAnsi="Work Sans"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pop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AB4916" w:rsidRPr="00643C1A">
        <w:rPr>
          <w:rFonts w:ascii="Work Sans" w:hAnsi="Work Sans"/>
          <w:sz w:val="20"/>
          <w:szCs w:val="20"/>
        </w:rPr>
        <w:t>)</w:t>
      </w:r>
      <w:r w:rsidR="0049176D" w:rsidRPr="00643C1A">
        <w:rPr>
          <w:rFonts w:ascii="Work Sans" w:hAnsi="Work Sans"/>
          <w:sz w:val="20"/>
          <w:szCs w:val="20"/>
        </w:rPr>
        <w:t xml:space="preserve"> and </w:t>
      </w:r>
      <w:r w:rsidR="00360050" w:rsidRPr="00643C1A">
        <w:rPr>
          <w:rFonts w:ascii="Work Sans" w:hAnsi="Work Sans"/>
          <w:sz w:val="20"/>
          <w:szCs w:val="20"/>
        </w:rPr>
        <w:t xml:space="preserve">the percentage growth in </w:t>
      </w:r>
      <w:r w:rsidR="000E5028">
        <w:rPr>
          <w:rFonts w:ascii="Work Sans" w:hAnsi="Work Sans"/>
          <w:sz w:val="20"/>
          <w:szCs w:val="20"/>
        </w:rPr>
        <w:t xml:space="preserve">total </w:t>
      </w:r>
      <w:r w:rsidR="00360050" w:rsidRPr="00643C1A">
        <w:rPr>
          <w:rFonts w:ascii="Work Sans" w:hAnsi="Work Sans"/>
          <w:sz w:val="20"/>
          <w:szCs w:val="20"/>
        </w:rPr>
        <w:t>passenger numbers</w:t>
      </w:r>
      <w:r w:rsidR="00937F40" w:rsidRPr="00643C1A">
        <w:rPr>
          <w:rFonts w:ascii="Work Sans" w:hAnsi="Work Sans"/>
          <w:sz w:val="20"/>
          <w:szCs w:val="20"/>
        </w:rPr>
        <w:t xml:space="preserve"> </w:t>
      </w:r>
      <w:r w:rsidR="009B1FCE" w:rsidRPr="00643C1A">
        <w:rPr>
          <w:rFonts w:ascii="Work Sans" w:hAnsi="Work Sans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pax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9B1FCE" w:rsidRPr="00643C1A">
        <w:rPr>
          <w:rFonts w:ascii="Work Sans" w:hAnsi="Work Sans"/>
          <w:sz w:val="20"/>
          <w:szCs w:val="20"/>
        </w:rPr>
        <w:t>)</w:t>
      </w:r>
      <w:r w:rsidR="00E30926" w:rsidRPr="00643C1A">
        <w:rPr>
          <w:rFonts w:ascii="Work Sans" w:hAnsi="Work Sans"/>
          <w:sz w:val="20"/>
          <w:szCs w:val="20"/>
        </w:rPr>
        <w:t xml:space="preserve">. This is captured by using the logarithm of both variables in the regression. </w:t>
      </w:r>
      <w:r w:rsidR="00F01AA0" w:rsidRPr="00643C1A">
        <w:rPr>
          <w:rFonts w:ascii="Work Sans" w:hAnsi="Work Sans"/>
          <w:sz w:val="20"/>
          <w:szCs w:val="20"/>
        </w:rPr>
        <w:t>The presence of rail is represented as a dummy variable</w:t>
      </w:r>
      <w:r w:rsidR="00561A60" w:rsidRPr="00643C1A">
        <w:rPr>
          <w:rFonts w:ascii="Work Sans" w:hAnsi="Work Sans"/>
          <w:sz w:val="20"/>
          <w:szCs w:val="20"/>
        </w:rPr>
        <w:t xml:space="preserve"> </w:t>
      </w:r>
      <w:r w:rsidR="00855D10" w:rsidRPr="00643C1A">
        <w:rPr>
          <w:rFonts w:ascii="Work Sans" w:hAnsi="Work Sans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train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855D10" w:rsidRPr="00643C1A">
        <w:rPr>
          <w:rFonts w:ascii="Work Sans" w:hAnsi="Work Sans"/>
          <w:sz w:val="20"/>
          <w:szCs w:val="20"/>
        </w:rPr>
        <w:t>)</w:t>
      </w:r>
      <w:r w:rsidR="00F01AA0" w:rsidRPr="00643C1A">
        <w:rPr>
          <w:rFonts w:ascii="Work Sans" w:hAnsi="Work Sans"/>
          <w:sz w:val="20"/>
          <w:szCs w:val="20"/>
        </w:rPr>
        <w:t xml:space="preserve">, recognising the </w:t>
      </w:r>
      <w:r w:rsidR="00A43728" w:rsidRPr="00643C1A">
        <w:rPr>
          <w:rFonts w:ascii="Work Sans" w:hAnsi="Work Sans"/>
          <w:sz w:val="20"/>
          <w:szCs w:val="20"/>
        </w:rPr>
        <w:t>need</w:t>
      </w:r>
      <w:r w:rsidR="00370D80" w:rsidRPr="00643C1A">
        <w:rPr>
          <w:rFonts w:ascii="Work Sans" w:hAnsi="Work Sans"/>
          <w:sz w:val="20"/>
          <w:szCs w:val="20"/>
        </w:rPr>
        <w:t xml:space="preserve"> for high</w:t>
      </w:r>
      <w:r w:rsidR="00EB686C" w:rsidRPr="00643C1A">
        <w:rPr>
          <w:rFonts w:ascii="Work Sans" w:hAnsi="Work Sans"/>
          <w:sz w:val="20"/>
          <w:szCs w:val="20"/>
        </w:rPr>
        <w:t>-</w:t>
      </w:r>
      <w:r w:rsidR="00370D80" w:rsidRPr="00643C1A">
        <w:rPr>
          <w:rFonts w:ascii="Work Sans" w:hAnsi="Work Sans"/>
          <w:sz w:val="20"/>
          <w:szCs w:val="20"/>
        </w:rPr>
        <w:t xml:space="preserve">capacity public transport </w:t>
      </w:r>
      <w:r w:rsidR="00AC3994" w:rsidRPr="00643C1A">
        <w:rPr>
          <w:rFonts w:ascii="Work Sans" w:hAnsi="Work Sans"/>
          <w:sz w:val="20"/>
          <w:szCs w:val="20"/>
        </w:rPr>
        <w:t>whe</w:t>
      </w:r>
      <w:r w:rsidR="00E714E4" w:rsidRPr="00643C1A">
        <w:rPr>
          <w:rFonts w:ascii="Work Sans" w:hAnsi="Work Sans"/>
          <w:sz w:val="20"/>
          <w:szCs w:val="20"/>
        </w:rPr>
        <w:t>re</w:t>
      </w:r>
      <w:r w:rsidR="00AC3994" w:rsidRPr="00643C1A">
        <w:rPr>
          <w:rFonts w:ascii="Work Sans" w:hAnsi="Work Sans"/>
          <w:sz w:val="20"/>
          <w:szCs w:val="20"/>
        </w:rPr>
        <w:t xml:space="preserve"> passenger number</w:t>
      </w:r>
      <w:r w:rsidR="00E714E4" w:rsidRPr="00643C1A">
        <w:rPr>
          <w:rFonts w:ascii="Work Sans" w:hAnsi="Work Sans"/>
          <w:sz w:val="20"/>
          <w:szCs w:val="20"/>
        </w:rPr>
        <w:t>s</w:t>
      </w:r>
      <w:r w:rsidR="00AC3994" w:rsidRPr="00643C1A">
        <w:rPr>
          <w:rFonts w:ascii="Work Sans" w:hAnsi="Work Sans"/>
          <w:sz w:val="20"/>
          <w:szCs w:val="20"/>
        </w:rPr>
        <w:t xml:space="preserve"> </w:t>
      </w:r>
      <w:r w:rsidR="00E714E4" w:rsidRPr="00643C1A">
        <w:rPr>
          <w:rFonts w:ascii="Work Sans" w:hAnsi="Work Sans"/>
          <w:sz w:val="20"/>
          <w:szCs w:val="20"/>
        </w:rPr>
        <w:t>are</w:t>
      </w:r>
      <w:r w:rsidR="00AC3994" w:rsidRPr="00643C1A">
        <w:rPr>
          <w:rFonts w:ascii="Work Sans" w:hAnsi="Work Sans"/>
          <w:sz w:val="20"/>
          <w:szCs w:val="20"/>
        </w:rPr>
        <w:t xml:space="preserve"> very high. </w:t>
      </w:r>
    </w:p>
    <w:p w14:paraId="05C53831" w14:textId="0827B03A" w:rsidR="00E714E4" w:rsidRPr="00643C1A" w:rsidRDefault="00E714E4" w:rsidP="0036420B">
      <w:pPr>
        <w:pStyle w:val="CGCNumberedPara"/>
        <w:rPr>
          <w:rFonts w:ascii="Work Sans" w:hAnsi="Work Sans"/>
          <w:sz w:val="20"/>
          <w:szCs w:val="20"/>
        </w:rPr>
      </w:pPr>
      <w:r w:rsidRPr="00643C1A">
        <w:rPr>
          <w:rFonts w:ascii="Work Sans" w:hAnsi="Work Sans"/>
          <w:sz w:val="20"/>
          <w:szCs w:val="20"/>
        </w:rPr>
        <w:t>This model can be specified as:</w:t>
      </w:r>
    </w:p>
    <w:p w14:paraId="2428A167" w14:textId="32F79F7C" w:rsidR="00E714E4" w:rsidRPr="00516126" w:rsidRDefault="00AF5AE4" w:rsidP="00516126">
      <w:pPr>
        <w:pStyle w:val="CGC2025ParaNumbers"/>
        <w:numPr>
          <w:ilvl w:val="0"/>
          <w:numId w:val="0"/>
        </w:numPr>
        <w:rPr>
          <w:i/>
        </w:rPr>
      </w:pPr>
      <m:oMathPara>
        <m:oMath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pax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pop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w:bookmarkStart w:id="19" w:name="_Hlk173848542"/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train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  <w:bookmarkEnd w:id="19"/>
    </w:p>
    <w:p w14:paraId="28C06F48" w14:textId="4F8D5AB3" w:rsidR="004C0A8F" w:rsidRPr="00CC54CE" w:rsidRDefault="00156A50" w:rsidP="0036420B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 w:rsidRPr="00CC54CE">
        <w:rPr>
          <w:rFonts w:ascii="Work Sans" w:eastAsia="Work Sans" w:hAnsi="Work Sans" w:cs="Work Sans"/>
          <w:sz w:val="20"/>
          <w:szCs w:val="20"/>
        </w:rPr>
        <w:t xml:space="preserve">Consistent with the method </w:t>
      </w:r>
      <w:r w:rsidR="009C205C" w:rsidRPr="00CC54CE">
        <w:rPr>
          <w:rFonts w:ascii="Work Sans" w:eastAsia="Work Sans" w:hAnsi="Work Sans" w:cs="Work Sans"/>
          <w:sz w:val="20"/>
          <w:szCs w:val="20"/>
        </w:rPr>
        <w:t xml:space="preserve">used for </w:t>
      </w:r>
      <w:r w:rsidR="009F5A93" w:rsidRPr="00CC54CE">
        <w:rPr>
          <w:rFonts w:ascii="Work Sans" w:eastAsia="Work Sans" w:hAnsi="Work Sans" w:cs="Work Sans"/>
          <w:sz w:val="20"/>
          <w:szCs w:val="20"/>
        </w:rPr>
        <w:t>e</w:t>
      </w:r>
      <w:r w:rsidR="004242A6" w:rsidRPr="00CC54CE">
        <w:rPr>
          <w:rFonts w:ascii="Work Sans" w:eastAsia="Work Sans" w:hAnsi="Work Sans" w:cs="Work Sans"/>
          <w:sz w:val="20"/>
          <w:szCs w:val="20"/>
        </w:rPr>
        <w:t xml:space="preserve">stimating </w:t>
      </w:r>
      <w:r w:rsidRPr="00CC54CE">
        <w:rPr>
          <w:rFonts w:ascii="Work Sans" w:eastAsia="Work Sans" w:hAnsi="Work Sans" w:cs="Work Sans"/>
          <w:sz w:val="20"/>
          <w:szCs w:val="20"/>
        </w:rPr>
        <w:t>actual passenger numbers</w:t>
      </w:r>
      <w:r w:rsidR="004242A6" w:rsidRPr="00CC54CE">
        <w:rPr>
          <w:rFonts w:ascii="Work Sans" w:eastAsia="Work Sans" w:hAnsi="Work Sans" w:cs="Work Sans"/>
          <w:sz w:val="20"/>
          <w:szCs w:val="20"/>
        </w:rPr>
        <w:t xml:space="preserve"> in the regression</w:t>
      </w:r>
      <w:r w:rsidRPr="00CC54CE">
        <w:rPr>
          <w:rFonts w:ascii="Work Sans" w:eastAsia="Work Sans" w:hAnsi="Work Sans" w:cs="Work Sans"/>
          <w:sz w:val="20"/>
          <w:szCs w:val="20"/>
        </w:rPr>
        <w:t>,</w:t>
      </w:r>
      <w:r w:rsidR="00EE3A2B" w:rsidRPr="00CC54CE">
        <w:rPr>
          <w:rFonts w:ascii="Work Sans" w:eastAsia="Work Sans" w:hAnsi="Work Sans" w:cs="Work Sans"/>
          <w:sz w:val="20"/>
          <w:szCs w:val="20"/>
        </w:rPr>
        <w:t xml:space="preserve"> </w:t>
      </w:r>
      <w:r w:rsidR="000E645B" w:rsidRPr="00CC54CE">
        <w:rPr>
          <w:rFonts w:ascii="Work Sans" w:eastAsia="Work Sans" w:hAnsi="Work Sans" w:cs="Work Sans"/>
          <w:sz w:val="20"/>
          <w:szCs w:val="20"/>
        </w:rPr>
        <w:t>Bureau of Infrastructure and Transport Research Economics</w:t>
      </w:r>
      <w:r w:rsidR="00EE3A2B" w:rsidRPr="00CC54CE">
        <w:rPr>
          <w:rFonts w:ascii="Work Sans" w:eastAsia="Work Sans" w:hAnsi="Work Sans" w:cs="Work Sans"/>
          <w:sz w:val="20"/>
          <w:szCs w:val="20"/>
        </w:rPr>
        <w:t xml:space="preserve"> data </w:t>
      </w:r>
      <w:r w:rsidRPr="00CC54CE">
        <w:rPr>
          <w:rFonts w:ascii="Work Sans" w:eastAsia="Work Sans" w:hAnsi="Work Sans" w:cs="Work Sans"/>
          <w:sz w:val="20"/>
          <w:szCs w:val="20"/>
        </w:rPr>
        <w:t>are</w:t>
      </w:r>
      <w:r w:rsidR="00D3040C" w:rsidRPr="00CC54CE">
        <w:rPr>
          <w:rFonts w:ascii="Work Sans" w:eastAsia="Work Sans" w:hAnsi="Work Sans" w:cs="Work Sans"/>
          <w:sz w:val="20"/>
          <w:szCs w:val="20"/>
        </w:rPr>
        <w:t xml:space="preserve"> </w:t>
      </w:r>
      <w:r w:rsidR="00EE3A2B" w:rsidRPr="00CC54CE">
        <w:rPr>
          <w:rFonts w:ascii="Work Sans" w:eastAsia="Work Sans" w:hAnsi="Work Sans" w:cs="Work Sans"/>
          <w:sz w:val="20"/>
          <w:szCs w:val="20"/>
        </w:rPr>
        <w:t>used to index pr</w:t>
      </w:r>
      <w:r w:rsidR="00902D9D" w:rsidRPr="00CC54CE">
        <w:rPr>
          <w:rFonts w:ascii="Work Sans" w:eastAsia="Work Sans" w:hAnsi="Work Sans" w:cs="Work Sans"/>
          <w:sz w:val="20"/>
          <w:szCs w:val="20"/>
        </w:rPr>
        <w:t>e</w:t>
      </w:r>
      <w:r w:rsidR="00F937F9" w:rsidRPr="00CC54CE">
        <w:rPr>
          <w:rFonts w:ascii="Work Sans" w:eastAsia="Work Sans" w:hAnsi="Work Sans" w:cs="Work Sans"/>
          <w:sz w:val="20"/>
          <w:szCs w:val="20"/>
        </w:rPr>
        <w:t>-</w:t>
      </w:r>
      <w:r w:rsidR="00EE3A2B" w:rsidRPr="00CC54CE">
        <w:rPr>
          <w:rFonts w:ascii="Work Sans" w:eastAsia="Work Sans" w:hAnsi="Work Sans" w:cs="Work Sans"/>
          <w:sz w:val="20"/>
          <w:szCs w:val="20"/>
        </w:rPr>
        <w:t xml:space="preserve">pandemic data until 2026 </w:t>
      </w:r>
      <w:r w:rsidR="00D957B8" w:rsidRPr="00CC54CE">
        <w:rPr>
          <w:rFonts w:ascii="Work Sans" w:eastAsia="Work Sans" w:hAnsi="Work Sans" w:cs="Work Sans"/>
          <w:sz w:val="20"/>
          <w:szCs w:val="20"/>
        </w:rPr>
        <w:t>C</w:t>
      </w:r>
      <w:r w:rsidR="00EE3A2B" w:rsidRPr="00CC54CE">
        <w:rPr>
          <w:rFonts w:ascii="Work Sans" w:eastAsia="Work Sans" w:hAnsi="Work Sans" w:cs="Work Sans"/>
          <w:sz w:val="20"/>
          <w:szCs w:val="20"/>
        </w:rPr>
        <w:t xml:space="preserve">ensus data </w:t>
      </w:r>
      <w:r w:rsidR="004D5293" w:rsidRPr="00CC54CE">
        <w:rPr>
          <w:rFonts w:ascii="Work Sans" w:eastAsia="Work Sans" w:hAnsi="Work Sans" w:cs="Work Sans"/>
          <w:sz w:val="20"/>
          <w:szCs w:val="20"/>
        </w:rPr>
        <w:t xml:space="preserve">are </w:t>
      </w:r>
      <w:r w:rsidR="00EE3A2B" w:rsidRPr="00CC54CE">
        <w:rPr>
          <w:rFonts w:ascii="Work Sans" w:eastAsia="Work Sans" w:hAnsi="Work Sans" w:cs="Work Sans"/>
          <w:sz w:val="20"/>
          <w:szCs w:val="20"/>
        </w:rPr>
        <w:t>available.</w:t>
      </w:r>
    </w:p>
    <w:p w14:paraId="22362002" w14:textId="589FEA61" w:rsidR="004C0A8F" w:rsidRPr="00811C12" w:rsidRDefault="006812C2" w:rsidP="004C0A8F">
      <w:pPr>
        <w:pStyle w:val="Heading5"/>
      </w:pPr>
      <w:r>
        <w:t xml:space="preserve">Step 3 </w:t>
      </w:r>
      <w:r w:rsidR="00BA0FC1">
        <w:t xml:space="preserve">- </w:t>
      </w:r>
      <w:r w:rsidR="00AE7F49">
        <w:t xml:space="preserve">Estimating </w:t>
      </w:r>
      <w:r w:rsidR="001A34BF">
        <w:t>s</w:t>
      </w:r>
      <w:r w:rsidR="00AE7F49">
        <w:t xml:space="preserve">tate </w:t>
      </w:r>
      <w:r w:rsidR="001A34BF">
        <w:t>e</w:t>
      </w:r>
      <w:r w:rsidR="00AE7F49">
        <w:t>xpenses</w:t>
      </w:r>
    </w:p>
    <w:p w14:paraId="3869441B" w14:textId="4A399930" w:rsidR="00001323" w:rsidRPr="00CC54CE" w:rsidRDefault="008062DF" w:rsidP="00136E23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 w:rsidRPr="00CC54CE">
        <w:rPr>
          <w:rFonts w:ascii="Work Sans" w:eastAsia="Work Sans" w:hAnsi="Work Sans" w:cs="Work Sans"/>
          <w:sz w:val="20"/>
          <w:szCs w:val="20"/>
        </w:rPr>
        <w:t xml:space="preserve">Following application of the regression </w:t>
      </w:r>
      <w:r w:rsidR="0077104B" w:rsidRPr="00CC54CE">
        <w:rPr>
          <w:rFonts w:ascii="Work Sans" w:eastAsia="Work Sans" w:hAnsi="Work Sans" w:cs="Work Sans"/>
          <w:sz w:val="20"/>
          <w:szCs w:val="20"/>
        </w:rPr>
        <w:t>model</w:t>
      </w:r>
      <w:r w:rsidRPr="00CC54CE">
        <w:rPr>
          <w:rFonts w:ascii="Work Sans" w:eastAsia="Work Sans" w:hAnsi="Work Sans" w:cs="Work Sans"/>
          <w:sz w:val="20"/>
          <w:szCs w:val="20"/>
        </w:rPr>
        <w:t xml:space="preserve"> the </w:t>
      </w:r>
      <w:r w:rsidR="0077104B" w:rsidRPr="00CC54CE">
        <w:rPr>
          <w:rFonts w:ascii="Work Sans" w:eastAsia="Work Sans" w:hAnsi="Work Sans" w:cs="Work Sans"/>
          <w:sz w:val="20"/>
          <w:szCs w:val="20"/>
        </w:rPr>
        <w:t>estimated</w:t>
      </w:r>
      <w:r w:rsidRPr="00CC54CE">
        <w:rPr>
          <w:rFonts w:ascii="Work Sans" w:eastAsia="Work Sans" w:hAnsi="Work Sans" w:cs="Work Sans"/>
          <w:sz w:val="20"/>
          <w:szCs w:val="20"/>
        </w:rPr>
        <w:t xml:space="preserve"> per capita expenses</w:t>
      </w:r>
      <w:r w:rsidR="0077104B" w:rsidRPr="00CC54CE">
        <w:rPr>
          <w:rFonts w:ascii="Work Sans" w:eastAsia="Work Sans" w:hAnsi="Work Sans" w:cs="Work Sans"/>
          <w:sz w:val="20"/>
          <w:szCs w:val="20"/>
        </w:rPr>
        <w:t xml:space="preserve"> for each urban area</w:t>
      </w:r>
      <w:r w:rsidRPr="00CC54CE">
        <w:rPr>
          <w:rFonts w:ascii="Work Sans" w:eastAsia="Work Sans" w:hAnsi="Work Sans" w:cs="Work Sans"/>
          <w:sz w:val="20"/>
          <w:szCs w:val="20"/>
        </w:rPr>
        <w:t xml:space="preserve"> are multiplied by </w:t>
      </w:r>
      <w:r w:rsidR="0077104B" w:rsidRPr="00CC54CE">
        <w:rPr>
          <w:rFonts w:ascii="Work Sans" w:eastAsia="Work Sans" w:hAnsi="Work Sans" w:cs="Work Sans"/>
          <w:sz w:val="20"/>
          <w:szCs w:val="20"/>
        </w:rPr>
        <w:t>its</w:t>
      </w:r>
      <w:r w:rsidRPr="00CC54CE">
        <w:rPr>
          <w:rFonts w:ascii="Work Sans" w:eastAsia="Work Sans" w:hAnsi="Work Sans" w:cs="Work Sans"/>
          <w:sz w:val="20"/>
          <w:szCs w:val="20"/>
        </w:rPr>
        <w:t xml:space="preserve"> population to obtain total net expenses. These expenses are aggregated </w:t>
      </w:r>
      <w:r w:rsidR="0077104B" w:rsidRPr="00CC54CE">
        <w:rPr>
          <w:rFonts w:ascii="Work Sans" w:eastAsia="Work Sans" w:hAnsi="Work Sans" w:cs="Work Sans"/>
          <w:sz w:val="20"/>
          <w:szCs w:val="20"/>
        </w:rPr>
        <w:t xml:space="preserve">by state to obtain total state </w:t>
      </w:r>
      <w:r w:rsidR="00CB4702" w:rsidRPr="00CC54CE">
        <w:rPr>
          <w:rFonts w:ascii="Work Sans" w:eastAsia="Work Sans" w:hAnsi="Work Sans" w:cs="Work Sans"/>
          <w:sz w:val="20"/>
          <w:szCs w:val="20"/>
        </w:rPr>
        <w:t xml:space="preserve">net </w:t>
      </w:r>
      <w:r w:rsidR="0077104B" w:rsidRPr="00CC54CE">
        <w:rPr>
          <w:rFonts w:ascii="Work Sans" w:eastAsia="Work Sans" w:hAnsi="Work Sans" w:cs="Work Sans"/>
          <w:sz w:val="20"/>
          <w:szCs w:val="20"/>
        </w:rPr>
        <w:t>expenses</w:t>
      </w:r>
      <w:r w:rsidR="000E645B" w:rsidRPr="00CC54CE">
        <w:rPr>
          <w:rFonts w:ascii="Work Sans" w:eastAsia="Work Sans" w:hAnsi="Work Sans" w:cs="Work Sans"/>
          <w:sz w:val="20"/>
          <w:szCs w:val="20"/>
        </w:rPr>
        <w:t>.</w:t>
      </w:r>
    </w:p>
    <w:p w14:paraId="1282ADDA" w14:textId="0EE58773" w:rsidR="2AE8C50C" w:rsidRPr="00706065" w:rsidRDefault="00EC6617" w:rsidP="00C4266B">
      <w:pPr>
        <w:pStyle w:val="Heading5"/>
      </w:pPr>
      <w:r>
        <w:t xml:space="preserve">Step </w:t>
      </w:r>
      <w:r w:rsidR="006D52DC">
        <w:t xml:space="preserve">4 </w:t>
      </w:r>
      <w:r w:rsidR="00BA0FC1">
        <w:t xml:space="preserve">- </w:t>
      </w:r>
      <w:r w:rsidR="006D52DC">
        <w:t>Blending</w:t>
      </w:r>
      <w:r>
        <w:t xml:space="preserve"> with u</w:t>
      </w:r>
      <w:r w:rsidR="0FA56FE7">
        <w:t>rban population</w:t>
      </w:r>
    </w:p>
    <w:p w14:paraId="36A8037C" w14:textId="4B0626EE" w:rsidR="007548DE" w:rsidRPr="00CC54CE" w:rsidRDefault="007548DE" w:rsidP="00136E23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 w:rsidRPr="00CC54CE">
        <w:rPr>
          <w:rFonts w:ascii="Work Sans" w:eastAsia="Work Sans" w:hAnsi="Work Sans" w:cs="Work Sans"/>
          <w:sz w:val="20"/>
          <w:szCs w:val="20"/>
        </w:rPr>
        <w:t xml:space="preserve">The </w:t>
      </w:r>
      <w:r w:rsidR="00ED4DFA" w:rsidRPr="00CC54CE">
        <w:rPr>
          <w:rFonts w:ascii="Work Sans" w:eastAsia="Work Sans" w:hAnsi="Work Sans" w:cs="Work Sans"/>
          <w:sz w:val="20"/>
          <w:szCs w:val="20"/>
        </w:rPr>
        <w:t>net</w:t>
      </w:r>
      <w:r w:rsidR="00102D4F" w:rsidRPr="00CC54CE">
        <w:rPr>
          <w:rFonts w:ascii="Work Sans" w:eastAsia="Work Sans" w:hAnsi="Work Sans" w:cs="Work Sans"/>
          <w:sz w:val="20"/>
          <w:szCs w:val="20"/>
        </w:rPr>
        <w:t xml:space="preserve"> </w:t>
      </w:r>
      <w:r w:rsidRPr="00CC54CE">
        <w:rPr>
          <w:rFonts w:ascii="Work Sans" w:eastAsia="Work Sans" w:hAnsi="Work Sans" w:cs="Work Sans"/>
          <w:sz w:val="20"/>
          <w:szCs w:val="20"/>
        </w:rPr>
        <w:t xml:space="preserve">expenses </w:t>
      </w:r>
      <w:r w:rsidR="006D52DC" w:rsidRPr="00CC54CE">
        <w:rPr>
          <w:rFonts w:ascii="Work Sans" w:eastAsia="Work Sans" w:hAnsi="Work Sans" w:cs="Work Sans"/>
          <w:sz w:val="20"/>
          <w:szCs w:val="20"/>
        </w:rPr>
        <w:t>derived</w:t>
      </w:r>
      <w:r w:rsidR="00ED4DFA" w:rsidRPr="00CC54CE">
        <w:rPr>
          <w:rFonts w:ascii="Work Sans" w:eastAsia="Work Sans" w:hAnsi="Work Sans" w:cs="Work Sans"/>
          <w:sz w:val="20"/>
          <w:szCs w:val="20"/>
        </w:rPr>
        <w:t xml:space="preserve"> </w:t>
      </w:r>
      <w:r w:rsidRPr="00CC54CE">
        <w:rPr>
          <w:rFonts w:ascii="Work Sans" w:eastAsia="Work Sans" w:hAnsi="Work Sans" w:cs="Work Sans"/>
          <w:sz w:val="20"/>
          <w:szCs w:val="20"/>
        </w:rPr>
        <w:t xml:space="preserve">using the </w:t>
      </w:r>
      <w:r w:rsidR="003B3197" w:rsidRPr="00CC54CE">
        <w:rPr>
          <w:rFonts w:ascii="Work Sans" w:eastAsia="Work Sans" w:hAnsi="Work Sans" w:cs="Work Sans"/>
          <w:sz w:val="20"/>
          <w:szCs w:val="20"/>
        </w:rPr>
        <w:t xml:space="preserve">urban centre characteristics </w:t>
      </w:r>
      <w:r w:rsidRPr="00CC54CE">
        <w:rPr>
          <w:rFonts w:ascii="Work Sans" w:eastAsia="Work Sans" w:hAnsi="Work Sans" w:cs="Work Sans"/>
          <w:sz w:val="20"/>
          <w:szCs w:val="20"/>
        </w:rPr>
        <w:t>regression model are blended with state shares of urban populations</w:t>
      </w:r>
      <w:r w:rsidR="008D78C1">
        <w:rPr>
          <w:rFonts w:ascii="Work Sans" w:eastAsia="Work Sans" w:hAnsi="Work Sans" w:cs="Work Sans"/>
          <w:sz w:val="20"/>
          <w:szCs w:val="20"/>
        </w:rPr>
        <w:t>.</w:t>
      </w:r>
      <w:r w:rsidR="006023AC" w:rsidRPr="00CC54CE">
        <w:rPr>
          <w:rStyle w:val="FootnoteReference"/>
          <w:rFonts w:eastAsia="Work Sans" w:cs="Work Sans"/>
        </w:rPr>
        <w:footnoteReference w:id="13"/>
      </w:r>
      <w:r w:rsidRPr="00CC54CE">
        <w:rPr>
          <w:rFonts w:ascii="Work Sans" w:eastAsia="Work Sans" w:hAnsi="Work Sans" w:cs="Work Sans"/>
          <w:sz w:val="20"/>
          <w:szCs w:val="20"/>
        </w:rPr>
        <w:t xml:space="preserve"> </w:t>
      </w:r>
    </w:p>
    <w:p w14:paraId="669A79D2" w14:textId="3DAC3AA0" w:rsidR="007548DE" w:rsidRPr="00CC54CE" w:rsidRDefault="5E4DB190" w:rsidP="00136E23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 w:rsidRPr="00CC54CE">
        <w:rPr>
          <w:rFonts w:ascii="Work Sans" w:eastAsia="Work Sans" w:hAnsi="Work Sans" w:cs="Work Sans"/>
          <w:sz w:val="20"/>
          <w:szCs w:val="20"/>
        </w:rPr>
        <w:t>A blending ratio of 6</w:t>
      </w:r>
      <w:r w:rsidR="18C0EC29" w:rsidRPr="00CC54CE">
        <w:rPr>
          <w:rFonts w:ascii="Work Sans" w:eastAsia="Work Sans" w:hAnsi="Work Sans" w:cs="Work Sans"/>
          <w:sz w:val="20"/>
          <w:szCs w:val="20"/>
        </w:rPr>
        <w:t>5</w:t>
      </w:r>
      <w:r w:rsidR="006A7BA1">
        <w:rPr>
          <w:rFonts w:ascii="Work Sans" w:eastAsia="Work Sans" w:hAnsi="Work Sans" w:cs="Work Sans"/>
          <w:sz w:val="20"/>
          <w:szCs w:val="20"/>
        </w:rPr>
        <w:t>:</w:t>
      </w:r>
      <w:r w:rsidRPr="00CC54CE">
        <w:rPr>
          <w:rFonts w:ascii="Work Sans" w:eastAsia="Work Sans" w:hAnsi="Work Sans" w:cs="Work Sans"/>
          <w:sz w:val="20"/>
          <w:szCs w:val="20"/>
        </w:rPr>
        <w:t>3</w:t>
      </w:r>
      <w:r w:rsidR="18C0EC29" w:rsidRPr="00CC54CE">
        <w:rPr>
          <w:rFonts w:ascii="Work Sans" w:eastAsia="Work Sans" w:hAnsi="Work Sans" w:cs="Work Sans"/>
          <w:sz w:val="20"/>
          <w:szCs w:val="20"/>
        </w:rPr>
        <w:t>5 (</w:t>
      </w:r>
      <w:r w:rsidR="729BDE97" w:rsidRPr="00CC54CE">
        <w:rPr>
          <w:rFonts w:ascii="Work Sans" w:eastAsia="Work Sans" w:hAnsi="Work Sans" w:cs="Work Sans"/>
          <w:sz w:val="20"/>
          <w:szCs w:val="20"/>
        </w:rPr>
        <w:t xml:space="preserve">urban centre characteristics </w:t>
      </w:r>
      <w:r w:rsidR="18C0EC29" w:rsidRPr="00CC54CE">
        <w:rPr>
          <w:rFonts w:ascii="Work Sans" w:eastAsia="Work Sans" w:hAnsi="Work Sans" w:cs="Work Sans"/>
          <w:sz w:val="20"/>
          <w:szCs w:val="20"/>
        </w:rPr>
        <w:t>regression model</w:t>
      </w:r>
      <w:r w:rsidR="001A32BE">
        <w:rPr>
          <w:rFonts w:ascii="Work Sans" w:eastAsia="Work Sans" w:hAnsi="Work Sans" w:cs="Work Sans"/>
          <w:sz w:val="20"/>
          <w:szCs w:val="20"/>
        </w:rPr>
        <w:t xml:space="preserve"> to</w:t>
      </w:r>
      <w:r w:rsidR="006A7BA1">
        <w:rPr>
          <w:rFonts w:ascii="Work Sans" w:eastAsia="Work Sans" w:hAnsi="Work Sans" w:cs="Work Sans"/>
          <w:sz w:val="20"/>
          <w:szCs w:val="20"/>
        </w:rPr>
        <w:t xml:space="preserve"> </w:t>
      </w:r>
      <w:r w:rsidR="18C0EC29" w:rsidRPr="00CC54CE">
        <w:rPr>
          <w:rFonts w:ascii="Work Sans" w:eastAsia="Work Sans" w:hAnsi="Work Sans" w:cs="Work Sans"/>
          <w:sz w:val="20"/>
          <w:szCs w:val="20"/>
        </w:rPr>
        <w:t xml:space="preserve">urban population shares) </w:t>
      </w:r>
      <w:r w:rsidRPr="00CC54CE">
        <w:rPr>
          <w:rFonts w:ascii="Work Sans" w:eastAsia="Work Sans" w:hAnsi="Work Sans" w:cs="Work Sans"/>
          <w:sz w:val="20"/>
          <w:szCs w:val="20"/>
        </w:rPr>
        <w:t xml:space="preserve">will be applied </w:t>
      </w:r>
      <w:r w:rsidR="00BF4A62" w:rsidRPr="00CC54CE">
        <w:rPr>
          <w:rFonts w:ascii="Work Sans" w:eastAsia="Work Sans" w:hAnsi="Work Sans" w:cs="Work Sans"/>
          <w:sz w:val="20"/>
          <w:szCs w:val="20"/>
        </w:rPr>
        <w:t>t</w:t>
      </w:r>
      <w:r w:rsidR="001445C8" w:rsidRPr="00CC54CE">
        <w:rPr>
          <w:rFonts w:ascii="Work Sans" w:eastAsia="Work Sans" w:hAnsi="Work Sans" w:cs="Work Sans"/>
          <w:sz w:val="20"/>
          <w:szCs w:val="20"/>
        </w:rPr>
        <w:t xml:space="preserve">o the recurrent transport assessment </w:t>
      </w:r>
      <w:r w:rsidRPr="00CC54CE">
        <w:rPr>
          <w:rFonts w:ascii="Work Sans" w:eastAsia="Work Sans" w:hAnsi="Work Sans" w:cs="Work Sans"/>
          <w:sz w:val="20"/>
          <w:szCs w:val="20"/>
        </w:rPr>
        <w:t xml:space="preserve">until </w:t>
      </w:r>
      <w:r w:rsidR="0483617E" w:rsidRPr="00CC54CE">
        <w:rPr>
          <w:rFonts w:ascii="Work Sans" w:eastAsia="Work Sans" w:hAnsi="Work Sans" w:cs="Work Sans"/>
          <w:sz w:val="20"/>
          <w:szCs w:val="20"/>
        </w:rPr>
        <w:lastRenderedPageBreak/>
        <w:t>2026</w:t>
      </w:r>
      <w:r w:rsidR="00144C29">
        <w:rPr>
          <w:rFonts w:ascii="Work Sans" w:eastAsia="Work Sans" w:hAnsi="Work Sans" w:cs="Work Sans"/>
          <w:sz w:val="20"/>
          <w:szCs w:val="20"/>
        </w:rPr>
        <w:t> </w:t>
      </w:r>
      <w:r w:rsidR="1096B2BE" w:rsidRPr="00CC54CE">
        <w:rPr>
          <w:rFonts w:ascii="Work Sans" w:eastAsia="Work Sans" w:hAnsi="Work Sans" w:cs="Work Sans"/>
          <w:sz w:val="20"/>
          <w:szCs w:val="20"/>
        </w:rPr>
        <w:t xml:space="preserve">Census </w:t>
      </w:r>
      <w:r w:rsidR="785809D0" w:rsidRPr="00CC54CE">
        <w:rPr>
          <w:rFonts w:ascii="Work Sans" w:eastAsia="Work Sans" w:hAnsi="Work Sans" w:cs="Work Sans"/>
          <w:sz w:val="20"/>
          <w:szCs w:val="20"/>
        </w:rPr>
        <w:t xml:space="preserve">commuter </w:t>
      </w:r>
      <w:r w:rsidR="1096B2BE" w:rsidRPr="00CC54CE">
        <w:rPr>
          <w:rFonts w:ascii="Work Sans" w:eastAsia="Work Sans" w:hAnsi="Work Sans" w:cs="Work Sans"/>
          <w:sz w:val="20"/>
          <w:szCs w:val="20"/>
        </w:rPr>
        <w:t xml:space="preserve">data </w:t>
      </w:r>
      <w:r w:rsidR="785809D0" w:rsidRPr="00CC54CE">
        <w:rPr>
          <w:rFonts w:ascii="Work Sans" w:eastAsia="Work Sans" w:hAnsi="Work Sans" w:cs="Work Sans"/>
          <w:sz w:val="20"/>
          <w:szCs w:val="20"/>
        </w:rPr>
        <w:t>are</w:t>
      </w:r>
      <w:r w:rsidR="345EAF48" w:rsidRPr="00CC54CE">
        <w:rPr>
          <w:rFonts w:ascii="Work Sans" w:eastAsia="Work Sans" w:hAnsi="Work Sans" w:cs="Work Sans"/>
          <w:sz w:val="20"/>
          <w:szCs w:val="20"/>
        </w:rPr>
        <w:t xml:space="preserve"> incorporated </w:t>
      </w:r>
      <w:r w:rsidR="2D9F06A0" w:rsidRPr="00CC54CE">
        <w:rPr>
          <w:rFonts w:ascii="Work Sans" w:eastAsia="Work Sans" w:hAnsi="Work Sans" w:cs="Work Sans"/>
          <w:sz w:val="20"/>
          <w:szCs w:val="20"/>
        </w:rPr>
        <w:t xml:space="preserve">in the method for modelling passenger numbers. </w:t>
      </w:r>
      <w:r w:rsidR="34A83632" w:rsidRPr="00CC54CE">
        <w:rPr>
          <w:rFonts w:ascii="Work Sans" w:eastAsia="Work Sans" w:hAnsi="Work Sans" w:cs="Work Sans"/>
          <w:sz w:val="20"/>
          <w:szCs w:val="20"/>
        </w:rPr>
        <w:t xml:space="preserve">After </w:t>
      </w:r>
      <w:r w:rsidR="520DD2C8" w:rsidRPr="00CC54CE">
        <w:rPr>
          <w:rFonts w:ascii="Work Sans" w:eastAsia="Work Sans" w:hAnsi="Work Sans" w:cs="Work Sans"/>
          <w:sz w:val="20"/>
          <w:szCs w:val="20"/>
        </w:rPr>
        <w:t>this</w:t>
      </w:r>
      <w:r w:rsidR="7D020493" w:rsidRPr="00CC54CE">
        <w:rPr>
          <w:rFonts w:ascii="Work Sans" w:eastAsia="Work Sans" w:hAnsi="Work Sans" w:cs="Work Sans"/>
          <w:sz w:val="20"/>
          <w:szCs w:val="20"/>
        </w:rPr>
        <w:t>, the blending ratio will return to 75</w:t>
      </w:r>
      <w:r w:rsidR="006A7BA1">
        <w:rPr>
          <w:rFonts w:ascii="Work Sans" w:eastAsia="Work Sans" w:hAnsi="Work Sans" w:cs="Work Sans"/>
          <w:sz w:val="20"/>
          <w:szCs w:val="20"/>
        </w:rPr>
        <w:t>:</w:t>
      </w:r>
      <w:r w:rsidR="3ACBC685" w:rsidRPr="00CC54CE">
        <w:rPr>
          <w:rFonts w:ascii="Work Sans" w:eastAsia="Work Sans" w:hAnsi="Work Sans" w:cs="Work Sans"/>
          <w:sz w:val="20"/>
          <w:szCs w:val="20"/>
        </w:rPr>
        <w:t>25</w:t>
      </w:r>
      <w:r w:rsidR="00F27526">
        <w:rPr>
          <w:rFonts w:ascii="Work Sans" w:eastAsia="Work Sans" w:hAnsi="Work Sans" w:cs="Work Sans"/>
          <w:sz w:val="20"/>
          <w:szCs w:val="20"/>
        </w:rPr>
        <w:t>.</w:t>
      </w:r>
      <w:r w:rsidR="00906725" w:rsidRPr="00CC54CE">
        <w:rPr>
          <w:rStyle w:val="FootnoteReference"/>
          <w:rFonts w:eastAsia="Work Sans" w:cs="Work Sans"/>
        </w:rPr>
        <w:footnoteReference w:id="14"/>
      </w:r>
      <w:r w:rsidR="3ACBC685" w:rsidRPr="00CC54CE">
        <w:rPr>
          <w:rFonts w:ascii="Work Sans" w:eastAsia="Work Sans" w:hAnsi="Work Sans" w:cs="Work Sans"/>
          <w:sz w:val="20"/>
          <w:szCs w:val="20"/>
        </w:rPr>
        <w:t xml:space="preserve"> </w:t>
      </w:r>
    </w:p>
    <w:p w14:paraId="373A558B" w14:textId="77156160" w:rsidR="00DB5451" w:rsidRPr="00055B9E" w:rsidRDefault="00D934B5" w:rsidP="00136E23">
      <w:pPr>
        <w:pStyle w:val="CGCNumberedPara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Table </w:t>
      </w:r>
      <w:r w:rsidR="00F51F0D">
        <w:rPr>
          <w:rFonts w:ascii="Work Sans" w:eastAsia="Work Sans" w:hAnsi="Work Sans" w:cs="Work Sans"/>
          <w:sz w:val="20"/>
          <w:szCs w:val="20"/>
        </w:rPr>
        <w:t>7</w:t>
      </w:r>
      <w:r>
        <w:rPr>
          <w:rFonts w:ascii="Work Sans" w:eastAsia="Work Sans" w:hAnsi="Work Sans" w:cs="Work Sans"/>
          <w:sz w:val="20"/>
          <w:szCs w:val="20"/>
        </w:rPr>
        <w:t xml:space="preserve"> shows the relative shares of </w:t>
      </w:r>
      <w:r w:rsidR="00A77970">
        <w:rPr>
          <w:rFonts w:ascii="Work Sans" w:eastAsia="Work Sans" w:hAnsi="Work Sans" w:cs="Work Sans"/>
          <w:sz w:val="20"/>
          <w:szCs w:val="20"/>
        </w:rPr>
        <w:t>S</w:t>
      </w:r>
      <w:r w:rsidR="004366E1">
        <w:rPr>
          <w:rFonts w:ascii="Work Sans" w:eastAsia="Work Sans" w:hAnsi="Work Sans" w:cs="Work Sans"/>
          <w:sz w:val="20"/>
          <w:szCs w:val="20"/>
        </w:rPr>
        <w:t xml:space="preserve">ignificant </w:t>
      </w:r>
      <w:r w:rsidR="00A77970">
        <w:rPr>
          <w:rFonts w:ascii="Work Sans" w:eastAsia="Work Sans" w:hAnsi="Work Sans" w:cs="Work Sans"/>
          <w:sz w:val="20"/>
          <w:szCs w:val="20"/>
        </w:rPr>
        <w:t>U</w:t>
      </w:r>
      <w:r w:rsidR="004366E1">
        <w:rPr>
          <w:rFonts w:ascii="Work Sans" w:eastAsia="Work Sans" w:hAnsi="Work Sans" w:cs="Work Sans"/>
          <w:sz w:val="20"/>
          <w:szCs w:val="20"/>
        </w:rPr>
        <w:t xml:space="preserve">rban </w:t>
      </w:r>
      <w:r w:rsidR="00A77970">
        <w:rPr>
          <w:rFonts w:ascii="Work Sans" w:eastAsia="Work Sans" w:hAnsi="Work Sans" w:cs="Work Sans"/>
          <w:sz w:val="20"/>
          <w:szCs w:val="20"/>
        </w:rPr>
        <w:t>A</w:t>
      </w:r>
      <w:r w:rsidR="004366E1">
        <w:rPr>
          <w:rFonts w:ascii="Work Sans" w:eastAsia="Work Sans" w:hAnsi="Work Sans" w:cs="Work Sans"/>
          <w:sz w:val="20"/>
          <w:szCs w:val="20"/>
        </w:rPr>
        <w:t>rea populations.</w:t>
      </w:r>
    </w:p>
    <w:p w14:paraId="3EDD6D42" w14:textId="61B0BC74" w:rsidR="58C3F5CC" w:rsidRDefault="58C3F5CC" w:rsidP="00C86C8D">
      <w:pPr>
        <w:pStyle w:val="CGC2025Caption"/>
        <w:keepNext/>
        <w:tabs>
          <w:tab w:val="left" w:pos="1134"/>
        </w:tabs>
      </w:pPr>
      <w:r>
        <w:t xml:space="preserve">Table </w:t>
      </w:r>
      <w:r w:rsidR="00651B25">
        <w:t>7</w:t>
      </w:r>
      <w:r w:rsidRPr="004366E1">
        <w:tab/>
        <w:t>State shares of urban populations, 2022</w:t>
      </w:r>
      <w:r w:rsidR="00857D55">
        <w:t>–</w:t>
      </w:r>
      <w:r w:rsidRPr="004366E1">
        <w:t>23</w:t>
      </w:r>
    </w:p>
    <w:tbl>
      <w:tblPr>
        <w:tblW w:w="8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354"/>
        <w:gridCol w:w="614"/>
        <w:gridCol w:w="747"/>
        <w:gridCol w:w="747"/>
        <w:gridCol w:w="747"/>
        <w:gridCol w:w="746"/>
        <w:gridCol w:w="746"/>
        <w:gridCol w:w="747"/>
        <w:gridCol w:w="746"/>
        <w:gridCol w:w="748"/>
      </w:tblGrid>
      <w:tr w:rsidR="45BD6051" w14:paraId="7710E68D" w14:textId="77777777" w:rsidTr="008A6C3A">
        <w:trPr>
          <w:trHeight w:val="37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1F370948" w14:textId="0AB82AAE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6D40D146" w14:textId="7AF6C633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NSW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19A68CE9" w14:textId="3B8B1A58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Vic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497663A7" w14:textId="01810D84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Qld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4720D23D" w14:textId="4704620C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WA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42B21EC0" w14:textId="3B8D9CF7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19C89BF8" w14:textId="08990CE4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Tas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7B957B44" w14:textId="1FB26543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ACT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15638B6C" w14:textId="1E940158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NT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tcMar>
              <w:left w:w="105" w:type="dxa"/>
              <w:right w:w="105" w:type="dxa"/>
            </w:tcMar>
            <w:vAlign w:val="center"/>
          </w:tcPr>
          <w:p w14:paraId="427A1D2D" w14:textId="0D07EC3C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</w:pPr>
            <w:r w:rsidRPr="45BD6051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45BD6051" w14:paraId="552BB790" w14:textId="77777777" w:rsidTr="008A6C3A">
        <w:trPr>
          <w:trHeight w:val="300"/>
        </w:trPr>
        <w:tc>
          <w:tcPr>
            <w:tcW w:w="237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0CD72DA4" w14:textId="09A64C30" w:rsidR="45BD6051" w:rsidRDefault="45BD6051" w:rsidP="00C86C8D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0945AF01" w14:textId="59AFEEB5" w:rsidR="45BD6051" w:rsidRDefault="6B5D2C8D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  <w:r w:rsidRPr="3F0F954C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3456904A" w14:textId="0EB702BC" w:rsidR="45BD6051" w:rsidRDefault="6B5D2C8D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  <w:r w:rsidRPr="18D3C216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2B8BB630" w14:textId="5D336079" w:rsidR="45BD6051" w:rsidRDefault="6B5D2C8D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  <w:r w:rsidRPr="18D3C216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6B5DC565" w14:textId="4EF25D86" w:rsidR="45BD6051" w:rsidRDefault="6B5D2C8D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  <w:r w:rsidRPr="18D3C216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2348D6BF" w14:textId="622028A9" w:rsidR="45BD6051" w:rsidRDefault="6B5D2C8D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  <w:r w:rsidRPr="0561A0A7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0B039C70" w14:textId="7C9A2427" w:rsidR="45BD6051" w:rsidRDefault="6B5D2C8D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  <w:r w:rsidRPr="0561A0A7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20F162DB" w14:textId="3ABD0E2F" w:rsidR="45BD6051" w:rsidRDefault="6B5D2C8D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  <w:r w:rsidRPr="6965F0E2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4B529CDE" w14:textId="1ED53E57" w:rsidR="45BD6051" w:rsidRDefault="6B5D2C8D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  <w:r w:rsidRPr="6965F0E2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B6D5E4"/>
            <w:tcMar>
              <w:left w:w="105" w:type="dxa"/>
              <w:right w:w="105" w:type="dxa"/>
            </w:tcMar>
            <w:vAlign w:val="bottom"/>
          </w:tcPr>
          <w:p w14:paraId="00D8BA03" w14:textId="2827169D" w:rsidR="45BD6051" w:rsidRDefault="6B5D2C8D" w:rsidP="00C86C8D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  <w:r w:rsidRPr="6965F0E2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%</w:t>
            </w:r>
          </w:p>
        </w:tc>
      </w:tr>
      <w:tr w:rsidR="5B620D76" w14:paraId="336F2B2F" w14:textId="77777777" w:rsidTr="008A6C3A">
        <w:trPr>
          <w:trHeight w:val="300"/>
        </w:trPr>
        <w:tc>
          <w:tcPr>
            <w:tcW w:w="237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3FFF6DDB" w14:textId="2F548289" w:rsidR="5B620D76" w:rsidRDefault="6B5D2C8D" w:rsidP="5B620D76">
            <w:pPr>
              <w:spacing w:line="240" w:lineRule="auto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25ABE34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 xml:space="preserve">Urban population </w:t>
            </w:r>
            <w:r w:rsidRPr="5FC75FF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share</w:t>
            </w:r>
          </w:p>
        </w:tc>
        <w:tc>
          <w:tcPr>
            <w:tcW w:w="615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4141F9E4" w14:textId="7E487B16" w:rsidR="5B620D76" w:rsidRDefault="6B5D2C8D" w:rsidP="5B620D76">
            <w:pPr>
              <w:spacing w:line="240" w:lineRule="auto"/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3590694A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31.5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0A83360F" w14:textId="18E6ACB5" w:rsidR="5B620D76" w:rsidRDefault="6B5D2C8D" w:rsidP="5B620D76">
            <w:pPr>
              <w:spacing w:line="240" w:lineRule="auto"/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5E519D27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26.</w:t>
            </w:r>
            <w:r w:rsidRPr="55DC0D9B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12B1F46E" w14:textId="78250F8A" w:rsidR="5B620D76" w:rsidRDefault="6B5D2C8D" w:rsidP="5B620D76">
            <w:pPr>
              <w:spacing w:line="240" w:lineRule="auto"/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E8038F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20.0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39258C95" w14:textId="5A922CFB" w:rsidR="5B620D76" w:rsidRDefault="6B5D2C8D" w:rsidP="5B620D76">
            <w:pPr>
              <w:spacing w:line="240" w:lineRule="auto"/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27ED091F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11</w:t>
            </w:r>
            <w:r w:rsidRPr="418C2159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7C0D66BF" w14:textId="5FE3A87C" w:rsidR="5B620D76" w:rsidRDefault="6B5D2C8D" w:rsidP="5B620D76">
            <w:pPr>
              <w:spacing w:line="240" w:lineRule="auto"/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418C2159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6</w:t>
            </w:r>
            <w:r w:rsidRPr="4160FF7E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.8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7AB621F9" w14:textId="3B40F4B6" w:rsidR="5B620D76" w:rsidRDefault="6B5D2C8D" w:rsidP="5B620D76">
            <w:pPr>
              <w:spacing w:line="240" w:lineRule="auto"/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46F24B80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3E89663D" w14:textId="2E8FD08E" w:rsidR="5B620D76" w:rsidRDefault="6B5D2C8D" w:rsidP="5B620D76">
            <w:pPr>
              <w:spacing w:line="240" w:lineRule="auto"/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46F24B80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2473BFFD" w14:textId="64C32826" w:rsidR="5B620D76" w:rsidRDefault="6B5D2C8D" w:rsidP="5B620D76">
            <w:pPr>
              <w:spacing w:line="240" w:lineRule="auto"/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46F24B80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0.7</w:t>
            </w:r>
          </w:p>
        </w:tc>
        <w:tc>
          <w:tcPr>
            <w:tcW w:w="75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75A69410" w14:textId="052BE560" w:rsidR="5B620D76" w:rsidRDefault="6B5D2C8D" w:rsidP="5B620D76">
            <w:pPr>
              <w:spacing w:line="240" w:lineRule="auto"/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68E82633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100</w:t>
            </w:r>
          </w:p>
        </w:tc>
      </w:tr>
    </w:tbl>
    <w:p w14:paraId="24EE94B8" w14:textId="59555729" w:rsidR="45BD6051" w:rsidRPr="0037454A" w:rsidRDefault="45BD6051" w:rsidP="00136E23">
      <w:pPr>
        <w:pStyle w:val="NoSpacing"/>
      </w:pPr>
    </w:p>
    <w:p w14:paraId="2F7EE308" w14:textId="29A9388F" w:rsidR="001D6969" w:rsidRDefault="001D6969" w:rsidP="001628B8">
      <w:pPr>
        <w:pStyle w:val="Heading5"/>
      </w:pPr>
      <w:bookmarkStart w:id="20" w:name="_Toc132729100"/>
      <w:bookmarkStart w:id="21" w:name="_Toc133236148"/>
      <w:bookmarkStart w:id="22" w:name="_Toc133236174"/>
      <w:bookmarkStart w:id="23" w:name="_Toc164798168"/>
      <w:r>
        <w:t xml:space="preserve">Step 5 </w:t>
      </w:r>
      <w:r w:rsidR="00BA0FC1">
        <w:t xml:space="preserve">- </w:t>
      </w:r>
      <w:r>
        <w:t>Applying wage costs</w:t>
      </w:r>
    </w:p>
    <w:p w14:paraId="673C0F33" w14:textId="1A3FEBFD" w:rsidR="00692D8A" w:rsidRDefault="00692D8A" w:rsidP="00692D8A">
      <w:pPr>
        <w:pStyle w:val="CGC2025ParaNumbers"/>
        <w:tabs>
          <w:tab w:val="num" w:pos="567"/>
        </w:tabs>
      </w:pPr>
      <w:r>
        <w:t xml:space="preserve">Wage costs are a significant share of the total cost of providing </w:t>
      </w:r>
      <w:r w:rsidR="008C7B35">
        <w:t>urban transport services</w:t>
      </w:r>
      <w:r>
        <w:t xml:space="preserve">. Differences in wage costs between states </w:t>
      </w:r>
      <w:r w:rsidR="001F00B0">
        <w:t xml:space="preserve">affect </w:t>
      </w:r>
      <w:r>
        <w:t xml:space="preserve">the cost of providing </w:t>
      </w:r>
      <w:r w:rsidR="008246CB">
        <w:t xml:space="preserve">urban transport </w:t>
      </w:r>
      <w:r>
        <w:t xml:space="preserve">services. The </w:t>
      </w:r>
      <w:r w:rsidR="008246CB">
        <w:t>urban transport</w:t>
      </w:r>
      <w:r>
        <w:t xml:space="preserve"> assessment uses the Commission’s general method for measuring the influence of wage costs. Details on how this is calculated are in the wage costs chapter</w:t>
      </w:r>
      <w:r w:rsidR="0037454A">
        <w:t xml:space="preserve"> of the </w:t>
      </w:r>
      <w:r w:rsidR="0037454A" w:rsidRPr="00234617">
        <w:rPr>
          <w:i/>
          <w:iCs/>
        </w:rPr>
        <w:t xml:space="preserve">Commission’s </w:t>
      </w:r>
      <w:r w:rsidR="00234617">
        <w:rPr>
          <w:i/>
          <w:iCs/>
        </w:rPr>
        <w:t>A</w:t>
      </w:r>
      <w:r w:rsidR="0037454A" w:rsidRPr="00234617">
        <w:rPr>
          <w:i/>
          <w:iCs/>
        </w:rPr>
        <w:t xml:space="preserve">ssessment </w:t>
      </w:r>
      <w:r w:rsidR="00234617">
        <w:rPr>
          <w:i/>
          <w:iCs/>
        </w:rPr>
        <w:t>M</w:t>
      </w:r>
      <w:r w:rsidR="0037454A" w:rsidRPr="00234617">
        <w:rPr>
          <w:i/>
          <w:iCs/>
        </w:rPr>
        <w:t>ethodology</w:t>
      </w:r>
      <w:r>
        <w:t>.</w:t>
      </w:r>
    </w:p>
    <w:p w14:paraId="697E310E" w14:textId="74833E78" w:rsidR="001628B8" w:rsidRPr="001628B8" w:rsidRDefault="00692D8A" w:rsidP="00B847D4">
      <w:pPr>
        <w:pStyle w:val="CGC2025ParaNumbers"/>
        <w:tabs>
          <w:tab w:val="num" w:pos="567"/>
        </w:tabs>
      </w:pPr>
      <w:r>
        <w:t xml:space="preserve">Expenses are then rescaled again to total </w:t>
      </w:r>
      <w:r w:rsidR="008246CB">
        <w:t>urban transport</w:t>
      </w:r>
      <w:r>
        <w:t xml:space="preserve"> expenses, giving final assessed expenses.</w:t>
      </w:r>
    </w:p>
    <w:p w14:paraId="74E66203" w14:textId="5F590881" w:rsidR="002630BC" w:rsidRPr="006E1932" w:rsidRDefault="002630BC" w:rsidP="0037547A">
      <w:pPr>
        <w:pStyle w:val="Heading3"/>
      </w:pPr>
      <w:r w:rsidRPr="006E1932">
        <w:t>Non-</w:t>
      </w:r>
      <w:r w:rsidR="004630C1">
        <w:t>u</w:t>
      </w:r>
      <w:r w:rsidRPr="006E1932">
        <w:t xml:space="preserve">rban </w:t>
      </w:r>
      <w:r w:rsidR="001F00B0">
        <w:t>t</w:t>
      </w:r>
      <w:r w:rsidR="4E2E9CE5" w:rsidRPr="006E1932">
        <w:t>ransport</w:t>
      </w:r>
    </w:p>
    <w:p w14:paraId="5DA2564C" w14:textId="5902046E" w:rsidR="00B20D5A" w:rsidRDefault="00D85E2A" w:rsidP="006B0D50">
      <w:pPr>
        <w:pStyle w:val="CGCNumberedPara"/>
        <w:rPr>
          <w:rFonts w:ascii="Work Sans" w:hAnsi="Work Sans"/>
          <w:sz w:val="20"/>
          <w:szCs w:val="20"/>
        </w:rPr>
      </w:pPr>
      <w:r w:rsidRPr="006E1932">
        <w:rPr>
          <w:rFonts w:ascii="Work Sans" w:hAnsi="Work Sans"/>
          <w:sz w:val="20"/>
          <w:szCs w:val="20"/>
        </w:rPr>
        <w:t>The non-urban transport assessment</w:t>
      </w:r>
      <w:r w:rsidR="006B0D50" w:rsidRPr="006E1932">
        <w:rPr>
          <w:rFonts w:ascii="Work Sans" w:hAnsi="Work Sans"/>
          <w:sz w:val="20"/>
          <w:szCs w:val="20"/>
        </w:rPr>
        <w:t xml:space="preserve"> is based on state populations </w:t>
      </w:r>
      <w:r w:rsidR="004F07FE">
        <w:rPr>
          <w:rFonts w:ascii="Work Sans" w:hAnsi="Work Sans"/>
          <w:sz w:val="20"/>
          <w:szCs w:val="20"/>
        </w:rPr>
        <w:t xml:space="preserve">to </w:t>
      </w:r>
      <w:r w:rsidR="00B12DDE">
        <w:rPr>
          <w:rFonts w:ascii="Work Sans" w:hAnsi="Work Sans"/>
          <w:sz w:val="20"/>
          <w:szCs w:val="20"/>
        </w:rPr>
        <w:t>recognise</w:t>
      </w:r>
      <w:r w:rsidR="004F07FE">
        <w:rPr>
          <w:rFonts w:ascii="Work Sans" w:hAnsi="Work Sans"/>
          <w:sz w:val="20"/>
          <w:szCs w:val="20"/>
        </w:rPr>
        <w:t xml:space="preserve"> that </w:t>
      </w:r>
      <w:r w:rsidR="00995565">
        <w:rPr>
          <w:rFonts w:ascii="Work Sans" w:hAnsi="Work Sans"/>
          <w:sz w:val="20"/>
          <w:szCs w:val="20"/>
        </w:rPr>
        <w:t xml:space="preserve">people </w:t>
      </w:r>
      <w:r w:rsidR="00C1756B">
        <w:rPr>
          <w:rFonts w:ascii="Work Sans" w:hAnsi="Work Sans"/>
          <w:sz w:val="20"/>
          <w:szCs w:val="20"/>
        </w:rPr>
        <w:t xml:space="preserve">in urban and non-urban areas utilise </w:t>
      </w:r>
      <w:r w:rsidR="00B20D5A">
        <w:rPr>
          <w:rFonts w:ascii="Work Sans" w:hAnsi="Work Sans"/>
          <w:sz w:val="20"/>
          <w:szCs w:val="20"/>
        </w:rPr>
        <w:t>non-urban transport services.</w:t>
      </w:r>
    </w:p>
    <w:p w14:paraId="6C2F4B94" w14:textId="4D38E293" w:rsidR="00217678" w:rsidRPr="005E768D" w:rsidRDefault="00B20D5A" w:rsidP="006B0D50">
      <w:pPr>
        <w:pStyle w:val="CGCNumberedPara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The</w:t>
      </w:r>
      <w:r w:rsidR="002813E2">
        <w:rPr>
          <w:rFonts w:ascii="Work Sans" w:hAnsi="Work Sans"/>
          <w:sz w:val="20"/>
          <w:szCs w:val="20"/>
        </w:rPr>
        <w:t xml:space="preserve">re are also </w:t>
      </w:r>
      <w:r w:rsidR="00027FFA" w:rsidRPr="00541264">
        <w:rPr>
          <w:rFonts w:ascii="Work Sans" w:eastAsia="Work Sans" w:hAnsi="Work Sans" w:cs="Work Sans"/>
          <w:sz w:val="20"/>
          <w:szCs w:val="20"/>
        </w:rPr>
        <w:t>adjustment</w:t>
      </w:r>
      <w:r w:rsidR="00027FFA">
        <w:rPr>
          <w:rFonts w:ascii="Work Sans" w:eastAsia="Work Sans" w:hAnsi="Work Sans" w:cs="Work Sans"/>
          <w:sz w:val="20"/>
          <w:szCs w:val="20"/>
        </w:rPr>
        <w:t xml:space="preserve">s for </w:t>
      </w:r>
      <w:r w:rsidR="00C15C25">
        <w:rPr>
          <w:rFonts w:ascii="Work Sans" w:hAnsi="Work Sans"/>
          <w:sz w:val="20"/>
          <w:szCs w:val="20"/>
        </w:rPr>
        <w:t xml:space="preserve">wages </w:t>
      </w:r>
      <w:r w:rsidR="00EC3798">
        <w:rPr>
          <w:rFonts w:ascii="Work Sans" w:hAnsi="Work Sans"/>
          <w:sz w:val="20"/>
          <w:szCs w:val="20"/>
        </w:rPr>
        <w:t>and</w:t>
      </w:r>
      <w:r w:rsidR="007A26C5" w:rsidRPr="004366E1">
        <w:rPr>
          <w:rFonts w:ascii="Work Sans" w:eastAsia="Work Sans" w:hAnsi="Work Sans" w:cs="Work Sans"/>
          <w:sz w:val="20"/>
          <w:szCs w:val="20"/>
        </w:rPr>
        <w:t xml:space="preserve"> </w:t>
      </w:r>
      <w:r w:rsidR="006B0D50" w:rsidRPr="004366E1">
        <w:rPr>
          <w:rFonts w:ascii="Work Sans" w:eastAsia="Work Sans" w:hAnsi="Work Sans" w:cs="Work Sans"/>
          <w:sz w:val="20"/>
          <w:szCs w:val="20"/>
        </w:rPr>
        <w:t>regional</w:t>
      </w:r>
      <w:r w:rsidR="006B0D50" w:rsidRPr="00541264">
        <w:rPr>
          <w:rFonts w:ascii="Work Sans" w:eastAsia="Work Sans" w:hAnsi="Work Sans" w:cs="Work Sans"/>
          <w:sz w:val="20"/>
          <w:szCs w:val="20"/>
        </w:rPr>
        <w:t xml:space="preserve"> cost</w:t>
      </w:r>
      <w:r w:rsidR="00027FFA">
        <w:rPr>
          <w:rFonts w:ascii="Work Sans" w:eastAsia="Work Sans" w:hAnsi="Work Sans" w:cs="Work Sans"/>
          <w:sz w:val="20"/>
          <w:szCs w:val="20"/>
        </w:rPr>
        <w:t>s</w:t>
      </w:r>
      <w:r w:rsidR="00C0607B">
        <w:rPr>
          <w:rFonts w:ascii="Work Sans" w:eastAsia="Work Sans" w:hAnsi="Work Sans" w:cs="Work Sans"/>
          <w:sz w:val="20"/>
          <w:szCs w:val="20"/>
        </w:rPr>
        <w:t xml:space="preserve"> (see Table 8)</w:t>
      </w:r>
      <w:r w:rsidR="007B68AF">
        <w:rPr>
          <w:rFonts w:ascii="Work Sans" w:eastAsia="Work Sans" w:hAnsi="Work Sans" w:cs="Work Sans"/>
          <w:sz w:val="20"/>
          <w:szCs w:val="20"/>
        </w:rPr>
        <w:t xml:space="preserve">. </w:t>
      </w:r>
    </w:p>
    <w:p w14:paraId="00DC75AA" w14:textId="69C39D33" w:rsidR="000A073E" w:rsidRDefault="000A073E" w:rsidP="00EC62DB">
      <w:pPr>
        <w:pStyle w:val="CGC2025Caption"/>
        <w:tabs>
          <w:tab w:val="left" w:pos="1418"/>
        </w:tabs>
      </w:pPr>
      <w:r>
        <w:t xml:space="preserve">Table </w:t>
      </w:r>
      <w:r w:rsidR="00651B25">
        <w:t>8</w:t>
      </w:r>
      <w:r w:rsidRPr="004366E1">
        <w:tab/>
      </w:r>
      <w:r>
        <w:t>Non-urban transport</w:t>
      </w:r>
      <w:r w:rsidRPr="004366E1">
        <w:t>, 2022</w:t>
      </w:r>
      <w:r w:rsidR="00857D55">
        <w:t>–</w:t>
      </w:r>
      <w:r w:rsidRPr="004366E1">
        <w:t>23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220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E85E32" w:rsidRPr="00E85E32" w14:paraId="46F7D62B" w14:textId="77777777" w:rsidTr="00E85E32">
        <w:trPr>
          <w:trHeight w:val="37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DA83C21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A17A265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7BDBF75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56698E9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C04FF55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6C42DCE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F1E0E14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F0EF1B9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B5C4BF3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EDAB253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E85E32" w:rsidRPr="00E85E32" w14:paraId="29F4DC08" w14:textId="77777777" w:rsidTr="00E85E32">
        <w:trPr>
          <w:trHeight w:val="319"/>
        </w:trPr>
        <w:tc>
          <w:tcPr>
            <w:tcW w:w="2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01C6B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Equal per capital share 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F04D2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533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8BEDC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434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EDE34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F5A63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B7E93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3BBEC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D2380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7CC60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867D9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1,700</w:t>
            </w:r>
          </w:p>
        </w:tc>
      </w:tr>
      <w:tr w:rsidR="00E85E32" w:rsidRPr="00E85E32" w14:paraId="04613E32" w14:textId="77777777" w:rsidTr="00E85E32">
        <w:trPr>
          <w:trHeight w:val="319"/>
        </w:trPr>
        <w:tc>
          <w:tcPr>
            <w:tcW w:w="2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9DD79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Wage cost adjustment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23822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04DA3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F4586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B0152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E5FE2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14AAE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ABD12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41670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D7152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</w:tr>
      <w:tr w:rsidR="00E85E32" w:rsidRPr="00E85E32" w14:paraId="2EC228F8" w14:textId="77777777" w:rsidTr="00E85E32">
        <w:trPr>
          <w:trHeight w:val="319"/>
        </w:trPr>
        <w:tc>
          <w:tcPr>
            <w:tcW w:w="2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BAAC1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Regional cost adjustment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2767E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8AB72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60F00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A63FD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ADDD2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C6CE5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A8274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B803F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3BE24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</w:tr>
      <w:tr w:rsidR="00E85E32" w:rsidRPr="00E85E32" w14:paraId="46EECEF9" w14:textId="77777777" w:rsidTr="00E85E32">
        <w:trPr>
          <w:trHeight w:val="259"/>
        </w:trPr>
        <w:tc>
          <w:tcPr>
            <w:tcW w:w="22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AA8D47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Assessed expenses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EFADF2B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533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9505090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432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2F52EA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347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78CDA76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1A5B995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118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DCD655D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BB691A1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5FD9619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C73F0EF" w14:textId="77777777" w:rsidR="00E85E32" w:rsidRPr="00E85E32" w:rsidRDefault="00E85E32" w:rsidP="00E85E3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85E3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1,700</w:t>
            </w:r>
          </w:p>
        </w:tc>
      </w:tr>
    </w:tbl>
    <w:p w14:paraId="3276D876" w14:textId="71107B3D" w:rsidR="007876E4" w:rsidRPr="000B061C" w:rsidRDefault="0032278C" w:rsidP="00234617">
      <w:pPr>
        <w:pStyle w:val="Heading2"/>
      </w:pPr>
      <w:r w:rsidRPr="000B061C">
        <w:t xml:space="preserve">Transport </w:t>
      </w:r>
      <w:r w:rsidR="00027FFA">
        <w:t>i</w:t>
      </w:r>
      <w:r w:rsidRPr="000B061C">
        <w:t>nvestment</w:t>
      </w:r>
    </w:p>
    <w:p w14:paraId="12C6966B" w14:textId="7DA7BB2B" w:rsidR="00381495" w:rsidRPr="000B061C" w:rsidRDefault="00381495" w:rsidP="00234617">
      <w:pPr>
        <w:pStyle w:val="Heading3"/>
      </w:pPr>
      <w:r w:rsidRPr="000B061C">
        <w:t xml:space="preserve">Urban transport </w:t>
      </w:r>
    </w:p>
    <w:p w14:paraId="3C6FC3F9" w14:textId="32B6D33C" w:rsidR="00021295" w:rsidRPr="000B061C" w:rsidRDefault="004660AA" w:rsidP="00021295">
      <w:pPr>
        <w:pStyle w:val="CGCNumberedPara"/>
        <w:rPr>
          <w:rFonts w:ascii="Work Sans" w:hAnsi="Work Sans"/>
          <w:sz w:val="20"/>
          <w:szCs w:val="20"/>
        </w:rPr>
      </w:pPr>
      <w:r w:rsidRPr="000B061C">
        <w:rPr>
          <w:rFonts w:ascii="Work Sans" w:eastAsia="Work Sans" w:hAnsi="Work Sans" w:cs="Work Sans"/>
          <w:sz w:val="20"/>
          <w:szCs w:val="20"/>
        </w:rPr>
        <w:t xml:space="preserve">The </w:t>
      </w:r>
      <w:r w:rsidR="002120ED" w:rsidRPr="000B061C">
        <w:rPr>
          <w:rFonts w:ascii="Work Sans" w:eastAsia="Work Sans" w:hAnsi="Work Sans" w:cs="Work Sans"/>
          <w:sz w:val="20"/>
          <w:szCs w:val="20"/>
        </w:rPr>
        <w:t>urban centre characteristics regression model</w:t>
      </w:r>
      <w:r w:rsidR="009E50B6" w:rsidRPr="000B061C">
        <w:rPr>
          <w:rFonts w:ascii="Work Sans" w:eastAsia="Work Sans" w:hAnsi="Work Sans" w:cs="Work Sans"/>
          <w:sz w:val="20"/>
          <w:szCs w:val="20"/>
        </w:rPr>
        <w:t xml:space="preserve"> </w:t>
      </w:r>
      <w:r w:rsidR="00AC26D6">
        <w:rPr>
          <w:rFonts w:ascii="Work Sans" w:eastAsia="Work Sans" w:hAnsi="Work Sans" w:cs="Work Sans"/>
          <w:sz w:val="20"/>
          <w:szCs w:val="20"/>
        </w:rPr>
        <w:t>used in</w:t>
      </w:r>
      <w:r w:rsidR="0087048A">
        <w:rPr>
          <w:rFonts w:ascii="Work Sans" w:eastAsia="Work Sans" w:hAnsi="Work Sans" w:cs="Work Sans"/>
          <w:sz w:val="20"/>
          <w:szCs w:val="20"/>
        </w:rPr>
        <w:t xml:space="preserve"> </w:t>
      </w:r>
      <w:r w:rsidR="00096310">
        <w:rPr>
          <w:rFonts w:ascii="Work Sans" w:eastAsia="Work Sans" w:hAnsi="Work Sans" w:cs="Work Sans"/>
          <w:sz w:val="20"/>
          <w:szCs w:val="20"/>
        </w:rPr>
        <w:t xml:space="preserve">the assessment of </w:t>
      </w:r>
      <w:r w:rsidR="00AC26D6">
        <w:rPr>
          <w:rFonts w:ascii="Work Sans" w:eastAsia="Work Sans" w:hAnsi="Work Sans" w:cs="Work Sans"/>
          <w:sz w:val="20"/>
          <w:szCs w:val="20"/>
        </w:rPr>
        <w:t>urban</w:t>
      </w:r>
      <w:r w:rsidR="0087048A">
        <w:rPr>
          <w:rFonts w:ascii="Work Sans" w:eastAsia="Work Sans" w:hAnsi="Work Sans" w:cs="Work Sans"/>
          <w:sz w:val="20"/>
          <w:szCs w:val="20"/>
        </w:rPr>
        <w:t xml:space="preserve"> transport </w:t>
      </w:r>
      <w:r w:rsidR="00C11B04">
        <w:rPr>
          <w:rFonts w:ascii="Work Sans" w:eastAsia="Work Sans" w:hAnsi="Work Sans" w:cs="Work Sans"/>
          <w:sz w:val="20"/>
          <w:szCs w:val="20"/>
        </w:rPr>
        <w:t xml:space="preserve">recurrent </w:t>
      </w:r>
      <w:r w:rsidR="0087048A">
        <w:rPr>
          <w:rFonts w:ascii="Work Sans" w:eastAsia="Work Sans" w:hAnsi="Work Sans" w:cs="Work Sans"/>
          <w:sz w:val="20"/>
          <w:szCs w:val="20"/>
        </w:rPr>
        <w:t>expense</w:t>
      </w:r>
      <w:r w:rsidR="00C11B04">
        <w:rPr>
          <w:rFonts w:ascii="Work Sans" w:eastAsia="Work Sans" w:hAnsi="Work Sans" w:cs="Work Sans"/>
          <w:sz w:val="20"/>
          <w:szCs w:val="20"/>
        </w:rPr>
        <w:t>s</w:t>
      </w:r>
      <w:r w:rsidR="0087048A">
        <w:rPr>
          <w:rFonts w:ascii="Work Sans" w:eastAsia="Work Sans" w:hAnsi="Work Sans" w:cs="Work Sans"/>
          <w:sz w:val="20"/>
          <w:szCs w:val="20"/>
        </w:rPr>
        <w:t xml:space="preserve"> is also </w:t>
      </w:r>
      <w:r w:rsidR="00AC26D6">
        <w:rPr>
          <w:rFonts w:ascii="Work Sans" w:eastAsia="Work Sans" w:hAnsi="Work Sans" w:cs="Work Sans"/>
          <w:sz w:val="20"/>
          <w:szCs w:val="20"/>
        </w:rPr>
        <w:t>used</w:t>
      </w:r>
      <w:r w:rsidR="0087048A">
        <w:rPr>
          <w:rFonts w:ascii="Work Sans" w:eastAsia="Work Sans" w:hAnsi="Work Sans" w:cs="Work Sans"/>
          <w:sz w:val="20"/>
          <w:szCs w:val="20"/>
        </w:rPr>
        <w:t xml:space="preserve"> in the urban transport investment assessment</w:t>
      </w:r>
      <w:r w:rsidR="00AC26D6">
        <w:rPr>
          <w:rFonts w:ascii="Work Sans" w:eastAsia="Work Sans" w:hAnsi="Work Sans" w:cs="Work Sans"/>
          <w:sz w:val="20"/>
          <w:szCs w:val="20"/>
        </w:rPr>
        <w:t>.</w:t>
      </w:r>
      <w:r w:rsidR="009E50B6" w:rsidRPr="000B061C">
        <w:rPr>
          <w:rFonts w:ascii="Work Sans" w:eastAsia="Work Sans" w:hAnsi="Work Sans" w:cs="Work Sans"/>
          <w:sz w:val="20"/>
          <w:szCs w:val="20"/>
        </w:rPr>
        <w:t xml:space="preserve"> </w:t>
      </w:r>
    </w:p>
    <w:p w14:paraId="16DD754E" w14:textId="24917511" w:rsidR="0022337D" w:rsidRPr="000B061C" w:rsidRDefault="002845DC" w:rsidP="00521B2A">
      <w:pPr>
        <w:pStyle w:val="CGCNumberedPara"/>
        <w:rPr>
          <w:rFonts w:ascii="Work Sans" w:hAnsi="Work Sans"/>
          <w:sz w:val="20"/>
          <w:szCs w:val="20"/>
        </w:rPr>
      </w:pPr>
      <w:r w:rsidRPr="000B061C">
        <w:rPr>
          <w:rFonts w:ascii="Work Sans" w:eastAsia="Work Sans" w:hAnsi="Work Sans" w:cs="Work Sans"/>
          <w:sz w:val="20"/>
          <w:szCs w:val="20"/>
        </w:rPr>
        <w:lastRenderedPageBreak/>
        <w:t>The</w:t>
      </w:r>
      <w:r w:rsidR="00397BE1" w:rsidRPr="000B061C">
        <w:rPr>
          <w:rFonts w:ascii="Work Sans" w:eastAsia="Work Sans" w:hAnsi="Work Sans" w:cs="Work Sans"/>
          <w:sz w:val="20"/>
          <w:szCs w:val="20"/>
        </w:rPr>
        <w:t xml:space="preserve"> </w:t>
      </w:r>
      <w:r w:rsidR="001D0E35" w:rsidRPr="000B061C">
        <w:rPr>
          <w:rFonts w:ascii="Work Sans" w:eastAsia="Work Sans" w:hAnsi="Work Sans" w:cs="Work Sans"/>
          <w:sz w:val="20"/>
          <w:szCs w:val="20"/>
        </w:rPr>
        <w:t xml:space="preserve">urban centre characteristics </w:t>
      </w:r>
      <w:r w:rsidR="00521B2A" w:rsidRPr="000B061C">
        <w:rPr>
          <w:rFonts w:ascii="Work Sans" w:eastAsia="Work Sans" w:hAnsi="Work Sans" w:cs="Work Sans"/>
          <w:sz w:val="20"/>
          <w:szCs w:val="20"/>
        </w:rPr>
        <w:t xml:space="preserve">regression model </w:t>
      </w:r>
      <w:r w:rsidR="00B119BA" w:rsidRPr="000B061C">
        <w:rPr>
          <w:rFonts w:ascii="Work Sans" w:eastAsia="Work Sans" w:hAnsi="Work Sans" w:cs="Work Sans"/>
          <w:sz w:val="20"/>
          <w:szCs w:val="20"/>
        </w:rPr>
        <w:t>is</w:t>
      </w:r>
      <w:r w:rsidR="001D0E35" w:rsidRPr="000B061C">
        <w:rPr>
          <w:rFonts w:ascii="Work Sans" w:eastAsia="Work Sans" w:hAnsi="Work Sans" w:cs="Work Sans"/>
          <w:sz w:val="20"/>
          <w:szCs w:val="20"/>
        </w:rPr>
        <w:t xml:space="preserve"> blended</w:t>
      </w:r>
      <w:r w:rsidR="004A3A53" w:rsidRPr="000B061C">
        <w:rPr>
          <w:rFonts w:ascii="Work Sans" w:eastAsia="Work Sans" w:hAnsi="Work Sans" w:cs="Work Sans"/>
          <w:sz w:val="20"/>
          <w:szCs w:val="20"/>
        </w:rPr>
        <w:t xml:space="preserve"> with</w:t>
      </w:r>
      <w:r w:rsidR="0022337D" w:rsidRPr="000B061C">
        <w:rPr>
          <w:rFonts w:ascii="Work Sans" w:eastAsia="Work Sans" w:hAnsi="Work Sans" w:cs="Work Sans"/>
          <w:sz w:val="20"/>
          <w:szCs w:val="20"/>
        </w:rPr>
        <w:t xml:space="preserve"> </w:t>
      </w:r>
      <w:r w:rsidR="00521B2A" w:rsidRPr="000B061C">
        <w:rPr>
          <w:rFonts w:ascii="Work Sans" w:eastAsia="Work Sans" w:hAnsi="Work Sans" w:cs="Work Sans"/>
          <w:sz w:val="20"/>
          <w:szCs w:val="20"/>
        </w:rPr>
        <w:t>urban population</w:t>
      </w:r>
      <w:r w:rsidR="00096310">
        <w:rPr>
          <w:rFonts w:ascii="Work Sans" w:eastAsia="Work Sans" w:hAnsi="Work Sans" w:cs="Work Sans"/>
          <w:sz w:val="20"/>
          <w:szCs w:val="20"/>
        </w:rPr>
        <w:noBreakHyphen/>
      </w:r>
      <w:r w:rsidR="00521B2A" w:rsidRPr="000B061C">
        <w:rPr>
          <w:rFonts w:ascii="Work Sans" w:eastAsia="Work Sans" w:hAnsi="Work Sans" w:cs="Work Sans"/>
          <w:sz w:val="20"/>
          <w:szCs w:val="20"/>
        </w:rPr>
        <w:t>squared</w:t>
      </w:r>
      <w:r w:rsidR="00820684" w:rsidRPr="000B061C">
        <w:rPr>
          <w:rFonts w:ascii="Work Sans" w:eastAsia="Work Sans" w:hAnsi="Work Sans" w:cs="Work Sans"/>
          <w:sz w:val="20"/>
          <w:szCs w:val="20"/>
        </w:rPr>
        <w:t xml:space="preserve"> at a ratio of </w:t>
      </w:r>
      <w:r w:rsidR="005E1E3E" w:rsidRPr="000B061C">
        <w:rPr>
          <w:rFonts w:ascii="Work Sans" w:eastAsia="Work Sans" w:hAnsi="Work Sans" w:cs="Work Sans"/>
          <w:sz w:val="20"/>
          <w:szCs w:val="20"/>
        </w:rPr>
        <w:t>75</w:t>
      </w:r>
      <w:r w:rsidR="00837DCA">
        <w:rPr>
          <w:rFonts w:ascii="Work Sans" w:eastAsia="Work Sans" w:hAnsi="Work Sans" w:cs="Work Sans"/>
          <w:sz w:val="20"/>
          <w:szCs w:val="20"/>
        </w:rPr>
        <w:t>:</w:t>
      </w:r>
      <w:r w:rsidR="005E1E3E" w:rsidRPr="000B061C">
        <w:rPr>
          <w:rFonts w:ascii="Work Sans" w:eastAsia="Work Sans" w:hAnsi="Work Sans" w:cs="Work Sans"/>
          <w:sz w:val="20"/>
          <w:szCs w:val="20"/>
        </w:rPr>
        <w:t>25</w:t>
      </w:r>
      <w:r w:rsidR="00B119BA" w:rsidRPr="000B061C">
        <w:rPr>
          <w:rFonts w:ascii="Work Sans" w:eastAsia="Work Sans" w:hAnsi="Work Sans" w:cs="Work Sans"/>
          <w:sz w:val="20"/>
          <w:szCs w:val="20"/>
        </w:rPr>
        <w:t>.</w:t>
      </w:r>
      <w:r w:rsidR="000B3884">
        <w:rPr>
          <w:rStyle w:val="FootnoteReference"/>
          <w:rFonts w:eastAsia="Work Sans" w:cs="Work Sans"/>
        </w:rPr>
        <w:footnoteReference w:id="15"/>
      </w:r>
      <w:r w:rsidR="00190778">
        <w:rPr>
          <w:rFonts w:ascii="Work Sans" w:hAnsi="Work Sans"/>
          <w:sz w:val="20"/>
          <w:szCs w:val="20"/>
        </w:rPr>
        <w:t xml:space="preserve"> </w:t>
      </w:r>
      <w:r w:rsidR="00D56E7A">
        <w:rPr>
          <w:rFonts w:ascii="Work Sans" w:hAnsi="Work Sans"/>
          <w:sz w:val="20"/>
          <w:szCs w:val="20"/>
        </w:rPr>
        <w:t xml:space="preserve">Unlike urban population in the recurrent </w:t>
      </w:r>
      <w:r w:rsidR="00FB0692">
        <w:rPr>
          <w:rFonts w:ascii="Work Sans" w:hAnsi="Work Sans"/>
          <w:sz w:val="20"/>
          <w:szCs w:val="20"/>
        </w:rPr>
        <w:t>assessment</w:t>
      </w:r>
      <w:r w:rsidR="00D56E7A">
        <w:rPr>
          <w:rFonts w:ascii="Work Sans" w:hAnsi="Work Sans"/>
          <w:sz w:val="20"/>
          <w:szCs w:val="20"/>
        </w:rPr>
        <w:t>, population-squared is not used to account for data limitations in the model</w:t>
      </w:r>
      <w:r w:rsidR="0084798C">
        <w:rPr>
          <w:rFonts w:ascii="Work Sans" w:hAnsi="Work Sans"/>
          <w:sz w:val="20"/>
          <w:szCs w:val="20"/>
        </w:rPr>
        <w:t>.</w:t>
      </w:r>
      <w:r w:rsidR="00D56E7A">
        <w:rPr>
          <w:rFonts w:ascii="Work Sans" w:hAnsi="Work Sans"/>
          <w:sz w:val="20"/>
          <w:szCs w:val="20"/>
        </w:rPr>
        <w:t xml:space="preserve"> I</w:t>
      </w:r>
      <w:r w:rsidR="00FB0692">
        <w:rPr>
          <w:rFonts w:ascii="Work Sans" w:hAnsi="Work Sans"/>
          <w:sz w:val="20"/>
          <w:szCs w:val="20"/>
        </w:rPr>
        <w:t xml:space="preserve">t is used to </w:t>
      </w:r>
      <w:r w:rsidR="00FB0692" w:rsidRPr="00FB0692">
        <w:rPr>
          <w:rFonts w:ascii="Work Sans" w:hAnsi="Work Sans"/>
          <w:sz w:val="20"/>
          <w:szCs w:val="20"/>
        </w:rPr>
        <w:t>recognise the linear relationship between assets per capita and urban transport asset needs. This suggests that, compared with recurrent costs, infrastructure costs grow at a faster rate as population increases</w:t>
      </w:r>
      <w:r w:rsidR="00FB0692">
        <w:rPr>
          <w:rFonts w:ascii="Work Sans" w:hAnsi="Work Sans"/>
          <w:sz w:val="20"/>
          <w:szCs w:val="20"/>
        </w:rPr>
        <w:t>.</w:t>
      </w:r>
    </w:p>
    <w:p w14:paraId="043AC667" w14:textId="26C462D9" w:rsidR="00FF7CF5" w:rsidRPr="00995B6D" w:rsidRDefault="6DC1CE53" w:rsidP="00995B6D">
      <w:pPr>
        <w:pStyle w:val="Heading3"/>
      </w:pPr>
      <w:r w:rsidRPr="00995B6D">
        <w:t>Non-</w:t>
      </w:r>
      <w:r w:rsidR="00D318EC" w:rsidRPr="00995B6D">
        <w:t>u</w:t>
      </w:r>
      <w:r w:rsidRPr="00995B6D">
        <w:t xml:space="preserve">rban </w:t>
      </w:r>
      <w:r w:rsidR="00D318EC" w:rsidRPr="00995B6D">
        <w:t>t</w:t>
      </w:r>
      <w:r w:rsidRPr="00995B6D">
        <w:t xml:space="preserve">ransport </w:t>
      </w:r>
    </w:p>
    <w:p w14:paraId="44B7EABA" w14:textId="58B8C9EA" w:rsidR="00A8422C" w:rsidRPr="006E66C4" w:rsidRDefault="00E34FC0" w:rsidP="006E66C4">
      <w:pPr>
        <w:pStyle w:val="CGCNumberedPara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I</w:t>
      </w:r>
      <w:r w:rsidR="00271012" w:rsidRPr="00EC1AC9">
        <w:rPr>
          <w:rFonts w:ascii="Work Sans" w:hAnsi="Work Sans"/>
          <w:sz w:val="20"/>
          <w:szCs w:val="20"/>
        </w:rPr>
        <w:t>nvestment in non-urban transport i</w:t>
      </w:r>
      <w:r w:rsidR="00706065" w:rsidRPr="00EC1AC9">
        <w:rPr>
          <w:rFonts w:ascii="Work Sans" w:hAnsi="Work Sans"/>
          <w:sz w:val="20"/>
          <w:szCs w:val="20"/>
        </w:rPr>
        <w:t xml:space="preserve">s distributed based </w:t>
      </w:r>
      <w:r w:rsidR="004B130C">
        <w:rPr>
          <w:rFonts w:ascii="Work Sans" w:hAnsi="Work Sans"/>
          <w:sz w:val="20"/>
          <w:szCs w:val="20"/>
        </w:rPr>
        <w:t>on</w:t>
      </w:r>
      <w:r w:rsidR="00706065" w:rsidRPr="00EC1AC9">
        <w:rPr>
          <w:rFonts w:ascii="Work Sans" w:hAnsi="Work Sans"/>
          <w:sz w:val="20"/>
          <w:szCs w:val="20"/>
        </w:rPr>
        <w:t xml:space="preserve"> </w:t>
      </w:r>
      <w:r w:rsidR="003D6A9C">
        <w:rPr>
          <w:rFonts w:ascii="Work Sans" w:hAnsi="Work Sans"/>
          <w:sz w:val="20"/>
          <w:szCs w:val="20"/>
        </w:rPr>
        <w:t>state populations.</w:t>
      </w:r>
      <w:r w:rsidR="007A009D" w:rsidRPr="00CE721F">
        <w:rPr>
          <w:rStyle w:val="FootnoteReference"/>
        </w:rPr>
        <w:footnoteReference w:id="16"/>
      </w:r>
      <w:r w:rsidR="007A009D" w:rsidRPr="00E76EE1">
        <w:t xml:space="preserve"> </w:t>
      </w:r>
      <w:r w:rsidR="003D6A9C">
        <w:rPr>
          <w:rFonts w:ascii="Work Sans" w:hAnsi="Work Sans"/>
          <w:sz w:val="20"/>
          <w:szCs w:val="20"/>
        </w:rPr>
        <w:t xml:space="preserve"> </w:t>
      </w:r>
      <w:bookmarkStart w:id="24" w:name="_Toc164798169"/>
      <w:bookmarkStart w:id="25" w:name="_Toc121741486"/>
      <w:bookmarkStart w:id="26" w:name="_Toc132729102"/>
      <w:bookmarkStart w:id="27" w:name="_Toc133236149"/>
      <w:bookmarkStart w:id="28" w:name="_Toc133236175"/>
      <w:bookmarkStart w:id="29" w:name="_Toc127428352"/>
      <w:bookmarkEnd w:id="20"/>
      <w:bookmarkEnd w:id="21"/>
      <w:bookmarkEnd w:id="22"/>
      <w:bookmarkEnd w:id="23"/>
    </w:p>
    <w:p w14:paraId="002BC8F8" w14:textId="6253D24E" w:rsidR="007876E4" w:rsidRDefault="007876E4" w:rsidP="006C0765">
      <w:pPr>
        <w:pStyle w:val="Heading2"/>
      </w:pPr>
      <w:r>
        <w:t>GST distribution in the 202</w:t>
      </w:r>
      <w:r w:rsidR="005F0530">
        <w:t>5</w:t>
      </w:r>
      <w:r>
        <w:t xml:space="preserve"> </w:t>
      </w:r>
      <w:bookmarkEnd w:id="24"/>
      <w:r w:rsidR="007A1973">
        <w:t>Review</w:t>
      </w:r>
    </w:p>
    <w:p w14:paraId="05DE3FC9" w14:textId="42551F6C" w:rsidR="000F09EA" w:rsidRPr="00E76EE1" w:rsidRDefault="00CE25AC" w:rsidP="006D639E">
      <w:pPr>
        <w:pStyle w:val="CGC2025ParaNumbers"/>
      </w:pPr>
      <w:r w:rsidRPr="00E76EE1">
        <w:t xml:space="preserve">Table </w:t>
      </w:r>
      <w:r w:rsidR="0028150B" w:rsidRPr="00E76EE1">
        <w:t>9</w:t>
      </w:r>
      <w:r w:rsidR="0034039D" w:rsidRPr="00E76EE1">
        <w:t xml:space="preserve"> </w:t>
      </w:r>
      <w:r w:rsidR="007876E4" w:rsidRPr="00E76EE1">
        <w:t>shows the GST impact of the assessment in the 202</w:t>
      </w:r>
      <w:r w:rsidR="00CE0AA1" w:rsidRPr="00E76EE1">
        <w:t xml:space="preserve">5 </w:t>
      </w:r>
      <w:r w:rsidR="007A1973" w:rsidRPr="00E76EE1">
        <w:t>Rev</w:t>
      </w:r>
      <w:r w:rsidR="007A1973" w:rsidRPr="00CE721F">
        <w:t>iew</w:t>
      </w:r>
      <w:r w:rsidR="007876E4" w:rsidRPr="00CE721F">
        <w:t>.</w:t>
      </w:r>
      <w:r w:rsidR="007876E4" w:rsidRPr="00E76EE1">
        <w:t xml:space="preserve"> </w:t>
      </w:r>
    </w:p>
    <w:p w14:paraId="612949D5" w14:textId="183DEA9A" w:rsidR="000F09EA" w:rsidRPr="0034039D" w:rsidRDefault="0034039D" w:rsidP="00EC62DB">
      <w:pPr>
        <w:pStyle w:val="Caption"/>
        <w:tabs>
          <w:tab w:val="clear" w:pos="1134"/>
        </w:tabs>
        <w:ind w:left="1418" w:hanging="1418"/>
        <w:rPr>
          <w:rFonts w:ascii="Work Sans" w:hAnsi="Work Sans"/>
        </w:rPr>
      </w:pPr>
      <w:bookmarkStart w:id="30" w:name="_Ref174012389"/>
      <w:r w:rsidRPr="0034039D">
        <w:rPr>
          <w:rFonts w:ascii="Work Sans" w:hAnsi="Work Sans"/>
        </w:rPr>
        <w:t xml:space="preserve">Table </w:t>
      </w:r>
      <w:bookmarkEnd w:id="30"/>
      <w:r w:rsidR="00651B25">
        <w:rPr>
          <w:rFonts w:ascii="Work Sans" w:hAnsi="Work Sans"/>
        </w:rPr>
        <w:t>9</w:t>
      </w:r>
      <w:r w:rsidRPr="0034039D">
        <w:rPr>
          <w:rFonts w:ascii="Work Sans" w:hAnsi="Work Sans"/>
        </w:rPr>
        <w:tab/>
      </w:r>
      <w:r w:rsidR="00DD7F67" w:rsidRPr="0034039D">
        <w:rPr>
          <w:rFonts w:ascii="Work Sans" w:hAnsi="Work Sans"/>
        </w:rPr>
        <w:t>GST impact of the transport assessment, 2025</w:t>
      </w:r>
      <w:r w:rsidR="006F22D1">
        <w:rPr>
          <w:rFonts w:ascii="Work Sans" w:eastAsia="Work Sans" w:hAnsi="Work Sans" w:cs="Work Sans"/>
        </w:rPr>
        <w:t>–</w:t>
      </w:r>
      <w:r w:rsidR="00DD7F67" w:rsidRPr="0034039D">
        <w:rPr>
          <w:rFonts w:ascii="Work Sans" w:hAnsi="Work Sans"/>
        </w:rPr>
        <w:t>26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689"/>
        <w:gridCol w:w="708"/>
        <w:gridCol w:w="690"/>
        <w:gridCol w:w="690"/>
        <w:gridCol w:w="690"/>
        <w:gridCol w:w="690"/>
        <w:gridCol w:w="690"/>
        <w:gridCol w:w="693"/>
        <w:gridCol w:w="690"/>
        <w:gridCol w:w="712"/>
      </w:tblGrid>
      <w:tr w:rsidR="004C0609" w:rsidRPr="004C0609" w14:paraId="381377B5" w14:textId="77777777" w:rsidTr="004C0609">
        <w:trPr>
          <w:trHeight w:val="5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427A0E3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F53DFA8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FB81CE7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539A0E8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EDEE00F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746A259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BCF16C2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2A8F602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6F26300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BCCBA4A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4C0609" w:rsidRPr="004C0609" w14:paraId="64A2B46E" w14:textId="77777777" w:rsidTr="004C0609">
        <w:trPr>
          <w:trHeight w:val="26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DE437E3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740F734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2584368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F1ECB7D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B716B07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923C5AF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C6391C1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2DB8861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B0BE753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2B63F2F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4C0609" w:rsidRPr="004C0609" w14:paraId="6FD2657E" w14:textId="77777777" w:rsidTr="004C0609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0CF4E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Urban transport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DBA07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1,052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67E73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480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DEECC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-710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EECF6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-196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58617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-273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5E957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-207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55EF0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7D6BC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5B0F4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1,532</w:t>
            </w:r>
          </w:p>
        </w:tc>
      </w:tr>
      <w:tr w:rsidR="004C0609" w:rsidRPr="004C0609" w14:paraId="1AEA7C0B" w14:textId="77777777" w:rsidTr="004C0609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C7F57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Non-urban transport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E3474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F05C2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C9F1E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13238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04C89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4F478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36B1F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161B3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DD6E8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</w:tr>
      <w:tr w:rsidR="004C0609" w:rsidRPr="004C0609" w14:paraId="19E737D2" w14:textId="77777777" w:rsidTr="004C0609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2D6EC7E8" w14:textId="4867F76E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97145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DF7D74A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1,051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80AFAB6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478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841073C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-711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1BF7105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-193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85FC00F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-275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C57C0DC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-207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D8EA7B7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4C4F19F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27627F1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1,529</w:t>
            </w:r>
          </w:p>
        </w:tc>
      </w:tr>
      <w:tr w:rsidR="004C0609" w:rsidRPr="004C0609" w14:paraId="745A508A" w14:textId="77777777" w:rsidTr="004C0609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6554303" w14:textId="5D921E66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97145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FF8AE1F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23CA18C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B0E39E0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-124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BCEFAD3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E795030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-144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F060B9D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-358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5F87F7F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93FEF79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-372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4D2C19D" w14:textId="77777777" w:rsidR="004C0609" w:rsidRPr="004C0609" w:rsidRDefault="004C0609" w:rsidP="004C060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C060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55</w:t>
            </w:r>
          </w:p>
        </w:tc>
      </w:tr>
    </w:tbl>
    <w:p w14:paraId="4FA125E2" w14:textId="13D8B390" w:rsidR="0085785E" w:rsidRPr="0015091D" w:rsidRDefault="0085785E" w:rsidP="0085785E">
      <w:pPr>
        <w:pStyle w:val="CGC2025TableNote"/>
      </w:pPr>
      <w:r w:rsidRPr="0015091D">
        <w:t xml:space="preserve">Note: Magnitude and direction of GST </w:t>
      </w:r>
      <w:r w:rsidR="007A1973">
        <w:t>impact</w:t>
      </w:r>
      <w:r w:rsidR="007A1973" w:rsidRPr="0015091D">
        <w:t xml:space="preserve"> </w:t>
      </w:r>
      <w:r w:rsidRPr="0015091D">
        <w:t>can change from year to year.</w:t>
      </w:r>
    </w:p>
    <w:p w14:paraId="5DE66436" w14:textId="77777777" w:rsidR="00260E48" w:rsidRDefault="00260E48" w:rsidP="00260E48">
      <w:pPr>
        <w:pStyle w:val="CGC2025ParaNumbers"/>
        <w:numPr>
          <w:ilvl w:val="0"/>
          <w:numId w:val="0"/>
        </w:numPr>
        <w:ind w:left="567" w:hanging="567"/>
      </w:pPr>
    </w:p>
    <w:p w14:paraId="6568E3F3" w14:textId="77777777" w:rsidR="008B1FD2" w:rsidRDefault="008B1FD2" w:rsidP="00EC1AC9">
      <w:pPr>
        <w:pStyle w:val="CGC2025ParaNumbers"/>
        <w:numPr>
          <w:ilvl w:val="0"/>
          <w:numId w:val="0"/>
        </w:numPr>
      </w:pPr>
    </w:p>
    <w:bookmarkEnd w:id="25"/>
    <w:bookmarkEnd w:id="26"/>
    <w:bookmarkEnd w:id="27"/>
    <w:bookmarkEnd w:id="28"/>
    <w:bookmarkEnd w:id="29"/>
    <w:p w14:paraId="5CA238B4" w14:textId="77777777" w:rsidR="008D1A32" w:rsidRDefault="008D1A32">
      <w:pPr>
        <w:tabs>
          <w:tab w:val="clear" w:pos="567"/>
        </w:tabs>
        <w:spacing w:before="0" w:after="200" w:line="276" w:lineRule="auto"/>
        <w:rPr>
          <w:rFonts w:ascii="Work Sans" w:hAnsi="Work Sans" w:cs="Open Sans"/>
          <w:b/>
          <w:bCs/>
          <w:color w:val="006991"/>
          <w:sz w:val="36"/>
          <w:szCs w:val="36"/>
        </w:rPr>
      </w:pPr>
      <w:r>
        <w:br w:type="page"/>
      </w:r>
    </w:p>
    <w:p w14:paraId="645A5293" w14:textId="28A853C3" w:rsidR="003B28F3" w:rsidRPr="002169D2" w:rsidRDefault="007569C1" w:rsidP="009A184C">
      <w:pPr>
        <w:pStyle w:val="Heading2"/>
        <w:spacing w:before="0" w:after="140"/>
        <w:rPr>
          <w:rFonts w:eastAsiaTheme="minorHAnsi"/>
        </w:rPr>
      </w:pPr>
      <w:r w:rsidRPr="002169D2">
        <w:rPr>
          <w:rFonts w:eastAsiaTheme="minorHAnsi"/>
        </w:rPr>
        <w:lastRenderedPageBreak/>
        <w:t>Attachment A</w:t>
      </w:r>
    </w:p>
    <w:p w14:paraId="62808B6D" w14:textId="77777777" w:rsidR="0010361F" w:rsidRDefault="0010361F" w:rsidP="00132DB9">
      <w:pPr>
        <w:pStyle w:val="Heading3"/>
        <w:spacing w:before="100" w:after="80"/>
      </w:pPr>
      <w:bookmarkStart w:id="31" w:name="_Toc138691914"/>
      <w:r>
        <w:t>Regression — urban centre characteristics</w:t>
      </w:r>
      <w:bookmarkEnd w:id="31"/>
      <w:r>
        <w:t xml:space="preserve"> </w:t>
      </w:r>
    </w:p>
    <w:p w14:paraId="7871AF08" w14:textId="37D3E6AE" w:rsidR="0010361F" w:rsidRPr="00104642" w:rsidRDefault="0010361F" w:rsidP="00132DB9">
      <w:pPr>
        <w:pStyle w:val="CGC2025ParaNumbers"/>
        <w:tabs>
          <w:tab w:val="num" w:pos="567"/>
        </w:tabs>
        <w:spacing w:before="60"/>
      </w:pPr>
      <w:r w:rsidRPr="00104642">
        <w:t>In the 2020 Review the Commission engaged a consultant</w:t>
      </w:r>
      <w:r w:rsidR="007D531F">
        <w:t>s</w:t>
      </w:r>
      <w:r w:rsidRPr="00104642">
        <w:t>, Jacobs and Synergies economic consulting, to identify a measure of urban transport needs</w:t>
      </w:r>
      <w:r w:rsidR="00FA213D">
        <w:t>.</w:t>
      </w:r>
      <w:r w:rsidR="00D356AF">
        <w:rPr>
          <w:rStyle w:val="FootnoteReference"/>
        </w:rPr>
        <w:footnoteReference w:id="17"/>
      </w:r>
      <w:r w:rsidRPr="00104642">
        <w:t xml:space="preserve"> The model proposed by the consultant</w:t>
      </w:r>
      <w:r w:rsidR="00460B5E">
        <w:t>s</w:t>
      </w:r>
      <w:r w:rsidRPr="00104642">
        <w:t xml:space="preserve"> and adopted by the Commission identifies the effect o</w:t>
      </w:r>
      <w:r w:rsidR="00BF4CF8">
        <w:t>f</w:t>
      </w:r>
      <w:r w:rsidRPr="00104642">
        <w:t xml:space="preserve"> urban centre characteristics on the level of net per capita </w:t>
      </w:r>
      <w:r w:rsidR="008C0E9B">
        <w:t>expenses</w:t>
      </w:r>
      <w:r w:rsidRPr="00104642">
        <w:t>.</w:t>
      </w:r>
      <w:r w:rsidR="006C4F6F">
        <w:t xml:space="preserve"> </w:t>
      </w:r>
    </w:p>
    <w:p w14:paraId="3C54CF53" w14:textId="1941DF48" w:rsidR="0010361F" w:rsidRPr="00104642" w:rsidRDefault="0010361F" w:rsidP="005D022A">
      <w:pPr>
        <w:pStyle w:val="CGC2025ParaNumbers"/>
        <w:tabs>
          <w:tab w:val="num" w:pos="567"/>
        </w:tabs>
        <w:spacing w:before="80" w:after="40"/>
      </w:pPr>
      <w:r w:rsidRPr="00104642">
        <w:t>The model of urban transport characteristics is specified below.</w:t>
      </w:r>
    </w:p>
    <w:p w14:paraId="581D5D70" w14:textId="77777777" w:rsidR="00F73B75" w:rsidRDefault="00000000" w:rsidP="00F73B75">
      <w:pPr>
        <w:pStyle w:val="CGC2025ParaNumbers"/>
        <w:numPr>
          <w:ilvl w:val="0"/>
          <w:numId w:val="0"/>
        </w:num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net exp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density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ln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pax</m:t>
              </m:r>
            </m:e>
            <m:sub>
              <m:r>
                <w:rPr>
                  <w:rFonts w:ascii="Cambria Math" w:hAnsi="Cambria Math"/>
                </w:rPr>
                <m:t>i, HR</m:t>
              </m:r>
            </m:sub>
          </m:sSub>
          <m:r>
            <w:rPr>
              <w:rFonts w:ascii="Cambria Math" w:hAnsi="Cambria Math"/>
            </w:rPr>
            <m:t>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ln(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pax</m:t>
              </m:r>
            </m:e>
            <m:sub>
              <m:r>
                <w:rPr>
                  <w:rFonts w:ascii="Cambria Math" w:hAnsi="Cambria Math"/>
                </w:rPr>
                <m:t>i,  B+LR</m:t>
              </m:r>
            </m:sub>
          </m:sSub>
          <m:r>
            <w:rPr>
              <w:rFonts w:ascii="Cambria Math" w:hAnsi="Cambria Math"/>
            </w:rPr>
            <m:t>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dist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slope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ferry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52E6CB20" w14:textId="2557DB21" w:rsidR="000E4607" w:rsidRDefault="0010361F" w:rsidP="00AD083F">
      <w:pPr>
        <w:pStyle w:val="CGC2025ParaNumbers"/>
        <w:tabs>
          <w:tab w:val="num" w:pos="567"/>
        </w:tabs>
        <w:spacing w:before="100"/>
      </w:pPr>
      <w:bookmarkStart w:id="32" w:name="_Hlk179894418"/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net exp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is net per capita state expenses on public transport by urban centres. </w:t>
      </w:r>
    </w:p>
    <w:bookmarkEnd w:id="32"/>
    <w:p w14:paraId="49E656DE" w14:textId="1AC955B9" w:rsidR="0010361F" w:rsidRPr="00DB1473" w:rsidRDefault="0010361F" w:rsidP="00AD083F">
      <w:pPr>
        <w:pStyle w:val="CGC2025Bullet1"/>
        <w:spacing w:before="100"/>
      </w:pPr>
      <w:r w:rsidRPr="00DB1473">
        <w:t>Population</w:t>
      </w:r>
      <w:r w:rsidR="000A2AF6">
        <w:t>-</w:t>
      </w:r>
      <w:r w:rsidRPr="00DB1473">
        <w:t>weighted density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density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DB1473">
        <w:t>) is a proxy used to represent demand for public transport</w:t>
      </w:r>
      <w:r w:rsidR="002E67FD">
        <w:t>.</w:t>
      </w:r>
      <w:r w:rsidR="008C0AE7" w:rsidRPr="00DB1473">
        <w:rPr>
          <w:rStyle w:val="FootnoteReference"/>
        </w:rPr>
        <w:footnoteReference w:id="18"/>
      </w:r>
      <w:r w:rsidRPr="00DB1473">
        <w:t xml:space="preserve"> It is calculated as the sum of density of each square kilometre grid in all </w:t>
      </w:r>
      <w:r w:rsidR="002C105A" w:rsidRPr="00DB1473">
        <w:t>U</w:t>
      </w:r>
      <w:r w:rsidR="009E658F">
        <w:t xml:space="preserve">rban </w:t>
      </w:r>
      <w:r w:rsidR="002C105A" w:rsidRPr="00DB1473">
        <w:t>C</w:t>
      </w:r>
      <w:r w:rsidR="009E658F">
        <w:t xml:space="preserve">entres and </w:t>
      </w:r>
      <w:r w:rsidR="002C105A" w:rsidRPr="00DB1473">
        <w:t>L</w:t>
      </w:r>
      <w:r w:rsidR="009E658F">
        <w:t>ocalitie</w:t>
      </w:r>
      <w:r w:rsidR="002C105A" w:rsidRPr="00DB1473">
        <w:t>s</w:t>
      </w:r>
      <w:r w:rsidRPr="00DB1473">
        <w:t xml:space="preserve"> within a</w:t>
      </w:r>
      <w:r w:rsidR="009E658F">
        <w:t xml:space="preserve"> </w:t>
      </w:r>
      <w:r w:rsidR="002C105A" w:rsidRPr="00DB1473">
        <w:t>S</w:t>
      </w:r>
      <w:r w:rsidR="009E658F">
        <w:t xml:space="preserve">ignificant </w:t>
      </w:r>
      <w:r w:rsidR="002C105A" w:rsidRPr="00DB1473">
        <w:t>U</w:t>
      </w:r>
      <w:r w:rsidR="009E658F">
        <w:t xml:space="preserve">rban </w:t>
      </w:r>
      <w:r w:rsidR="002C105A" w:rsidRPr="00DB1473">
        <w:t>A</w:t>
      </w:r>
      <w:r w:rsidR="009E658F">
        <w:t>rea</w:t>
      </w:r>
      <w:r w:rsidR="002C105A" w:rsidRPr="00DB1473">
        <w:t xml:space="preserve"> </w:t>
      </w:r>
      <w:r w:rsidRPr="00DB1473">
        <w:t>weighted by the grid</w:t>
      </w:r>
      <w:r w:rsidR="00D30E1B" w:rsidRPr="00DB1473">
        <w:t>’</w:t>
      </w:r>
      <w:r w:rsidRPr="00DB1473">
        <w:t>s population share of the U</w:t>
      </w:r>
      <w:r w:rsidR="009E658F">
        <w:t xml:space="preserve">rban </w:t>
      </w:r>
      <w:r w:rsidRPr="00DB1473">
        <w:t>C</w:t>
      </w:r>
      <w:r w:rsidR="009E658F">
        <w:t xml:space="preserve">entres and </w:t>
      </w:r>
      <w:r w:rsidRPr="00DB1473">
        <w:t>L</w:t>
      </w:r>
      <w:r w:rsidR="009E658F">
        <w:t>ocalitie</w:t>
      </w:r>
      <w:r w:rsidRPr="00DB1473">
        <w:t>s in the S</w:t>
      </w:r>
      <w:r w:rsidR="009E658F">
        <w:t xml:space="preserve">ignificant </w:t>
      </w:r>
      <w:r w:rsidRPr="00DB1473">
        <w:t>U</w:t>
      </w:r>
      <w:r w:rsidR="009E658F">
        <w:t xml:space="preserve">rban </w:t>
      </w:r>
      <w:r w:rsidRPr="00DB1473">
        <w:t>A</w:t>
      </w:r>
      <w:r w:rsidR="009E658F">
        <w:t>rea</w:t>
      </w:r>
      <w:r w:rsidRPr="00DB1473">
        <w:t>.</w:t>
      </w:r>
    </w:p>
    <w:p w14:paraId="249F6A5A" w14:textId="0E37BEFB" w:rsidR="0010361F" w:rsidRPr="00DB1473" w:rsidRDefault="0010361F" w:rsidP="00132DB9">
      <w:pPr>
        <w:pStyle w:val="CGC2025Bullet1"/>
        <w:spacing w:before="80"/>
      </w:pPr>
      <w:r w:rsidRPr="00DB1473">
        <w:t>Median commuter distance to work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dist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DB1473">
        <w:t>) is a proxy representing network complexity. It is derived using 2021 Census data on the distance travelled (shortest path of the road network) between an individual’s usual residence and place of work.</w:t>
      </w:r>
    </w:p>
    <w:p w14:paraId="12BFC129" w14:textId="1D65EB58" w:rsidR="0010361F" w:rsidRPr="00DB1473" w:rsidRDefault="0010361F" w:rsidP="00132DB9">
      <w:pPr>
        <w:pStyle w:val="CGC2025Bullet1"/>
        <w:spacing w:before="80"/>
      </w:pPr>
      <w:r w:rsidRPr="00DB1473">
        <w:t>Mean land slope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slope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DB1473">
        <w:t>) represents the topography of urban centres, as measured by the average mean slope of the urban areas. The data was generated from a spatial analysis process developed by Geoscience Australia.</w:t>
      </w:r>
    </w:p>
    <w:p w14:paraId="6161F9CA" w14:textId="4F975DC4" w:rsidR="0010361F" w:rsidRDefault="0010361F" w:rsidP="00132DB9">
      <w:pPr>
        <w:pStyle w:val="CGC2025Bullet1"/>
        <w:spacing w:before="80"/>
      </w:pPr>
      <w:r w:rsidRPr="00DB1473">
        <w:t xml:space="preserve">The </w:t>
      </w:r>
      <w:r w:rsidR="00E63287">
        <w:t xml:space="preserve">natural </w:t>
      </w:r>
      <w:r w:rsidRPr="00DB1473">
        <w:t xml:space="preserve">logarithm of passenger numbers by public transport mode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pax</m:t>
            </m:r>
          </m:e>
          <m:sub>
            <m:r>
              <w:rPr>
                <w:rFonts w:ascii="Cambria Math" w:hAnsi="Cambria Math"/>
              </w:rPr>
              <m:t>i,HR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pax</m:t>
            </m:r>
          </m:e>
          <m:sub>
            <m:r>
              <w:rPr>
                <w:rFonts w:ascii="Cambria Math" w:hAnsi="Cambria Math"/>
              </w:rPr>
              <m:t>i,B+LR</m:t>
            </m:r>
          </m:sub>
        </m:sSub>
      </m:oMath>
      <w:r>
        <w:t xml:space="preserve">) is a proxy which accounts for the supply of public </w:t>
      </w:r>
      <w:r w:rsidRPr="00C31A93">
        <w:t>transport</w:t>
      </w:r>
      <w:r w:rsidR="00E5268B">
        <w:t>.</w:t>
      </w:r>
      <w:r w:rsidRPr="00C31A93">
        <w:t xml:space="preserve"> Heavy rail passengers are considered separately from bus and light rail passengers. </w:t>
      </w:r>
    </w:p>
    <w:p w14:paraId="06B8A78F" w14:textId="5D0900ED" w:rsidR="0010361F" w:rsidRDefault="00BB0F91" w:rsidP="00132DB9">
      <w:pPr>
        <w:pStyle w:val="CGC2025Bullet1"/>
        <w:spacing w:before="80"/>
      </w:pPr>
      <w:r>
        <w:t>A d</w:t>
      </w:r>
      <w:r w:rsidR="0010361F">
        <w:t>ummy variable is included to control for the presence or absence of ferry services as a mode of transport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ferry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0361F">
        <w:t>).</w:t>
      </w:r>
    </w:p>
    <w:p w14:paraId="43259C15" w14:textId="7219791C" w:rsidR="002932BB" w:rsidRDefault="00CD18B8" w:rsidP="00282D07">
      <w:pPr>
        <w:pStyle w:val="CGC2025ParaNumbers"/>
        <w:tabs>
          <w:tab w:val="num" w:pos="567"/>
        </w:tabs>
        <w:spacing w:before="40"/>
      </w:pPr>
      <w:r w:rsidRPr="000E4607">
        <w:t xml:space="preserve">Table </w:t>
      </w:r>
      <w:r w:rsidR="002932BB">
        <w:t>A-1</w:t>
      </w:r>
      <w:r w:rsidRPr="000E4607">
        <w:t xml:space="preserve"> shows the </w:t>
      </w:r>
      <w:r w:rsidR="000E4607" w:rsidRPr="000E4607">
        <w:t>coefficients</w:t>
      </w:r>
      <w:r w:rsidRPr="000E4607">
        <w:t xml:space="preserve"> applied in the 2025 Revi</w:t>
      </w:r>
      <w:r w:rsidR="006B1C1A">
        <w:t>ew.</w:t>
      </w:r>
    </w:p>
    <w:p w14:paraId="72763BB4" w14:textId="1E5ABF80" w:rsidR="000E4607" w:rsidRPr="0034039D" w:rsidRDefault="000E4607" w:rsidP="00520F28">
      <w:pPr>
        <w:pStyle w:val="CGC2025Caption"/>
        <w:spacing w:before="120" w:after="100"/>
      </w:pPr>
      <w:r w:rsidRPr="0034039D">
        <w:t xml:space="preserve">Table </w:t>
      </w:r>
      <w:r w:rsidR="002932BB">
        <w:t>A-</w:t>
      </w:r>
      <w:r w:rsidR="00651B25">
        <w:t>1</w:t>
      </w:r>
      <w:r w:rsidRPr="0034039D">
        <w:tab/>
      </w:r>
      <w:r w:rsidR="002932BB">
        <w:t>Urban centre characteristics – regression coefficients, 2025 Review</w:t>
      </w:r>
    </w:p>
    <w:tbl>
      <w:tblPr>
        <w:tblW w:w="8942" w:type="dxa"/>
        <w:tblLayout w:type="fixed"/>
        <w:tblLook w:val="04A0" w:firstRow="1" w:lastRow="0" w:firstColumn="1" w:lastColumn="0" w:noHBand="0" w:noVBand="1"/>
      </w:tblPr>
      <w:tblGrid>
        <w:gridCol w:w="2669"/>
        <w:gridCol w:w="1695"/>
        <w:gridCol w:w="1526"/>
        <w:gridCol w:w="1526"/>
        <w:gridCol w:w="1526"/>
      </w:tblGrid>
      <w:tr w:rsidR="00666D35" w:rsidRPr="00ED2054" w14:paraId="1174005D" w14:textId="77777777" w:rsidTr="00ED26EC">
        <w:trPr>
          <w:cantSplit/>
          <w:trHeight w:val="300"/>
        </w:trPr>
        <w:tc>
          <w:tcPr>
            <w:tcW w:w="1787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006991"/>
            <w:tcMar>
              <w:left w:w="108" w:type="dxa"/>
              <w:right w:w="108" w:type="dxa"/>
            </w:tcMar>
            <w:vAlign w:val="center"/>
          </w:tcPr>
          <w:p w14:paraId="582E14B8" w14:textId="77777777" w:rsidR="00666D35" w:rsidRPr="00ED2054" w:rsidRDefault="00666D35" w:rsidP="00B64E04">
            <w:pPr>
              <w:tabs>
                <w:tab w:val="left" w:pos="720"/>
              </w:tabs>
              <w:rPr>
                <w:rFonts w:ascii="Open Sans Semibold" w:hAnsi="Open Sans Semibold" w:cs="Open Sans Semibold"/>
                <w:color w:val="FFFFFF" w:themeColor="background1"/>
              </w:rPr>
            </w:pPr>
            <w:r w:rsidRPr="00ED2054">
              <w:rPr>
                <w:rFonts w:ascii="Open Sans Semibold" w:eastAsia="Open Sans Semibold" w:hAnsi="Open Sans Semibold" w:cs="Open Sans Semibold"/>
                <w:color w:val="FFFFFF" w:themeColor="background1"/>
                <w:sz w:val="16"/>
                <w:szCs w:val="16"/>
              </w:rPr>
              <w:t>Variable</w:t>
            </w:r>
          </w:p>
        </w:tc>
        <w:tc>
          <w:tcPr>
            <w:tcW w:w="1134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006991"/>
            <w:tcMar>
              <w:left w:w="108" w:type="dxa"/>
              <w:right w:w="108" w:type="dxa"/>
            </w:tcMar>
            <w:vAlign w:val="center"/>
          </w:tcPr>
          <w:p w14:paraId="7ADDC3C9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ED2054"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  <w:t xml:space="preserve">Coefficient 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28ACFA45" w14:textId="77777777" w:rsidR="00666D35" w:rsidRPr="00ED2054" w:rsidRDefault="00666D35" w:rsidP="008808E1">
            <w:pPr>
              <w:tabs>
                <w:tab w:val="left" w:pos="720"/>
              </w:tabs>
              <w:jc w:val="right"/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</w:pPr>
            <w:r w:rsidRPr="008808E1"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  <w:t>Standard</w:t>
            </w:r>
            <w:r w:rsidRPr="00ED2054"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  <w:t xml:space="preserve"> error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0F09F379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</w:pPr>
            <w:r w:rsidRPr="00ED2054"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  <w:t>Significance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006991"/>
            <w:vAlign w:val="center"/>
          </w:tcPr>
          <w:p w14:paraId="7F44E78D" w14:textId="45B63E5A" w:rsidR="00666D35" w:rsidRPr="00ED2054" w:rsidRDefault="00666D35" w:rsidP="008808E1">
            <w:pPr>
              <w:tabs>
                <w:tab w:val="left" w:pos="720"/>
              </w:tabs>
              <w:jc w:val="right"/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</w:pPr>
            <w:r w:rsidRPr="00ED2054">
              <w:rPr>
                <w:rFonts w:ascii="Open Sans Semibold" w:eastAsia="Open Sans Light" w:hAnsi="Open Sans Semibold" w:cs="Open Sans Semibold"/>
                <w:color w:val="FFFFFF" w:themeColor="background1"/>
                <w:sz w:val="16"/>
                <w:szCs w:val="16"/>
              </w:rPr>
              <w:t>P value</w:t>
            </w:r>
          </w:p>
        </w:tc>
      </w:tr>
      <w:tr w:rsidR="00666D35" w:rsidRPr="00ED2054" w14:paraId="23A17BD6" w14:textId="77777777" w:rsidTr="00520F28">
        <w:trPr>
          <w:cantSplit/>
          <w:trHeight w:hRule="exact" w:val="318"/>
        </w:trPr>
        <w:tc>
          <w:tcPr>
            <w:tcW w:w="1787" w:type="dxa"/>
            <w:shd w:val="clear" w:color="auto" w:fill="ADD6EA"/>
            <w:tcMar>
              <w:left w:w="108" w:type="dxa"/>
              <w:right w:w="108" w:type="dxa"/>
            </w:tcMar>
            <w:vAlign w:val="center"/>
          </w:tcPr>
          <w:p w14:paraId="2A3EB83E" w14:textId="77777777" w:rsidR="00666D35" w:rsidRPr="00ED2054" w:rsidRDefault="00666D35" w:rsidP="00B64E04">
            <w:pPr>
              <w:tabs>
                <w:tab w:val="left" w:pos="720"/>
              </w:tabs>
            </w:pPr>
          </w:p>
        </w:tc>
        <w:tc>
          <w:tcPr>
            <w:tcW w:w="1134" w:type="dxa"/>
            <w:shd w:val="clear" w:color="auto" w:fill="ADD6EA"/>
            <w:tcMar>
              <w:left w:w="108" w:type="dxa"/>
              <w:right w:w="108" w:type="dxa"/>
            </w:tcMar>
          </w:tcPr>
          <w:p w14:paraId="432EEECD" w14:textId="77777777" w:rsidR="00666D35" w:rsidRPr="00ED2054" w:rsidRDefault="00666D35" w:rsidP="00B64E04">
            <w:pPr>
              <w:tabs>
                <w:tab w:val="left" w:pos="720"/>
              </w:tabs>
              <w:jc w:val="right"/>
            </w:pPr>
            <w:r w:rsidRPr="00ED2054"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  <w:t>($ per capita)</w:t>
            </w:r>
          </w:p>
        </w:tc>
        <w:tc>
          <w:tcPr>
            <w:tcW w:w="1021" w:type="dxa"/>
            <w:shd w:val="clear" w:color="auto" w:fill="ADD6EA"/>
          </w:tcPr>
          <w:p w14:paraId="7A8C04DD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DD6EA"/>
          </w:tcPr>
          <w:p w14:paraId="68A37CAE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DD6EA"/>
          </w:tcPr>
          <w:p w14:paraId="62F31CB7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ascii="Open Sans Semibold" w:eastAsia="Open Sans Semibold" w:hAnsi="Open Sans Semibold" w:cs="Open Sans Semibold"/>
                <w:color w:val="000000" w:themeColor="text1"/>
                <w:sz w:val="16"/>
                <w:szCs w:val="16"/>
              </w:rPr>
            </w:pPr>
          </w:p>
        </w:tc>
      </w:tr>
      <w:tr w:rsidR="00666D35" w:rsidRPr="00ED2054" w14:paraId="1F5F25DF" w14:textId="77777777" w:rsidTr="00ED26EC">
        <w:trPr>
          <w:cantSplit/>
          <w:trHeight w:val="315"/>
        </w:trPr>
        <w:tc>
          <w:tcPr>
            <w:tcW w:w="1787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518950A" w14:textId="77777777" w:rsidR="00666D35" w:rsidRPr="00ED2054" w:rsidRDefault="00666D35" w:rsidP="00B64E04">
            <w:pPr>
              <w:tabs>
                <w:tab w:val="left" w:pos="720"/>
              </w:tabs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 xml:space="preserve">Intercept </w:t>
            </w:r>
          </w:p>
        </w:tc>
        <w:tc>
          <w:tcPr>
            <w:tcW w:w="1134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B1A6160" w14:textId="341A9A12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-</w:t>
            </w:r>
            <w:r w:rsidR="00BF3D51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197.</w:t>
            </w:r>
            <w:r w:rsidR="008A14B7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</w:t>
            </w:r>
            <w:r w:rsidR="006218EA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5E1650F4" w14:textId="710DED94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4</w:t>
            </w:r>
            <w:r w:rsidR="004B3BDE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1.5</w:t>
            </w:r>
            <w:r w:rsidR="00886093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192C7982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5A3E3409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0.00001</w:t>
            </w:r>
          </w:p>
        </w:tc>
      </w:tr>
      <w:tr w:rsidR="00666D35" w:rsidRPr="00ED2054" w14:paraId="0766E869" w14:textId="77777777" w:rsidTr="00ED26EC">
        <w:trPr>
          <w:cantSplit/>
          <w:trHeight w:val="315"/>
        </w:trPr>
        <w:tc>
          <w:tcPr>
            <w:tcW w:w="1787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03CA55E" w14:textId="15AA0F5C" w:rsidR="00666D35" w:rsidRPr="00ED2054" w:rsidRDefault="00666D35" w:rsidP="0025369B">
            <w:pPr>
              <w:tabs>
                <w:tab w:val="left" w:pos="720"/>
              </w:tabs>
              <w:ind w:right="-380"/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Population</w:t>
            </w:r>
            <w:r w:rsidR="000A2AF6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-</w:t>
            </w: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weighted density</w:t>
            </w:r>
          </w:p>
        </w:tc>
        <w:tc>
          <w:tcPr>
            <w:tcW w:w="1134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1A0DA51" w14:textId="1361C75D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0.1</w:t>
            </w:r>
            <w:r w:rsidR="008A14B7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22E44718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2A882C40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4516667F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0.00001</w:t>
            </w:r>
          </w:p>
        </w:tc>
      </w:tr>
      <w:tr w:rsidR="00666D35" w:rsidRPr="00ED2054" w14:paraId="5D8DC80F" w14:textId="77777777" w:rsidTr="00ED26EC">
        <w:trPr>
          <w:cantSplit/>
          <w:trHeight w:val="315"/>
        </w:trPr>
        <w:tc>
          <w:tcPr>
            <w:tcW w:w="1787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EEC88F" w14:textId="77777777" w:rsidR="00666D35" w:rsidRPr="00ED2054" w:rsidRDefault="00666D35" w:rsidP="0025369B">
            <w:pPr>
              <w:tabs>
                <w:tab w:val="left" w:pos="720"/>
              </w:tabs>
              <w:ind w:right="-380"/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Heavy rail passengers (logged)</w:t>
            </w:r>
          </w:p>
        </w:tc>
        <w:tc>
          <w:tcPr>
            <w:tcW w:w="1134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090C336" w14:textId="6781DDF4" w:rsidR="00666D35" w:rsidRPr="00ED2054" w:rsidRDefault="004B3BDE" w:rsidP="00B64E04">
            <w:pPr>
              <w:tabs>
                <w:tab w:val="left" w:pos="720"/>
              </w:tabs>
              <w:jc w:val="right"/>
              <w:rPr>
                <w:rFonts w:cs="Open Sans Light"/>
              </w:rPr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9.0</w:t>
            </w:r>
            <w:r w:rsidR="00886093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1C9D9702" w14:textId="4E64E870" w:rsidR="00666D35" w:rsidRPr="00ED2054" w:rsidRDefault="00A7621A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4.8</w:t>
            </w:r>
            <w:r w:rsidR="00F9253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64B6D787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&lt;0.1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557751E6" w14:textId="7310FFE3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0.0</w:t>
            </w:r>
            <w:r w:rsidR="0013534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63</w:t>
            </w:r>
            <w:r w:rsidR="004B2A8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6</w:t>
            </w:r>
          </w:p>
        </w:tc>
      </w:tr>
      <w:tr w:rsidR="00666D35" w:rsidRPr="00ED2054" w14:paraId="654A8408" w14:textId="77777777" w:rsidTr="00ED26EC">
        <w:trPr>
          <w:cantSplit/>
          <w:trHeight w:val="315"/>
        </w:trPr>
        <w:tc>
          <w:tcPr>
            <w:tcW w:w="1787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340C9AF" w14:textId="77777777" w:rsidR="00666D35" w:rsidRPr="00ED2054" w:rsidRDefault="00666D35" w:rsidP="00ED26EC">
            <w:pPr>
              <w:tabs>
                <w:tab w:val="left" w:pos="720"/>
              </w:tabs>
              <w:ind w:right="-444"/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Bus &amp; light rail passengers (logged)</w:t>
            </w:r>
          </w:p>
        </w:tc>
        <w:tc>
          <w:tcPr>
            <w:tcW w:w="1134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785F713" w14:textId="5C8C0939" w:rsidR="00666D35" w:rsidRPr="00ED2054" w:rsidRDefault="00FA5C20" w:rsidP="00B64E04">
            <w:pPr>
              <w:tabs>
                <w:tab w:val="left" w:pos="720"/>
              </w:tabs>
              <w:jc w:val="right"/>
              <w:rPr>
                <w:rFonts w:cs="Open Sans Light"/>
              </w:rPr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10.</w:t>
            </w:r>
            <w:r w:rsidR="004B3BDE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7</w:t>
            </w:r>
            <w:r w:rsidR="00886093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396445BB" w14:textId="1A0549A1" w:rsidR="00666D35" w:rsidRPr="00ED2054" w:rsidRDefault="00F92534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8.0</w:t>
            </w:r>
            <w:r w:rsidR="004B2A8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56D3E8C1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1A951B71" w14:textId="1ADE6356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0.1</w:t>
            </w:r>
            <w:r w:rsidR="0013534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85</w:t>
            </w:r>
            <w:r w:rsidR="004B2A8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</w:t>
            </w:r>
          </w:p>
        </w:tc>
      </w:tr>
      <w:tr w:rsidR="00666D35" w:rsidRPr="00ED2054" w14:paraId="5C7E3494" w14:textId="77777777" w:rsidTr="00ED26EC">
        <w:trPr>
          <w:cantSplit/>
          <w:trHeight w:val="315"/>
        </w:trPr>
        <w:tc>
          <w:tcPr>
            <w:tcW w:w="1787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6B819C5" w14:textId="77777777" w:rsidR="00666D35" w:rsidRPr="00ED2054" w:rsidRDefault="00666D35" w:rsidP="00B64E04">
            <w:pPr>
              <w:tabs>
                <w:tab w:val="left" w:pos="720"/>
              </w:tabs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Median distance to work</w:t>
            </w:r>
          </w:p>
        </w:tc>
        <w:tc>
          <w:tcPr>
            <w:tcW w:w="1134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FC185DE" w14:textId="135E43ED" w:rsidR="00666D35" w:rsidRPr="00ED2054" w:rsidRDefault="004B3BDE" w:rsidP="00B64E04">
            <w:pPr>
              <w:tabs>
                <w:tab w:val="left" w:pos="720"/>
              </w:tabs>
              <w:jc w:val="right"/>
              <w:rPr>
                <w:rFonts w:cs="Open Sans Light"/>
              </w:rPr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2.08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0E394D53" w14:textId="67888D36" w:rsidR="00666D35" w:rsidRPr="00ED2054" w:rsidRDefault="00B40DE3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3</w:t>
            </w:r>
            <w:r w:rsidR="00F9253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.67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47581B0E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1A12C0E1" w14:textId="6789B990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</w:t>
            </w:r>
            <w:r w:rsidR="0013534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573</w:t>
            </w:r>
            <w:r w:rsidR="004B2A8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3</w:t>
            </w:r>
          </w:p>
        </w:tc>
      </w:tr>
      <w:tr w:rsidR="00666D35" w:rsidRPr="00ED2054" w14:paraId="1E8F6455" w14:textId="77777777" w:rsidTr="00ED26EC">
        <w:trPr>
          <w:cantSplit/>
          <w:trHeight w:val="315"/>
        </w:trPr>
        <w:tc>
          <w:tcPr>
            <w:tcW w:w="1787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B3FE7C" w14:textId="77777777" w:rsidR="00666D35" w:rsidRPr="00ED2054" w:rsidRDefault="00666D35" w:rsidP="00B64E04">
            <w:pPr>
              <w:tabs>
                <w:tab w:val="left" w:pos="720"/>
              </w:tabs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Average slope</w:t>
            </w:r>
          </w:p>
        </w:tc>
        <w:tc>
          <w:tcPr>
            <w:tcW w:w="1134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436CA64" w14:textId="621DB41E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</w:t>
            </w:r>
            <w:r w:rsidR="004B3BDE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2.5</w:t>
            </w:r>
            <w:r w:rsidR="00886093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04FF352D" w14:textId="48119E4D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5.</w:t>
            </w:r>
            <w:r w:rsidR="00F9253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4DA7A077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 xml:space="preserve">&lt;0.05 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32C3DA03" w14:textId="43F65E1F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0.0</w:t>
            </w:r>
            <w:r w:rsidR="004B2A8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666D35" w:rsidRPr="00ED2054" w14:paraId="316FF710" w14:textId="77777777" w:rsidTr="00ED26EC">
        <w:trPr>
          <w:cantSplit/>
          <w:trHeight w:val="315"/>
        </w:trPr>
        <w:tc>
          <w:tcPr>
            <w:tcW w:w="1787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E08D00A" w14:textId="77777777" w:rsidR="00666D35" w:rsidRPr="00ED2054" w:rsidRDefault="00666D35" w:rsidP="00B64E04">
            <w:pPr>
              <w:tabs>
                <w:tab w:val="left" w:pos="720"/>
              </w:tabs>
              <w:rPr>
                <w:rFonts w:cs="Open Sans Light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Ferry dummy variable</w:t>
            </w:r>
          </w:p>
        </w:tc>
        <w:tc>
          <w:tcPr>
            <w:tcW w:w="1134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322148F" w14:textId="1D997DEC" w:rsidR="00666D35" w:rsidRPr="00ED2054" w:rsidRDefault="004B3BDE" w:rsidP="00B64E04">
            <w:pPr>
              <w:tabs>
                <w:tab w:val="left" w:pos="720"/>
              </w:tabs>
              <w:jc w:val="right"/>
              <w:rPr>
                <w:rFonts w:cs="Open Sans Light"/>
              </w:rPr>
            </w:pPr>
            <w:r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40.4</w:t>
            </w:r>
            <w:r w:rsidR="00886093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3D7B6E6B" w14:textId="3E7384EC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46.</w:t>
            </w:r>
            <w:r w:rsidR="0013534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7</w:t>
            </w:r>
            <w:r w:rsidR="004B2A8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</w:tcPr>
          <w:p w14:paraId="4347C8C0" w14:textId="77777777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33ED4B56" w14:textId="6CE1D3AE" w:rsidR="00666D35" w:rsidRPr="00ED2054" w:rsidRDefault="00666D35" w:rsidP="00B64E04">
            <w:pPr>
              <w:tabs>
                <w:tab w:val="left" w:pos="720"/>
              </w:tabs>
              <w:jc w:val="right"/>
              <w:rPr>
                <w:rFonts w:eastAsia="Open Sans Light" w:cs="Open Sans Light"/>
                <w:color w:val="000000" w:themeColor="text1"/>
                <w:sz w:val="16"/>
                <w:szCs w:val="16"/>
              </w:rPr>
            </w:pPr>
            <w:r w:rsidRPr="00ED2054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0.</w:t>
            </w:r>
            <w:r w:rsidR="00886A75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389</w:t>
            </w:r>
            <w:r w:rsidR="004B2A88">
              <w:rPr>
                <w:rFonts w:eastAsia="Open Sans Light" w:cs="Open Sans Light"/>
                <w:color w:val="000000" w:themeColor="text1"/>
                <w:sz w:val="16"/>
                <w:szCs w:val="16"/>
              </w:rPr>
              <w:t>8</w:t>
            </w:r>
          </w:p>
        </w:tc>
      </w:tr>
    </w:tbl>
    <w:p w14:paraId="0DE074F2" w14:textId="434A182B" w:rsidR="00666D35" w:rsidRPr="006C6F11" w:rsidRDefault="006C6F11" w:rsidP="005D022A">
      <w:pPr>
        <w:pStyle w:val="CGC2025TableNote"/>
        <w:spacing w:before="20"/>
        <w:ind w:left="544" w:right="96" w:hanging="431"/>
      </w:pPr>
      <w:r>
        <w:t xml:space="preserve">Note: </w:t>
      </w:r>
      <w:r w:rsidRPr="006C6F11">
        <w:t>The level of significance is only shown for variables which have a p-value less than 0.1 (they are statistically different from zero).</w:t>
      </w:r>
    </w:p>
    <w:p w14:paraId="7500BF03" w14:textId="77777777" w:rsidR="0010361F" w:rsidRDefault="0010361F" w:rsidP="0010361F">
      <w:pPr>
        <w:pStyle w:val="Heading3"/>
      </w:pPr>
      <w:bookmarkStart w:id="33" w:name="_Toc132825513"/>
      <w:bookmarkStart w:id="34" w:name="_Toc138691915"/>
      <w:r>
        <w:lastRenderedPageBreak/>
        <w:t>Measure of urban areas</w:t>
      </w:r>
      <w:bookmarkEnd w:id="33"/>
      <w:bookmarkEnd w:id="34"/>
    </w:p>
    <w:p w14:paraId="38ACBA6B" w14:textId="63C00AF6" w:rsidR="0010361F" w:rsidRDefault="0010361F" w:rsidP="0010361F">
      <w:pPr>
        <w:pStyle w:val="CGC2025ParaNumbers"/>
        <w:tabs>
          <w:tab w:val="num" w:pos="567"/>
        </w:tabs>
      </w:pPr>
      <w:bookmarkStart w:id="35" w:name="_Hlk177999681"/>
      <w:r w:rsidRPr="004E1953">
        <w:t>The</w:t>
      </w:r>
      <w:r w:rsidR="003E5AAC">
        <w:t xml:space="preserve"> </w:t>
      </w:r>
      <w:bookmarkEnd w:id="35"/>
      <w:r w:rsidRPr="004E1953">
        <w:t xml:space="preserve">ABS definition of an urban centre, </w:t>
      </w:r>
      <w:r w:rsidR="00122D95">
        <w:rPr>
          <w:szCs w:val="20"/>
        </w:rPr>
        <w:t xml:space="preserve">Urban Centres and Localities </w:t>
      </w:r>
      <w:r w:rsidRPr="004E1953">
        <w:t xml:space="preserve">contained within </w:t>
      </w:r>
      <w:r>
        <w:t>Significant</w:t>
      </w:r>
      <w:r w:rsidRPr="004E1953">
        <w:t xml:space="preserve"> Urban Area</w:t>
      </w:r>
      <w:r w:rsidR="00A77970">
        <w:t>s</w:t>
      </w:r>
      <w:r w:rsidRPr="004E1953">
        <w:t>, is used to define urban areas for the purposes of the transport assessment</w:t>
      </w:r>
      <w:r>
        <w:t>.</w:t>
      </w:r>
    </w:p>
    <w:p w14:paraId="55787D1A" w14:textId="447DFE37" w:rsidR="0010361F" w:rsidRDefault="0010361F" w:rsidP="0010361F">
      <w:pPr>
        <w:pStyle w:val="CGC2025ParaNumbers"/>
        <w:tabs>
          <w:tab w:val="num" w:pos="567"/>
        </w:tabs>
      </w:pPr>
      <w:r>
        <w:t>The Commission defines u</w:t>
      </w:r>
      <w:r w:rsidRPr="00CA68DB">
        <w:t xml:space="preserve">rban areas that have a highly integrated labour market with a neighbouring capital city as satellite cities. These cities are included as a part </w:t>
      </w:r>
      <w:bookmarkStart w:id="36" w:name="_Hlk177999806"/>
      <w:r w:rsidRPr="00CA68DB">
        <w:t>of the larger urban area in our calculations</w:t>
      </w:r>
      <w:r>
        <w:t>.</w:t>
      </w:r>
      <w:r w:rsidR="00251497">
        <w:tab/>
      </w:r>
    </w:p>
    <w:p w14:paraId="0A642D4F" w14:textId="28B09C88" w:rsidR="0010361F" w:rsidRDefault="0010361F" w:rsidP="0010361F">
      <w:pPr>
        <w:pStyle w:val="CGC2025ParaNumbers"/>
        <w:tabs>
          <w:tab w:val="num" w:pos="567"/>
        </w:tabs>
      </w:pPr>
      <w:r>
        <w:t xml:space="preserve">A </w:t>
      </w:r>
      <w:r w:rsidR="00A77970">
        <w:t>Significant</w:t>
      </w:r>
      <w:r w:rsidR="00A77970" w:rsidRPr="004E1953">
        <w:t xml:space="preserve"> Urban Area</w:t>
      </w:r>
      <w:r>
        <w:t xml:space="preserve"> is considered a satellite to a capital city if:</w:t>
      </w:r>
    </w:p>
    <w:bookmarkEnd w:id="36"/>
    <w:p w14:paraId="402AE187" w14:textId="2621B422" w:rsidR="0010361F" w:rsidRDefault="0010361F" w:rsidP="0010361F">
      <w:pPr>
        <w:pStyle w:val="CGC2025Bullet1"/>
      </w:pPr>
      <w:r>
        <w:t xml:space="preserve">it has a relatively high outside dependency index value (that is, a high proportion of people working outside the </w:t>
      </w:r>
      <w:r w:rsidR="00A77970">
        <w:t>Significant</w:t>
      </w:r>
      <w:r w:rsidR="00A77970" w:rsidRPr="004E1953">
        <w:t xml:space="preserve"> Urban Area</w:t>
      </w:r>
      <w:r>
        <w:t>)</w:t>
      </w:r>
    </w:p>
    <w:p w14:paraId="481AC9DD" w14:textId="76084CE6" w:rsidR="0010361F" w:rsidRDefault="0010361F" w:rsidP="0010361F">
      <w:pPr>
        <w:pStyle w:val="CGC2025Bullet1"/>
      </w:pPr>
      <w:r>
        <w:t xml:space="preserve">it has a relatively high dependency to the capital city index value (that is, a high </w:t>
      </w:r>
      <w:bookmarkStart w:id="37" w:name="_Hlk177999731"/>
      <w:r>
        <w:t xml:space="preserve">proportion of people working within the capital city </w:t>
      </w:r>
      <w:r w:rsidR="00A77970">
        <w:t>Significant</w:t>
      </w:r>
      <w:r w:rsidR="00A77970" w:rsidRPr="004E1953">
        <w:t xml:space="preserve"> Urban Area</w:t>
      </w:r>
      <w:r>
        <w:t>).</w:t>
      </w:r>
    </w:p>
    <w:p w14:paraId="50DA96E8" w14:textId="1B123D35" w:rsidR="00245213" w:rsidRPr="0066306D" w:rsidRDefault="00BC4B37" w:rsidP="0066306D">
      <w:pPr>
        <w:pStyle w:val="CGC2025ParaNumbers"/>
        <w:tabs>
          <w:tab w:val="num" w:pos="567"/>
        </w:tabs>
        <w:rPr>
          <w:rFonts w:eastAsia="Work Sans" w:cs="Work Sans"/>
        </w:rPr>
      </w:pPr>
      <w:bookmarkStart w:id="38" w:name="_Hlk177999709"/>
      <w:bookmarkStart w:id="39" w:name="_Hlk177999834"/>
      <w:r>
        <w:rPr>
          <w:rFonts w:eastAsia="Work Sans" w:cs="Work Sans"/>
        </w:rPr>
        <w:t>To calculate th</w:t>
      </w:r>
      <w:r w:rsidR="002B0F4C">
        <w:rPr>
          <w:rFonts w:eastAsia="Work Sans" w:cs="Work Sans"/>
        </w:rPr>
        <w:t xml:space="preserve">ese indices the Commission </w:t>
      </w:r>
      <w:r w:rsidR="004F08C0">
        <w:rPr>
          <w:rFonts w:eastAsia="Work Sans" w:cs="Work Sans"/>
        </w:rPr>
        <w:t xml:space="preserve">uses </w:t>
      </w:r>
      <w:r w:rsidR="002B0F4C">
        <w:rPr>
          <w:rFonts w:eastAsia="Work Sans" w:cs="Work Sans"/>
        </w:rPr>
        <w:t xml:space="preserve">ABS journey to work data. A matrix is constructed </w:t>
      </w:r>
      <w:r w:rsidR="00E36A65">
        <w:rPr>
          <w:rFonts w:eastAsia="Work Sans" w:cs="Work Sans"/>
        </w:rPr>
        <w:t xml:space="preserve">detailing where </w:t>
      </w:r>
      <w:r w:rsidR="00396203">
        <w:rPr>
          <w:rFonts w:eastAsia="Work Sans" w:cs="Work Sans"/>
        </w:rPr>
        <w:t xml:space="preserve">people reside and work in each </w:t>
      </w:r>
      <w:r w:rsidR="00A9059A">
        <w:rPr>
          <w:rFonts w:eastAsia="Work Sans" w:cs="Work Sans"/>
        </w:rPr>
        <w:t>S</w:t>
      </w:r>
      <w:r w:rsidR="00396203">
        <w:rPr>
          <w:rFonts w:eastAsia="Work Sans" w:cs="Work Sans"/>
        </w:rPr>
        <w:t xml:space="preserve">ignificant </w:t>
      </w:r>
      <w:r w:rsidR="00A9059A">
        <w:rPr>
          <w:rFonts w:eastAsia="Work Sans" w:cs="Work Sans"/>
        </w:rPr>
        <w:t>U</w:t>
      </w:r>
      <w:r w:rsidR="00396203">
        <w:rPr>
          <w:rFonts w:eastAsia="Work Sans" w:cs="Work Sans"/>
        </w:rPr>
        <w:t xml:space="preserve">rban </w:t>
      </w:r>
      <w:r w:rsidR="00A9059A">
        <w:rPr>
          <w:rFonts w:eastAsia="Work Sans" w:cs="Work Sans"/>
        </w:rPr>
        <w:t>A</w:t>
      </w:r>
      <w:r w:rsidR="00396203">
        <w:rPr>
          <w:rFonts w:eastAsia="Work Sans" w:cs="Work Sans"/>
        </w:rPr>
        <w:t xml:space="preserve">rea. The proportion of total </w:t>
      </w:r>
      <w:r w:rsidR="00006657">
        <w:rPr>
          <w:rFonts w:eastAsia="Work Sans" w:cs="Work Sans"/>
        </w:rPr>
        <w:t>people</w:t>
      </w:r>
      <w:r w:rsidR="00396203">
        <w:rPr>
          <w:rFonts w:eastAsia="Work Sans" w:cs="Work Sans"/>
        </w:rPr>
        <w:t xml:space="preserve"> which work outside of the urban area, and the proportion of </w:t>
      </w:r>
      <w:r w:rsidR="00006657">
        <w:rPr>
          <w:rFonts w:eastAsia="Work Sans" w:cs="Work Sans"/>
        </w:rPr>
        <w:t>people in the urban area which work in the capital city are calculated.</w:t>
      </w:r>
      <w:r w:rsidR="009D2A68">
        <w:rPr>
          <w:rFonts w:eastAsia="Work Sans" w:cs="Work Sans"/>
        </w:rPr>
        <w:t xml:space="preserve"> </w:t>
      </w:r>
      <w:r w:rsidR="00000F1A">
        <w:rPr>
          <w:rFonts w:eastAsia="Work Sans" w:cs="Work Sans"/>
        </w:rPr>
        <w:fldChar w:fldCharType="begin"/>
      </w:r>
      <w:r w:rsidR="00000F1A">
        <w:rPr>
          <w:rFonts w:eastAsia="Work Sans" w:cs="Work Sans"/>
        </w:rPr>
        <w:instrText xml:space="preserve"> REF _Ref178066625 \h </w:instrText>
      </w:r>
      <w:r w:rsidR="00000F1A">
        <w:rPr>
          <w:rFonts w:eastAsia="Work Sans" w:cs="Work Sans"/>
        </w:rPr>
      </w:r>
      <w:r w:rsidR="00000F1A">
        <w:rPr>
          <w:rFonts w:eastAsia="Work Sans" w:cs="Work Sans"/>
        </w:rPr>
        <w:fldChar w:fldCharType="separate"/>
      </w:r>
      <w:r w:rsidR="00D67AA9">
        <w:t>Figure A-1</w:t>
      </w:r>
      <w:r w:rsidR="00000F1A">
        <w:rPr>
          <w:rFonts w:eastAsia="Work Sans" w:cs="Work Sans"/>
        </w:rPr>
        <w:fldChar w:fldCharType="end"/>
      </w:r>
      <w:r w:rsidR="00C260CE">
        <w:rPr>
          <w:rFonts w:eastAsia="Work Sans" w:cs="Work Sans"/>
        </w:rPr>
        <w:t xml:space="preserve"> </w:t>
      </w:r>
      <w:r w:rsidR="00CA3355">
        <w:rPr>
          <w:rFonts w:eastAsia="Work Sans" w:cs="Work Sans"/>
        </w:rPr>
        <w:t xml:space="preserve">shows the relevant </w:t>
      </w:r>
      <w:r w:rsidR="00842323">
        <w:rPr>
          <w:rFonts w:eastAsia="Work Sans" w:cs="Work Sans"/>
        </w:rPr>
        <w:t xml:space="preserve">indices </w:t>
      </w:r>
      <w:r w:rsidR="003A12C9">
        <w:rPr>
          <w:rFonts w:eastAsia="Work Sans" w:cs="Work Sans"/>
        </w:rPr>
        <w:t xml:space="preserve">for each </w:t>
      </w:r>
      <w:r w:rsidR="00624422">
        <w:rPr>
          <w:rFonts w:eastAsia="Work Sans" w:cs="Work Sans"/>
        </w:rPr>
        <w:t>S</w:t>
      </w:r>
      <w:r w:rsidR="003A12C9">
        <w:rPr>
          <w:rFonts w:eastAsia="Work Sans" w:cs="Work Sans"/>
        </w:rPr>
        <w:t xml:space="preserve">ignificant </w:t>
      </w:r>
      <w:r w:rsidR="00624422">
        <w:rPr>
          <w:rFonts w:eastAsia="Work Sans" w:cs="Work Sans"/>
        </w:rPr>
        <w:t>U</w:t>
      </w:r>
      <w:r w:rsidR="003A12C9">
        <w:rPr>
          <w:rFonts w:eastAsia="Work Sans" w:cs="Work Sans"/>
        </w:rPr>
        <w:t xml:space="preserve">rban </w:t>
      </w:r>
      <w:r w:rsidR="00624422">
        <w:rPr>
          <w:rFonts w:eastAsia="Work Sans" w:cs="Work Sans"/>
        </w:rPr>
        <w:t>A</w:t>
      </w:r>
      <w:r w:rsidR="003A12C9">
        <w:rPr>
          <w:rFonts w:eastAsia="Work Sans" w:cs="Work Sans"/>
        </w:rPr>
        <w:t>rea.</w:t>
      </w:r>
    </w:p>
    <w:p w14:paraId="415495F3" w14:textId="62B0E1C2" w:rsidR="009D2A68" w:rsidRDefault="007D4173" w:rsidP="00245213">
      <w:pPr>
        <w:pStyle w:val="CGC2025Caption"/>
        <w:keepNext/>
        <w:rPr>
          <w:rFonts w:eastAsia="Work Sans" w:cs="Work Sans"/>
        </w:rPr>
      </w:pPr>
      <w:bookmarkStart w:id="40" w:name="_Ref178066625"/>
      <w:r>
        <w:t xml:space="preserve">Figure </w:t>
      </w:r>
      <w:r w:rsidR="002932BB">
        <w:t>A-1</w:t>
      </w:r>
      <w:bookmarkEnd w:id="40"/>
      <w:r>
        <w:tab/>
      </w:r>
      <w:r w:rsidR="00CF0B74">
        <w:t>Satellite cities</w:t>
      </w:r>
      <w:r w:rsidR="00423A89">
        <w:t xml:space="preserve">, 2021 </w:t>
      </w:r>
      <w:r w:rsidR="00000F1A">
        <w:t>Census</w:t>
      </w:r>
    </w:p>
    <w:p w14:paraId="2F6E0365" w14:textId="239B5802" w:rsidR="009D2A68" w:rsidRPr="00000F1A" w:rsidRDefault="00000F1A" w:rsidP="00CE344C">
      <w:pPr>
        <w:pStyle w:val="CGC2025ParaNumbers"/>
        <w:numPr>
          <w:ilvl w:val="0"/>
          <w:numId w:val="0"/>
        </w:numPr>
        <w:spacing w:after="0"/>
        <w:rPr>
          <w:rFonts w:eastAsia="Work Sans" w:cs="Work Sans"/>
        </w:rPr>
      </w:pPr>
      <w:r>
        <w:rPr>
          <w:noProof/>
        </w:rPr>
        <w:drawing>
          <wp:inline distT="0" distB="0" distL="0" distR="0" wp14:anchorId="748957F9" wp14:editId="5400E9C9">
            <wp:extent cx="5652000" cy="3564000"/>
            <wp:effectExtent l="0" t="0" r="635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35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8"/>
    <w:p w14:paraId="76693626" w14:textId="630E3443" w:rsidR="00824EF0" w:rsidRPr="008C3FA2" w:rsidRDefault="003C4962" w:rsidP="008C3FA2">
      <w:pPr>
        <w:pStyle w:val="CGC2025ParaNumbers"/>
        <w:rPr>
          <w:rFonts w:eastAsia="Work Sans" w:cs="Work Sans"/>
        </w:rPr>
      </w:pPr>
      <w:r>
        <w:t>In the 2021 Census</w:t>
      </w:r>
      <w:r w:rsidR="0094298E">
        <w:t xml:space="preserve"> </w:t>
      </w:r>
      <w:r w:rsidR="0053340D" w:rsidRPr="0053340D">
        <w:t xml:space="preserve">Bacchus Marsh </w:t>
      </w:r>
      <w:r w:rsidR="0053340D">
        <w:t>and</w:t>
      </w:r>
      <w:r w:rsidR="00E11D60">
        <w:t xml:space="preserve"> </w:t>
      </w:r>
      <w:r w:rsidR="001555EF">
        <w:t xml:space="preserve">Gisborne meet </w:t>
      </w:r>
      <w:r w:rsidR="00E11D60">
        <w:t xml:space="preserve">the criteria </w:t>
      </w:r>
      <w:r w:rsidR="0094298E">
        <w:t xml:space="preserve">for satellite cities. </w:t>
      </w:r>
      <w:bookmarkEnd w:id="37"/>
      <w:bookmarkEnd w:id="39"/>
      <w:r w:rsidR="0094298E">
        <w:t xml:space="preserve">They have been amalgamated with </w:t>
      </w:r>
      <w:r w:rsidR="00885E43">
        <w:t>Melbourne.</w:t>
      </w:r>
    </w:p>
    <w:p w14:paraId="21000624" w14:textId="0B469EE6" w:rsidR="009E1C60" w:rsidRDefault="00795B42" w:rsidP="00B330B5">
      <w:pPr>
        <w:pStyle w:val="Heading3"/>
        <w:keepNext/>
      </w:pPr>
      <w:r>
        <w:lastRenderedPageBreak/>
        <w:t>Population</w:t>
      </w:r>
      <w:r w:rsidR="000A2AF6">
        <w:t>-</w:t>
      </w:r>
      <w:r w:rsidR="003263FA">
        <w:t>w</w:t>
      </w:r>
      <w:r>
        <w:t xml:space="preserve">eighted </w:t>
      </w:r>
      <w:r w:rsidR="003263FA">
        <w:t>d</w:t>
      </w:r>
      <w:r>
        <w:t>ensity</w:t>
      </w:r>
    </w:p>
    <w:p w14:paraId="390243B5" w14:textId="02C115A4" w:rsidR="009E1C60" w:rsidRPr="009E1C60" w:rsidRDefault="00F6258C" w:rsidP="00515B06">
      <w:pPr>
        <w:pStyle w:val="CGC2025ParaNumbers"/>
        <w:tabs>
          <w:tab w:val="num" w:pos="567"/>
        </w:tabs>
      </w:pPr>
      <w:r>
        <w:t>To calculate population</w:t>
      </w:r>
      <w:r w:rsidR="000A2AF6">
        <w:t>-</w:t>
      </w:r>
      <w:r>
        <w:t>weighted density the Commission uses the ABS</w:t>
      </w:r>
      <w:r w:rsidR="00567F99">
        <w:t xml:space="preserve"> pop</w:t>
      </w:r>
      <w:r w:rsidR="00F9516A">
        <w:t xml:space="preserve">ulation grid and </w:t>
      </w:r>
      <w:r w:rsidR="004F080E">
        <w:t>boundary files.</w:t>
      </w:r>
      <w:r w:rsidR="00EC6DFE">
        <w:t xml:space="preserve"> While the </w:t>
      </w:r>
      <w:r w:rsidR="00F91359">
        <w:t xml:space="preserve">square kilometre grid is fixed and </w:t>
      </w:r>
      <w:r w:rsidR="000D5A6C">
        <w:t xml:space="preserve">both </w:t>
      </w:r>
      <w:r w:rsidR="00F91359">
        <w:t xml:space="preserve">the </w:t>
      </w:r>
      <w:r w:rsidR="000D5A6C">
        <w:t xml:space="preserve">Significant Urban Area </w:t>
      </w:r>
      <w:r w:rsidR="00A41CF9">
        <w:t>and</w:t>
      </w:r>
      <w:r w:rsidR="00F91359">
        <w:t xml:space="preserve"> </w:t>
      </w:r>
      <w:r w:rsidR="004D6EC4">
        <w:t>U</w:t>
      </w:r>
      <w:r w:rsidR="000D5A6C">
        <w:t xml:space="preserve">rban </w:t>
      </w:r>
      <w:r w:rsidR="004D6EC4">
        <w:t>C</w:t>
      </w:r>
      <w:r w:rsidR="000D5A6C">
        <w:t xml:space="preserve">entre and </w:t>
      </w:r>
      <w:r w:rsidR="004D6EC4">
        <w:t>L</w:t>
      </w:r>
      <w:r w:rsidR="000D5A6C">
        <w:t>ocalit</w:t>
      </w:r>
      <w:r w:rsidR="004E2022">
        <w:t>y</w:t>
      </w:r>
      <w:r w:rsidR="004D6EC4">
        <w:t xml:space="preserve"> </w:t>
      </w:r>
      <w:r w:rsidR="00F91359">
        <w:t>boundaries do not change between census years, the population files are updated annually</w:t>
      </w:r>
      <w:r w:rsidR="00767A88">
        <w:t>.</w:t>
      </w:r>
      <w:r w:rsidR="00706F12">
        <w:rPr>
          <w:rStyle w:val="FootnoteReference"/>
        </w:rPr>
        <w:footnoteReference w:id="19"/>
      </w:r>
      <w:r w:rsidR="00F91359">
        <w:t xml:space="preserve"> </w:t>
      </w:r>
    </w:p>
    <w:p w14:paraId="27BDB892" w14:textId="6BC3C5D7" w:rsidR="003A73AD" w:rsidRPr="009E1C60" w:rsidRDefault="00A41CF9" w:rsidP="00515B06">
      <w:pPr>
        <w:pStyle w:val="CGC2025ParaNumbers"/>
        <w:tabs>
          <w:tab w:val="num" w:pos="567"/>
        </w:tabs>
      </w:pPr>
      <w:r>
        <w:t xml:space="preserve">The square kilometres and associated populations are </w:t>
      </w:r>
      <w:r w:rsidR="00C02608">
        <w:t xml:space="preserve">included in the measure </w:t>
      </w:r>
      <w:r w:rsidR="00805794">
        <w:t xml:space="preserve">if over 50 percent of the </w:t>
      </w:r>
      <w:r w:rsidR="00C02608">
        <w:t xml:space="preserve">square kilometre is within the </w:t>
      </w:r>
      <w:r w:rsidR="00305B96">
        <w:t>Urban Centre and Localit</w:t>
      </w:r>
      <w:r w:rsidR="004E2022">
        <w:t>y</w:t>
      </w:r>
      <w:r w:rsidR="00C02608">
        <w:t>. This approach avoids issues of double counting</w:t>
      </w:r>
      <w:r w:rsidR="004D6EC4">
        <w:t xml:space="preserve"> as square kilometres are only allocated to</w:t>
      </w:r>
      <w:r w:rsidR="009D7EB4">
        <w:t xml:space="preserve"> </w:t>
      </w:r>
      <w:r w:rsidR="004E2022">
        <w:t xml:space="preserve">a </w:t>
      </w:r>
      <w:r w:rsidR="004D6EC4">
        <w:t>single</w:t>
      </w:r>
      <w:r w:rsidR="004530D8">
        <w:t xml:space="preserve"> </w:t>
      </w:r>
      <w:r w:rsidR="00305B96">
        <w:t>Urban Centre and Localit</w:t>
      </w:r>
      <w:r w:rsidR="004E2022">
        <w:t>y</w:t>
      </w:r>
      <w:r w:rsidR="008E0A6D">
        <w:t>.</w:t>
      </w:r>
      <w:r w:rsidR="008E0A6D">
        <w:rPr>
          <w:rStyle w:val="FootnoteReference"/>
        </w:rPr>
        <w:footnoteReference w:id="20"/>
      </w:r>
      <w:r w:rsidR="005850D8">
        <w:t xml:space="preserve"> </w:t>
      </w:r>
      <w:r w:rsidR="00E610E2">
        <w:t>Urban Centres and Localitie</w:t>
      </w:r>
      <w:r w:rsidR="005850D8">
        <w:t xml:space="preserve">s are used instead of </w:t>
      </w:r>
      <w:r w:rsidR="00E610E2">
        <w:t>Significant Urban Area</w:t>
      </w:r>
      <w:r w:rsidR="005850D8">
        <w:t xml:space="preserve"> boundaries to ensure that </w:t>
      </w:r>
      <w:r w:rsidR="00126B70">
        <w:t>sparsely populated</w:t>
      </w:r>
      <w:r w:rsidR="008F48EF">
        <w:t xml:space="preserve"> areas on the fringes of </w:t>
      </w:r>
      <w:r w:rsidR="00E610E2">
        <w:t>Significant Urban Area</w:t>
      </w:r>
      <w:r w:rsidR="008F48EF">
        <w:t>s did not distort the density measure.</w:t>
      </w:r>
    </w:p>
    <w:p w14:paraId="0DDAC974" w14:textId="04F55419" w:rsidR="00CC2F9A" w:rsidRPr="009E1C60" w:rsidRDefault="00CC2F9A" w:rsidP="00515B06">
      <w:pPr>
        <w:pStyle w:val="CGC2025ParaNumbers"/>
        <w:tabs>
          <w:tab w:val="num" w:pos="567"/>
        </w:tabs>
      </w:pPr>
      <w:r>
        <w:t xml:space="preserve">The density of each square kilometre area is then weighted by its relative share of the total </w:t>
      </w:r>
      <w:r w:rsidR="004E2022">
        <w:t>Urban Centre and Locality</w:t>
      </w:r>
      <w:r>
        <w:t xml:space="preserve"> population. The weighted densities of the square kilometres are then aggregated to obtain the population</w:t>
      </w:r>
      <w:r w:rsidR="000A2AF6">
        <w:t>-</w:t>
      </w:r>
      <w:r>
        <w:t>weighted density of the entire S</w:t>
      </w:r>
      <w:r w:rsidR="00122D95">
        <w:t xml:space="preserve">ignificant </w:t>
      </w:r>
      <w:r>
        <w:t>U</w:t>
      </w:r>
      <w:r w:rsidR="00122D95">
        <w:t xml:space="preserve">rban </w:t>
      </w:r>
      <w:r>
        <w:t>A</w:t>
      </w:r>
      <w:r w:rsidR="00122D95">
        <w:t>rea</w:t>
      </w:r>
      <w:r>
        <w:t>.</w:t>
      </w:r>
    </w:p>
    <w:p w14:paraId="60EDA622" w14:textId="1308E966" w:rsidR="009E1C60" w:rsidRDefault="009E1C60" w:rsidP="009E1C60">
      <w:pPr>
        <w:pStyle w:val="Heading3"/>
      </w:pPr>
      <w:r>
        <w:t xml:space="preserve">Passenger </w:t>
      </w:r>
      <w:r w:rsidR="00744B2E">
        <w:t>n</w:t>
      </w:r>
      <w:r>
        <w:t>umbers</w:t>
      </w:r>
    </w:p>
    <w:p w14:paraId="1FD01A6D" w14:textId="3FB4A79C" w:rsidR="00E57345" w:rsidRPr="00471869" w:rsidRDefault="00CC2F9A" w:rsidP="007D2B52">
      <w:pPr>
        <w:pStyle w:val="CGC2025ParaNumbers"/>
      </w:pPr>
      <w:r w:rsidRPr="00471869">
        <w:t xml:space="preserve">To obtain the passenger numbers used in the regression the 2016 Census actual passenger number data </w:t>
      </w:r>
      <w:r w:rsidR="00A62650" w:rsidRPr="00471869">
        <w:t>are</w:t>
      </w:r>
      <w:r w:rsidRPr="00471869">
        <w:t xml:space="preserve"> </w:t>
      </w:r>
      <w:r w:rsidR="00CC4537" w:rsidRPr="00471869">
        <w:t xml:space="preserve">adjusted by an index based on </w:t>
      </w:r>
      <w:r w:rsidR="009E62AB" w:rsidRPr="00471869">
        <w:t>Bureau of Infrastructure and Transport Research Economics</w:t>
      </w:r>
      <w:r w:rsidR="00CC4537" w:rsidRPr="00471869">
        <w:t xml:space="preserve"> data to obtain 2022</w:t>
      </w:r>
      <w:r w:rsidR="00563DD9" w:rsidRPr="00471869">
        <w:t>–</w:t>
      </w:r>
      <w:r w:rsidR="00CC4537" w:rsidRPr="00471869">
        <w:t xml:space="preserve">23 equivalents. </w:t>
      </w:r>
      <w:r w:rsidR="00122D95" w:rsidRPr="00471869">
        <w:t>Bureau of Infrastructure</w:t>
      </w:r>
      <w:r w:rsidR="000F03BC" w:rsidRPr="00471869">
        <w:t xml:space="preserve"> and Transport Research Economics </w:t>
      </w:r>
      <w:r w:rsidR="00E86C97" w:rsidRPr="00471869">
        <w:t xml:space="preserve">data on passenger kilometres travelled </w:t>
      </w:r>
      <w:r w:rsidR="00E356B9" w:rsidRPr="00471869">
        <w:t xml:space="preserve">is available for each </w:t>
      </w:r>
      <w:r w:rsidR="00E86C97" w:rsidRPr="00471869">
        <w:t xml:space="preserve">state capital city, </w:t>
      </w:r>
      <w:r w:rsidR="00936C68" w:rsidRPr="00471869">
        <w:t xml:space="preserve">which is used to obtain indices for each </w:t>
      </w:r>
      <w:r w:rsidR="00122D95" w:rsidRPr="00471869">
        <w:t>Significant Urban Area</w:t>
      </w:r>
      <w:r w:rsidR="00E86C97" w:rsidRPr="00471869">
        <w:t xml:space="preserve"> in </w:t>
      </w:r>
      <w:r w:rsidR="00936C68" w:rsidRPr="00471869">
        <w:t xml:space="preserve">a </w:t>
      </w:r>
      <w:r w:rsidR="00E86C97" w:rsidRPr="00471869">
        <w:t>state</w:t>
      </w:r>
      <w:r w:rsidR="00936C68" w:rsidRPr="00471869">
        <w:t>.</w:t>
      </w:r>
      <w:r w:rsidR="00E10421" w:rsidRPr="00471869">
        <w:t xml:space="preserve"> </w:t>
      </w:r>
      <w:r w:rsidR="00743171" w:rsidRPr="00471869">
        <w:t xml:space="preserve">2021 Census </w:t>
      </w:r>
      <w:r w:rsidR="005B1B40" w:rsidRPr="00471869">
        <w:t xml:space="preserve">passenger numbers are not </w:t>
      </w:r>
      <w:r w:rsidR="00E568DA" w:rsidRPr="00471869">
        <w:t>appropriate for use</w:t>
      </w:r>
      <w:r w:rsidR="005B1B40" w:rsidRPr="00471869">
        <w:t xml:space="preserve"> </w:t>
      </w:r>
      <w:r w:rsidR="007362A1" w:rsidRPr="00471869">
        <w:t xml:space="preserve">because they are impacted </w:t>
      </w:r>
      <w:r w:rsidR="00E568DA" w:rsidRPr="00471869">
        <w:t>by the COVID-19 pandemic.</w:t>
      </w:r>
      <w:r w:rsidR="008B5021" w:rsidRPr="00471869">
        <w:t xml:space="preserve"> </w:t>
      </w:r>
      <w:r w:rsidR="00894538" w:rsidRPr="00471869">
        <w:t>Passenger data used in the regression will remain fixed until the next review</w:t>
      </w:r>
      <w:r w:rsidR="001E5011">
        <w:t>.</w:t>
      </w:r>
      <w:r w:rsidR="007B5764" w:rsidRPr="00335072">
        <w:rPr>
          <w:rStyle w:val="FootnoteReference"/>
          <w:szCs w:val="24"/>
        </w:rPr>
        <w:footnoteReference w:id="21"/>
      </w:r>
    </w:p>
    <w:p w14:paraId="2A0177A7" w14:textId="662B224F" w:rsidR="003B28F3" w:rsidRDefault="00CE1BCD" w:rsidP="007D2B52">
      <w:pPr>
        <w:pStyle w:val="CGC2025ParaNumbers"/>
      </w:pPr>
      <w:r>
        <w:t xml:space="preserve">The </w:t>
      </w:r>
      <w:r w:rsidR="000F1E1D">
        <w:t xml:space="preserve">passenger numbers applied to the regression coefficients are </w:t>
      </w:r>
      <w:r w:rsidR="00DB006B">
        <w:t xml:space="preserve">modelled to remove policy influences. </w:t>
      </w:r>
      <w:r w:rsidR="00F57A7B">
        <w:t xml:space="preserve">A regression model is used to account for the changing </w:t>
      </w:r>
      <w:r w:rsidR="00941DF0">
        <w:t xml:space="preserve">nature of </w:t>
      </w:r>
      <w:r w:rsidR="00436D92">
        <w:t>public transport use as cities grow in size. The regression model can be specified as:</w:t>
      </w:r>
    </w:p>
    <w:p w14:paraId="799A7E8C" w14:textId="32D24963" w:rsidR="0016014F" w:rsidRPr="00516126" w:rsidRDefault="00AF5AE4" w:rsidP="0016014F">
      <w:pPr>
        <w:pStyle w:val="CGC2025ParaNumbers"/>
        <w:numPr>
          <w:ilvl w:val="0"/>
          <w:numId w:val="0"/>
        </w:numPr>
        <w:rPr>
          <w:i/>
        </w:rPr>
      </w:pPr>
      <m:oMathPara>
        <m:oMath>
          <m:r>
            <w:rPr>
              <w:rFonts w:ascii="Cambria Math" w:hAnsi="Cambria Math"/>
            </w:rPr>
            <m:t>ln(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pax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ln(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pop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)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train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6C5F758D" w14:textId="4F5AD9DD" w:rsidR="00436D92" w:rsidRDefault="00777912" w:rsidP="007D2B52">
      <w:pPr>
        <w:pStyle w:val="CGC2025ParaNumbers"/>
      </w:pPr>
      <w:r>
        <w:t xml:space="preserve">Use rates for trains and bus/light rail passengers are then applied to the estimated total public transport passengers to obtain modelled passenger numbers for each </w:t>
      </w:r>
      <w:r w:rsidR="00F411EF">
        <w:t>S</w:t>
      </w:r>
      <w:r>
        <w:t xml:space="preserve">ignificant </w:t>
      </w:r>
      <w:r w:rsidR="00F411EF">
        <w:t>U</w:t>
      </w:r>
      <w:r>
        <w:t xml:space="preserve">rban </w:t>
      </w:r>
      <w:r w:rsidR="00F411EF">
        <w:t>A</w:t>
      </w:r>
      <w:r>
        <w:t>rea.</w:t>
      </w:r>
      <w:bookmarkStart w:id="41" w:name="_Hlk178095978"/>
    </w:p>
    <w:p w14:paraId="070C4DB0" w14:textId="386A0269" w:rsidR="00777912" w:rsidRDefault="00777912" w:rsidP="007D2B52">
      <w:pPr>
        <w:pStyle w:val="CGC2025ParaNumbers"/>
      </w:pPr>
      <w:r>
        <w:lastRenderedPageBreak/>
        <w:t>Once fit</w:t>
      </w:r>
      <w:r w:rsidR="00BD70E0">
        <w:t>-</w:t>
      </w:r>
      <w:r>
        <w:t>for</w:t>
      </w:r>
      <w:r w:rsidR="00BD70E0">
        <w:t>-</w:t>
      </w:r>
      <w:r>
        <w:t xml:space="preserve">purpose 2026 Census data </w:t>
      </w:r>
      <w:r w:rsidR="00C212F7">
        <w:t>are</w:t>
      </w:r>
      <w:r>
        <w:t xml:space="preserve"> available</w:t>
      </w:r>
      <w:r w:rsidR="002D16F0">
        <w:t>, likely for the 2028 Update</w:t>
      </w:r>
      <w:r w:rsidR="00292E39">
        <w:t>,</w:t>
      </w:r>
      <w:r>
        <w:t xml:space="preserve"> the </w:t>
      </w:r>
      <w:r w:rsidR="009E62AB">
        <w:t>Bureau of Infrastructure and Transport Research Economics</w:t>
      </w:r>
      <w:r>
        <w:t xml:space="preserve"> adjustment will be removed. Passenger numbers will continue to be modelled using a regression.</w:t>
      </w:r>
    </w:p>
    <w:bookmarkEnd w:id="41"/>
    <w:p w14:paraId="1B68BD65" w14:textId="53E8B9FB" w:rsidR="0072351C" w:rsidRDefault="0072351C" w:rsidP="0072351C">
      <w:pPr>
        <w:pStyle w:val="Heading3"/>
      </w:pPr>
      <w:r>
        <w:t xml:space="preserve">Distance to </w:t>
      </w:r>
      <w:r w:rsidR="00744B2E">
        <w:t>w</w:t>
      </w:r>
      <w:r>
        <w:t>ork</w:t>
      </w:r>
    </w:p>
    <w:p w14:paraId="671C0F20" w14:textId="75794716" w:rsidR="00B1193A" w:rsidRDefault="00F63522" w:rsidP="007D2B52">
      <w:pPr>
        <w:pStyle w:val="CGC2025ParaNumbers"/>
      </w:pPr>
      <w:r>
        <w:t>The ABS calculates d</w:t>
      </w:r>
      <w:r w:rsidR="00AD6A0B" w:rsidRPr="00C06887">
        <w:t xml:space="preserve">istance to work by taking the shortest distance by road between a persons </w:t>
      </w:r>
      <w:r w:rsidR="00AD6A0B" w:rsidRPr="007D2B52">
        <w:t>reported home address and usual work address.</w:t>
      </w:r>
      <w:r w:rsidR="009E11DA" w:rsidRPr="007D2B52">
        <w:t xml:space="preserve"> During the 2021</w:t>
      </w:r>
      <w:r w:rsidR="002F477E" w:rsidRPr="007D2B52">
        <w:t> </w:t>
      </w:r>
      <w:r w:rsidR="009E11DA" w:rsidRPr="007D2B52">
        <w:t xml:space="preserve">Census, the ABS released guidance advising people </w:t>
      </w:r>
      <w:r w:rsidR="00672084" w:rsidRPr="007D2B52">
        <w:t xml:space="preserve">working at home due to COVID-19 </w:t>
      </w:r>
      <w:r w:rsidR="00397E1C" w:rsidRPr="007D2B52">
        <w:t>restrictions</w:t>
      </w:r>
      <w:r w:rsidR="00672084" w:rsidRPr="007D2B52">
        <w:t xml:space="preserve"> </w:t>
      </w:r>
      <w:r w:rsidR="00A76DB3" w:rsidRPr="007D2B52">
        <w:t xml:space="preserve">to </w:t>
      </w:r>
      <w:r w:rsidR="00397E1C" w:rsidRPr="007D2B52">
        <w:t>write</w:t>
      </w:r>
      <w:r w:rsidR="00397E1C" w:rsidRPr="00C06887">
        <w:t xml:space="preserve"> the address they would normally work at.</w:t>
      </w:r>
      <w:r w:rsidR="00FE79CF" w:rsidRPr="00C06887">
        <w:t xml:space="preserve"> Therefore, the Commission considers the 2021 data </w:t>
      </w:r>
      <w:r w:rsidR="0028253A">
        <w:t>are</w:t>
      </w:r>
      <w:r w:rsidR="00FE79CF" w:rsidRPr="00C06887">
        <w:t xml:space="preserve"> suitable for use in the 2025 Review</w:t>
      </w:r>
      <w:r w:rsidR="00FE79CF">
        <w:t>.</w:t>
      </w:r>
    </w:p>
    <w:p w14:paraId="7C2DFD16" w14:textId="77777777" w:rsidR="00B1193A" w:rsidRDefault="00B1193A" w:rsidP="00D40136">
      <w:pPr>
        <w:tabs>
          <w:tab w:val="clear" w:pos="567"/>
        </w:tabs>
        <w:spacing w:before="0" w:after="200" w:line="276" w:lineRule="auto"/>
      </w:pPr>
    </w:p>
    <w:p w14:paraId="7D9AE779" w14:textId="3E9185F8" w:rsidR="003B28F3" w:rsidRPr="007876E4" w:rsidRDefault="003B28F3" w:rsidP="00D40136">
      <w:pPr>
        <w:tabs>
          <w:tab w:val="clear" w:pos="567"/>
        </w:tabs>
        <w:spacing w:before="0" w:after="200" w:line="276" w:lineRule="auto"/>
      </w:pPr>
    </w:p>
    <w:sectPr w:rsidR="003B28F3" w:rsidRPr="007876E4" w:rsidSect="00303F7B">
      <w:footerReference w:type="default" r:id="rId15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9805" w14:textId="77777777" w:rsidR="004568BA" w:rsidRDefault="004568BA">
      <w:r>
        <w:separator/>
      </w:r>
    </w:p>
    <w:p w14:paraId="2551F925" w14:textId="77777777" w:rsidR="004568BA" w:rsidRDefault="004568BA"/>
  </w:endnote>
  <w:endnote w:type="continuationSeparator" w:id="0">
    <w:p w14:paraId="422CEDE7" w14:textId="77777777" w:rsidR="004568BA" w:rsidRDefault="004568BA">
      <w:r>
        <w:continuationSeparator/>
      </w:r>
    </w:p>
    <w:p w14:paraId="50AF8285" w14:textId="77777777" w:rsidR="004568BA" w:rsidRDefault="004568BA"/>
  </w:endnote>
  <w:endnote w:type="continuationNotice" w:id="1">
    <w:p w14:paraId="4007D7F8" w14:textId="77777777" w:rsidR="004568BA" w:rsidRDefault="004568BA">
      <w:pPr>
        <w:spacing w:before="0" w:line="240" w:lineRule="auto"/>
      </w:pPr>
    </w:p>
    <w:p w14:paraId="07F518F1" w14:textId="77777777" w:rsidR="004568BA" w:rsidRDefault="00456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4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B4974" w14:textId="240425A1" w:rsidR="005B6B61" w:rsidRDefault="00303F7B" w:rsidP="00303F7B">
        <w:pPr>
          <w:pStyle w:val="Footer"/>
          <w:ind w:left="0"/>
          <w:jc w:val="left"/>
        </w:pPr>
        <w:r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D87BAE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D87BAE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</w:p>
    </w:sdtContent>
  </w:sdt>
  <w:p w14:paraId="39C6AF0D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D62E" w14:textId="77777777" w:rsidR="004568BA" w:rsidRPr="005D47DC" w:rsidRDefault="004568BA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5E099D87" w14:textId="77777777" w:rsidR="004568BA" w:rsidRDefault="004568BA">
      <w:r>
        <w:continuationSeparator/>
      </w:r>
    </w:p>
    <w:p w14:paraId="31ED2860" w14:textId="77777777" w:rsidR="004568BA" w:rsidRDefault="004568BA"/>
  </w:footnote>
  <w:footnote w:type="continuationNotice" w:id="1">
    <w:p w14:paraId="1C30C604" w14:textId="77777777" w:rsidR="004568BA" w:rsidRDefault="004568BA">
      <w:pPr>
        <w:spacing w:before="0" w:line="240" w:lineRule="auto"/>
      </w:pPr>
    </w:p>
    <w:p w14:paraId="16293D7B" w14:textId="77777777" w:rsidR="004568BA" w:rsidRDefault="004568BA"/>
  </w:footnote>
  <w:footnote w:id="2">
    <w:p w14:paraId="47CCFE4D" w14:textId="5A8894C1" w:rsidR="00E764F2" w:rsidRDefault="00E764F2" w:rsidP="008516D4">
      <w:pPr>
        <w:pStyle w:val="FootnoteText"/>
      </w:pPr>
      <w:r>
        <w:rPr>
          <w:rStyle w:val="FootnoteReference"/>
        </w:rPr>
        <w:footnoteRef/>
      </w:r>
      <w:r>
        <w:t xml:space="preserve"> Adjusted budget calculation</w:t>
      </w:r>
      <w:r w:rsidR="001E577B">
        <w:t>s</w:t>
      </w:r>
      <w:r>
        <w:t xml:space="preserve"> us</w:t>
      </w:r>
      <w:r w:rsidR="001E577B">
        <w:t>e</w:t>
      </w:r>
      <w:r>
        <w:t xml:space="preserve"> ABS </w:t>
      </w:r>
      <w:r w:rsidR="005E15F8">
        <w:t>Government Financial Statistics</w:t>
      </w:r>
      <w:r>
        <w:t xml:space="preserve"> data to determine actual state expenses. For further details see the adjusted budget chapter</w:t>
      </w:r>
      <w:r w:rsidR="0006379B">
        <w:t xml:space="preserve"> of the </w:t>
      </w:r>
      <w:r w:rsidR="0006379B" w:rsidRPr="00514C08">
        <w:rPr>
          <w:i/>
          <w:iCs/>
        </w:rPr>
        <w:t xml:space="preserve">Commission’s </w:t>
      </w:r>
      <w:r w:rsidR="00514C08">
        <w:rPr>
          <w:i/>
          <w:iCs/>
        </w:rPr>
        <w:t>A</w:t>
      </w:r>
      <w:r w:rsidR="0006379B" w:rsidRPr="00514C08">
        <w:rPr>
          <w:i/>
          <w:iCs/>
        </w:rPr>
        <w:t xml:space="preserve">ssessment </w:t>
      </w:r>
      <w:r w:rsidR="00514C08">
        <w:rPr>
          <w:i/>
          <w:iCs/>
        </w:rPr>
        <w:t>M</w:t>
      </w:r>
      <w:r w:rsidR="0006379B" w:rsidRPr="00514C08">
        <w:rPr>
          <w:i/>
          <w:iCs/>
        </w:rPr>
        <w:t>ethodology</w:t>
      </w:r>
      <w:r>
        <w:t xml:space="preserve">. </w:t>
      </w:r>
    </w:p>
  </w:footnote>
  <w:footnote w:id="3">
    <w:p w14:paraId="5AEA0E4B" w14:textId="6AEA5ECE" w:rsidR="00E764F2" w:rsidRDefault="00E764F2" w:rsidP="008516D4">
      <w:pPr>
        <w:pStyle w:val="FootnoteText"/>
      </w:pPr>
      <w:r>
        <w:rPr>
          <w:rStyle w:val="FootnoteReference"/>
        </w:rPr>
        <w:footnoteRef/>
      </w:r>
      <w:r>
        <w:t xml:space="preserve"> Tables in this chapter, unless otherwise stated, use 2022–23 data.</w:t>
      </w:r>
    </w:p>
  </w:footnote>
  <w:footnote w:id="4">
    <w:p w14:paraId="22068F7C" w14:textId="44C3B4FA" w:rsidR="00041EA8" w:rsidRDefault="00041EA8" w:rsidP="008516D4">
      <w:pPr>
        <w:pStyle w:val="FootnoteText"/>
      </w:pPr>
      <w:r>
        <w:rPr>
          <w:rStyle w:val="FootnoteReference"/>
        </w:rPr>
        <w:footnoteRef/>
      </w:r>
      <w:r>
        <w:t xml:space="preserve"> Blending</w:t>
      </w:r>
      <w:r w:rsidRPr="006023AC">
        <w:t xml:space="preserve"> was introduced</w:t>
      </w:r>
      <w:r>
        <w:t xml:space="preserve"> in the 2020 Review</w:t>
      </w:r>
      <w:r w:rsidRPr="006023AC">
        <w:t xml:space="preserve"> to account for the inherent limitations in the model relating to the use of proxies and </w:t>
      </w:r>
      <w:r>
        <w:t>limited data.</w:t>
      </w:r>
      <w:r w:rsidR="00EB2469">
        <w:t xml:space="preserve"> The </w:t>
      </w:r>
      <w:r w:rsidR="009C3152">
        <w:t xml:space="preserve">blending shares are outlined below </w:t>
      </w:r>
      <w:r w:rsidR="00691057">
        <w:t>fro</w:t>
      </w:r>
      <w:r w:rsidR="00691057" w:rsidRPr="00931E2E">
        <w:t>m</w:t>
      </w:r>
      <w:r w:rsidR="009C3152" w:rsidRPr="00931E2E">
        <w:t xml:space="preserve"> paragraph 4</w:t>
      </w:r>
      <w:r w:rsidR="007305C2" w:rsidRPr="00931E2E">
        <w:t>0</w:t>
      </w:r>
      <w:r w:rsidR="00691057" w:rsidRPr="00931E2E">
        <w:t>.</w:t>
      </w:r>
    </w:p>
  </w:footnote>
  <w:footnote w:id="5">
    <w:p w14:paraId="46B8CA7E" w14:textId="42323169" w:rsidR="00243C1F" w:rsidRDefault="00243C1F" w:rsidP="008516D4">
      <w:pPr>
        <w:pStyle w:val="FootnoteText"/>
      </w:pPr>
      <w:r w:rsidRPr="00471869">
        <w:rPr>
          <w:rStyle w:val="FootnoteReference"/>
        </w:rPr>
        <w:footnoteRef/>
      </w:r>
      <w:r w:rsidRPr="00471869">
        <w:t xml:space="preserve"> </w:t>
      </w:r>
      <w:r w:rsidR="00A302EF" w:rsidRPr="00471869">
        <w:t xml:space="preserve">The model assumes </w:t>
      </w:r>
      <w:r w:rsidR="008D5EE7" w:rsidRPr="00471869">
        <w:t xml:space="preserve">the </w:t>
      </w:r>
      <w:r w:rsidR="00A302EF" w:rsidRPr="00471869">
        <w:t xml:space="preserve">supply </w:t>
      </w:r>
      <w:r w:rsidR="00632225" w:rsidRPr="00471869">
        <w:t xml:space="preserve">of </w:t>
      </w:r>
      <w:r w:rsidR="008756A3" w:rsidRPr="00471869">
        <w:t xml:space="preserve">public transport services </w:t>
      </w:r>
      <w:r w:rsidR="0021464C" w:rsidRPr="00471869">
        <w:t>(</w:t>
      </w:r>
      <w:r w:rsidR="001A1F85" w:rsidRPr="00471869">
        <w:t>measured</w:t>
      </w:r>
      <w:r w:rsidR="008D5EE7" w:rsidRPr="00471869">
        <w:t xml:space="preserve"> using passenger numbers) </w:t>
      </w:r>
      <w:r w:rsidR="00A302EF" w:rsidRPr="00471869">
        <w:t xml:space="preserve">is equal to demand </w:t>
      </w:r>
      <w:r w:rsidR="008D5EE7" w:rsidRPr="00471869">
        <w:t>(measured using population-weighted density).</w:t>
      </w:r>
      <w:r w:rsidR="00F80038">
        <w:t xml:space="preserve"> </w:t>
      </w:r>
    </w:p>
  </w:footnote>
  <w:footnote w:id="6">
    <w:p w14:paraId="43C6A254" w14:textId="1D4084DC" w:rsidR="00BF2B5F" w:rsidRDefault="00BF2B5F" w:rsidP="008516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B60A2">
        <w:t xml:space="preserve">Urban </w:t>
      </w:r>
      <w:r w:rsidR="00DD1306">
        <w:t>C</w:t>
      </w:r>
      <w:r w:rsidR="00EB60A2">
        <w:t xml:space="preserve">entres and </w:t>
      </w:r>
      <w:r w:rsidR="00DD1306">
        <w:t>L</w:t>
      </w:r>
      <w:r w:rsidR="00EB60A2">
        <w:t xml:space="preserve">ocalities are used as the sub-areas within </w:t>
      </w:r>
      <w:r w:rsidR="00A77970">
        <w:t>S</w:t>
      </w:r>
      <w:r w:rsidR="00EB60A2">
        <w:t xml:space="preserve">ignificant </w:t>
      </w:r>
      <w:r w:rsidR="00A77970">
        <w:t>U</w:t>
      </w:r>
      <w:r w:rsidR="00EB60A2">
        <w:t xml:space="preserve">rban </w:t>
      </w:r>
      <w:r w:rsidR="00A77970">
        <w:t>A</w:t>
      </w:r>
      <w:r w:rsidR="00EB60A2">
        <w:t xml:space="preserve">reas. </w:t>
      </w:r>
    </w:p>
  </w:footnote>
  <w:footnote w:id="7">
    <w:p w14:paraId="2DCC961D" w14:textId="3C13CE24" w:rsidR="005F3E1C" w:rsidRDefault="005F3E1C" w:rsidP="008516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19D8">
        <w:t>This adjustment</w:t>
      </w:r>
      <w:r w:rsidR="007E0262">
        <w:t xml:space="preserve"> was introduced in the 2025 Review</w:t>
      </w:r>
      <w:r w:rsidR="006F5A33">
        <w:t xml:space="preserve"> to address</w:t>
      </w:r>
      <w:r w:rsidR="00F9753B">
        <w:t xml:space="preserve"> </w:t>
      </w:r>
      <w:r w:rsidR="00C40749">
        <w:t xml:space="preserve">the continued use of 2016 Census commuter data in the model. </w:t>
      </w:r>
      <w:r w:rsidR="00683C67">
        <w:t>2021 Ce</w:t>
      </w:r>
      <w:r w:rsidR="00F449BF">
        <w:t xml:space="preserve">nsus commuter </w:t>
      </w:r>
      <w:r w:rsidR="00D6619D">
        <w:t xml:space="preserve">data </w:t>
      </w:r>
      <w:r w:rsidR="00E55A55">
        <w:t xml:space="preserve">could not be incorporated into the assessment because they </w:t>
      </w:r>
      <w:r w:rsidR="00C40749">
        <w:t xml:space="preserve">were </w:t>
      </w:r>
      <w:r w:rsidR="00E55A55">
        <w:t>impacted</w:t>
      </w:r>
      <w:r w:rsidR="00C40749">
        <w:t xml:space="preserve"> by COVID-19 </w:t>
      </w:r>
      <w:r w:rsidR="00B32F54">
        <w:t>restrictions</w:t>
      </w:r>
      <w:r w:rsidR="00E55A55">
        <w:t>.</w:t>
      </w:r>
    </w:p>
  </w:footnote>
  <w:footnote w:id="8">
    <w:p w14:paraId="700D56C5" w14:textId="05BEB635" w:rsidR="004E6752" w:rsidRDefault="004E6752" w:rsidP="008516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E449A">
        <w:t>The assessment will be updated with 2026 Census data i</w:t>
      </w:r>
      <w:r w:rsidR="005E17F2">
        <w:t>f</w:t>
      </w:r>
      <w:r w:rsidR="00EE449A">
        <w:t xml:space="preserve"> they are</w:t>
      </w:r>
      <w:r w:rsidR="00B26E6A">
        <w:t xml:space="preserve"> deemed fit</w:t>
      </w:r>
      <w:r w:rsidR="00515460">
        <w:t xml:space="preserve"> </w:t>
      </w:r>
      <w:r w:rsidR="00B26E6A">
        <w:t>for</w:t>
      </w:r>
      <w:r w:rsidR="00515460">
        <w:t xml:space="preserve"> </w:t>
      </w:r>
      <w:r w:rsidR="00F76DD8">
        <w:t xml:space="preserve">purpose. Data are likely to be available for the </w:t>
      </w:r>
      <w:r w:rsidR="00A0424A">
        <w:t>2028 Update.</w:t>
      </w:r>
    </w:p>
  </w:footnote>
  <w:footnote w:id="9">
    <w:p w14:paraId="3C86CE16" w14:textId="525CA381" w:rsidR="005040DA" w:rsidRDefault="005040DA" w:rsidP="008516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32CA5">
        <w:t xml:space="preserve">2021 Census journey to work data </w:t>
      </w:r>
      <w:r w:rsidR="005B38A2">
        <w:t xml:space="preserve">are used. </w:t>
      </w:r>
      <w:r w:rsidR="00CF02AE">
        <w:t xml:space="preserve">Because </w:t>
      </w:r>
      <w:r w:rsidR="0077684F">
        <w:t>c</w:t>
      </w:r>
      <w:r w:rsidR="003D4B81">
        <w:t xml:space="preserve">ensus respondents were required to provide their usual place of work, the Commission considered these data were </w:t>
      </w:r>
      <w:r w:rsidR="006F4EE5">
        <w:t>not impacted by COVID-19 restrictions</w:t>
      </w:r>
      <w:r w:rsidR="003D4B81">
        <w:t>.</w:t>
      </w:r>
    </w:p>
  </w:footnote>
  <w:footnote w:id="10">
    <w:p w14:paraId="118FE7FC" w14:textId="789F53C3" w:rsidR="007C7AAF" w:rsidRDefault="007C7AAF" w:rsidP="008516D4">
      <w:pPr>
        <w:pStyle w:val="FootnoteText"/>
      </w:pPr>
      <w:r>
        <w:rPr>
          <w:rStyle w:val="FootnoteReference"/>
        </w:rPr>
        <w:footnoteRef/>
      </w:r>
      <w:r>
        <w:t xml:space="preserve"> Ferr</w:t>
      </w:r>
      <w:r w:rsidR="00A54AD0">
        <w:t>ies</w:t>
      </w:r>
      <w:r>
        <w:t xml:space="preserve"> that operate between </w:t>
      </w:r>
      <w:r w:rsidR="00A77970">
        <w:t>S</w:t>
      </w:r>
      <w:r>
        <w:t xml:space="preserve">ignificant </w:t>
      </w:r>
      <w:r w:rsidR="00A77970">
        <w:t>U</w:t>
      </w:r>
      <w:r>
        <w:t xml:space="preserve">rban </w:t>
      </w:r>
      <w:r w:rsidR="00A77970">
        <w:t>A</w:t>
      </w:r>
      <w:r>
        <w:t xml:space="preserve">reas are not considered to be operating urban transport services. </w:t>
      </w:r>
      <w:r w:rsidR="007A1D7C">
        <w:t>In the 2025</w:t>
      </w:r>
      <w:r w:rsidR="008267E5">
        <w:t> </w:t>
      </w:r>
      <w:r w:rsidR="007A1D7C">
        <w:t>Review</w:t>
      </w:r>
      <w:r w:rsidR="003D39F9">
        <w:t xml:space="preserve">, 6 urban areas </w:t>
      </w:r>
      <w:r w:rsidR="0001558D">
        <w:t>were identified as having a</w:t>
      </w:r>
      <w:r w:rsidR="001C14B5">
        <w:t xml:space="preserve">n urban ferry service, Sydney, Melbourne, Brisbane, Perth, Newcastle-Maitland and Hobart. </w:t>
      </w:r>
    </w:p>
  </w:footnote>
  <w:footnote w:id="11">
    <w:p w14:paraId="13CD6819" w14:textId="77777777" w:rsidR="000E5028" w:rsidRDefault="000E5028" w:rsidP="008516D4">
      <w:pPr>
        <w:pStyle w:val="FootnoteText"/>
      </w:pPr>
      <w:r>
        <w:rPr>
          <w:rStyle w:val="FootnoteReference"/>
        </w:rPr>
        <w:footnoteRef/>
      </w:r>
      <w:r>
        <w:t xml:space="preserve"> Costs are applied to populations in urban areas. </w:t>
      </w:r>
    </w:p>
  </w:footnote>
  <w:footnote w:id="12">
    <w:p w14:paraId="1AE8978F" w14:textId="126754B6" w:rsidR="00A87F30" w:rsidRDefault="00A87F30" w:rsidP="008516D4">
      <w:pPr>
        <w:pStyle w:val="FootnoteText"/>
      </w:pPr>
      <w:r>
        <w:rPr>
          <w:rStyle w:val="FootnoteReference"/>
        </w:rPr>
        <w:footnoteRef/>
      </w:r>
      <w:r>
        <w:t xml:space="preserve"> An average of 2022</w:t>
      </w:r>
      <w:r w:rsidR="00342D3F">
        <w:t>–</w:t>
      </w:r>
      <w:r>
        <w:t>23 and 2023</w:t>
      </w:r>
      <w:r w:rsidR="00040FA5">
        <w:t>–</w:t>
      </w:r>
      <w:r>
        <w:t xml:space="preserve">24 net expense data will be incorporated into the model in the 2026 Update. </w:t>
      </w:r>
    </w:p>
  </w:footnote>
  <w:footnote w:id="13">
    <w:p w14:paraId="73B73A6A" w14:textId="229D95C8" w:rsidR="006023AC" w:rsidRDefault="006023AC" w:rsidP="008516D4">
      <w:pPr>
        <w:pStyle w:val="FootnoteText"/>
      </w:pPr>
      <w:r>
        <w:rPr>
          <w:rStyle w:val="FootnoteReference"/>
        </w:rPr>
        <w:footnoteRef/>
      </w:r>
      <w:r>
        <w:t xml:space="preserve"> Blending</w:t>
      </w:r>
      <w:r w:rsidRPr="006023AC">
        <w:t xml:space="preserve"> was introduced</w:t>
      </w:r>
      <w:r>
        <w:t xml:space="preserve"> in the 2020 Review</w:t>
      </w:r>
      <w:r w:rsidRPr="006023AC">
        <w:t xml:space="preserve"> to account for the inherent limitations in the model relating to the use of proxies and </w:t>
      </w:r>
      <w:r w:rsidR="00A63886">
        <w:t>limited data.</w:t>
      </w:r>
    </w:p>
  </w:footnote>
  <w:footnote w:id="14">
    <w:p w14:paraId="30AAC8EF" w14:textId="6A3BF0D5" w:rsidR="00906725" w:rsidRDefault="00906725" w:rsidP="008516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0B9A">
        <w:t xml:space="preserve">In the 2025 Review the </w:t>
      </w:r>
      <w:r w:rsidR="000F3F7D" w:rsidRPr="008A0B9A">
        <w:t>blen</w:t>
      </w:r>
      <w:r w:rsidRPr="008A0B9A">
        <w:t xml:space="preserve">ding ratio was temporarily increased to </w:t>
      </w:r>
      <w:r w:rsidR="00500E00" w:rsidRPr="008A0B9A">
        <w:t>65:35</w:t>
      </w:r>
      <w:r w:rsidR="00C37162" w:rsidRPr="008A0B9A">
        <w:t>. This was to recognise data issues arising from COVID-19 which necessitated the continued use of</w:t>
      </w:r>
      <w:r w:rsidR="009E3389" w:rsidRPr="008A0B9A">
        <w:t xml:space="preserve"> older data. It was decided the ratio will be returned to 7</w:t>
      </w:r>
      <w:r w:rsidR="003907CE" w:rsidRPr="008A0B9A">
        <w:t>5</w:t>
      </w:r>
      <w:r w:rsidR="006B505F">
        <w:t>:</w:t>
      </w:r>
      <w:r w:rsidR="003907CE" w:rsidRPr="008A0B9A">
        <w:t>25 when fit</w:t>
      </w:r>
      <w:r w:rsidR="00BD70E0">
        <w:noBreakHyphen/>
      </w:r>
      <w:r w:rsidR="003907CE" w:rsidRPr="008A0B9A">
        <w:t>fo</w:t>
      </w:r>
      <w:r w:rsidR="00BD70E0">
        <w:t>r</w:t>
      </w:r>
      <w:r w:rsidR="00BD70E0">
        <w:noBreakHyphen/>
      </w:r>
      <w:r w:rsidR="003907CE" w:rsidRPr="008A0B9A">
        <w:t xml:space="preserve">purpose 2026 data are available. </w:t>
      </w:r>
      <w:r w:rsidR="0058794B" w:rsidRPr="008A0B9A">
        <w:t>This is likely to be the 2028 Update.</w:t>
      </w:r>
      <w:r w:rsidR="007D0962" w:rsidRPr="008A0B9A">
        <w:t xml:space="preserve"> See </w:t>
      </w:r>
      <w:r w:rsidR="001405B8" w:rsidRPr="008A0B9A">
        <w:t xml:space="preserve">the </w:t>
      </w:r>
      <w:r w:rsidR="00FF4964">
        <w:t>t</w:t>
      </w:r>
      <w:r w:rsidR="001405B8" w:rsidRPr="008A0B9A">
        <w:t xml:space="preserve">ransport </w:t>
      </w:r>
      <w:r w:rsidR="00631093">
        <w:t xml:space="preserve">chapter of </w:t>
      </w:r>
      <w:r w:rsidR="00631093" w:rsidRPr="00234617">
        <w:rPr>
          <w:i/>
          <w:iCs/>
        </w:rPr>
        <w:t xml:space="preserve">Review </w:t>
      </w:r>
      <w:r w:rsidR="00234617">
        <w:rPr>
          <w:i/>
          <w:iCs/>
        </w:rPr>
        <w:t>O</w:t>
      </w:r>
      <w:r w:rsidR="00631093" w:rsidRPr="00234617">
        <w:rPr>
          <w:i/>
          <w:iCs/>
        </w:rPr>
        <w:t>utcomes</w:t>
      </w:r>
      <w:r w:rsidR="00631093">
        <w:t xml:space="preserve"> </w:t>
      </w:r>
      <w:r w:rsidR="001405B8" w:rsidRPr="008A0B9A">
        <w:t>for more details.</w:t>
      </w:r>
    </w:p>
  </w:footnote>
  <w:footnote w:id="15">
    <w:p w14:paraId="0DA7DBED" w14:textId="23904BCF" w:rsidR="000B3884" w:rsidRDefault="000B3884" w:rsidP="008516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175D0" w:rsidRPr="008A0B9A">
        <w:t>Maintaining the blending ratio for investment in urban transport recognises that investment decisions were not as strongly affected by COVID-19 restrictions as recurrent spending.</w:t>
      </w:r>
    </w:p>
  </w:footnote>
  <w:footnote w:id="16">
    <w:p w14:paraId="4ED2D5AF" w14:textId="2E13F3B8" w:rsidR="007A009D" w:rsidRDefault="007A009D" w:rsidP="008516D4">
      <w:pPr>
        <w:pStyle w:val="FootnoteText"/>
      </w:pPr>
      <w:r w:rsidRPr="00CE721F">
        <w:rPr>
          <w:rStyle w:val="FootnoteReference"/>
        </w:rPr>
        <w:footnoteRef/>
      </w:r>
      <w:r w:rsidRPr="00CE721F">
        <w:t xml:space="preserve"> See the investment chapter of the </w:t>
      </w:r>
      <w:r w:rsidRPr="00CE721F">
        <w:rPr>
          <w:i/>
          <w:iCs/>
        </w:rPr>
        <w:t>Commission’s Assessment Methodology</w:t>
      </w:r>
      <w:r w:rsidRPr="00CE721F">
        <w:t xml:space="preserve"> for </w:t>
      </w:r>
      <w:r>
        <w:t>full description of the</w:t>
      </w:r>
      <w:r w:rsidR="00B76692">
        <w:t xml:space="preserve"> </w:t>
      </w:r>
      <w:r w:rsidR="00A76044">
        <w:t xml:space="preserve">investment assessment methodology and </w:t>
      </w:r>
      <w:r w:rsidRPr="00CE721F">
        <w:t>the GST impact</w:t>
      </w:r>
      <w:r w:rsidR="00A76044">
        <w:t>s.</w:t>
      </w:r>
      <w:r>
        <w:t xml:space="preserve"> </w:t>
      </w:r>
    </w:p>
  </w:footnote>
  <w:footnote w:id="17">
    <w:p w14:paraId="6B149677" w14:textId="482C17EF" w:rsidR="00D356AF" w:rsidRDefault="00D356AF" w:rsidP="008516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30E86">
        <w:t xml:space="preserve">Jacobs and Synergies Economic Consulting, </w:t>
      </w:r>
      <w:hyperlink r:id="rId1" w:history="1">
        <w:r w:rsidRPr="00234617">
          <w:rPr>
            <w:rStyle w:val="Hyperlink"/>
            <w:i/>
            <w:iCs/>
          </w:rPr>
          <w:t>Urban Transport Consultancy Stage 2</w:t>
        </w:r>
      </w:hyperlink>
      <w:r w:rsidR="00D41778">
        <w:t>, Commonwealth Grants Commission, 2019</w:t>
      </w:r>
      <w:r w:rsidR="00313163">
        <w:t>.</w:t>
      </w:r>
    </w:p>
  </w:footnote>
  <w:footnote w:id="18">
    <w:p w14:paraId="2B67863E" w14:textId="77777777" w:rsidR="008C0AE7" w:rsidRDefault="008C0AE7" w:rsidP="008516D4">
      <w:pPr>
        <w:pStyle w:val="FootnoteText"/>
      </w:pPr>
      <w:r>
        <w:rPr>
          <w:rStyle w:val="FootnoteReference"/>
        </w:rPr>
        <w:footnoteRef/>
      </w:r>
      <w:r>
        <w:t xml:space="preserve"> The method recommended by the consultants to calculate population-weighted density was revised by the Commission in the 2025 Review. </w:t>
      </w:r>
    </w:p>
  </w:footnote>
  <w:footnote w:id="19">
    <w:p w14:paraId="7729B152" w14:textId="5F39FB5E" w:rsidR="00706F12" w:rsidRDefault="00706F12" w:rsidP="008516D4">
      <w:pPr>
        <w:pStyle w:val="FootnoteText"/>
      </w:pPr>
      <w:r w:rsidRPr="008A0B9A">
        <w:rPr>
          <w:rStyle w:val="FootnoteReference"/>
        </w:rPr>
        <w:footnoteRef/>
      </w:r>
      <w:r w:rsidR="00AD3D6A" w:rsidRPr="008A0B9A">
        <w:t xml:space="preserve"> Population</w:t>
      </w:r>
      <w:r w:rsidR="00344184">
        <w:t>-</w:t>
      </w:r>
      <w:r w:rsidR="00AD3D6A" w:rsidRPr="008A0B9A">
        <w:t xml:space="preserve">weighted density </w:t>
      </w:r>
      <w:r w:rsidR="002173ED" w:rsidRPr="008A0B9A">
        <w:t>used in the regression is fixed at 2022</w:t>
      </w:r>
      <w:r w:rsidR="00A041ED">
        <w:t>–</w:t>
      </w:r>
      <w:r w:rsidR="002173ED" w:rsidRPr="008A0B9A">
        <w:t xml:space="preserve">23 levels. </w:t>
      </w:r>
      <w:r w:rsidR="008E6D23" w:rsidRPr="008A0B9A">
        <w:t>Population</w:t>
      </w:r>
      <w:r w:rsidR="00344184">
        <w:t>-</w:t>
      </w:r>
      <w:r w:rsidR="008E6D23" w:rsidRPr="008A0B9A">
        <w:t>weighted density applied to the regression is updated yearly</w:t>
      </w:r>
      <w:r w:rsidR="00BE7BE8" w:rsidRPr="008A0B9A">
        <w:t xml:space="preserve"> with a l</w:t>
      </w:r>
      <w:r w:rsidR="005501DB" w:rsidRPr="008A0B9A">
        <w:t>ag of one year.</w:t>
      </w:r>
      <w:r w:rsidR="005501DB">
        <w:t xml:space="preserve"> </w:t>
      </w:r>
    </w:p>
  </w:footnote>
  <w:footnote w:id="20">
    <w:p w14:paraId="5FFE1BF6" w14:textId="100BD8F7" w:rsidR="008E0A6D" w:rsidRDefault="008E0A6D" w:rsidP="008516D4">
      <w:pPr>
        <w:pStyle w:val="FootnoteText"/>
      </w:pPr>
      <w:r>
        <w:rPr>
          <w:rStyle w:val="FootnoteReference"/>
        </w:rPr>
        <w:footnoteRef/>
      </w:r>
      <w:r>
        <w:t xml:space="preserve"> Alternative approaches, including allocating square kilometres to urban areas based on where the centre of the square kilometre is placed resulted in implausibly high </w:t>
      </w:r>
      <w:r w:rsidR="00117457">
        <w:t>population</w:t>
      </w:r>
      <w:r w:rsidR="000A2AF6">
        <w:t>-</w:t>
      </w:r>
      <w:r w:rsidR="00117457">
        <w:t xml:space="preserve">weighted density for some smaller </w:t>
      </w:r>
      <w:r w:rsidR="00F411EF">
        <w:t>S</w:t>
      </w:r>
      <w:r w:rsidR="00117457">
        <w:t xml:space="preserve">ignificant </w:t>
      </w:r>
      <w:r w:rsidR="00F411EF">
        <w:t>U</w:t>
      </w:r>
      <w:r w:rsidR="00117457">
        <w:t xml:space="preserve">rban </w:t>
      </w:r>
      <w:r w:rsidR="00F411EF">
        <w:t>A</w:t>
      </w:r>
      <w:r w:rsidR="00117457">
        <w:t>reas.</w:t>
      </w:r>
    </w:p>
  </w:footnote>
  <w:footnote w:id="21">
    <w:p w14:paraId="166DAC89" w14:textId="59A31DE3" w:rsidR="007B5764" w:rsidRDefault="007B5764" w:rsidP="008516D4">
      <w:pPr>
        <w:pStyle w:val="FootnoteText"/>
      </w:pPr>
      <w:r w:rsidRPr="00471869">
        <w:rPr>
          <w:rStyle w:val="FootnoteReference"/>
        </w:rPr>
        <w:footnoteRef/>
      </w:r>
      <w:r w:rsidRPr="00471869">
        <w:t xml:space="preserve"> </w:t>
      </w:r>
      <w:r w:rsidR="000E7E4B" w:rsidRPr="00471869">
        <w:t>The regression</w:t>
      </w:r>
      <w:r w:rsidR="00AF3BED" w:rsidRPr="00471869">
        <w:t xml:space="preserve"> will be updated in the 2026 Update to incorporate 2023</w:t>
      </w:r>
      <w:r w:rsidR="00F62083">
        <w:t>–</w:t>
      </w:r>
      <w:r w:rsidR="00AF3BED" w:rsidRPr="00471869">
        <w:t xml:space="preserve">24 </w:t>
      </w:r>
      <w:r w:rsidR="007B0045" w:rsidRPr="00471869">
        <w:t xml:space="preserve">net expense data. </w:t>
      </w:r>
      <w:r w:rsidR="000E7E4B" w:rsidRPr="00471869">
        <w:t>After the 2026 Update, the coefficients will remain fixed until the next review.</w:t>
      </w:r>
      <w:r w:rsidR="000E7E4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D6F4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decimal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"/>
      <w:lvlJc w:val="left"/>
      <w:pPr>
        <w:ind w:left="0" w:firstLine="0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BF05D3"/>
    <w:multiLevelType w:val="hybridMultilevel"/>
    <w:tmpl w:val="970C0F1A"/>
    <w:lvl w:ilvl="0" w:tplc="E796247A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E03A9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CF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C0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C9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A4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A2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4A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AA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7110E312"/>
    <w:lvl w:ilvl="0" w:tplc="788C0800">
      <w:start w:val="1"/>
      <w:numFmt w:val="bullet"/>
      <w:pStyle w:val="CGC2025Bullet1"/>
      <w:lvlText w:val=""/>
      <w:lvlJc w:val="left"/>
      <w:pPr>
        <w:ind w:left="1440" w:hanging="360"/>
      </w:pPr>
      <w:rPr>
        <w:rFonts w:ascii="Symbol" w:hAnsi="Symbol" w:hint="default"/>
        <w:color w:val="636466"/>
      </w:rPr>
    </w:lvl>
    <w:lvl w:ilvl="1" w:tplc="3FAE6030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9D4E251C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E6FE281A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C0D09B80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16D89AE2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47F87BB2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D4C2C566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954285F4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" w15:restartNumberingAfterBreak="0">
    <w:nsid w:val="22AF3A2E"/>
    <w:multiLevelType w:val="multilevel"/>
    <w:tmpl w:val="CA8C01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3F36BDD"/>
    <w:multiLevelType w:val="hybridMultilevel"/>
    <w:tmpl w:val="62C6B104"/>
    <w:lvl w:ilvl="0" w:tplc="705E3E0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7BD29B8"/>
    <w:multiLevelType w:val="hybridMultilevel"/>
    <w:tmpl w:val="198C68C4"/>
    <w:lvl w:ilvl="0" w:tplc="7B6C4CFE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24FCA"/>
    <w:multiLevelType w:val="hybridMultilevel"/>
    <w:tmpl w:val="AF086F92"/>
    <w:styleLink w:val="CurrentList1"/>
    <w:lvl w:ilvl="0" w:tplc="A61AAA14">
      <w:start w:val="1"/>
      <w:numFmt w:val="decimal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1EE4145"/>
    <w:multiLevelType w:val="hybridMultilevel"/>
    <w:tmpl w:val="81E0F6E8"/>
    <w:lvl w:ilvl="0" w:tplc="F05C9B16">
      <w:start w:val="7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A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45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29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05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84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42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47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4D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14" w15:restartNumberingAfterBreak="0">
    <w:nsid w:val="62AC30F8"/>
    <w:multiLevelType w:val="hybridMultilevel"/>
    <w:tmpl w:val="765AEE82"/>
    <w:lvl w:ilvl="0" w:tplc="FC060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56961"/>
    <w:multiLevelType w:val="hybridMultilevel"/>
    <w:tmpl w:val="4BB6122E"/>
    <w:lvl w:ilvl="0" w:tplc="7760FCFC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BB8128C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D80E21A4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E1421F4E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35186800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468842D4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3104DA2A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1AC6ED8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B1860EF0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7" w15:restartNumberingAfterBreak="0">
    <w:nsid w:val="6E3F40C3"/>
    <w:multiLevelType w:val="hybridMultilevel"/>
    <w:tmpl w:val="A516C59E"/>
    <w:lvl w:ilvl="0" w:tplc="0B004CD2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F9C7F05"/>
    <w:multiLevelType w:val="multilevel"/>
    <w:tmpl w:val="6B6EF93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D62F87"/>
    <w:multiLevelType w:val="hybridMultilevel"/>
    <w:tmpl w:val="E332B1EE"/>
    <w:lvl w:ilvl="0" w:tplc="45C873B4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3FB2F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6E3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D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63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825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89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A7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38E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5"/>
  </w:num>
  <w:num w:numId="2" w16cid:durableId="1003897054">
    <w:abstractNumId w:val="19"/>
  </w:num>
  <w:num w:numId="3" w16cid:durableId="1334529044">
    <w:abstractNumId w:val="4"/>
  </w:num>
  <w:num w:numId="4" w16cid:durableId="1514761234">
    <w:abstractNumId w:val="3"/>
  </w:num>
  <w:num w:numId="5" w16cid:durableId="920797300">
    <w:abstractNumId w:val="0"/>
  </w:num>
  <w:num w:numId="6" w16cid:durableId="1807814447">
    <w:abstractNumId w:val="15"/>
  </w:num>
  <w:num w:numId="7" w16cid:durableId="801770153">
    <w:abstractNumId w:val="9"/>
  </w:num>
  <w:num w:numId="8" w16cid:durableId="1737627722">
    <w:abstractNumId w:val="16"/>
  </w:num>
  <w:num w:numId="9" w16cid:durableId="176697617">
    <w:abstractNumId w:val="2"/>
  </w:num>
  <w:num w:numId="10" w16cid:durableId="2080126907">
    <w:abstractNumId w:val="11"/>
  </w:num>
  <w:num w:numId="11" w16cid:durableId="58332428">
    <w:abstractNumId w:val="8"/>
  </w:num>
  <w:num w:numId="12" w16cid:durableId="548763162">
    <w:abstractNumId w:val="13"/>
  </w:num>
  <w:num w:numId="13" w16cid:durableId="1946618260">
    <w:abstractNumId w:val="18"/>
  </w:num>
  <w:num w:numId="14" w16cid:durableId="332336816">
    <w:abstractNumId w:val="12"/>
  </w:num>
  <w:num w:numId="15" w16cid:durableId="982854614">
    <w:abstractNumId w:val="1"/>
  </w:num>
  <w:num w:numId="16" w16cid:durableId="1153057923">
    <w:abstractNumId w:val="10"/>
  </w:num>
  <w:num w:numId="17" w16cid:durableId="975918195">
    <w:abstractNumId w:val="14"/>
  </w:num>
  <w:num w:numId="18" w16cid:durableId="192966188">
    <w:abstractNumId w:val="2"/>
  </w:num>
  <w:num w:numId="19" w16cid:durableId="735511686">
    <w:abstractNumId w:val="6"/>
  </w:num>
  <w:num w:numId="20" w16cid:durableId="1659726089">
    <w:abstractNumId w:val="2"/>
  </w:num>
  <w:num w:numId="21" w16cid:durableId="1849438928">
    <w:abstractNumId w:val="17"/>
  </w:num>
  <w:num w:numId="22" w16cid:durableId="153488500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0E7"/>
    <w:rsid w:val="00000101"/>
    <w:rsid w:val="0000012E"/>
    <w:rsid w:val="00000387"/>
    <w:rsid w:val="00000834"/>
    <w:rsid w:val="000009EF"/>
    <w:rsid w:val="00000AB2"/>
    <w:rsid w:val="00000C9F"/>
    <w:rsid w:val="00000F1A"/>
    <w:rsid w:val="00001078"/>
    <w:rsid w:val="00001323"/>
    <w:rsid w:val="000014F2"/>
    <w:rsid w:val="000015D5"/>
    <w:rsid w:val="00001882"/>
    <w:rsid w:val="000019C0"/>
    <w:rsid w:val="00001D6F"/>
    <w:rsid w:val="00001DA2"/>
    <w:rsid w:val="00001E8B"/>
    <w:rsid w:val="00002144"/>
    <w:rsid w:val="000021B7"/>
    <w:rsid w:val="000021F8"/>
    <w:rsid w:val="00002343"/>
    <w:rsid w:val="00002356"/>
    <w:rsid w:val="000025E6"/>
    <w:rsid w:val="00002626"/>
    <w:rsid w:val="00002899"/>
    <w:rsid w:val="00002923"/>
    <w:rsid w:val="00002ECC"/>
    <w:rsid w:val="00002F86"/>
    <w:rsid w:val="000032B9"/>
    <w:rsid w:val="000036D8"/>
    <w:rsid w:val="0000374F"/>
    <w:rsid w:val="0000378E"/>
    <w:rsid w:val="00003AD2"/>
    <w:rsid w:val="000042F1"/>
    <w:rsid w:val="000043F9"/>
    <w:rsid w:val="00004719"/>
    <w:rsid w:val="0000485A"/>
    <w:rsid w:val="00004944"/>
    <w:rsid w:val="00004B1A"/>
    <w:rsid w:val="00004C67"/>
    <w:rsid w:val="00004D9B"/>
    <w:rsid w:val="00004E0A"/>
    <w:rsid w:val="000050ED"/>
    <w:rsid w:val="000053F8"/>
    <w:rsid w:val="00005AA3"/>
    <w:rsid w:val="00005B41"/>
    <w:rsid w:val="00005C16"/>
    <w:rsid w:val="00005E49"/>
    <w:rsid w:val="00005EEE"/>
    <w:rsid w:val="0000618C"/>
    <w:rsid w:val="000063A3"/>
    <w:rsid w:val="0000648D"/>
    <w:rsid w:val="00006657"/>
    <w:rsid w:val="0000687F"/>
    <w:rsid w:val="0000698A"/>
    <w:rsid w:val="00006A56"/>
    <w:rsid w:val="00006C9A"/>
    <w:rsid w:val="00006E30"/>
    <w:rsid w:val="00006EC6"/>
    <w:rsid w:val="00006F3D"/>
    <w:rsid w:val="00007246"/>
    <w:rsid w:val="00007847"/>
    <w:rsid w:val="00007899"/>
    <w:rsid w:val="00007AB8"/>
    <w:rsid w:val="00007C9F"/>
    <w:rsid w:val="00007FD5"/>
    <w:rsid w:val="000105A1"/>
    <w:rsid w:val="00010711"/>
    <w:rsid w:val="00010859"/>
    <w:rsid w:val="00010B75"/>
    <w:rsid w:val="00010CEC"/>
    <w:rsid w:val="00010CFF"/>
    <w:rsid w:val="00010F5B"/>
    <w:rsid w:val="000112A8"/>
    <w:rsid w:val="000116BD"/>
    <w:rsid w:val="0001190B"/>
    <w:rsid w:val="000119DA"/>
    <w:rsid w:val="00011B2C"/>
    <w:rsid w:val="00011B3B"/>
    <w:rsid w:val="00011BB3"/>
    <w:rsid w:val="00011C73"/>
    <w:rsid w:val="00011D1A"/>
    <w:rsid w:val="00011DA8"/>
    <w:rsid w:val="00011F7D"/>
    <w:rsid w:val="000120A6"/>
    <w:rsid w:val="00012169"/>
    <w:rsid w:val="0001218F"/>
    <w:rsid w:val="000124BE"/>
    <w:rsid w:val="00012556"/>
    <w:rsid w:val="000126DF"/>
    <w:rsid w:val="00012766"/>
    <w:rsid w:val="00012967"/>
    <w:rsid w:val="00012ABC"/>
    <w:rsid w:val="00012AC0"/>
    <w:rsid w:val="00012ACA"/>
    <w:rsid w:val="00012AF0"/>
    <w:rsid w:val="00012B67"/>
    <w:rsid w:val="00012C11"/>
    <w:rsid w:val="00012C74"/>
    <w:rsid w:val="00012D94"/>
    <w:rsid w:val="00012F9B"/>
    <w:rsid w:val="00013A98"/>
    <w:rsid w:val="00013B63"/>
    <w:rsid w:val="00013DDC"/>
    <w:rsid w:val="00013E4F"/>
    <w:rsid w:val="00014038"/>
    <w:rsid w:val="00014145"/>
    <w:rsid w:val="000141E3"/>
    <w:rsid w:val="00014225"/>
    <w:rsid w:val="00014864"/>
    <w:rsid w:val="000148C5"/>
    <w:rsid w:val="0001491F"/>
    <w:rsid w:val="00014CB0"/>
    <w:rsid w:val="000150BF"/>
    <w:rsid w:val="00015283"/>
    <w:rsid w:val="00015345"/>
    <w:rsid w:val="0001542B"/>
    <w:rsid w:val="000154B6"/>
    <w:rsid w:val="00015500"/>
    <w:rsid w:val="0001558D"/>
    <w:rsid w:val="000156B2"/>
    <w:rsid w:val="0001570C"/>
    <w:rsid w:val="00015818"/>
    <w:rsid w:val="00015A97"/>
    <w:rsid w:val="00015AE1"/>
    <w:rsid w:val="00015C57"/>
    <w:rsid w:val="00015D0B"/>
    <w:rsid w:val="00015DC7"/>
    <w:rsid w:val="00015F28"/>
    <w:rsid w:val="000162E7"/>
    <w:rsid w:val="00016307"/>
    <w:rsid w:val="0001698B"/>
    <w:rsid w:val="000169A8"/>
    <w:rsid w:val="00016C62"/>
    <w:rsid w:val="00016DAC"/>
    <w:rsid w:val="00016DEA"/>
    <w:rsid w:val="00016E0A"/>
    <w:rsid w:val="00016E40"/>
    <w:rsid w:val="00016FE0"/>
    <w:rsid w:val="00016FE9"/>
    <w:rsid w:val="000174ED"/>
    <w:rsid w:val="000175B8"/>
    <w:rsid w:val="00017640"/>
    <w:rsid w:val="000176AF"/>
    <w:rsid w:val="000176D7"/>
    <w:rsid w:val="0001770B"/>
    <w:rsid w:val="000178EF"/>
    <w:rsid w:val="000179C2"/>
    <w:rsid w:val="00017A9C"/>
    <w:rsid w:val="00017E5B"/>
    <w:rsid w:val="00017EB6"/>
    <w:rsid w:val="000202DF"/>
    <w:rsid w:val="0002041C"/>
    <w:rsid w:val="000204C9"/>
    <w:rsid w:val="00020799"/>
    <w:rsid w:val="00020A83"/>
    <w:rsid w:val="00020D21"/>
    <w:rsid w:val="00020EA3"/>
    <w:rsid w:val="00021295"/>
    <w:rsid w:val="000212E9"/>
    <w:rsid w:val="00021453"/>
    <w:rsid w:val="00021727"/>
    <w:rsid w:val="00021827"/>
    <w:rsid w:val="00021896"/>
    <w:rsid w:val="000219E7"/>
    <w:rsid w:val="00021C7A"/>
    <w:rsid w:val="00021E88"/>
    <w:rsid w:val="00022166"/>
    <w:rsid w:val="00022225"/>
    <w:rsid w:val="000223F7"/>
    <w:rsid w:val="0002244C"/>
    <w:rsid w:val="00022C1B"/>
    <w:rsid w:val="00022CE0"/>
    <w:rsid w:val="00022EA9"/>
    <w:rsid w:val="00023068"/>
    <w:rsid w:val="00023137"/>
    <w:rsid w:val="000234FC"/>
    <w:rsid w:val="00023634"/>
    <w:rsid w:val="0002367D"/>
    <w:rsid w:val="0002372B"/>
    <w:rsid w:val="00023AE7"/>
    <w:rsid w:val="00023B03"/>
    <w:rsid w:val="00023B56"/>
    <w:rsid w:val="00023BDB"/>
    <w:rsid w:val="00023DB6"/>
    <w:rsid w:val="00023E6A"/>
    <w:rsid w:val="00023EC6"/>
    <w:rsid w:val="00023F5D"/>
    <w:rsid w:val="00023FF3"/>
    <w:rsid w:val="00024069"/>
    <w:rsid w:val="00024609"/>
    <w:rsid w:val="000246BA"/>
    <w:rsid w:val="000246EB"/>
    <w:rsid w:val="00024745"/>
    <w:rsid w:val="00024A4B"/>
    <w:rsid w:val="00024CD0"/>
    <w:rsid w:val="00024D28"/>
    <w:rsid w:val="00024D5F"/>
    <w:rsid w:val="000251CC"/>
    <w:rsid w:val="00025242"/>
    <w:rsid w:val="00025612"/>
    <w:rsid w:val="00025B1F"/>
    <w:rsid w:val="00025BB3"/>
    <w:rsid w:val="00025CB3"/>
    <w:rsid w:val="00025D1C"/>
    <w:rsid w:val="00025E3D"/>
    <w:rsid w:val="00025E76"/>
    <w:rsid w:val="00025E94"/>
    <w:rsid w:val="00026337"/>
    <w:rsid w:val="000265A4"/>
    <w:rsid w:val="00026668"/>
    <w:rsid w:val="00026801"/>
    <w:rsid w:val="00026896"/>
    <w:rsid w:val="000268E0"/>
    <w:rsid w:val="00026928"/>
    <w:rsid w:val="00026A1A"/>
    <w:rsid w:val="00026AAF"/>
    <w:rsid w:val="00026AD6"/>
    <w:rsid w:val="00026B9B"/>
    <w:rsid w:val="00026E43"/>
    <w:rsid w:val="00026E62"/>
    <w:rsid w:val="00026E7B"/>
    <w:rsid w:val="00027270"/>
    <w:rsid w:val="000273C6"/>
    <w:rsid w:val="000274F7"/>
    <w:rsid w:val="00027557"/>
    <w:rsid w:val="00027691"/>
    <w:rsid w:val="00027A3D"/>
    <w:rsid w:val="00027ABE"/>
    <w:rsid w:val="00027FD0"/>
    <w:rsid w:val="00027FFA"/>
    <w:rsid w:val="000300ED"/>
    <w:rsid w:val="00030205"/>
    <w:rsid w:val="000303BA"/>
    <w:rsid w:val="000304E3"/>
    <w:rsid w:val="00030516"/>
    <w:rsid w:val="00030595"/>
    <w:rsid w:val="00030629"/>
    <w:rsid w:val="00030E66"/>
    <w:rsid w:val="00031648"/>
    <w:rsid w:val="00031747"/>
    <w:rsid w:val="00031AFE"/>
    <w:rsid w:val="00031B76"/>
    <w:rsid w:val="00031CF4"/>
    <w:rsid w:val="0003204F"/>
    <w:rsid w:val="00032245"/>
    <w:rsid w:val="00032318"/>
    <w:rsid w:val="00032544"/>
    <w:rsid w:val="000326F5"/>
    <w:rsid w:val="0003275A"/>
    <w:rsid w:val="000327F7"/>
    <w:rsid w:val="00032856"/>
    <w:rsid w:val="000328A8"/>
    <w:rsid w:val="00032C9E"/>
    <w:rsid w:val="00032D38"/>
    <w:rsid w:val="00032F41"/>
    <w:rsid w:val="00033347"/>
    <w:rsid w:val="0003338D"/>
    <w:rsid w:val="00033424"/>
    <w:rsid w:val="000335BE"/>
    <w:rsid w:val="0003367B"/>
    <w:rsid w:val="000336E0"/>
    <w:rsid w:val="000337F5"/>
    <w:rsid w:val="00033859"/>
    <w:rsid w:val="0003387B"/>
    <w:rsid w:val="000338C9"/>
    <w:rsid w:val="00033A71"/>
    <w:rsid w:val="00033C0D"/>
    <w:rsid w:val="00033F97"/>
    <w:rsid w:val="0003409C"/>
    <w:rsid w:val="0003432A"/>
    <w:rsid w:val="000344F5"/>
    <w:rsid w:val="00034622"/>
    <w:rsid w:val="00034916"/>
    <w:rsid w:val="00034DBB"/>
    <w:rsid w:val="00034F08"/>
    <w:rsid w:val="000355D9"/>
    <w:rsid w:val="00035F2E"/>
    <w:rsid w:val="00036123"/>
    <w:rsid w:val="000361BA"/>
    <w:rsid w:val="000363C5"/>
    <w:rsid w:val="000364B2"/>
    <w:rsid w:val="000364E9"/>
    <w:rsid w:val="00036657"/>
    <w:rsid w:val="00036BD8"/>
    <w:rsid w:val="00036C51"/>
    <w:rsid w:val="00036F14"/>
    <w:rsid w:val="00036F1C"/>
    <w:rsid w:val="000370C8"/>
    <w:rsid w:val="000372BA"/>
    <w:rsid w:val="000376F9"/>
    <w:rsid w:val="0003780F"/>
    <w:rsid w:val="00037D04"/>
    <w:rsid w:val="0004005B"/>
    <w:rsid w:val="00040135"/>
    <w:rsid w:val="000404E6"/>
    <w:rsid w:val="000404EA"/>
    <w:rsid w:val="00040571"/>
    <w:rsid w:val="00040601"/>
    <w:rsid w:val="00040630"/>
    <w:rsid w:val="00040B81"/>
    <w:rsid w:val="00040CCA"/>
    <w:rsid w:val="00040D48"/>
    <w:rsid w:val="00040FA5"/>
    <w:rsid w:val="000410C8"/>
    <w:rsid w:val="0004123E"/>
    <w:rsid w:val="00041299"/>
    <w:rsid w:val="00041748"/>
    <w:rsid w:val="00041970"/>
    <w:rsid w:val="00041E1B"/>
    <w:rsid w:val="00041E84"/>
    <w:rsid w:val="00041EA8"/>
    <w:rsid w:val="00041EC4"/>
    <w:rsid w:val="00041F4B"/>
    <w:rsid w:val="00042008"/>
    <w:rsid w:val="00042271"/>
    <w:rsid w:val="0004236F"/>
    <w:rsid w:val="000424EA"/>
    <w:rsid w:val="0004258C"/>
    <w:rsid w:val="00042C40"/>
    <w:rsid w:val="00042E37"/>
    <w:rsid w:val="00042E9E"/>
    <w:rsid w:val="00042F7F"/>
    <w:rsid w:val="00043611"/>
    <w:rsid w:val="00043766"/>
    <w:rsid w:val="000437A5"/>
    <w:rsid w:val="00043B5D"/>
    <w:rsid w:val="00043CFE"/>
    <w:rsid w:val="00043E1E"/>
    <w:rsid w:val="00043F2E"/>
    <w:rsid w:val="00043FDA"/>
    <w:rsid w:val="00044109"/>
    <w:rsid w:val="000442AA"/>
    <w:rsid w:val="00044479"/>
    <w:rsid w:val="0004447D"/>
    <w:rsid w:val="000444A1"/>
    <w:rsid w:val="0004456B"/>
    <w:rsid w:val="00044A6A"/>
    <w:rsid w:val="00044CB9"/>
    <w:rsid w:val="00044E5C"/>
    <w:rsid w:val="000451DA"/>
    <w:rsid w:val="00045616"/>
    <w:rsid w:val="0004569D"/>
    <w:rsid w:val="00045736"/>
    <w:rsid w:val="00045C11"/>
    <w:rsid w:val="00045F82"/>
    <w:rsid w:val="00046397"/>
    <w:rsid w:val="00046506"/>
    <w:rsid w:val="000465BD"/>
    <w:rsid w:val="00046766"/>
    <w:rsid w:val="00046859"/>
    <w:rsid w:val="00046A37"/>
    <w:rsid w:val="00046AD0"/>
    <w:rsid w:val="00046B06"/>
    <w:rsid w:val="00046DDF"/>
    <w:rsid w:val="000470A2"/>
    <w:rsid w:val="00047216"/>
    <w:rsid w:val="000473BD"/>
    <w:rsid w:val="0004766F"/>
    <w:rsid w:val="00047690"/>
    <w:rsid w:val="0004770F"/>
    <w:rsid w:val="00047856"/>
    <w:rsid w:val="00047951"/>
    <w:rsid w:val="00047AB0"/>
    <w:rsid w:val="00047DF1"/>
    <w:rsid w:val="00047E5A"/>
    <w:rsid w:val="0005017B"/>
    <w:rsid w:val="000501A8"/>
    <w:rsid w:val="00050287"/>
    <w:rsid w:val="0005034E"/>
    <w:rsid w:val="0005048F"/>
    <w:rsid w:val="000507DC"/>
    <w:rsid w:val="000508D3"/>
    <w:rsid w:val="00051114"/>
    <w:rsid w:val="000511BB"/>
    <w:rsid w:val="0005123F"/>
    <w:rsid w:val="000512E1"/>
    <w:rsid w:val="00051681"/>
    <w:rsid w:val="000518FD"/>
    <w:rsid w:val="0005194E"/>
    <w:rsid w:val="00051B92"/>
    <w:rsid w:val="00051D36"/>
    <w:rsid w:val="00051F3C"/>
    <w:rsid w:val="000520AF"/>
    <w:rsid w:val="0005213A"/>
    <w:rsid w:val="000525F5"/>
    <w:rsid w:val="0005289F"/>
    <w:rsid w:val="00052A01"/>
    <w:rsid w:val="00052DA0"/>
    <w:rsid w:val="00052E6B"/>
    <w:rsid w:val="00052EF2"/>
    <w:rsid w:val="000531B0"/>
    <w:rsid w:val="00053255"/>
    <w:rsid w:val="00053480"/>
    <w:rsid w:val="00053497"/>
    <w:rsid w:val="00053512"/>
    <w:rsid w:val="00053581"/>
    <w:rsid w:val="0005377C"/>
    <w:rsid w:val="0005381C"/>
    <w:rsid w:val="000539A2"/>
    <w:rsid w:val="00053C36"/>
    <w:rsid w:val="00053D7B"/>
    <w:rsid w:val="00053F80"/>
    <w:rsid w:val="000540CC"/>
    <w:rsid w:val="000540EC"/>
    <w:rsid w:val="0005410D"/>
    <w:rsid w:val="000541B6"/>
    <w:rsid w:val="00054309"/>
    <w:rsid w:val="00054311"/>
    <w:rsid w:val="0005450F"/>
    <w:rsid w:val="0005451C"/>
    <w:rsid w:val="0005453D"/>
    <w:rsid w:val="00054591"/>
    <w:rsid w:val="000547AA"/>
    <w:rsid w:val="00054AB4"/>
    <w:rsid w:val="00054C3B"/>
    <w:rsid w:val="000554BF"/>
    <w:rsid w:val="000555DB"/>
    <w:rsid w:val="00055648"/>
    <w:rsid w:val="00055A2D"/>
    <w:rsid w:val="00055A53"/>
    <w:rsid w:val="00055B9E"/>
    <w:rsid w:val="00055C0F"/>
    <w:rsid w:val="00055C98"/>
    <w:rsid w:val="00055D9E"/>
    <w:rsid w:val="00055DE3"/>
    <w:rsid w:val="00055F5A"/>
    <w:rsid w:val="00055F6C"/>
    <w:rsid w:val="00055FA9"/>
    <w:rsid w:val="000560AA"/>
    <w:rsid w:val="00056371"/>
    <w:rsid w:val="00056373"/>
    <w:rsid w:val="000568D8"/>
    <w:rsid w:val="000568F5"/>
    <w:rsid w:val="000569CD"/>
    <w:rsid w:val="00056E89"/>
    <w:rsid w:val="0005702C"/>
    <w:rsid w:val="000571A1"/>
    <w:rsid w:val="00057265"/>
    <w:rsid w:val="0005771F"/>
    <w:rsid w:val="00057762"/>
    <w:rsid w:val="00057AED"/>
    <w:rsid w:val="00057BFF"/>
    <w:rsid w:val="00057C86"/>
    <w:rsid w:val="00057D13"/>
    <w:rsid w:val="00057FA0"/>
    <w:rsid w:val="0006027F"/>
    <w:rsid w:val="000602B7"/>
    <w:rsid w:val="000604C7"/>
    <w:rsid w:val="0006050F"/>
    <w:rsid w:val="0006062F"/>
    <w:rsid w:val="000606AE"/>
    <w:rsid w:val="000607C2"/>
    <w:rsid w:val="000607E9"/>
    <w:rsid w:val="00060A59"/>
    <w:rsid w:val="00060CA5"/>
    <w:rsid w:val="00060FD3"/>
    <w:rsid w:val="0006104A"/>
    <w:rsid w:val="00061111"/>
    <w:rsid w:val="0006111B"/>
    <w:rsid w:val="00061233"/>
    <w:rsid w:val="000612EB"/>
    <w:rsid w:val="0006140A"/>
    <w:rsid w:val="00061436"/>
    <w:rsid w:val="00061514"/>
    <w:rsid w:val="00061535"/>
    <w:rsid w:val="0006177C"/>
    <w:rsid w:val="00061933"/>
    <w:rsid w:val="00061993"/>
    <w:rsid w:val="00061B8C"/>
    <w:rsid w:val="00061D48"/>
    <w:rsid w:val="00061DC2"/>
    <w:rsid w:val="00062330"/>
    <w:rsid w:val="000624BB"/>
    <w:rsid w:val="00062AFC"/>
    <w:rsid w:val="00062C57"/>
    <w:rsid w:val="00062C8A"/>
    <w:rsid w:val="00062D47"/>
    <w:rsid w:val="00062EE9"/>
    <w:rsid w:val="00063133"/>
    <w:rsid w:val="000633E8"/>
    <w:rsid w:val="00063437"/>
    <w:rsid w:val="000634BD"/>
    <w:rsid w:val="0006366E"/>
    <w:rsid w:val="0006379B"/>
    <w:rsid w:val="0006396F"/>
    <w:rsid w:val="00063BE9"/>
    <w:rsid w:val="00063D3F"/>
    <w:rsid w:val="00063F52"/>
    <w:rsid w:val="000641EB"/>
    <w:rsid w:val="00064557"/>
    <w:rsid w:val="000648E8"/>
    <w:rsid w:val="00064BB3"/>
    <w:rsid w:val="00064BEE"/>
    <w:rsid w:val="00064CE5"/>
    <w:rsid w:val="00064FAA"/>
    <w:rsid w:val="0006519E"/>
    <w:rsid w:val="000651D2"/>
    <w:rsid w:val="000653F5"/>
    <w:rsid w:val="000656EC"/>
    <w:rsid w:val="000657A7"/>
    <w:rsid w:val="00065B4A"/>
    <w:rsid w:val="00065BEC"/>
    <w:rsid w:val="00065BF3"/>
    <w:rsid w:val="00065D2E"/>
    <w:rsid w:val="00065F38"/>
    <w:rsid w:val="00065F76"/>
    <w:rsid w:val="000661E7"/>
    <w:rsid w:val="000665AB"/>
    <w:rsid w:val="000665AD"/>
    <w:rsid w:val="000666FA"/>
    <w:rsid w:val="00066C63"/>
    <w:rsid w:val="00066CDD"/>
    <w:rsid w:val="00066D82"/>
    <w:rsid w:val="00066E63"/>
    <w:rsid w:val="00066F8C"/>
    <w:rsid w:val="00066FC9"/>
    <w:rsid w:val="0006731D"/>
    <w:rsid w:val="00067964"/>
    <w:rsid w:val="000679BC"/>
    <w:rsid w:val="000702C3"/>
    <w:rsid w:val="000702E2"/>
    <w:rsid w:val="00070435"/>
    <w:rsid w:val="00070714"/>
    <w:rsid w:val="00070B45"/>
    <w:rsid w:val="00070BDE"/>
    <w:rsid w:val="00070D3C"/>
    <w:rsid w:val="00070D80"/>
    <w:rsid w:val="00070EA5"/>
    <w:rsid w:val="0007102B"/>
    <w:rsid w:val="000715CE"/>
    <w:rsid w:val="0007176A"/>
    <w:rsid w:val="0007176E"/>
    <w:rsid w:val="000717CB"/>
    <w:rsid w:val="0007185D"/>
    <w:rsid w:val="0007191B"/>
    <w:rsid w:val="000719A2"/>
    <w:rsid w:val="00071EF7"/>
    <w:rsid w:val="00071F1E"/>
    <w:rsid w:val="00072271"/>
    <w:rsid w:val="00072373"/>
    <w:rsid w:val="00072886"/>
    <w:rsid w:val="00072B41"/>
    <w:rsid w:val="00072CBE"/>
    <w:rsid w:val="00072D0C"/>
    <w:rsid w:val="00072E1A"/>
    <w:rsid w:val="00072F10"/>
    <w:rsid w:val="0007310A"/>
    <w:rsid w:val="000731C5"/>
    <w:rsid w:val="0007335C"/>
    <w:rsid w:val="000733B7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2AD"/>
    <w:rsid w:val="00074521"/>
    <w:rsid w:val="0007475F"/>
    <w:rsid w:val="0007476E"/>
    <w:rsid w:val="000748DB"/>
    <w:rsid w:val="00074A1E"/>
    <w:rsid w:val="00075051"/>
    <w:rsid w:val="00075320"/>
    <w:rsid w:val="00075593"/>
    <w:rsid w:val="0007582F"/>
    <w:rsid w:val="00075BB5"/>
    <w:rsid w:val="00075D7C"/>
    <w:rsid w:val="00076434"/>
    <w:rsid w:val="00076C47"/>
    <w:rsid w:val="00076DA5"/>
    <w:rsid w:val="000772B1"/>
    <w:rsid w:val="00077354"/>
    <w:rsid w:val="000773FA"/>
    <w:rsid w:val="0007787A"/>
    <w:rsid w:val="000778EF"/>
    <w:rsid w:val="0007799B"/>
    <w:rsid w:val="000779DC"/>
    <w:rsid w:val="00077AAF"/>
    <w:rsid w:val="00077ADE"/>
    <w:rsid w:val="00080070"/>
    <w:rsid w:val="00080439"/>
    <w:rsid w:val="000805C9"/>
    <w:rsid w:val="00080824"/>
    <w:rsid w:val="00080895"/>
    <w:rsid w:val="00080936"/>
    <w:rsid w:val="00080C6E"/>
    <w:rsid w:val="000812ED"/>
    <w:rsid w:val="00081636"/>
    <w:rsid w:val="00081696"/>
    <w:rsid w:val="000816E0"/>
    <w:rsid w:val="00081905"/>
    <w:rsid w:val="000819A8"/>
    <w:rsid w:val="00081AD7"/>
    <w:rsid w:val="00081C5F"/>
    <w:rsid w:val="00081DDA"/>
    <w:rsid w:val="00081E45"/>
    <w:rsid w:val="00081F57"/>
    <w:rsid w:val="00081FAD"/>
    <w:rsid w:val="0008208B"/>
    <w:rsid w:val="00082090"/>
    <w:rsid w:val="000823CB"/>
    <w:rsid w:val="000826D0"/>
    <w:rsid w:val="000827AD"/>
    <w:rsid w:val="00082971"/>
    <w:rsid w:val="00082B10"/>
    <w:rsid w:val="00082DEF"/>
    <w:rsid w:val="00083022"/>
    <w:rsid w:val="00083837"/>
    <w:rsid w:val="00083842"/>
    <w:rsid w:val="00083B06"/>
    <w:rsid w:val="00084057"/>
    <w:rsid w:val="000840C3"/>
    <w:rsid w:val="00084494"/>
    <w:rsid w:val="0008456B"/>
    <w:rsid w:val="000845B9"/>
    <w:rsid w:val="000847BF"/>
    <w:rsid w:val="00084D57"/>
    <w:rsid w:val="00084E20"/>
    <w:rsid w:val="00084EE0"/>
    <w:rsid w:val="000851ED"/>
    <w:rsid w:val="00085305"/>
    <w:rsid w:val="0008559A"/>
    <w:rsid w:val="000855F4"/>
    <w:rsid w:val="00085729"/>
    <w:rsid w:val="00085D0E"/>
    <w:rsid w:val="00085DD9"/>
    <w:rsid w:val="00085EA1"/>
    <w:rsid w:val="00085EDA"/>
    <w:rsid w:val="00086045"/>
    <w:rsid w:val="00086167"/>
    <w:rsid w:val="000861D9"/>
    <w:rsid w:val="000863CD"/>
    <w:rsid w:val="00086447"/>
    <w:rsid w:val="00086546"/>
    <w:rsid w:val="00086773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6EFC"/>
    <w:rsid w:val="0008779D"/>
    <w:rsid w:val="000877EF"/>
    <w:rsid w:val="00087963"/>
    <w:rsid w:val="00087AC5"/>
    <w:rsid w:val="00087BD6"/>
    <w:rsid w:val="00087F7D"/>
    <w:rsid w:val="00087FBA"/>
    <w:rsid w:val="00087FC4"/>
    <w:rsid w:val="00090219"/>
    <w:rsid w:val="00090362"/>
    <w:rsid w:val="000903CC"/>
    <w:rsid w:val="00090438"/>
    <w:rsid w:val="00090781"/>
    <w:rsid w:val="000907C2"/>
    <w:rsid w:val="000907E8"/>
    <w:rsid w:val="00090B5C"/>
    <w:rsid w:val="00090DBA"/>
    <w:rsid w:val="000910DA"/>
    <w:rsid w:val="00091148"/>
    <w:rsid w:val="000911C4"/>
    <w:rsid w:val="000911C7"/>
    <w:rsid w:val="0009134C"/>
    <w:rsid w:val="0009138C"/>
    <w:rsid w:val="000917E8"/>
    <w:rsid w:val="00091918"/>
    <w:rsid w:val="00091AD2"/>
    <w:rsid w:val="00091C4F"/>
    <w:rsid w:val="00091D6E"/>
    <w:rsid w:val="00092552"/>
    <w:rsid w:val="000928AF"/>
    <w:rsid w:val="00092B65"/>
    <w:rsid w:val="00093188"/>
    <w:rsid w:val="00093603"/>
    <w:rsid w:val="0009371E"/>
    <w:rsid w:val="00093796"/>
    <w:rsid w:val="00093910"/>
    <w:rsid w:val="000939CA"/>
    <w:rsid w:val="00094010"/>
    <w:rsid w:val="000941B7"/>
    <w:rsid w:val="000943A8"/>
    <w:rsid w:val="000944B7"/>
    <w:rsid w:val="00094531"/>
    <w:rsid w:val="00094676"/>
    <w:rsid w:val="000950A8"/>
    <w:rsid w:val="0009567D"/>
    <w:rsid w:val="0009569E"/>
    <w:rsid w:val="000958A7"/>
    <w:rsid w:val="00095BFA"/>
    <w:rsid w:val="00095E57"/>
    <w:rsid w:val="00096310"/>
    <w:rsid w:val="0009650F"/>
    <w:rsid w:val="00096616"/>
    <w:rsid w:val="000966F2"/>
    <w:rsid w:val="00096896"/>
    <w:rsid w:val="00096A17"/>
    <w:rsid w:val="00096C06"/>
    <w:rsid w:val="00096C31"/>
    <w:rsid w:val="00096D0F"/>
    <w:rsid w:val="00096E12"/>
    <w:rsid w:val="00096E4E"/>
    <w:rsid w:val="000970BA"/>
    <w:rsid w:val="00097131"/>
    <w:rsid w:val="00097192"/>
    <w:rsid w:val="00097245"/>
    <w:rsid w:val="00097626"/>
    <w:rsid w:val="00097790"/>
    <w:rsid w:val="00097A3B"/>
    <w:rsid w:val="00097BBE"/>
    <w:rsid w:val="00097CF0"/>
    <w:rsid w:val="00097D78"/>
    <w:rsid w:val="00097EC4"/>
    <w:rsid w:val="00097F09"/>
    <w:rsid w:val="000A00A2"/>
    <w:rsid w:val="000A011D"/>
    <w:rsid w:val="000A073E"/>
    <w:rsid w:val="000A07C9"/>
    <w:rsid w:val="000A09ED"/>
    <w:rsid w:val="000A0AAC"/>
    <w:rsid w:val="000A0ABF"/>
    <w:rsid w:val="000A0C33"/>
    <w:rsid w:val="000A0D9F"/>
    <w:rsid w:val="000A14D5"/>
    <w:rsid w:val="000A14F8"/>
    <w:rsid w:val="000A17C5"/>
    <w:rsid w:val="000A17F1"/>
    <w:rsid w:val="000A1884"/>
    <w:rsid w:val="000A1954"/>
    <w:rsid w:val="000A1B09"/>
    <w:rsid w:val="000A1DED"/>
    <w:rsid w:val="000A1F82"/>
    <w:rsid w:val="000A2131"/>
    <w:rsid w:val="000A2246"/>
    <w:rsid w:val="000A2362"/>
    <w:rsid w:val="000A2395"/>
    <w:rsid w:val="000A2490"/>
    <w:rsid w:val="000A2AF6"/>
    <w:rsid w:val="000A2D71"/>
    <w:rsid w:val="000A2E24"/>
    <w:rsid w:val="000A3130"/>
    <w:rsid w:val="000A336C"/>
    <w:rsid w:val="000A346F"/>
    <w:rsid w:val="000A3898"/>
    <w:rsid w:val="000A3C2F"/>
    <w:rsid w:val="000A470A"/>
    <w:rsid w:val="000A487A"/>
    <w:rsid w:val="000A4D11"/>
    <w:rsid w:val="000A4F4D"/>
    <w:rsid w:val="000A52A1"/>
    <w:rsid w:val="000A5474"/>
    <w:rsid w:val="000A5557"/>
    <w:rsid w:val="000A581E"/>
    <w:rsid w:val="000A5824"/>
    <w:rsid w:val="000A5AF7"/>
    <w:rsid w:val="000A5DB9"/>
    <w:rsid w:val="000A5F92"/>
    <w:rsid w:val="000A60D1"/>
    <w:rsid w:val="000A633D"/>
    <w:rsid w:val="000A6389"/>
    <w:rsid w:val="000A6392"/>
    <w:rsid w:val="000A646A"/>
    <w:rsid w:val="000A6922"/>
    <w:rsid w:val="000A6FE6"/>
    <w:rsid w:val="000A7143"/>
    <w:rsid w:val="000A7268"/>
    <w:rsid w:val="000A74C3"/>
    <w:rsid w:val="000A756F"/>
    <w:rsid w:val="000A7591"/>
    <w:rsid w:val="000A77B8"/>
    <w:rsid w:val="000A7AA9"/>
    <w:rsid w:val="000A7C5E"/>
    <w:rsid w:val="000A7E55"/>
    <w:rsid w:val="000A7E96"/>
    <w:rsid w:val="000B061C"/>
    <w:rsid w:val="000B0891"/>
    <w:rsid w:val="000B08F0"/>
    <w:rsid w:val="000B0903"/>
    <w:rsid w:val="000B0905"/>
    <w:rsid w:val="000B0A33"/>
    <w:rsid w:val="000B0A76"/>
    <w:rsid w:val="000B0AB8"/>
    <w:rsid w:val="000B0D1A"/>
    <w:rsid w:val="000B0D24"/>
    <w:rsid w:val="000B0DE2"/>
    <w:rsid w:val="000B1046"/>
    <w:rsid w:val="000B1291"/>
    <w:rsid w:val="000B1639"/>
    <w:rsid w:val="000B16CB"/>
    <w:rsid w:val="000B1905"/>
    <w:rsid w:val="000B1B99"/>
    <w:rsid w:val="000B2042"/>
    <w:rsid w:val="000B2490"/>
    <w:rsid w:val="000B26DB"/>
    <w:rsid w:val="000B27D9"/>
    <w:rsid w:val="000B286B"/>
    <w:rsid w:val="000B2942"/>
    <w:rsid w:val="000B2944"/>
    <w:rsid w:val="000B2AF2"/>
    <w:rsid w:val="000B2CFB"/>
    <w:rsid w:val="000B2DCD"/>
    <w:rsid w:val="000B2DEE"/>
    <w:rsid w:val="000B2E2A"/>
    <w:rsid w:val="000B2F0F"/>
    <w:rsid w:val="000B3097"/>
    <w:rsid w:val="000B3208"/>
    <w:rsid w:val="000B347A"/>
    <w:rsid w:val="000B34CF"/>
    <w:rsid w:val="000B3557"/>
    <w:rsid w:val="000B3623"/>
    <w:rsid w:val="000B3797"/>
    <w:rsid w:val="000B3884"/>
    <w:rsid w:val="000B3B45"/>
    <w:rsid w:val="000B3BB2"/>
    <w:rsid w:val="000B3DC4"/>
    <w:rsid w:val="000B3DD3"/>
    <w:rsid w:val="000B3EA1"/>
    <w:rsid w:val="000B3F0A"/>
    <w:rsid w:val="000B3F3E"/>
    <w:rsid w:val="000B40CF"/>
    <w:rsid w:val="000B4179"/>
    <w:rsid w:val="000B442C"/>
    <w:rsid w:val="000B4705"/>
    <w:rsid w:val="000B4935"/>
    <w:rsid w:val="000B4D0E"/>
    <w:rsid w:val="000B5042"/>
    <w:rsid w:val="000B5110"/>
    <w:rsid w:val="000B5227"/>
    <w:rsid w:val="000B53C0"/>
    <w:rsid w:val="000B53FD"/>
    <w:rsid w:val="000B56FE"/>
    <w:rsid w:val="000B5744"/>
    <w:rsid w:val="000B577E"/>
    <w:rsid w:val="000B5B36"/>
    <w:rsid w:val="000B5C2F"/>
    <w:rsid w:val="000B5F91"/>
    <w:rsid w:val="000B5FCE"/>
    <w:rsid w:val="000B60C2"/>
    <w:rsid w:val="000B61DE"/>
    <w:rsid w:val="000B62EE"/>
    <w:rsid w:val="000B638D"/>
    <w:rsid w:val="000B64E3"/>
    <w:rsid w:val="000B673D"/>
    <w:rsid w:val="000B689B"/>
    <w:rsid w:val="000B7244"/>
    <w:rsid w:val="000B7348"/>
    <w:rsid w:val="000B73C6"/>
    <w:rsid w:val="000B75B9"/>
    <w:rsid w:val="000B7685"/>
    <w:rsid w:val="000B7A30"/>
    <w:rsid w:val="000B7CB8"/>
    <w:rsid w:val="000B7DC3"/>
    <w:rsid w:val="000B7F93"/>
    <w:rsid w:val="000C03FA"/>
    <w:rsid w:val="000C06A4"/>
    <w:rsid w:val="000C0B9A"/>
    <w:rsid w:val="000C0BBD"/>
    <w:rsid w:val="000C0CBA"/>
    <w:rsid w:val="000C0F3A"/>
    <w:rsid w:val="000C0FAC"/>
    <w:rsid w:val="000C1231"/>
    <w:rsid w:val="000C1575"/>
    <w:rsid w:val="000C1C46"/>
    <w:rsid w:val="000C1E53"/>
    <w:rsid w:val="000C1F18"/>
    <w:rsid w:val="000C21BB"/>
    <w:rsid w:val="000C221E"/>
    <w:rsid w:val="000C2391"/>
    <w:rsid w:val="000C2987"/>
    <w:rsid w:val="000C2EA9"/>
    <w:rsid w:val="000C2EC1"/>
    <w:rsid w:val="000C3283"/>
    <w:rsid w:val="000C32B9"/>
    <w:rsid w:val="000C32BB"/>
    <w:rsid w:val="000C32DF"/>
    <w:rsid w:val="000C354C"/>
    <w:rsid w:val="000C3927"/>
    <w:rsid w:val="000C3A76"/>
    <w:rsid w:val="000C3B22"/>
    <w:rsid w:val="000C3BF0"/>
    <w:rsid w:val="000C3D7B"/>
    <w:rsid w:val="000C3E87"/>
    <w:rsid w:val="000C4063"/>
    <w:rsid w:val="000C4BB7"/>
    <w:rsid w:val="000C4D5B"/>
    <w:rsid w:val="000C4DFC"/>
    <w:rsid w:val="000C4F6C"/>
    <w:rsid w:val="000C50B3"/>
    <w:rsid w:val="000C5110"/>
    <w:rsid w:val="000C53E9"/>
    <w:rsid w:val="000C5486"/>
    <w:rsid w:val="000C54ED"/>
    <w:rsid w:val="000C5522"/>
    <w:rsid w:val="000C5E11"/>
    <w:rsid w:val="000C5EAF"/>
    <w:rsid w:val="000C5F60"/>
    <w:rsid w:val="000C604F"/>
    <w:rsid w:val="000C60F6"/>
    <w:rsid w:val="000C68D6"/>
    <w:rsid w:val="000C6936"/>
    <w:rsid w:val="000C6A08"/>
    <w:rsid w:val="000C6DD4"/>
    <w:rsid w:val="000C6E2F"/>
    <w:rsid w:val="000C6E9F"/>
    <w:rsid w:val="000C6F33"/>
    <w:rsid w:val="000C6F7D"/>
    <w:rsid w:val="000C76F8"/>
    <w:rsid w:val="000C776D"/>
    <w:rsid w:val="000C782D"/>
    <w:rsid w:val="000C79D6"/>
    <w:rsid w:val="000C7AE7"/>
    <w:rsid w:val="000C7F62"/>
    <w:rsid w:val="000D01AA"/>
    <w:rsid w:val="000D03A5"/>
    <w:rsid w:val="000D05B3"/>
    <w:rsid w:val="000D0A89"/>
    <w:rsid w:val="000D0ACF"/>
    <w:rsid w:val="000D0B0D"/>
    <w:rsid w:val="000D0B77"/>
    <w:rsid w:val="000D0BB6"/>
    <w:rsid w:val="000D0C8D"/>
    <w:rsid w:val="000D0DF2"/>
    <w:rsid w:val="000D11CA"/>
    <w:rsid w:val="000D1354"/>
    <w:rsid w:val="000D149C"/>
    <w:rsid w:val="000D1DEA"/>
    <w:rsid w:val="000D1EA8"/>
    <w:rsid w:val="000D1F5C"/>
    <w:rsid w:val="000D1FAF"/>
    <w:rsid w:val="000D2088"/>
    <w:rsid w:val="000D224A"/>
    <w:rsid w:val="000D22C3"/>
    <w:rsid w:val="000D2311"/>
    <w:rsid w:val="000D23D1"/>
    <w:rsid w:val="000D25ED"/>
    <w:rsid w:val="000D2631"/>
    <w:rsid w:val="000D27F5"/>
    <w:rsid w:val="000D2879"/>
    <w:rsid w:val="000D2931"/>
    <w:rsid w:val="000D2A5E"/>
    <w:rsid w:val="000D2D5C"/>
    <w:rsid w:val="000D3378"/>
    <w:rsid w:val="000D3398"/>
    <w:rsid w:val="000D3531"/>
    <w:rsid w:val="000D3543"/>
    <w:rsid w:val="000D355C"/>
    <w:rsid w:val="000D366D"/>
    <w:rsid w:val="000D375A"/>
    <w:rsid w:val="000D37C2"/>
    <w:rsid w:val="000D3B05"/>
    <w:rsid w:val="000D3B9E"/>
    <w:rsid w:val="000D3BC1"/>
    <w:rsid w:val="000D3BD8"/>
    <w:rsid w:val="000D3CC1"/>
    <w:rsid w:val="000D3E23"/>
    <w:rsid w:val="000D4063"/>
    <w:rsid w:val="000D4101"/>
    <w:rsid w:val="000D41CA"/>
    <w:rsid w:val="000D4342"/>
    <w:rsid w:val="000D43B8"/>
    <w:rsid w:val="000D43F8"/>
    <w:rsid w:val="000D4457"/>
    <w:rsid w:val="000D4859"/>
    <w:rsid w:val="000D48FF"/>
    <w:rsid w:val="000D4C24"/>
    <w:rsid w:val="000D5055"/>
    <w:rsid w:val="000D518D"/>
    <w:rsid w:val="000D533D"/>
    <w:rsid w:val="000D535B"/>
    <w:rsid w:val="000D5667"/>
    <w:rsid w:val="000D571F"/>
    <w:rsid w:val="000D5787"/>
    <w:rsid w:val="000D57A8"/>
    <w:rsid w:val="000D57B0"/>
    <w:rsid w:val="000D5A6C"/>
    <w:rsid w:val="000D5BA2"/>
    <w:rsid w:val="000D5C58"/>
    <w:rsid w:val="000D5CA1"/>
    <w:rsid w:val="000D5EF1"/>
    <w:rsid w:val="000D65F5"/>
    <w:rsid w:val="000D6610"/>
    <w:rsid w:val="000D66A5"/>
    <w:rsid w:val="000D66C3"/>
    <w:rsid w:val="000D67E7"/>
    <w:rsid w:val="000D6927"/>
    <w:rsid w:val="000D6BF6"/>
    <w:rsid w:val="000D6C93"/>
    <w:rsid w:val="000D6D7F"/>
    <w:rsid w:val="000D6DB3"/>
    <w:rsid w:val="000D70AE"/>
    <w:rsid w:val="000D70D7"/>
    <w:rsid w:val="000D7199"/>
    <w:rsid w:val="000D73F4"/>
    <w:rsid w:val="000D763B"/>
    <w:rsid w:val="000D772C"/>
    <w:rsid w:val="000D7A2E"/>
    <w:rsid w:val="000D7B37"/>
    <w:rsid w:val="000D7C54"/>
    <w:rsid w:val="000D7C5B"/>
    <w:rsid w:val="000D7E36"/>
    <w:rsid w:val="000E0210"/>
    <w:rsid w:val="000E08B1"/>
    <w:rsid w:val="000E093D"/>
    <w:rsid w:val="000E0A76"/>
    <w:rsid w:val="000E1007"/>
    <w:rsid w:val="000E1644"/>
    <w:rsid w:val="000E1757"/>
    <w:rsid w:val="000E1767"/>
    <w:rsid w:val="000E1783"/>
    <w:rsid w:val="000E17A7"/>
    <w:rsid w:val="000E184C"/>
    <w:rsid w:val="000E1940"/>
    <w:rsid w:val="000E1979"/>
    <w:rsid w:val="000E1A53"/>
    <w:rsid w:val="000E1B78"/>
    <w:rsid w:val="000E1CA0"/>
    <w:rsid w:val="000E1FF7"/>
    <w:rsid w:val="000E20EE"/>
    <w:rsid w:val="000E2245"/>
    <w:rsid w:val="000E23A5"/>
    <w:rsid w:val="000E26C1"/>
    <w:rsid w:val="000E2B8A"/>
    <w:rsid w:val="000E2C66"/>
    <w:rsid w:val="000E2D93"/>
    <w:rsid w:val="000E3109"/>
    <w:rsid w:val="000E311B"/>
    <w:rsid w:val="000E3592"/>
    <w:rsid w:val="000E35A0"/>
    <w:rsid w:val="000E3683"/>
    <w:rsid w:val="000E3868"/>
    <w:rsid w:val="000E38BA"/>
    <w:rsid w:val="000E3AC1"/>
    <w:rsid w:val="000E3BE1"/>
    <w:rsid w:val="000E3D68"/>
    <w:rsid w:val="000E3DAC"/>
    <w:rsid w:val="000E3E15"/>
    <w:rsid w:val="000E41D5"/>
    <w:rsid w:val="000E423E"/>
    <w:rsid w:val="000E4607"/>
    <w:rsid w:val="000E460B"/>
    <w:rsid w:val="000E47B0"/>
    <w:rsid w:val="000E48F3"/>
    <w:rsid w:val="000E4B37"/>
    <w:rsid w:val="000E4BD7"/>
    <w:rsid w:val="000E4CED"/>
    <w:rsid w:val="000E4EB9"/>
    <w:rsid w:val="000E4EBC"/>
    <w:rsid w:val="000E4F9E"/>
    <w:rsid w:val="000E4FF4"/>
    <w:rsid w:val="000E5028"/>
    <w:rsid w:val="000E5031"/>
    <w:rsid w:val="000E5032"/>
    <w:rsid w:val="000E53C5"/>
    <w:rsid w:val="000E5404"/>
    <w:rsid w:val="000E5420"/>
    <w:rsid w:val="000E58CF"/>
    <w:rsid w:val="000E5C21"/>
    <w:rsid w:val="000E5E59"/>
    <w:rsid w:val="000E606F"/>
    <w:rsid w:val="000E614D"/>
    <w:rsid w:val="000E6391"/>
    <w:rsid w:val="000E63B0"/>
    <w:rsid w:val="000E645B"/>
    <w:rsid w:val="000E6774"/>
    <w:rsid w:val="000E6A5B"/>
    <w:rsid w:val="000E6AA5"/>
    <w:rsid w:val="000E6AB4"/>
    <w:rsid w:val="000E6B3B"/>
    <w:rsid w:val="000E6E06"/>
    <w:rsid w:val="000E7041"/>
    <w:rsid w:val="000E7650"/>
    <w:rsid w:val="000E798E"/>
    <w:rsid w:val="000E79A4"/>
    <w:rsid w:val="000E7BAB"/>
    <w:rsid w:val="000E7E4B"/>
    <w:rsid w:val="000E7ECC"/>
    <w:rsid w:val="000E7F56"/>
    <w:rsid w:val="000F0293"/>
    <w:rsid w:val="000F03BC"/>
    <w:rsid w:val="000F03DA"/>
    <w:rsid w:val="000F0674"/>
    <w:rsid w:val="000F0745"/>
    <w:rsid w:val="000F0879"/>
    <w:rsid w:val="000F09EA"/>
    <w:rsid w:val="000F0A6A"/>
    <w:rsid w:val="000F0AC1"/>
    <w:rsid w:val="000F0B55"/>
    <w:rsid w:val="000F0C4D"/>
    <w:rsid w:val="000F0D1A"/>
    <w:rsid w:val="000F1300"/>
    <w:rsid w:val="000F178B"/>
    <w:rsid w:val="000F1981"/>
    <w:rsid w:val="000F19C5"/>
    <w:rsid w:val="000F1A06"/>
    <w:rsid w:val="000F1B34"/>
    <w:rsid w:val="000F1CDA"/>
    <w:rsid w:val="000F1E1D"/>
    <w:rsid w:val="000F1EE5"/>
    <w:rsid w:val="000F20B7"/>
    <w:rsid w:val="000F2117"/>
    <w:rsid w:val="000F215B"/>
    <w:rsid w:val="000F21D7"/>
    <w:rsid w:val="000F232B"/>
    <w:rsid w:val="000F236C"/>
    <w:rsid w:val="000F23CA"/>
    <w:rsid w:val="000F269B"/>
    <w:rsid w:val="000F28B5"/>
    <w:rsid w:val="000F295A"/>
    <w:rsid w:val="000F29FF"/>
    <w:rsid w:val="000F2A40"/>
    <w:rsid w:val="000F2AF6"/>
    <w:rsid w:val="000F2B0F"/>
    <w:rsid w:val="000F2CD9"/>
    <w:rsid w:val="000F2D4E"/>
    <w:rsid w:val="000F2F0E"/>
    <w:rsid w:val="000F2F2D"/>
    <w:rsid w:val="000F2F8D"/>
    <w:rsid w:val="000F3314"/>
    <w:rsid w:val="000F3632"/>
    <w:rsid w:val="000F38A4"/>
    <w:rsid w:val="000F39ED"/>
    <w:rsid w:val="000F3CBF"/>
    <w:rsid w:val="000F3EB0"/>
    <w:rsid w:val="000F3F7D"/>
    <w:rsid w:val="000F3FBF"/>
    <w:rsid w:val="000F40D7"/>
    <w:rsid w:val="000F414B"/>
    <w:rsid w:val="000F4253"/>
    <w:rsid w:val="000F44AD"/>
    <w:rsid w:val="000F4C4F"/>
    <w:rsid w:val="000F4D3A"/>
    <w:rsid w:val="000F4D5D"/>
    <w:rsid w:val="000F58BC"/>
    <w:rsid w:val="000F591B"/>
    <w:rsid w:val="000F594C"/>
    <w:rsid w:val="000F5A35"/>
    <w:rsid w:val="000F5B3C"/>
    <w:rsid w:val="000F5D3A"/>
    <w:rsid w:val="000F5E36"/>
    <w:rsid w:val="000F5E8D"/>
    <w:rsid w:val="000F5F7F"/>
    <w:rsid w:val="000F60A0"/>
    <w:rsid w:val="000F615A"/>
    <w:rsid w:val="000F649F"/>
    <w:rsid w:val="000F6700"/>
    <w:rsid w:val="000F6ACF"/>
    <w:rsid w:val="000F6EE3"/>
    <w:rsid w:val="000F7631"/>
    <w:rsid w:val="000F7694"/>
    <w:rsid w:val="000F7787"/>
    <w:rsid w:val="000F7C51"/>
    <w:rsid w:val="000F7F56"/>
    <w:rsid w:val="000F7F5B"/>
    <w:rsid w:val="000F7F92"/>
    <w:rsid w:val="0010018B"/>
    <w:rsid w:val="001001B0"/>
    <w:rsid w:val="001002D2"/>
    <w:rsid w:val="00100409"/>
    <w:rsid w:val="00100583"/>
    <w:rsid w:val="0010076D"/>
    <w:rsid w:val="00100809"/>
    <w:rsid w:val="001008CB"/>
    <w:rsid w:val="00100E6F"/>
    <w:rsid w:val="0010135C"/>
    <w:rsid w:val="001013EE"/>
    <w:rsid w:val="001015BA"/>
    <w:rsid w:val="0010165B"/>
    <w:rsid w:val="0010173F"/>
    <w:rsid w:val="00101798"/>
    <w:rsid w:val="001017E3"/>
    <w:rsid w:val="00101C90"/>
    <w:rsid w:val="00101D6A"/>
    <w:rsid w:val="00101F87"/>
    <w:rsid w:val="00102135"/>
    <w:rsid w:val="0010215A"/>
    <w:rsid w:val="001021D7"/>
    <w:rsid w:val="0010220F"/>
    <w:rsid w:val="001028E4"/>
    <w:rsid w:val="00102AFD"/>
    <w:rsid w:val="00102B29"/>
    <w:rsid w:val="00102BA6"/>
    <w:rsid w:val="00102BE0"/>
    <w:rsid w:val="00102C50"/>
    <w:rsid w:val="00102D4F"/>
    <w:rsid w:val="00102D76"/>
    <w:rsid w:val="00102F76"/>
    <w:rsid w:val="00102FEB"/>
    <w:rsid w:val="00103339"/>
    <w:rsid w:val="001033A9"/>
    <w:rsid w:val="001034E3"/>
    <w:rsid w:val="0010356B"/>
    <w:rsid w:val="0010361F"/>
    <w:rsid w:val="001039C2"/>
    <w:rsid w:val="00103B00"/>
    <w:rsid w:val="00103C7F"/>
    <w:rsid w:val="00103CBC"/>
    <w:rsid w:val="00103DFF"/>
    <w:rsid w:val="00103F1C"/>
    <w:rsid w:val="001040AD"/>
    <w:rsid w:val="0010422B"/>
    <w:rsid w:val="00104646"/>
    <w:rsid w:val="001046E4"/>
    <w:rsid w:val="00104960"/>
    <w:rsid w:val="001049F2"/>
    <w:rsid w:val="00104A50"/>
    <w:rsid w:val="00104C48"/>
    <w:rsid w:val="00104EDD"/>
    <w:rsid w:val="001053D9"/>
    <w:rsid w:val="0010567A"/>
    <w:rsid w:val="00105A17"/>
    <w:rsid w:val="00105B15"/>
    <w:rsid w:val="00105C56"/>
    <w:rsid w:val="00105DA4"/>
    <w:rsid w:val="00105DA8"/>
    <w:rsid w:val="00105F5B"/>
    <w:rsid w:val="001060B0"/>
    <w:rsid w:val="0010630B"/>
    <w:rsid w:val="001064A4"/>
    <w:rsid w:val="001064DB"/>
    <w:rsid w:val="00106826"/>
    <w:rsid w:val="00106BCF"/>
    <w:rsid w:val="00106BF6"/>
    <w:rsid w:val="00106CB2"/>
    <w:rsid w:val="00106CBA"/>
    <w:rsid w:val="00106CEE"/>
    <w:rsid w:val="0010739F"/>
    <w:rsid w:val="0010753F"/>
    <w:rsid w:val="00107739"/>
    <w:rsid w:val="001078B4"/>
    <w:rsid w:val="00107B24"/>
    <w:rsid w:val="00107B43"/>
    <w:rsid w:val="00107E52"/>
    <w:rsid w:val="001103B6"/>
    <w:rsid w:val="00110417"/>
    <w:rsid w:val="001107F1"/>
    <w:rsid w:val="00110824"/>
    <w:rsid w:val="00110996"/>
    <w:rsid w:val="001109BA"/>
    <w:rsid w:val="00110ADC"/>
    <w:rsid w:val="00110DC5"/>
    <w:rsid w:val="0011113E"/>
    <w:rsid w:val="0011178C"/>
    <w:rsid w:val="0011187D"/>
    <w:rsid w:val="001119F9"/>
    <w:rsid w:val="00111ABA"/>
    <w:rsid w:val="00111AE7"/>
    <w:rsid w:val="00111C4F"/>
    <w:rsid w:val="00111EB7"/>
    <w:rsid w:val="00111EC2"/>
    <w:rsid w:val="00111F7F"/>
    <w:rsid w:val="001120B0"/>
    <w:rsid w:val="00112183"/>
    <w:rsid w:val="001121D0"/>
    <w:rsid w:val="0011243C"/>
    <w:rsid w:val="001125AB"/>
    <w:rsid w:val="001125E7"/>
    <w:rsid w:val="00112741"/>
    <w:rsid w:val="00112988"/>
    <w:rsid w:val="00112A57"/>
    <w:rsid w:val="00112A75"/>
    <w:rsid w:val="00112AA5"/>
    <w:rsid w:val="00112CF0"/>
    <w:rsid w:val="00112D27"/>
    <w:rsid w:val="00112E0E"/>
    <w:rsid w:val="00112E1E"/>
    <w:rsid w:val="001130E7"/>
    <w:rsid w:val="001136C6"/>
    <w:rsid w:val="0011408D"/>
    <w:rsid w:val="0011428D"/>
    <w:rsid w:val="00114386"/>
    <w:rsid w:val="00114417"/>
    <w:rsid w:val="00114674"/>
    <w:rsid w:val="00114943"/>
    <w:rsid w:val="00114AC8"/>
    <w:rsid w:val="00114D9B"/>
    <w:rsid w:val="00114DA1"/>
    <w:rsid w:val="00114EA0"/>
    <w:rsid w:val="00114F65"/>
    <w:rsid w:val="0011506C"/>
    <w:rsid w:val="00115235"/>
    <w:rsid w:val="001153E9"/>
    <w:rsid w:val="00115464"/>
    <w:rsid w:val="001154AD"/>
    <w:rsid w:val="00115672"/>
    <w:rsid w:val="001157AB"/>
    <w:rsid w:val="0011585E"/>
    <w:rsid w:val="00115A80"/>
    <w:rsid w:val="00115ADC"/>
    <w:rsid w:val="00115ADE"/>
    <w:rsid w:val="00115C9E"/>
    <w:rsid w:val="00116062"/>
    <w:rsid w:val="001160E5"/>
    <w:rsid w:val="00116218"/>
    <w:rsid w:val="001165D2"/>
    <w:rsid w:val="00116637"/>
    <w:rsid w:val="00116702"/>
    <w:rsid w:val="0011698F"/>
    <w:rsid w:val="0011699D"/>
    <w:rsid w:val="00116D24"/>
    <w:rsid w:val="00116D3E"/>
    <w:rsid w:val="00116EE4"/>
    <w:rsid w:val="0011729F"/>
    <w:rsid w:val="001172BD"/>
    <w:rsid w:val="00117457"/>
    <w:rsid w:val="00117690"/>
    <w:rsid w:val="001178B7"/>
    <w:rsid w:val="001178C5"/>
    <w:rsid w:val="001178E4"/>
    <w:rsid w:val="00117AA2"/>
    <w:rsid w:val="00117CE1"/>
    <w:rsid w:val="00117CFD"/>
    <w:rsid w:val="0012020C"/>
    <w:rsid w:val="001202B4"/>
    <w:rsid w:val="001208E9"/>
    <w:rsid w:val="00120B1E"/>
    <w:rsid w:val="00120B6D"/>
    <w:rsid w:val="00120D7A"/>
    <w:rsid w:val="001211AB"/>
    <w:rsid w:val="001214BE"/>
    <w:rsid w:val="001218B8"/>
    <w:rsid w:val="00121A72"/>
    <w:rsid w:val="00121DB7"/>
    <w:rsid w:val="00121F79"/>
    <w:rsid w:val="001220B7"/>
    <w:rsid w:val="001221D7"/>
    <w:rsid w:val="00122457"/>
    <w:rsid w:val="0012251F"/>
    <w:rsid w:val="00122542"/>
    <w:rsid w:val="00122774"/>
    <w:rsid w:val="001228A1"/>
    <w:rsid w:val="00122A23"/>
    <w:rsid w:val="00122D95"/>
    <w:rsid w:val="00123325"/>
    <w:rsid w:val="00123677"/>
    <w:rsid w:val="00123BC6"/>
    <w:rsid w:val="00123C73"/>
    <w:rsid w:val="00123C9A"/>
    <w:rsid w:val="00123DA3"/>
    <w:rsid w:val="00123DA5"/>
    <w:rsid w:val="00123EB0"/>
    <w:rsid w:val="001243A8"/>
    <w:rsid w:val="001246CD"/>
    <w:rsid w:val="00124730"/>
    <w:rsid w:val="00124826"/>
    <w:rsid w:val="00124B73"/>
    <w:rsid w:val="00124CF6"/>
    <w:rsid w:val="00124ED1"/>
    <w:rsid w:val="001251AB"/>
    <w:rsid w:val="00125222"/>
    <w:rsid w:val="0012523D"/>
    <w:rsid w:val="00125341"/>
    <w:rsid w:val="00125364"/>
    <w:rsid w:val="0012542D"/>
    <w:rsid w:val="001255E9"/>
    <w:rsid w:val="0012561A"/>
    <w:rsid w:val="001256FB"/>
    <w:rsid w:val="0012573C"/>
    <w:rsid w:val="0012573E"/>
    <w:rsid w:val="00125806"/>
    <w:rsid w:val="001258EF"/>
    <w:rsid w:val="00125B33"/>
    <w:rsid w:val="00125C98"/>
    <w:rsid w:val="00125DAE"/>
    <w:rsid w:val="00125F87"/>
    <w:rsid w:val="001260B6"/>
    <w:rsid w:val="001260E3"/>
    <w:rsid w:val="00126201"/>
    <w:rsid w:val="001263A8"/>
    <w:rsid w:val="001263E8"/>
    <w:rsid w:val="00126589"/>
    <w:rsid w:val="00126680"/>
    <w:rsid w:val="001266EE"/>
    <w:rsid w:val="00126A7B"/>
    <w:rsid w:val="00126AD1"/>
    <w:rsid w:val="00126B70"/>
    <w:rsid w:val="00126FB4"/>
    <w:rsid w:val="001272E6"/>
    <w:rsid w:val="00127687"/>
    <w:rsid w:val="001277C7"/>
    <w:rsid w:val="0012789B"/>
    <w:rsid w:val="00127BCE"/>
    <w:rsid w:val="00127C8B"/>
    <w:rsid w:val="00127E6B"/>
    <w:rsid w:val="00127E95"/>
    <w:rsid w:val="0013006B"/>
    <w:rsid w:val="001302FD"/>
    <w:rsid w:val="00130303"/>
    <w:rsid w:val="00130659"/>
    <w:rsid w:val="001307A8"/>
    <w:rsid w:val="00130DCA"/>
    <w:rsid w:val="00130E6A"/>
    <w:rsid w:val="0013114A"/>
    <w:rsid w:val="001312CB"/>
    <w:rsid w:val="0013139C"/>
    <w:rsid w:val="0013148C"/>
    <w:rsid w:val="001315B8"/>
    <w:rsid w:val="001319D0"/>
    <w:rsid w:val="00131B42"/>
    <w:rsid w:val="00131BAD"/>
    <w:rsid w:val="00131BE6"/>
    <w:rsid w:val="00131D5F"/>
    <w:rsid w:val="0013201F"/>
    <w:rsid w:val="001322BA"/>
    <w:rsid w:val="001322D2"/>
    <w:rsid w:val="00132503"/>
    <w:rsid w:val="0013251F"/>
    <w:rsid w:val="00132528"/>
    <w:rsid w:val="00132AA1"/>
    <w:rsid w:val="00132DB9"/>
    <w:rsid w:val="00132E0B"/>
    <w:rsid w:val="00132E1E"/>
    <w:rsid w:val="001331FA"/>
    <w:rsid w:val="0013327F"/>
    <w:rsid w:val="001333F9"/>
    <w:rsid w:val="00133882"/>
    <w:rsid w:val="00133BAF"/>
    <w:rsid w:val="00133C05"/>
    <w:rsid w:val="00133C81"/>
    <w:rsid w:val="00133E52"/>
    <w:rsid w:val="00133F08"/>
    <w:rsid w:val="00134026"/>
    <w:rsid w:val="00134146"/>
    <w:rsid w:val="00134222"/>
    <w:rsid w:val="001342DE"/>
    <w:rsid w:val="00134344"/>
    <w:rsid w:val="001345C6"/>
    <w:rsid w:val="001346A2"/>
    <w:rsid w:val="00134731"/>
    <w:rsid w:val="0013474C"/>
    <w:rsid w:val="001347D3"/>
    <w:rsid w:val="00134847"/>
    <w:rsid w:val="0013497E"/>
    <w:rsid w:val="00134A38"/>
    <w:rsid w:val="00134FA3"/>
    <w:rsid w:val="00135057"/>
    <w:rsid w:val="00135080"/>
    <w:rsid w:val="001351C6"/>
    <w:rsid w:val="001352DF"/>
    <w:rsid w:val="00135348"/>
    <w:rsid w:val="001356C7"/>
    <w:rsid w:val="00135ADF"/>
    <w:rsid w:val="00135AEA"/>
    <w:rsid w:val="00135B28"/>
    <w:rsid w:val="0013601E"/>
    <w:rsid w:val="0013623B"/>
    <w:rsid w:val="0013623D"/>
    <w:rsid w:val="00136497"/>
    <w:rsid w:val="0013657F"/>
    <w:rsid w:val="001369BF"/>
    <w:rsid w:val="00136CDC"/>
    <w:rsid w:val="00136E23"/>
    <w:rsid w:val="00136E9D"/>
    <w:rsid w:val="00136F29"/>
    <w:rsid w:val="00136F6F"/>
    <w:rsid w:val="00137364"/>
    <w:rsid w:val="00137B81"/>
    <w:rsid w:val="00137D83"/>
    <w:rsid w:val="00137D90"/>
    <w:rsid w:val="00137E68"/>
    <w:rsid w:val="001404D5"/>
    <w:rsid w:val="001405B8"/>
    <w:rsid w:val="001406E2"/>
    <w:rsid w:val="00140826"/>
    <w:rsid w:val="001408CE"/>
    <w:rsid w:val="00140D09"/>
    <w:rsid w:val="00140D35"/>
    <w:rsid w:val="00140D8B"/>
    <w:rsid w:val="00140DA5"/>
    <w:rsid w:val="00141025"/>
    <w:rsid w:val="001414E0"/>
    <w:rsid w:val="001415FC"/>
    <w:rsid w:val="00141BD1"/>
    <w:rsid w:val="00141DB9"/>
    <w:rsid w:val="00141F3F"/>
    <w:rsid w:val="00142125"/>
    <w:rsid w:val="001423B0"/>
    <w:rsid w:val="0014271F"/>
    <w:rsid w:val="00142913"/>
    <w:rsid w:val="001429A9"/>
    <w:rsid w:val="00142A4F"/>
    <w:rsid w:val="00142B21"/>
    <w:rsid w:val="00142B86"/>
    <w:rsid w:val="00142DB7"/>
    <w:rsid w:val="00142F2D"/>
    <w:rsid w:val="00143228"/>
    <w:rsid w:val="001432D0"/>
    <w:rsid w:val="0014340A"/>
    <w:rsid w:val="001434D3"/>
    <w:rsid w:val="00143553"/>
    <w:rsid w:val="001438E0"/>
    <w:rsid w:val="00143AD7"/>
    <w:rsid w:val="00143B25"/>
    <w:rsid w:val="00143D24"/>
    <w:rsid w:val="00143D52"/>
    <w:rsid w:val="00143F85"/>
    <w:rsid w:val="001441DA"/>
    <w:rsid w:val="00144383"/>
    <w:rsid w:val="001445C8"/>
    <w:rsid w:val="00144845"/>
    <w:rsid w:val="001448EF"/>
    <w:rsid w:val="001449CF"/>
    <w:rsid w:val="00144A22"/>
    <w:rsid w:val="00144C29"/>
    <w:rsid w:val="00144C8A"/>
    <w:rsid w:val="001453E9"/>
    <w:rsid w:val="001455CC"/>
    <w:rsid w:val="00145604"/>
    <w:rsid w:val="0014616B"/>
    <w:rsid w:val="001468C2"/>
    <w:rsid w:val="00146ACE"/>
    <w:rsid w:val="00146B48"/>
    <w:rsid w:val="00147115"/>
    <w:rsid w:val="00147188"/>
    <w:rsid w:val="001471DD"/>
    <w:rsid w:val="001472B0"/>
    <w:rsid w:val="0014740D"/>
    <w:rsid w:val="00147461"/>
    <w:rsid w:val="001476CD"/>
    <w:rsid w:val="001477CE"/>
    <w:rsid w:val="0014784F"/>
    <w:rsid w:val="0014788B"/>
    <w:rsid w:val="001478AD"/>
    <w:rsid w:val="00147A37"/>
    <w:rsid w:val="00147BCC"/>
    <w:rsid w:val="00147DEF"/>
    <w:rsid w:val="00147F4D"/>
    <w:rsid w:val="001500DB"/>
    <w:rsid w:val="0015040C"/>
    <w:rsid w:val="001507E7"/>
    <w:rsid w:val="00150B89"/>
    <w:rsid w:val="00150C35"/>
    <w:rsid w:val="00150E89"/>
    <w:rsid w:val="00150ECB"/>
    <w:rsid w:val="00151045"/>
    <w:rsid w:val="00151316"/>
    <w:rsid w:val="001514EA"/>
    <w:rsid w:val="0015167D"/>
    <w:rsid w:val="001516A9"/>
    <w:rsid w:val="001517E0"/>
    <w:rsid w:val="001519C7"/>
    <w:rsid w:val="00151B64"/>
    <w:rsid w:val="00151DFB"/>
    <w:rsid w:val="001520E3"/>
    <w:rsid w:val="00152123"/>
    <w:rsid w:val="00152143"/>
    <w:rsid w:val="00152244"/>
    <w:rsid w:val="00152274"/>
    <w:rsid w:val="0015233A"/>
    <w:rsid w:val="00152526"/>
    <w:rsid w:val="00152611"/>
    <w:rsid w:val="00152807"/>
    <w:rsid w:val="00152BE0"/>
    <w:rsid w:val="00152C3D"/>
    <w:rsid w:val="00152ED6"/>
    <w:rsid w:val="00152FED"/>
    <w:rsid w:val="0015360F"/>
    <w:rsid w:val="001539ED"/>
    <w:rsid w:val="00153AA7"/>
    <w:rsid w:val="00153CA7"/>
    <w:rsid w:val="00153D48"/>
    <w:rsid w:val="00153DB9"/>
    <w:rsid w:val="00153DD3"/>
    <w:rsid w:val="00153ECB"/>
    <w:rsid w:val="0015401A"/>
    <w:rsid w:val="00154050"/>
    <w:rsid w:val="0015440D"/>
    <w:rsid w:val="00154604"/>
    <w:rsid w:val="00154627"/>
    <w:rsid w:val="0015476C"/>
    <w:rsid w:val="0015477C"/>
    <w:rsid w:val="00154A35"/>
    <w:rsid w:val="00154A9A"/>
    <w:rsid w:val="00154EFD"/>
    <w:rsid w:val="001550A3"/>
    <w:rsid w:val="0015510B"/>
    <w:rsid w:val="00155240"/>
    <w:rsid w:val="00155469"/>
    <w:rsid w:val="00155474"/>
    <w:rsid w:val="001555EF"/>
    <w:rsid w:val="00155746"/>
    <w:rsid w:val="001557C1"/>
    <w:rsid w:val="00155A6B"/>
    <w:rsid w:val="00155AF5"/>
    <w:rsid w:val="00155E10"/>
    <w:rsid w:val="00155EAF"/>
    <w:rsid w:val="001561B3"/>
    <w:rsid w:val="00156419"/>
    <w:rsid w:val="00156646"/>
    <w:rsid w:val="0015686A"/>
    <w:rsid w:val="00156920"/>
    <w:rsid w:val="00156937"/>
    <w:rsid w:val="00156A50"/>
    <w:rsid w:val="00156C28"/>
    <w:rsid w:val="00156C80"/>
    <w:rsid w:val="00156D08"/>
    <w:rsid w:val="0015742B"/>
    <w:rsid w:val="00157450"/>
    <w:rsid w:val="001574A7"/>
    <w:rsid w:val="0015776C"/>
    <w:rsid w:val="001579CA"/>
    <w:rsid w:val="001579DC"/>
    <w:rsid w:val="00157AD5"/>
    <w:rsid w:val="00157BA5"/>
    <w:rsid w:val="00157CEB"/>
    <w:rsid w:val="00157F02"/>
    <w:rsid w:val="00160015"/>
    <w:rsid w:val="0016014F"/>
    <w:rsid w:val="00160346"/>
    <w:rsid w:val="001604D5"/>
    <w:rsid w:val="001605EB"/>
    <w:rsid w:val="00160877"/>
    <w:rsid w:val="00160EA4"/>
    <w:rsid w:val="00160F38"/>
    <w:rsid w:val="00160F3F"/>
    <w:rsid w:val="00160F82"/>
    <w:rsid w:val="0016108C"/>
    <w:rsid w:val="001610AC"/>
    <w:rsid w:val="0016127D"/>
    <w:rsid w:val="00161391"/>
    <w:rsid w:val="00161616"/>
    <w:rsid w:val="0016169D"/>
    <w:rsid w:val="001618C3"/>
    <w:rsid w:val="00161A1F"/>
    <w:rsid w:val="00161B45"/>
    <w:rsid w:val="00161B66"/>
    <w:rsid w:val="00161CE5"/>
    <w:rsid w:val="00161DCE"/>
    <w:rsid w:val="00161E83"/>
    <w:rsid w:val="001620CB"/>
    <w:rsid w:val="00162211"/>
    <w:rsid w:val="0016243B"/>
    <w:rsid w:val="001625EC"/>
    <w:rsid w:val="00162780"/>
    <w:rsid w:val="001628B8"/>
    <w:rsid w:val="00162999"/>
    <w:rsid w:val="0016301A"/>
    <w:rsid w:val="0016349B"/>
    <w:rsid w:val="00163563"/>
    <w:rsid w:val="00163674"/>
    <w:rsid w:val="00163983"/>
    <w:rsid w:val="001639A5"/>
    <w:rsid w:val="001639C0"/>
    <w:rsid w:val="00163BC8"/>
    <w:rsid w:val="00163C45"/>
    <w:rsid w:val="00163E35"/>
    <w:rsid w:val="00163F49"/>
    <w:rsid w:val="00164202"/>
    <w:rsid w:val="00164647"/>
    <w:rsid w:val="0016485E"/>
    <w:rsid w:val="00164AE3"/>
    <w:rsid w:val="00164B4B"/>
    <w:rsid w:val="00164DDD"/>
    <w:rsid w:val="00164ECE"/>
    <w:rsid w:val="00165258"/>
    <w:rsid w:val="001652C2"/>
    <w:rsid w:val="0016533A"/>
    <w:rsid w:val="0016534B"/>
    <w:rsid w:val="001654B0"/>
    <w:rsid w:val="00165683"/>
    <w:rsid w:val="001657CF"/>
    <w:rsid w:val="00165907"/>
    <w:rsid w:val="00165B51"/>
    <w:rsid w:val="00165BB5"/>
    <w:rsid w:val="00165D47"/>
    <w:rsid w:val="00165D94"/>
    <w:rsid w:val="00165EF1"/>
    <w:rsid w:val="00165F9A"/>
    <w:rsid w:val="00165FF0"/>
    <w:rsid w:val="00166098"/>
    <w:rsid w:val="001660AA"/>
    <w:rsid w:val="0016658F"/>
    <w:rsid w:val="0016662E"/>
    <w:rsid w:val="0016688E"/>
    <w:rsid w:val="0016689D"/>
    <w:rsid w:val="001668BE"/>
    <w:rsid w:val="00166B27"/>
    <w:rsid w:val="00166BE5"/>
    <w:rsid w:val="00166CAC"/>
    <w:rsid w:val="00166E24"/>
    <w:rsid w:val="00166F83"/>
    <w:rsid w:val="001670C7"/>
    <w:rsid w:val="00167169"/>
    <w:rsid w:val="0016723A"/>
    <w:rsid w:val="001672D1"/>
    <w:rsid w:val="00167335"/>
    <w:rsid w:val="001674FA"/>
    <w:rsid w:val="00167848"/>
    <w:rsid w:val="0016789F"/>
    <w:rsid w:val="00167A02"/>
    <w:rsid w:val="00167AA3"/>
    <w:rsid w:val="00167B15"/>
    <w:rsid w:val="00167B84"/>
    <w:rsid w:val="00170100"/>
    <w:rsid w:val="0017034B"/>
    <w:rsid w:val="001704CF"/>
    <w:rsid w:val="00170DC9"/>
    <w:rsid w:val="00171120"/>
    <w:rsid w:val="00171335"/>
    <w:rsid w:val="00171373"/>
    <w:rsid w:val="00171533"/>
    <w:rsid w:val="001715FC"/>
    <w:rsid w:val="001717D6"/>
    <w:rsid w:val="0017181D"/>
    <w:rsid w:val="001718E4"/>
    <w:rsid w:val="001718EA"/>
    <w:rsid w:val="00171A05"/>
    <w:rsid w:val="00171B95"/>
    <w:rsid w:val="00171D48"/>
    <w:rsid w:val="00171F31"/>
    <w:rsid w:val="001725BB"/>
    <w:rsid w:val="0017281F"/>
    <w:rsid w:val="00172C13"/>
    <w:rsid w:val="00172E17"/>
    <w:rsid w:val="00172E28"/>
    <w:rsid w:val="00172EC4"/>
    <w:rsid w:val="00172F3A"/>
    <w:rsid w:val="00172F6C"/>
    <w:rsid w:val="001730A3"/>
    <w:rsid w:val="001730FD"/>
    <w:rsid w:val="0017311D"/>
    <w:rsid w:val="00173557"/>
    <w:rsid w:val="001735B1"/>
    <w:rsid w:val="00173798"/>
    <w:rsid w:val="00173AEA"/>
    <w:rsid w:val="00173BE6"/>
    <w:rsid w:val="00173CD3"/>
    <w:rsid w:val="00173DA5"/>
    <w:rsid w:val="00173E72"/>
    <w:rsid w:val="00173E9E"/>
    <w:rsid w:val="00173FF8"/>
    <w:rsid w:val="00174046"/>
    <w:rsid w:val="001741CF"/>
    <w:rsid w:val="0017425D"/>
    <w:rsid w:val="00174762"/>
    <w:rsid w:val="001748C2"/>
    <w:rsid w:val="001749B8"/>
    <w:rsid w:val="00174A34"/>
    <w:rsid w:val="00174B23"/>
    <w:rsid w:val="00174F9D"/>
    <w:rsid w:val="00175209"/>
    <w:rsid w:val="0017572D"/>
    <w:rsid w:val="00175A2D"/>
    <w:rsid w:val="00175A8C"/>
    <w:rsid w:val="00175AA2"/>
    <w:rsid w:val="00175ACB"/>
    <w:rsid w:val="00175B24"/>
    <w:rsid w:val="00175D0A"/>
    <w:rsid w:val="001760FF"/>
    <w:rsid w:val="0017645D"/>
    <w:rsid w:val="0017672F"/>
    <w:rsid w:val="00176738"/>
    <w:rsid w:val="001768BA"/>
    <w:rsid w:val="001768DC"/>
    <w:rsid w:val="00176A4A"/>
    <w:rsid w:val="00176B4C"/>
    <w:rsid w:val="00176E42"/>
    <w:rsid w:val="00176E9A"/>
    <w:rsid w:val="00176F4D"/>
    <w:rsid w:val="001775AD"/>
    <w:rsid w:val="0017771D"/>
    <w:rsid w:val="00177738"/>
    <w:rsid w:val="001777D5"/>
    <w:rsid w:val="001777E9"/>
    <w:rsid w:val="001778D0"/>
    <w:rsid w:val="00177B6B"/>
    <w:rsid w:val="00177BD7"/>
    <w:rsid w:val="00177D12"/>
    <w:rsid w:val="00180018"/>
    <w:rsid w:val="00180165"/>
    <w:rsid w:val="001801F6"/>
    <w:rsid w:val="0018051E"/>
    <w:rsid w:val="001806EB"/>
    <w:rsid w:val="001807C0"/>
    <w:rsid w:val="00180935"/>
    <w:rsid w:val="001809D2"/>
    <w:rsid w:val="00180A23"/>
    <w:rsid w:val="00180A61"/>
    <w:rsid w:val="00180ABF"/>
    <w:rsid w:val="00180B69"/>
    <w:rsid w:val="00180B76"/>
    <w:rsid w:val="00180BE8"/>
    <w:rsid w:val="0018115E"/>
    <w:rsid w:val="001811DE"/>
    <w:rsid w:val="001818CC"/>
    <w:rsid w:val="00181B43"/>
    <w:rsid w:val="00181F25"/>
    <w:rsid w:val="00182487"/>
    <w:rsid w:val="001826CB"/>
    <w:rsid w:val="001827AC"/>
    <w:rsid w:val="001827EE"/>
    <w:rsid w:val="0018284E"/>
    <w:rsid w:val="00182899"/>
    <w:rsid w:val="0018292C"/>
    <w:rsid w:val="001829C9"/>
    <w:rsid w:val="00182B68"/>
    <w:rsid w:val="00182CED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3D03"/>
    <w:rsid w:val="00183D8E"/>
    <w:rsid w:val="001843C4"/>
    <w:rsid w:val="00184519"/>
    <w:rsid w:val="001845F7"/>
    <w:rsid w:val="001849C6"/>
    <w:rsid w:val="00184A83"/>
    <w:rsid w:val="00185037"/>
    <w:rsid w:val="00185170"/>
    <w:rsid w:val="0018537D"/>
    <w:rsid w:val="001853A5"/>
    <w:rsid w:val="001853C8"/>
    <w:rsid w:val="0018544D"/>
    <w:rsid w:val="001858F8"/>
    <w:rsid w:val="00185A46"/>
    <w:rsid w:val="00185A8A"/>
    <w:rsid w:val="00185AEC"/>
    <w:rsid w:val="001862DA"/>
    <w:rsid w:val="001866D1"/>
    <w:rsid w:val="001868A3"/>
    <w:rsid w:val="00186A2F"/>
    <w:rsid w:val="00186A8A"/>
    <w:rsid w:val="00186EB8"/>
    <w:rsid w:val="00187145"/>
    <w:rsid w:val="001874F4"/>
    <w:rsid w:val="00187552"/>
    <w:rsid w:val="00187613"/>
    <w:rsid w:val="0018790C"/>
    <w:rsid w:val="00187A41"/>
    <w:rsid w:val="00187DA4"/>
    <w:rsid w:val="001900B2"/>
    <w:rsid w:val="001904D5"/>
    <w:rsid w:val="00190778"/>
    <w:rsid w:val="00190BA5"/>
    <w:rsid w:val="00190D0C"/>
    <w:rsid w:val="00190F29"/>
    <w:rsid w:val="0019104D"/>
    <w:rsid w:val="001916F8"/>
    <w:rsid w:val="00191778"/>
    <w:rsid w:val="00191A77"/>
    <w:rsid w:val="00191DB3"/>
    <w:rsid w:val="00191F60"/>
    <w:rsid w:val="00191FD5"/>
    <w:rsid w:val="001921EA"/>
    <w:rsid w:val="001923D5"/>
    <w:rsid w:val="001923ED"/>
    <w:rsid w:val="001928EA"/>
    <w:rsid w:val="0019298E"/>
    <w:rsid w:val="00192B90"/>
    <w:rsid w:val="00192BFE"/>
    <w:rsid w:val="00192CCE"/>
    <w:rsid w:val="00192D0D"/>
    <w:rsid w:val="00192FF8"/>
    <w:rsid w:val="00193105"/>
    <w:rsid w:val="00193260"/>
    <w:rsid w:val="0019374B"/>
    <w:rsid w:val="001939B0"/>
    <w:rsid w:val="00193A90"/>
    <w:rsid w:val="00193B10"/>
    <w:rsid w:val="00193EE3"/>
    <w:rsid w:val="00194010"/>
    <w:rsid w:val="00194098"/>
    <w:rsid w:val="00194144"/>
    <w:rsid w:val="001941EB"/>
    <w:rsid w:val="001943EA"/>
    <w:rsid w:val="00194915"/>
    <w:rsid w:val="00194995"/>
    <w:rsid w:val="001949E3"/>
    <w:rsid w:val="00194B2D"/>
    <w:rsid w:val="00194FCC"/>
    <w:rsid w:val="0019502F"/>
    <w:rsid w:val="00195332"/>
    <w:rsid w:val="00195476"/>
    <w:rsid w:val="00195B49"/>
    <w:rsid w:val="00195C4D"/>
    <w:rsid w:val="00195CD2"/>
    <w:rsid w:val="00195FFB"/>
    <w:rsid w:val="0019615D"/>
    <w:rsid w:val="00196167"/>
    <w:rsid w:val="0019620C"/>
    <w:rsid w:val="0019641C"/>
    <w:rsid w:val="00196480"/>
    <w:rsid w:val="00196526"/>
    <w:rsid w:val="00196594"/>
    <w:rsid w:val="00196703"/>
    <w:rsid w:val="001967C8"/>
    <w:rsid w:val="00196963"/>
    <w:rsid w:val="0019697A"/>
    <w:rsid w:val="00196ACB"/>
    <w:rsid w:val="00196B49"/>
    <w:rsid w:val="00196B93"/>
    <w:rsid w:val="00196BA3"/>
    <w:rsid w:val="001970F9"/>
    <w:rsid w:val="00197350"/>
    <w:rsid w:val="00197905"/>
    <w:rsid w:val="00197AD1"/>
    <w:rsid w:val="00197AE5"/>
    <w:rsid w:val="00197BC3"/>
    <w:rsid w:val="00197BF2"/>
    <w:rsid w:val="00197DCD"/>
    <w:rsid w:val="00197E6F"/>
    <w:rsid w:val="00197E78"/>
    <w:rsid w:val="001A00D2"/>
    <w:rsid w:val="001A032D"/>
    <w:rsid w:val="001A03A4"/>
    <w:rsid w:val="001A0616"/>
    <w:rsid w:val="001A0649"/>
    <w:rsid w:val="001A0968"/>
    <w:rsid w:val="001A099F"/>
    <w:rsid w:val="001A0AA7"/>
    <w:rsid w:val="001A0B9D"/>
    <w:rsid w:val="001A0F0C"/>
    <w:rsid w:val="001A0F6B"/>
    <w:rsid w:val="001A13D6"/>
    <w:rsid w:val="001A155E"/>
    <w:rsid w:val="001A1692"/>
    <w:rsid w:val="001A1720"/>
    <w:rsid w:val="001A17CE"/>
    <w:rsid w:val="001A192B"/>
    <w:rsid w:val="001A1AE9"/>
    <w:rsid w:val="001A1BBA"/>
    <w:rsid w:val="001A1BE1"/>
    <w:rsid w:val="001A1F85"/>
    <w:rsid w:val="001A2109"/>
    <w:rsid w:val="001A21EE"/>
    <w:rsid w:val="001A2466"/>
    <w:rsid w:val="001A26F5"/>
    <w:rsid w:val="001A27E6"/>
    <w:rsid w:val="001A2DDC"/>
    <w:rsid w:val="001A2ED3"/>
    <w:rsid w:val="001A2EF1"/>
    <w:rsid w:val="001A2F36"/>
    <w:rsid w:val="001A32BE"/>
    <w:rsid w:val="001A34BF"/>
    <w:rsid w:val="001A355A"/>
    <w:rsid w:val="001A372B"/>
    <w:rsid w:val="001A3771"/>
    <w:rsid w:val="001A3991"/>
    <w:rsid w:val="001A3EB6"/>
    <w:rsid w:val="001A418E"/>
    <w:rsid w:val="001A419B"/>
    <w:rsid w:val="001A4336"/>
    <w:rsid w:val="001A45BE"/>
    <w:rsid w:val="001A4780"/>
    <w:rsid w:val="001A48D2"/>
    <w:rsid w:val="001A49F9"/>
    <w:rsid w:val="001A4C5B"/>
    <w:rsid w:val="001A4CCB"/>
    <w:rsid w:val="001A4E22"/>
    <w:rsid w:val="001A4EB6"/>
    <w:rsid w:val="001A5372"/>
    <w:rsid w:val="001A5419"/>
    <w:rsid w:val="001A55A2"/>
    <w:rsid w:val="001A56BA"/>
    <w:rsid w:val="001A56D7"/>
    <w:rsid w:val="001A5705"/>
    <w:rsid w:val="001A580B"/>
    <w:rsid w:val="001A585E"/>
    <w:rsid w:val="001A58B2"/>
    <w:rsid w:val="001A592C"/>
    <w:rsid w:val="001A5D64"/>
    <w:rsid w:val="001A60C1"/>
    <w:rsid w:val="001A6177"/>
    <w:rsid w:val="001A620B"/>
    <w:rsid w:val="001A62A8"/>
    <w:rsid w:val="001A63D0"/>
    <w:rsid w:val="001A63F2"/>
    <w:rsid w:val="001A6496"/>
    <w:rsid w:val="001A6575"/>
    <w:rsid w:val="001A6B3E"/>
    <w:rsid w:val="001A6E6B"/>
    <w:rsid w:val="001A6FC0"/>
    <w:rsid w:val="001A7346"/>
    <w:rsid w:val="001A7386"/>
    <w:rsid w:val="001A747A"/>
    <w:rsid w:val="001A751B"/>
    <w:rsid w:val="001A7605"/>
    <w:rsid w:val="001A78B2"/>
    <w:rsid w:val="001A7971"/>
    <w:rsid w:val="001A7A89"/>
    <w:rsid w:val="001A7A9E"/>
    <w:rsid w:val="001A7B28"/>
    <w:rsid w:val="001A7BC1"/>
    <w:rsid w:val="001A7BFE"/>
    <w:rsid w:val="001A7E01"/>
    <w:rsid w:val="001A7E31"/>
    <w:rsid w:val="001A7FFD"/>
    <w:rsid w:val="001B0110"/>
    <w:rsid w:val="001B0511"/>
    <w:rsid w:val="001B06BC"/>
    <w:rsid w:val="001B0765"/>
    <w:rsid w:val="001B0835"/>
    <w:rsid w:val="001B090D"/>
    <w:rsid w:val="001B098E"/>
    <w:rsid w:val="001B09E3"/>
    <w:rsid w:val="001B0AC4"/>
    <w:rsid w:val="001B0C0A"/>
    <w:rsid w:val="001B0F33"/>
    <w:rsid w:val="001B105E"/>
    <w:rsid w:val="001B10FE"/>
    <w:rsid w:val="001B1324"/>
    <w:rsid w:val="001B143C"/>
    <w:rsid w:val="001B1729"/>
    <w:rsid w:val="001B1DFF"/>
    <w:rsid w:val="001B1FAD"/>
    <w:rsid w:val="001B208A"/>
    <w:rsid w:val="001B280D"/>
    <w:rsid w:val="001B2C2B"/>
    <w:rsid w:val="001B2DBE"/>
    <w:rsid w:val="001B3048"/>
    <w:rsid w:val="001B3088"/>
    <w:rsid w:val="001B320C"/>
    <w:rsid w:val="001B334F"/>
    <w:rsid w:val="001B3826"/>
    <w:rsid w:val="001B38B9"/>
    <w:rsid w:val="001B38C7"/>
    <w:rsid w:val="001B3957"/>
    <w:rsid w:val="001B3961"/>
    <w:rsid w:val="001B3C87"/>
    <w:rsid w:val="001B3F33"/>
    <w:rsid w:val="001B40CB"/>
    <w:rsid w:val="001B40E7"/>
    <w:rsid w:val="001B42E4"/>
    <w:rsid w:val="001B4307"/>
    <w:rsid w:val="001B436F"/>
    <w:rsid w:val="001B4444"/>
    <w:rsid w:val="001B4E90"/>
    <w:rsid w:val="001B4F3F"/>
    <w:rsid w:val="001B5291"/>
    <w:rsid w:val="001B5358"/>
    <w:rsid w:val="001B563F"/>
    <w:rsid w:val="001B571B"/>
    <w:rsid w:val="001B5797"/>
    <w:rsid w:val="001B57FF"/>
    <w:rsid w:val="001B5823"/>
    <w:rsid w:val="001B582D"/>
    <w:rsid w:val="001B5890"/>
    <w:rsid w:val="001B59A9"/>
    <w:rsid w:val="001B5C8D"/>
    <w:rsid w:val="001B5CE2"/>
    <w:rsid w:val="001B5D3A"/>
    <w:rsid w:val="001B5D41"/>
    <w:rsid w:val="001B5EB0"/>
    <w:rsid w:val="001B627B"/>
    <w:rsid w:val="001B62D5"/>
    <w:rsid w:val="001B6421"/>
    <w:rsid w:val="001B6791"/>
    <w:rsid w:val="001B691A"/>
    <w:rsid w:val="001B696E"/>
    <w:rsid w:val="001B6A56"/>
    <w:rsid w:val="001B7191"/>
    <w:rsid w:val="001B71B9"/>
    <w:rsid w:val="001B7243"/>
    <w:rsid w:val="001B7302"/>
    <w:rsid w:val="001B7464"/>
    <w:rsid w:val="001B748A"/>
    <w:rsid w:val="001B76A8"/>
    <w:rsid w:val="001B77F0"/>
    <w:rsid w:val="001B782D"/>
    <w:rsid w:val="001B78FE"/>
    <w:rsid w:val="001B7FFD"/>
    <w:rsid w:val="001C00F2"/>
    <w:rsid w:val="001C0174"/>
    <w:rsid w:val="001C05BE"/>
    <w:rsid w:val="001C076A"/>
    <w:rsid w:val="001C0963"/>
    <w:rsid w:val="001C09D9"/>
    <w:rsid w:val="001C1121"/>
    <w:rsid w:val="001C14B5"/>
    <w:rsid w:val="001C14EA"/>
    <w:rsid w:val="001C164D"/>
    <w:rsid w:val="001C1693"/>
    <w:rsid w:val="001C19E7"/>
    <w:rsid w:val="001C1A14"/>
    <w:rsid w:val="001C1AC4"/>
    <w:rsid w:val="001C1AC5"/>
    <w:rsid w:val="001C1B7D"/>
    <w:rsid w:val="001C1B8E"/>
    <w:rsid w:val="001C1C45"/>
    <w:rsid w:val="001C1D71"/>
    <w:rsid w:val="001C1DE7"/>
    <w:rsid w:val="001C1EA8"/>
    <w:rsid w:val="001C1F5C"/>
    <w:rsid w:val="001C202D"/>
    <w:rsid w:val="001C21A2"/>
    <w:rsid w:val="001C21B4"/>
    <w:rsid w:val="001C22BD"/>
    <w:rsid w:val="001C22F8"/>
    <w:rsid w:val="001C23C3"/>
    <w:rsid w:val="001C2416"/>
    <w:rsid w:val="001C24B2"/>
    <w:rsid w:val="001C24DD"/>
    <w:rsid w:val="001C24F4"/>
    <w:rsid w:val="001C27CD"/>
    <w:rsid w:val="001C2A03"/>
    <w:rsid w:val="001C2A08"/>
    <w:rsid w:val="001C3006"/>
    <w:rsid w:val="001C3063"/>
    <w:rsid w:val="001C308D"/>
    <w:rsid w:val="001C30D2"/>
    <w:rsid w:val="001C33B2"/>
    <w:rsid w:val="001C33E5"/>
    <w:rsid w:val="001C3790"/>
    <w:rsid w:val="001C3915"/>
    <w:rsid w:val="001C39E8"/>
    <w:rsid w:val="001C3A22"/>
    <w:rsid w:val="001C3BC6"/>
    <w:rsid w:val="001C3CD8"/>
    <w:rsid w:val="001C3D31"/>
    <w:rsid w:val="001C3F63"/>
    <w:rsid w:val="001C44E0"/>
    <w:rsid w:val="001C4553"/>
    <w:rsid w:val="001C4619"/>
    <w:rsid w:val="001C4623"/>
    <w:rsid w:val="001C4632"/>
    <w:rsid w:val="001C464D"/>
    <w:rsid w:val="001C469B"/>
    <w:rsid w:val="001C4772"/>
    <w:rsid w:val="001C4A0B"/>
    <w:rsid w:val="001C4B75"/>
    <w:rsid w:val="001C4C45"/>
    <w:rsid w:val="001C4C8C"/>
    <w:rsid w:val="001C4CF3"/>
    <w:rsid w:val="001C4DA4"/>
    <w:rsid w:val="001C504B"/>
    <w:rsid w:val="001C505F"/>
    <w:rsid w:val="001C532B"/>
    <w:rsid w:val="001C54F5"/>
    <w:rsid w:val="001C559E"/>
    <w:rsid w:val="001C55F6"/>
    <w:rsid w:val="001C5603"/>
    <w:rsid w:val="001C5AE9"/>
    <w:rsid w:val="001C5CEB"/>
    <w:rsid w:val="001C5D2D"/>
    <w:rsid w:val="001C5D8B"/>
    <w:rsid w:val="001C5DF2"/>
    <w:rsid w:val="001C5FC4"/>
    <w:rsid w:val="001C6086"/>
    <w:rsid w:val="001C6252"/>
    <w:rsid w:val="001C62B4"/>
    <w:rsid w:val="001C6311"/>
    <w:rsid w:val="001C645D"/>
    <w:rsid w:val="001C6504"/>
    <w:rsid w:val="001C655E"/>
    <w:rsid w:val="001C670B"/>
    <w:rsid w:val="001C6758"/>
    <w:rsid w:val="001C681D"/>
    <w:rsid w:val="001C6954"/>
    <w:rsid w:val="001C69AC"/>
    <w:rsid w:val="001C69B9"/>
    <w:rsid w:val="001C69C7"/>
    <w:rsid w:val="001C6A71"/>
    <w:rsid w:val="001C6BFC"/>
    <w:rsid w:val="001C6E88"/>
    <w:rsid w:val="001C71AA"/>
    <w:rsid w:val="001C73F8"/>
    <w:rsid w:val="001C75AB"/>
    <w:rsid w:val="001C75B2"/>
    <w:rsid w:val="001C775D"/>
    <w:rsid w:val="001C776C"/>
    <w:rsid w:val="001C77E1"/>
    <w:rsid w:val="001C79DA"/>
    <w:rsid w:val="001C7A9E"/>
    <w:rsid w:val="001C7ABB"/>
    <w:rsid w:val="001C7C88"/>
    <w:rsid w:val="001C7F9B"/>
    <w:rsid w:val="001D00E4"/>
    <w:rsid w:val="001D0464"/>
    <w:rsid w:val="001D0904"/>
    <w:rsid w:val="001D0BED"/>
    <w:rsid w:val="001D0E35"/>
    <w:rsid w:val="001D0F78"/>
    <w:rsid w:val="001D112B"/>
    <w:rsid w:val="001D11B3"/>
    <w:rsid w:val="001D13B6"/>
    <w:rsid w:val="001D1597"/>
    <w:rsid w:val="001D17BC"/>
    <w:rsid w:val="001D1883"/>
    <w:rsid w:val="001D19A8"/>
    <w:rsid w:val="001D1ABB"/>
    <w:rsid w:val="001D1C06"/>
    <w:rsid w:val="001D1E91"/>
    <w:rsid w:val="001D222A"/>
    <w:rsid w:val="001D240E"/>
    <w:rsid w:val="001D26ED"/>
    <w:rsid w:val="001D28B3"/>
    <w:rsid w:val="001D2ACA"/>
    <w:rsid w:val="001D2D33"/>
    <w:rsid w:val="001D30D9"/>
    <w:rsid w:val="001D317B"/>
    <w:rsid w:val="001D32D9"/>
    <w:rsid w:val="001D33AD"/>
    <w:rsid w:val="001D342F"/>
    <w:rsid w:val="001D3B84"/>
    <w:rsid w:val="001D3D79"/>
    <w:rsid w:val="001D3E91"/>
    <w:rsid w:val="001D3EF0"/>
    <w:rsid w:val="001D40DE"/>
    <w:rsid w:val="001D4505"/>
    <w:rsid w:val="001D4533"/>
    <w:rsid w:val="001D45A8"/>
    <w:rsid w:val="001D463A"/>
    <w:rsid w:val="001D473D"/>
    <w:rsid w:val="001D483F"/>
    <w:rsid w:val="001D48E5"/>
    <w:rsid w:val="001D5226"/>
    <w:rsid w:val="001D5257"/>
    <w:rsid w:val="001D5280"/>
    <w:rsid w:val="001D5436"/>
    <w:rsid w:val="001D5963"/>
    <w:rsid w:val="001D5A9B"/>
    <w:rsid w:val="001D5AC1"/>
    <w:rsid w:val="001D5AEE"/>
    <w:rsid w:val="001D5AFB"/>
    <w:rsid w:val="001D5CAD"/>
    <w:rsid w:val="001D5D71"/>
    <w:rsid w:val="001D5F82"/>
    <w:rsid w:val="001D602D"/>
    <w:rsid w:val="001D62F5"/>
    <w:rsid w:val="001D638B"/>
    <w:rsid w:val="001D6488"/>
    <w:rsid w:val="001D6904"/>
    <w:rsid w:val="001D6969"/>
    <w:rsid w:val="001D6CCE"/>
    <w:rsid w:val="001D6CDC"/>
    <w:rsid w:val="001D6DFA"/>
    <w:rsid w:val="001D70C9"/>
    <w:rsid w:val="001D7159"/>
    <w:rsid w:val="001D742D"/>
    <w:rsid w:val="001D7798"/>
    <w:rsid w:val="001D78DA"/>
    <w:rsid w:val="001D79EF"/>
    <w:rsid w:val="001D7B9D"/>
    <w:rsid w:val="001E004B"/>
    <w:rsid w:val="001E045E"/>
    <w:rsid w:val="001E059E"/>
    <w:rsid w:val="001E069D"/>
    <w:rsid w:val="001E0741"/>
    <w:rsid w:val="001E08D8"/>
    <w:rsid w:val="001E08DD"/>
    <w:rsid w:val="001E0916"/>
    <w:rsid w:val="001E1027"/>
    <w:rsid w:val="001E1747"/>
    <w:rsid w:val="001E18D8"/>
    <w:rsid w:val="001E1901"/>
    <w:rsid w:val="001E19D3"/>
    <w:rsid w:val="001E1C0C"/>
    <w:rsid w:val="001E1C79"/>
    <w:rsid w:val="001E1F97"/>
    <w:rsid w:val="001E2274"/>
    <w:rsid w:val="001E2355"/>
    <w:rsid w:val="001E23D1"/>
    <w:rsid w:val="001E2428"/>
    <w:rsid w:val="001E252F"/>
    <w:rsid w:val="001E26BD"/>
    <w:rsid w:val="001E28E6"/>
    <w:rsid w:val="001E2908"/>
    <w:rsid w:val="001E2A84"/>
    <w:rsid w:val="001E2A8E"/>
    <w:rsid w:val="001E2FC2"/>
    <w:rsid w:val="001E326E"/>
    <w:rsid w:val="001E3526"/>
    <w:rsid w:val="001E3678"/>
    <w:rsid w:val="001E38A0"/>
    <w:rsid w:val="001E38A8"/>
    <w:rsid w:val="001E3982"/>
    <w:rsid w:val="001E3E66"/>
    <w:rsid w:val="001E5011"/>
    <w:rsid w:val="001E5122"/>
    <w:rsid w:val="001E53CD"/>
    <w:rsid w:val="001E53F7"/>
    <w:rsid w:val="001E5615"/>
    <w:rsid w:val="001E577B"/>
    <w:rsid w:val="001E580B"/>
    <w:rsid w:val="001E5BBB"/>
    <w:rsid w:val="001E5BEC"/>
    <w:rsid w:val="001E5CE0"/>
    <w:rsid w:val="001E5D60"/>
    <w:rsid w:val="001E5D75"/>
    <w:rsid w:val="001E5E04"/>
    <w:rsid w:val="001E5F64"/>
    <w:rsid w:val="001E6180"/>
    <w:rsid w:val="001E6288"/>
    <w:rsid w:val="001E6512"/>
    <w:rsid w:val="001E65B5"/>
    <w:rsid w:val="001E674B"/>
    <w:rsid w:val="001E68FC"/>
    <w:rsid w:val="001E6A97"/>
    <w:rsid w:val="001E6C2D"/>
    <w:rsid w:val="001E6C6C"/>
    <w:rsid w:val="001E6D8E"/>
    <w:rsid w:val="001E7007"/>
    <w:rsid w:val="001E713C"/>
    <w:rsid w:val="001E714A"/>
    <w:rsid w:val="001E72B6"/>
    <w:rsid w:val="001E72CD"/>
    <w:rsid w:val="001E7396"/>
    <w:rsid w:val="001E7569"/>
    <w:rsid w:val="001E7600"/>
    <w:rsid w:val="001E77CE"/>
    <w:rsid w:val="001E7878"/>
    <w:rsid w:val="001E7F25"/>
    <w:rsid w:val="001F00B0"/>
    <w:rsid w:val="001F033B"/>
    <w:rsid w:val="001F0379"/>
    <w:rsid w:val="001F0766"/>
    <w:rsid w:val="001F081E"/>
    <w:rsid w:val="001F0936"/>
    <w:rsid w:val="001F0977"/>
    <w:rsid w:val="001F0B30"/>
    <w:rsid w:val="001F0C39"/>
    <w:rsid w:val="001F0CBE"/>
    <w:rsid w:val="001F0EDB"/>
    <w:rsid w:val="001F0EE5"/>
    <w:rsid w:val="001F0F80"/>
    <w:rsid w:val="001F111D"/>
    <w:rsid w:val="001F140D"/>
    <w:rsid w:val="001F16FB"/>
    <w:rsid w:val="001F1761"/>
    <w:rsid w:val="001F1844"/>
    <w:rsid w:val="001F18C4"/>
    <w:rsid w:val="001F1960"/>
    <w:rsid w:val="001F1A09"/>
    <w:rsid w:val="001F1BC4"/>
    <w:rsid w:val="001F2043"/>
    <w:rsid w:val="001F2178"/>
    <w:rsid w:val="001F22CC"/>
    <w:rsid w:val="001F25E0"/>
    <w:rsid w:val="001F279E"/>
    <w:rsid w:val="001F2977"/>
    <w:rsid w:val="001F2DF7"/>
    <w:rsid w:val="001F2FC6"/>
    <w:rsid w:val="001F3018"/>
    <w:rsid w:val="001F3189"/>
    <w:rsid w:val="001F371E"/>
    <w:rsid w:val="001F3C5F"/>
    <w:rsid w:val="001F458A"/>
    <w:rsid w:val="001F4B1F"/>
    <w:rsid w:val="001F4F5A"/>
    <w:rsid w:val="001F5293"/>
    <w:rsid w:val="001F52CA"/>
    <w:rsid w:val="001F5574"/>
    <w:rsid w:val="001F5884"/>
    <w:rsid w:val="001F5C05"/>
    <w:rsid w:val="001F61FE"/>
    <w:rsid w:val="001F646F"/>
    <w:rsid w:val="001F66DE"/>
    <w:rsid w:val="001F68BC"/>
    <w:rsid w:val="001F6C87"/>
    <w:rsid w:val="001F6D33"/>
    <w:rsid w:val="001F6EC5"/>
    <w:rsid w:val="001F705D"/>
    <w:rsid w:val="001F7246"/>
    <w:rsid w:val="001F7971"/>
    <w:rsid w:val="001F7ACA"/>
    <w:rsid w:val="001F7C16"/>
    <w:rsid w:val="001F7CB9"/>
    <w:rsid w:val="001F7D00"/>
    <w:rsid w:val="0020021F"/>
    <w:rsid w:val="002004F7"/>
    <w:rsid w:val="00200568"/>
    <w:rsid w:val="0020066A"/>
    <w:rsid w:val="00200807"/>
    <w:rsid w:val="00200A6B"/>
    <w:rsid w:val="00200CAC"/>
    <w:rsid w:val="00200D92"/>
    <w:rsid w:val="0020124F"/>
    <w:rsid w:val="002014AC"/>
    <w:rsid w:val="002014E7"/>
    <w:rsid w:val="0020164C"/>
    <w:rsid w:val="002016AA"/>
    <w:rsid w:val="00201A05"/>
    <w:rsid w:val="00201D65"/>
    <w:rsid w:val="00202046"/>
    <w:rsid w:val="00202576"/>
    <w:rsid w:val="00202746"/>
    <w:rsid w:val="0020279F"/>
    <w:rsid w:val="00202966"/>
    <w:rsid w:val="00202A9E"/>
    <w:rsid w:val="00202AA8"/>
    <w:rsid w:val="00202D81"/>
    <w:rsid w:val="00202DC0"/>
    <w:rsid w:val="00202E80"/>
    <w:rsid w:val="00202EB6"/>
    <w:rsid w:val="00203489"/>
    <w:rsid w:val="00203A3C"/>
    <w:rsid w:val="00203B02"/>
    <w:rsid w:val="00203C62"/>
    <w:rsid w:val="00203F7B"/>
    <w:rsid w:val="00203F82"/>
    <w:rsid w:val="00204023"/>
    <w:rsid w:val="00204026"/>
    <w:rsid w:val="0020433F"/>
    <w:rsid w:val="002048BC"/>
    <w:rsid w:val="0020494B"/>
    <w:rsid w:val="00204CBF"/>
    <w:rsid w:val="00204E7B"/>
    <w:rsid w:val="00204E8C"/>
    <w:rsid w:val="00205040"/>
    <w:rsid w:val="002051EE"/>
    <w:rsid w:val="00205413"/>
    <w:rsid w:val="00205507"/>
    <w:rsid w:val="00205642"/>
    <w:rsid w:val="00205644"/>
    <w:rsid w:val="00205A9F"/>
    <w:rsid w:val="00205B0E"/>
    <w:rsid w:val="00205B1F"/>
    <w:rsid w:val="00205ED8"/>
    <w:rsid w:val="00205FEA"/>
    <w:rsid w:val="002061CA"/>
    <w:rsid w:val="0020626C"/>
    <w:rsid w:val="0020689C"/>
    <w:rsid w:val="00206929"/>
    <w:rsid w:val="002069A6"/>
    <w:rsid w:val="002069BC"/>
    <w:rsid w:val="00206E13"/>
    <w:rsid w:val="00206F7F"/>
    <w:rsid w:val="0020718C"/>
    <w:rsid w:val="00207205"/>
    <w:rsid w:val="00207223"/>
    <w:rsid w:val="00207408"/>
    <w:rsid w:val="00207526"/>
    <w:rsid w:val="0020761D"/>
    <w:rsid w:val="0020762E"/>
    <w:rsid w:val="00207675"/>
    <w:rsid w:val="00207907"/>
    <w:rsid w:val="00207FF8"/>
    <w:rsid w:val="0021000D"/>
    <w:rsid w:val="00210031"/>
    <w:rsid w:val="0021033E"/>
    <w:rsid w:val="00210679"/>
    <w:rsid w:val="00210901"/>
    <w:rsid w:val="00210954"/>
    <w:rsid w:val="00210C3E"/>
    <w:rsid w:val="00210C4B"/>
    <w:rsid w:val="00210D6E"/>
    <w:rsid w:val="00210D9C"/>
    <w:rsid w:val="00210DCC"/>
    <w:rsid w:val="00210DCD"/>
    <w:rsid w:val="0021198D"/>
    <w:rsid w:val="002119BF"/>
    <w:rsid w:val="00211B9F"/>
    <w:rsid w:val="00211C52"/>
    <w:rsid w:val="00211CC8"/>
    <w:rsid w:val="00211D3D"/>
    <w:rsid w:val="002120ED"/>
    <w:rsid w:val="002121A1"/>
    <w:rsid w:val="0021225B"/>
    <w:rsid w:val="0021226C"/>
    <w:rsid w:val="002126B2"/>
    <w:rsid w:val="00212755"/>
    <w:rsid w:val="00212948"/>
    <w:rsid w:val="00212967"/>
    <w:rsid w:val="00212BFF"/>
    <w:rsid w:val="00213024"/>
    <w:rsid w:val="002134A1"/>
    <w:rsid w:val="00213889"/>
    <w:rsid w:val="00213900"/>
    <w:rsid w:val="00213A9B"/>
    <w:rsid w:val="00213E70"/>
    <w:rsid w:val="00213E74"/>
    <w:rsid w:val="00213F43"/>
    <w:rsid w:val="00214036"/>
    <w:rsid w:val="00214433"/>
    <w:rsid w:val="002145B9"/>
    <w:rsid w:val="0021464C"/>
    <w:rsid w:val="00214AA6"/>
    <w:rsid w:val="00214BD4"/>
    <w:rsid w:val="00214E39"/>
    <w:rsid w:val="00214FFF"/>
    <w:rsid w:val="0021501A"/>
    <w:rsid w:val="00215101"/>
    <w:rsid w:val="002151CB"/>
    <w:rsid w:val="00215305"/>
    <w:rsid w:val="00215468"/>
    <w:rsid w:val="002156D4"/>
    <w:rsid w:val="00215AAF"/>
    <w:rsid w:val="00215B73"/>
    <w:rsid w:val="00216084"/>
    <w:rsid w:val="002160BB"/>
    <w:rsid w:val="00216238"/>
    <w:rsid w:val="00216383"/>
    <w:rsid w:val="002163C8"/>
    <w:rsid w:val="0021642A"/>
    <w:rsid w:val="002165D3"/>
    <w:rsid w:val="00216677"/>
    <w:rsid w:val="002166A8"/>
    <w:rsid w:val="00216771"/>
    <w:rsid w:val="0021679A"/>
    <w:rsid w:val="0021687C"/>
    <w:rsid w:val="0021697C"/>
    <w:rsid w:val="002169D2"/>
    <w:rsid w:val="00216AAA"/>
    <w:rsid w:val="00216EA4"/>
    <w:rsid w:val="00216F45"/>
    <w:rsid w:val="002170E0"/>
    <w:rsid w:val="002173DD"/>
    <w:rsid w:val="002173ED"/>
    <w:rsid w:val="00217423"/>
    <w:rsid w:val="00217678"/>
    <w:rsid w:val="00217839"/>
    <w:rsid w:val="0021786F"/>
    <w:rsid w:val="00217A35"/>
    <w:rsid w:val="00217BBD"/>
    <w:rsid w:val="002200CD"/>
    <w:rsid w:val="00220353"/>
    <w:rsid w:val="0022067E"/>
    <w:rsid w:val="002208DA"/>
    <w:rsid w:val="002209D7"/>
    <w:rsid w:val="00220CA3"/>
    <w:rsid w:val="00220D43"/>
    <w:rsid w:val="00220F97"/>
    <w:rsid w:val="0022102F"/>
    <w:rsid w:val="00221197"/>
    <w:rsid w:val="00221201"/>
    <w:rsid w:val="00221282"/>
    <w:rsid w:val="002213E7"/>
    <w:rsid w:val="00221402"/>
    <w:rsid w:val="0022141C"/>
    <w:rsid w:val="0022195B"/>
    <w:rsid w:val="00221B1E"/>
    <w:rsid w:val="00221D4B"/>
    <w:rsid w:val="00222087"/>
    <w:rsid w:val="0022224C"/>
    <w:rsid w:val="002222A1"/>
    <w:rsid w:val="00222392"/>
    <w:rsid w:val="002223C1"/>
    <w:rsid w:val="002224C1"/>
    <w:rsid w:val="00222D4A"/>
    <w:rsid w:val="00222D97"/>
    <w:rsid w:val="00222DF5"/>
    <w:rsid w:val="00222E18"/>
    <w:rsid w:val="00223026"/>
    <w:rsid w:val="002230A8"/>
    <w:rsid w:val="002230EF"/>
    <w:rsid w:val="0022337D"/>
    <w:rsid w:val="00223780"/>
    <w:rsid w:val="0022389B"/>
    <w:rsid w:val="00223A5B"/>
    <w:rsid w:val="00223E9D"/>
    <w:rsid w:val="002240C5"/>
    <w:rsid w:val="002244A6"/>
    <w:rsid w:val="0022463E"/>
    <w:rsid w:val="00224A16"/>
    <w:rsid w:val="002251E7"/>
    <w:rsid w:val="002256BD"/>
    <w:rsid w:val="002256E4"/>
    <w:rsid w:val="00225A3B"/>
    <w:rsid w:val="00225A8C"/>
    <w:rsid w:val="00225BD8"/>
    <w:rsid w:val="00225CFE"/>
    <w:rsid w:val="00225F34"/>
    <w:rsid w:val="00226058"/>
    <w:rsid w:val="00226081"/>
    <w:rsid w:val="002263A4"/>
    <w:rsid w:val="002264E2"/>
    <w:rsid w:val="002267CE"/>
    <w:rsid w:val="00226999"/>
    <w:rsid w:val="00226A34"/>
    <w:rsid w:val="00226A73"/>
    <w:rsid w:val="00226AF7"/>
    <w:rsid w:val="00226CF3"/>
    <w:rsid w:val="00226D45"/>
    <w:rsid w:val="00226E94"/>
    <w:rsid w:val="002276A5"/>
    <w:rsid w:val="002277B0"/>
    <w:rsid w:val="00227917"/>
    <w:rsid w:val="0022799E"/>
    <w:rsid w:val="002279F4"/>
    <w:rsid w:val="00227A3F"/>
    <w:rsid w:val="00227B4A"/>
    <w:rsid w:val="00227CDE"/>
    <w:rsid w:val="00227DA2"/>
    <w:rsid w:val="00227F05"/>
    <w:rsid w:val="00227FDC"/>
    <w:rsid w:val="00230067"/>
    <w:rsid w:val="002302A1"/>
    <w:rsid w:val="002304B0"/>
    <w:rsid w:val="002305C5"/>
    <w:rsid w:val="002306F7"/>
    <w:rsid w:val="00230817"/>
    <w:rsid w:val="0023081D"/>
    <w:rsid w:val="00230A9B"/>
    <w:rsid w:val="00230D06"/>
    <w:rsid w:val="00230DC1"/>
    <w:rsid w:val="00230DCC"/>
    <w:rsid w:val="00230F31"/>
    <w:rsid w:val="00230FA0"/>
    <w:rsid w:val="00230FE7"/>
    <w:rsid w:val="00231417"/>
    <w:rsid w:val="00231611"/>
    <w:rsid w:val="002316D0"/>
    <w:rsid w:val="002317CA"/>
    <w:rsid w:val="00231960"/>
    <w:rsid w:val="00231E76"/>
    <w:rsid w:val="00231E84"/>
    <w:rsid w:val="00231F26"/>
    <w:rsid w:val="00232137"/>
    <w:rsid w:val="00232475"/>
    <w:rsid w:val="002324E3"/>
    <w:rsid w:val="002326C4"/>
    <w:rsid w:val="00232917"/>
    <w:rsid w:val="002329E5"/>
    <w:rsid w:val="00232BE5"/>
    <w:rsid w:val="00232CA5"/>
    <w:rsid w:val="00232FEC"/>
    <w:rsid w:val="0023329C"/>
    <w:rsid w:val="00233355"/>
    <w:rsid w:val="00233586"/>
    <w:rsid w:val="002336EC"/>
    <w:rsid w:val="002337BD"/>
    <w:rsid w:val="00233808"/>
    <w:rsid w:val="00233868"/>
    <w:rsid w:val="00233BC0"/>
    <w:rsid w:val="00233D92"/>
    <w:rsid w:val="00233E7B"/>
    <w:rsid w:val="00233FBB"/>
    <w:rsid w:val="00233FF1"/>
    <w:rsid w:val="00234427"/>
    <w:rsid w:val="00234617"/>
    <w:rsid w:val="00234B4F"/>
    <w:rsid w:val="0023511A"/>
    <w:rsid w:val="00235287"/>
    <w:rsid w:val="002353C1"/>
    <w:rsid w:val="00235412"/>
    <w:rsid w:val="00235BE4"/>
    <w:rsid w:val="00235BEF"/>
    <w:rsid w:val="00235F4B"/>
    <w:rsid w:val="00236244"/>
    <w:rsid w:val="00236656"/>
    <w:rsid w:val="0023669A"/>
    <w:rsid w:val="00236A86"/>
    <w:rsid w:val="00236DC0"/>
    <w:rsid w:val="00236F4C"/>
    <w:rsid w:val="00237090"/>
    <w:rsid w:val="002373A2"/>
    <w:rsid w:val="0023745D"/>
    <w:rsid w:val="002378A5"/>
    <w:rsid w:val="002379BD"/>
    <w:rsid w:val="00237A0A"/>
    <w:rsid w:val="00237A51"/>
    <w:rsid w:val="00237C0B"/>
    <w:rsid w:val="00237DC5"/>
    <w:rsid w:val="00237EAC"/>
    <w:rsid w:val="002400B7"/>
    <w:rsid w:val="002400E9"/>
    <w:rsid w:val="002402F3"/>
    <w:rsid w:val="00240413"/>
    <w:rsid w:val="00240461"/>
    <w:rsid w:val="002407CC"/>
    <w:rsid w:val="0024082F"/>
    <w:rsid w:val="002408A7"/>
    <w:rsid w:val="002409E3"/>
    <w:rsid w:val="00241068"/>
    <w:rsid w:val="002410C2"/>
    <w:rsid w:val="0024113D"/>
    <w:rsid w:val="002411C6"/>
    <w:rsid w:val="00241394"/>
    <w:rsid w:val="002415CE"/>
    <w:rsid w:val="00241D72"/>
    <w:rsid w:val="00241DC4"/>
    <w:rsid w:val="0024234A"/>
    <w:rsid w:val="00242487"/>
    <w:rsid w:val="002424A0"/>
    <w:rsid w:val="00242517"/>
    <w:rsid w:val="0024260B"/>
    <w:rsid w:val="00242A0E"/>
    <w:rsid w:val="00242C9D"/>
    <w:rsid w:val="00242E10"/>
    <w:rsid w:val="00243019"/>
    <w:rsid w:val="00243230"/>
    <w:rsid w:val="00243446"/>
    <w:rsid w:val="00243997"/>
    <w:rsid w:val="002439B0"/>
    <w:rsid w:val="00243BD2"/>
    <w:rsid w:val="00243C1F"/>
    <w:rsid w:val="00243C6F"/>
    <w:rsid w:val="00243D63"/>
    <w:rsid w:val="0024401F"/>
    <w:rsid w:val="00244085"/>
    <w:rsid w:val="00244685"/>
    <w:rsid w:val="002447E9"/>
    <w:rsid w:val="002447FC"/>
    <w:rsid w:val="002448E6"/>
    <w:rsid w:val="00244A56"/>
    <w:rsid w:val="00244EE7"/>
    <w:rsid w:val="00245213"/>
    <w:rsid w:val="0024524D"/>
    <w:rsid w:val="002453BE"/>
    <w:rsid w:val="002454A9"/>
    <w:rsid w:val="002455C3"/>
    <w:rsid w:val="0024569B"/>
    <w:rsid w:val="00245A3F"/>
    <w:rsid w:val="00245B4D"/>
    <w:rsid w:val="00245BDE"/>
    <w:rsid w:val="00245FAD"/>
    <w:rsid w:val="00245FE1"/>
    <w:rsid w:val="002462A7"/>
    <w:rsid w:val="002463DA"/>
    <w:rsid w:val="00246686"/>
    <w:rsid w:val="00246967"/>
    <w:rsid w:val="00246B26"/>
    <w:rsid w:val="00246C0C"/>
    <w:rsid w:val="00246FBA"/>
    <w:rsid w:val="0024702C"/>
    <w:rsid w:val="00247177"/>
    <w:rsid w:val="0024736E"/>
    <w:rsid w:val="00247670"/>
    <w:rsid w:val="0024799C"/>
    <w:rsid w:val="00247B4D"/>
    <w:rsid w:val="00247D77"/>
    <w:rsid w:val="00247EDF"/>
    <w:rsid w:val="00247FC7"/>
    <w:rsid w:val="00250386"/>
    <w:rsid w:val="00250797"/>
    <w:rsid w:val="00250A38"/>
    <w:rsid w:val="00250BFD"/>
    <w:rsid w:val="00250C60"/>
    <w:rsid w:val="0025106D"/>
    <w:rsid w:val="002512A6"/>
    <w:rsid w:val="002513AE"/>
    <w:rsid w:val="00251444"/>
    <w:rsid w:val="00251497"/>
    <w:rsid w:val="00251760"/>
    <w:rsid w:val="00251B1D"/>
    <w:rsid w:val="00251CAD"/>
    <w:rsid w:val="00251CFF"/>
    <w:rsid w:val="00251FB0"/>
    <w:rsid w:val="002521E1"/>
    <w:rsid w:val="002527A2"/>
    <w:rsid w:val="00252880"/>
    <w:rsid w:val="0025309F"/>
    <w:rsid w:val="002530C0"/>
    <w:rsid w:val="002530F3"/>
    <w:rsid w:val="00253211"/>
    <w:rsid w:val="002532A8"/>
    <w:rsid w:val="00253468"/>
    <w:rsid w:val="002534F4"/>
    <w:rsid w:val="002535CE"/>
    <w:rsid w:val="0025369B"/>
    <w:rsid w:val="00253724"/>
    <w:rsid w:val="002538BC"/>
    <w:rsid w:val="002539DF"/>
    <w:rsid w:val="00253AE4"/>
    <w:rsid w:val="00254114"/>
    <w:rsid w:val="0025420D"/>
    <w:rsid w:val="00254247"/>
    <w:rsid w:val="002542B2"/>
    <w:rsid w:val="0025432C"/>
    <w:rsid w:val="0025447C"/>
    <w:rsid w:val="002544A9"/>
    <w:rsid w:val="0025462F"/>
    <w:rsid w:val="00254681"/>
    <w:rsid w:val="00254B08"/>
    <w:rsid w:val="00254B81"/>
    <w:rsid w:val="00254BB4"/>
    <w:rsid w:val="00255399"/>
    <w:rsid w:val="002557E6"/>
    <w:rsid w:val="002559B3"/>
    <w:rsid w:val="002559EC"/>
    <w:rsid w:val="00255A84"/>
    <w:rsid w:val="00255B5A"/>
    <w:rsid w:val="00255EE4"/>
    <w:rsid w:val="00255F7F"/>
    <w:rsid w:val="00256321"/>
    <w:rsid w:val="00256777"/>
    <w:rsid w:val="00256795"/>
    <w:rsid w:val="0025684E"/>
    <w:rsid w:val="00256937"/>
    <w:rsid w:val="0025698E"/>
    <w:rsid w:val="00256BBE"/>
    <w:rsid w:val="00256CAD"/>
    <w:rsid w:val="002573AF"/>
    <w:rsid w:val="002574AF"/>
    <w:rsid w:val="00257760"/>
    <w:rsid w:val="002578E2"/>
    <w:rsid w:val="00257A85"/>
    <w:rsid w:val="00257AAA"/>
    <w:rsid w:val="00257C41"/>
    <w:rsid w:val="00260299"/>
    <w:rsid w:val="00260448"/>
    <w:rsid w:val="00260623"/>
    <w:rsid w:val="00260978"/>
    <w:rsid w:val="00260BA6"/>
    <w:rsid w:val="00260BBD"/>
    <w:rsid w:val="00260C35"/>
    <w:rsid w:val="00260CA5"/>
    <w:rsid w:val="00260E48"/>
    <w:rsid w:val="0026114B"/>
    <w:rsid w:val="0026115B"/>
    <w:rsid w:val="0026123A"/>
    <w:rsid w:val="00261391"/>
    <w:rsid w:val="0026169D"/>
    <w:rsid w:val="002616CE"/>
    <w:rsid w:val="002618AE"/>
    <w:rsid w:val="00261913"/>
    <w:rsid w:val="00261972"/>
    <w:rsid w:val="00261C26"/>
    <w:rsid w:val="00261CF1"/>
    <w:rsid w:val="00261DA5"/>
    <w:rsid w:val="00262135"/>
    <w:rsid w:val="00262463"/>
    <w:rsid w:val="002627C8"/>
    <w:rsid w:val="00262869"/>
    <w:rsid w:val="002628F6"/>
    <w:rsid w:val="00262966"/>
    <w:rsid w:val="00262DCF"/>
    <w:rsid w:val="00262EBA"/>
    <w:rsid w:val="00263088"/>
    <w:rsid w:val="002630BC"/>
    <w:rsid w:val="002631D3"/>
    <w:rsid w:val="002634CD"/>
    <w:rsid w:val="002634D3"/>
    <w:rsid w:val="002634EA"/>
    <w:rsid w:val="00263558"/>
    <w:rsid w:val="002636CF"/>
    <w:rsid w:val="002637CF"/>
    <w:rsid w:val="00263811"/>
    <w:rsid w:val="00263AF8"/>
    <w:rsid w:val="00263B46"/>
    <w:rsid w:val="00263CD1"/>
    <w:rsid w:val="00264303"/>
    <w:rsid w:val="002645C7"/>
    <w:rsid w:val="002646FE"/>
    <w:rsid w:val="00264795"/>
    <w:rsid w:val="002648EE"/>
    <w:rsid w:val="00264B3D"/>
    <w:rsid w:val="00264C1F"/>
    <w:rsid w:val="00264C66"/>
    <w:rsid w:val="00264FD6"/>
    <w:rsid w:val="00265419"/>
    <w:rsid w:val="002655E3"/>
    <w:rsid w:val="002656C7"/>
    <w:rsid w:val="002658AE"/>
    <w:rsid w:val="00265AC3"/>
    <w:rsid w:val="00265BFC"/>
    <w:rsid w:val="00265CCF"/>
    <w:rsid w:val="00265CEF"/>
    <w:rsid w:val="00265D3C"/>
    <w:rsid w:val="00265E46"/>
    <w:rsid w:val="002661B4"/>
    <w:rsid w:val="00266AF5"/>
    <w:rsid w:val="00266CFF"/>
    <w:rsid w:val="00266D29"/>
    <w:rsid w:val="00266E9A"/>
    <w:rsid w:val="00266ED2"/>
    <w:rsid w:val="00266F2F"/>
    <w:rsid w:val="002671A2"/>
    <w:rsid w:val="0026722A"/>
    <w:rsid w:val="0026732D"/>
    <w:rsid w:val="00267496"/>
    <w:rsid w:val="00267766"/>
    <w:rsid w:val="002677C7"/>
    <w:rsid w:val="00267A25"/>
    <w:rsid w:val="00267A28"/>
    <w:rsid w:val="00267A7C"/>
    <w:rsid w:val="00267B57"/>
    <w:rsid w:val="00267BFD"/>
    <w:rsid w:val="00267F66"/>
    <w:rsid w:val="00270169"/>
    <w:rsid w:val="0027017D"/>
    <w:rsid w:val="0027028E"/>
    <w:rsid w:val="002702D2"/>
    <w:rsid w:val="002702FF"/>
    <w:rsid w:val="00270370"/>
    <w:rsid w:val="002708A2"/>
    <w:rsid w:val="00270959"/>
    <w:rsid w:val="00270996"/>
    <w:rsid w:val="00270A4C"/>
    <w:rsid w:val="00270B7D"/>
    <w:rsid w:val="00270E19"/>
    <w:rsid w:val="00270F2A"/>
    <w:rsid w:val="00271012"/>
    <w:rsid w:val="00271610"/>
    <w:rsid w:val="0027170E"/>
    <w:rsid w:val="00271843"/>
    <w:rsid w:val="00271A6B"/>
    <w:rsid w:val="00271A85"/>
    <w:rsid w:val="00271B4D"/>
    <w:rsid w:val="00271BE4"/>
    <w:rsid w:val="00271BFC"/>
    <w:rsid w:val="00271F60"/>
    <w:rsid w:val="00271FEF"/>
    <w:rsid w:val="002720DA"/>
    <w:rsid w:val="00272164"/>
    <w:rsid w:val="00272499"/>
    <w:rsid w:val="00272623"/>
    <w:rsid w:val="00272960"/>
    <w:rsid w:val="00272A65"/>
    <w:rsid w:val="00272BCC"/>
    <w:rsid w:val="00272DBE"/>
    <w:rsid w:val="00272DDF"/>
    <w:rsid w:val="0027304A"/>
    <w:rsid w:val="0027304D"/>
    <w:rsid w:val="00273102"/>
    <w:rsid w:val="002732E5"/>
    <w:rsid w:val="0027349A"/>
    <w:rsid w:val="002739BB"/>
    <w:rsid w:val="00273CB2"/>
    <w:rsid w:val="00273E2A"/>
    <w:rsid w:val="002742FE"/>
    <w:rsid w:val="002746AB"/>
    <w:rsid w:val="002749FD"/>
    <w:rsid w:val="00274C4D"/>
    <w:rsid w:val="00274EFA"/>
    <w:rsid w:val="00275025"/>
    <w:rsid w:val="0027515F"/>
    <w:rsid w:val="00275352"/>
    <w:rsid w:val="0027590D"/>
    <w:rsid w:val="0027596A"/>
    <w:rsid w:val="002759C0"/>
    <w:rsid w:val="00275A9C"/>
    <w:rsid w:val="00275B68"/>
    <w:rsid w:val="00275BF9"/>
    <w:rsid w:val="00275C43"/>
    <w:rsid w:val="00275D7A"/>
    <w:rsid w:val="00275F9E"/>
    <w:rsid w:val="002761BD"/>
    <w:rsid w:val="0027652E"/>
    <w:rsid w:val="00276771"/>
    <w:rsid w:val="00276775"/>
    <w:rsid w:val="00276884"/>
    <w:rsid w:val="002772AF"/>
    <w:rsid w:val="0027744A"/>
    <w:rsid w:val="002776BF"/>
    <w:rsid w:val="0027780B"/>
    <w:rsid w:val="00277A51"/>
    <w:rsid w:val="00277A86"/>
    <w:rsid w:val="00277B7E"/>
    <w:rsid w:val="00277D11"/>
    <w:rsid w:val="00277D4B"/>
    <w:rsid w:val="00277DFF"/>
    <w:rsid w:val="00277EC0"/>
    <w:rsid w:val="002800C9"/>
    <w:rsid w:val="0028035B"/>
    <w:rsid w:val="00280698"/>
    <w:rsid w:val="00280996"/>
    <w:rsid w:val="00280B6C"/>
    <w:rsid w:val="00280CBA"/>
    <w:rsid w:val="00280D5B"/>
    <w:rsid w:val="00280EA4"/>
    <w:rsid w:val="00281007"/>
    <w:rsid w:val="002811B7"/>
    <w:rsid w:val="00281364"/>
    <w:rsid w:val="002813AA"/>
    <w:rsid w:val="002813E2"/>
    <w:rsid w:val="0028150B"/>
    <w:rsid w:val="0028163F"/>
    <w:rsid w:val="00281819"/>
    <w:rsid w:val="00281DA0"/>
    <w:rsid w:val="002822C7"/>
    <w:rsid w:val="00282372"/>
    <w:rsid w:val="0028253A"/>
    <w:rsid w:val="002827F9"/>
    <w:rsid w:val="00282957"/>
    <w:rsid w:val="00282BAE"/>
    <w:rsid w:val="00282D05"/>
    <w:rsid w:val="00282D07"/>
    <w:rsid w:val="00282DAC"/>
    <w:rsid w:val="00282EE5"/>
    <w:rsid w:val="002831F0"/>
    <w:rsid w:val="002834C9"/>
    <w:rsid w:val="0028357B"/>
    <w:rsid w:val="0028357D"/>
    <w:rsid w:val="002835A6"/>
    <w:rsid w:val="002837C2"/>
    <w:rsid w:val="0028399A"/>
    <w:rsid w:val="002839FB"/>
    <w:rsid w:val="00283BB4"/>
    <w:rsid w:val="00283C28"/>
    <w:rsid w:val="00283D4E"/>
    <w:rsid w:val="00284036"/>
    <w:rsid w:val="00284162"/>
    <w:rsid w:val="00284216"/>
    <w:rsid w:val="002844AC"/>
    <w:rsid w:val="002845B0"/>
    <w:rsid w:val="002845B5"/>
    <w:rsid w:val="002845DC"/>
    <w:rsid w:val="002845EA"/>
    <w:rsid w:val="002848C8"/>
    <w:rsid w:val="00284B22"/>
    <w:rsid w:val="00284E5F"/>
    <w:rsid w:val="0028509F"/>
    <w:rsid w:val="0028513A"/>
    <w:rsid w:val="0028523A"/>
    <w:rsid w:val="00285309"/>
    <w:rsid w:val="0028551B"/>
    <w:rsid w:val="002857CB"/>
    <w:rsid w:val="00285A8C"/>
    <w:rsid w:val="00285DF6"/>
    <w:rsid w:val="00285F0C"/>
    <w:rsid w:val="00285F61"/>
    <w:rsid w:val="00286154"/>
    <w:rsid w:val="00286229"/>
    <w:rsid w:val="00286322"/>
    <w:rsid w:val="002866C0"/>
    <w:rsid w:val="0028670B"/>
    <w:rsid w:val="00286894"/>
    <w:rsid w:val="00286ABA"/>
    <w:rsid w:val="00286B1C"/>
    <w:rsid w:val="00286DCB"/>
    <w:rsid w:val="00286EBE"/>
    <w:rsid w:val="00286FB0"/>
    <w:rsid w:val="0028718B"/>
    <w:rsid w:val="002872C8"/>
    <w:rsid w:val="0028740A"/>
    <w:rsid w:val="00287699"/>
    <w:rsid w:val="0028783E"/>
    <w:rsid w:val="00290051"/>
    <w:rsid w:val="0029008E"/>
    <w:rsid w:val="0029049F"/>
    <w:rsid w:val="00290588"/>
    <w:rsid w:val="002907BC"/>
    <w:rsid w:val="00290B3C"/>
    <w:rsid w:val="00290D74"/>
    <w:rsid w:val="00290F8B"/>
    <w:rsid w:val="0029134D"/>
    <w:rsid w:val="0029148F"/>
    <w:rsid w:val="002916A7"/>
    <w:rsid w:val="00291779"/>
    <w:rsid w:val="002919DB"/>
    <w:rsid w:val="002920C7"/>
    <w:rsid w:val="00292228"/>
    <w:rsid w:val="0029224C"/>
    <w:rsid w:val="0029236F"/>
    <w:rsid w:val="0029241A"/>
    <w:rsid w:val="00292856"/>
    <w:rsid w:val="00292907"/>
    <w:rsid w:val="002929D8"/>
    <w:rsid w:val="00292B9F"/>
    <w:rsid w:val="00292C19"/>
    <w:rsid w:val="00292D13"/>
    <w:rsid w:val="00292E39"/>
    <w:rsid w:val="00293059"/>
    <w:rsid w:val="00293109"/>
    <w:rsid w:val="002932BB"/>
    <w:rsid w:val="00293418"/>
    <w:rsid w:val="00293557"/>
    <w:rsid w:val="002938EF"/>
    <w:rsid w:val="0029396F"/>
    <w:rsid w:val="00293C63"/>
    <w:rsid w:val="00293E47"/>
    <w:rsid w:val="00293F3D"/>
    <w:rsid w:val="00294251"/>
    <w:rsid w:val="0029445E"/>
    <w:rsid w:val="002944FF"/>
    <w:rsid w:val="0029467A"/>
    <w:rsid w:val="00294744"/>
    <w:rsid w:val="002948F5"/>
    <w:rsid w:val="00294A58"/>
    <w:rsid w:val="00294A7E"/>
    <w:rsid w:val="00294B49"/>
    <w:rsid w:val="00294D2F"/>
    <w:rsid w:val="00295274"/>
    <w:rsid w:val="00295417"/>
    <w:rsid w:val="002956F7"/>
    <w:rsid w:val="002958DE"/>
    <w:rsid w:val="00295919"/>
    <w:rsid w:val="00295B6E"/>
    <w:rsid w:val="00295B70"/>
    <w:rsid w:val="00295EEF"/>
    <w:rsid w:val="00296074"/>
    <w:rsid w:val="0029630E"/>
    <w:rsid w:val="002963DD"/>
    <w:rsid w:val="0029648D"/>
    <w:rsid w:val="0029656D"/>
    <w:rsid w:val="00296DE8"/>
    <w:rsid w:val="00296F47"/>
    <w:rsid w:val="00297289"/>
    <w:rsid w:val="00297296"/>
    <w:rsid w:val="0029733E"/>
    <w:rsid w:val="00297514"/>
    <w:rsid w:val="0029799C"/>
    <w:rsid w:val="00297ACE"/>
    <w:rsid w:val="00297ECD"/>
    <w:rsid w:val="002A0130"/>
    <w:rsid w:val="002A04E2"/>
    <w:rsid w:val="002A0545"/>
    <w:rsid w:val="002A0585"/>
    <w:rsid w:val="002A0662"/>
    <w:rsid w:val="002A06E7"/>
    <w:rsid w:val="002A0A43"/>
    <w:rsid w:val="002A0CF5"/>
    <w:rsid w:val="002A0E02"/>
    <w:rsid w:val="002A0E79"/>
    <w:rsid w:val="002A0E94"/>
    <w:rsid w:val="002A115B"/>
    <w:rsid w:val="002A1170"/>
    <w:rsid w:val="002A11B0"/>
    <w:rsid w:val="002A1231"/>
    <w:rsid w:val="002A1263"/>
    <w:rsid w:val="002A134F"/>
    <w:rsid w:val="002A147F"/>
    <w:rsid w:val="002A18FE"/>
    <w:rsid w:val="002A19F7"/>
    <w:rsid w:val="002A1AAE"/>
    <w:rsid w:val="002A1CF8"/>
    <w:rsid w:val="002A1F4D"/>
    <w:rsid w:val="002A1FB9"/>
    <w:rsid w:val="002A212C"/>
    <w:rsid w:val="002A2364"/>
    <w:rsid w:val="002A24B0"/>
    <w:rsid w:val="002A2729"/>
    <w:rsid w:val="002A283D"/>
    <w:rsid w:val="002A29CE"/>
    <w:rsid w:val="002A2A08"/>
    <w:rsid w:val="002A2B37"/>
    <w:rsid w:val="002A2BB1"/>
    <w:rsid w:val="002A2BC4"/>
    <w:rsid w:val="002A2D62"/>
    <w:rsid w:val="002A2D93"/>
    <w:rsid w:val="002A31FA"/>
    <w:rsid w:val="002A32BE"/>
    <w:rsid w:val="002A3363"/>
    <w:rsid w:val="002A339E"/>
    <w:rsid w:val="002A33FC"/>
    <w:rsid w:val="002A3418"/>
    <w:rsid w:val="002A3544"/>
    <w:rsid w:val="002A35A5"/>
    <w:rsid w:val="002A382F"/>
    <w:rsid w:val="002A39D5"/>
    <w:rsid w:val="002A3FF6"/>
    <w:rsid w:val="002A4113"/>
    <w:rsid w:val="002A4247"/>
    <w:rsid w:val="002A4266"/>
    <w:rsid w:val="002A449A"/>
    <w:rsid w:val="002A44A0"/>
    <w:rsid w:val="002A45B1"/>
    <w:rsid w:val="002A46C8"/>
    <w:rsid w:val="002A47DF"/>
    <w:rsid w:val="002A496E"/>
    <w:rsid w:val="002A4D6B"/>
    <w:rsid w:val="002A4E42"/>
    <w:rsid w:val="002A5379"/>
    <w:rsid w:val="002A538C"/>
    <w:rsid w:val="002A54BA"/>
    <w:rsid w:val="002A556F"/>
    <w:rsid w:val="002A598E"/>
    <w:rsid w:val="002A5A26"/>
    <w:rsid w:val="002A5C5E"/>
    <w:rsid w:val="002A5C92"/>
    <w:rsid w:val="002A5F96"/>
    <w:rsid w:val="002A61A5"/>
    <w:rsid w:val="002A61B1"/>
    <w:rsid w:val="002A631E"/>
    <w:rsid w:val="002A6364"/>
    <w:rsid w:val="002A648D"/>
    <w:rsid w:val="002A64DA"/>
    <w:rsid w:val="002A6700"/>
    <w:rsid w:val="002A6827"/>
    <w:rsid w:val="002A6B37"/>
    <w:rsid w:val="002A6B6C"/>
    <w:rsid w:val="002A6E59"/>
    <w:rsid w:val="002A6F91"/>
    <w:rsid w:val="002A7194"/>
    <w:rsid w:val="002A7199"/>
    <w:rsid w:val="002A7418"/>
    <w:rsid w:val="002A7682"/>
    <w:rsid w:val="002A77C3"/>
    <w:rsid w:val="002A79D9"/>
    <w:rsid w:val="002A7BAF"/>
    <w:rsid w:val="002A7BBD"/>
    <w:rsid w:val="002A7CC3"/>
    <w:rsid w:val="002A7EED"/>
    <w:rsid w:val="002B018B"/>
    <w:rsid w:val="002B01A1"/>
    <w:rsid w:val="002B05A8"/>
    <w:rsid w:val="002B07D0"/>
    <w:rsid w:val="002B093B"/>
    <w:rsid w:val="002B0D6E"/>
    <w:rsid w:val="002B0E61"/>
    <w:rsid w:val="002B0F0D"/>
    <w:rsid w:val="002B0F38"/>
    <w:rsid w:val="002B0F4C"/>
    <w:rsid w:val="002B109B"/>
    <w:rsid w:val="002B10B0"/>
    <w:rsid w:val="002B10B8"/>
    <w:rsid w:val="002B1225"/>
    <w:rsid w:val="002B12AB"/>
    <w:rsid w:val="002B12F9"/>
    <w:rsid w:val="002B1437"/>
    <w:rsid w:val="002B14DB"/>
    <w:rsid w:val="002B169C"/>
    <w:rsid w:val="002B1838"/>
    <w:rsid w:val="002B1917"/>
    <w:rsid w:val="002B1A4F"/>
    <w:rsid w:val="002B1F89"/>
    <w:rsid w:val="002B21BB"/>
    <w:rsid w:val="002B2260"/>
    <w:rsid w:val="002B22F5"/>
    <w:rsid w:val="002B274C"/>
    <w:rsid w:val="002B2868"/>
    <w:rsid w:val="002B28A3"/>
    <w:rsid w:val="002B2E9F"/>
    <w:rsid w:val="002B2EE8"/>
    <w:rsid w:val="002B2F77"/>
    <w:rsid w:val="002B3462"/>
    <w:rsid w:val="002B34DA"/>
    <w:rsid w:val="002B3529"/>
    <w:rsid w:val="002B3596"/>
    <w:rsid w:val="002B36E2"/>
    <w:rsid w:val="002B3AF8"/>
    <w:rsid w:val="002B3E68"/>
    <w:rsid w:val="002B4398"/>
    <w:rsid w:val="002B43B3"/>
    <w:rsid w:val="002B43C1"/>
    <w:rsid w:val="002B44D1"/>
    <w:rsid w:val="002B46DB"/>
    <w:rsid w:val="002B4C45"/>
    <w:rsid w:val="002B4D60"/>
    <w:rsid w:val="002B4FAD"/>
    <w:rsid w:val="002B538D"/>
    <w:rsid w:val="002B5626"/>
    <w:rsid w:val="002B5841"/>
    <w:rsid w:val="002B5A1C"/>
    <w:rsid w:val="002B5AB7"/>
    <w:rsid w:val="002B5B61"/>
    <w:rsid w:val="002B5CA1"/>
    <w:rsid w:val="002B6031"/>
    <w:rsid w:val="002B6403"/>
    <w:rsid w:val="002B65C0"/>
    <w:rsid w:val="002B6699"/>
    <w:rsid w:val="002B6716"/>
    <w:rsid w:val="002B6B11"/>
    <w:rsid w:val="002B6EFD"/>
    <w:rsid w:val="002B6F33"/>
    <w:rsid w:val="002B6F79"/>
    <w:rsid w:val="002B7224"/>
    <w:rsid w:val="002B7445"/>
    <w:rsid w:val="002B7636"/>
    <w:rsid w:val="002B79F0"/>
    <w:rsid w:val="002B7B8A"/>
    <w:rsid w:val="002B7BDD"/>
    <w:rsid w:val="002B7C96"/>
    <w:rsid w:val="002B7E6C"/>
    <w:rsid w:val="002B7F3E"/>
    <w:rsid w:val="002C00F5"/>
    <w:rsid w:val="002C0166"/>
    <w:rsid w:val="002C037B"/>
    <w:rsid w:val="002C059A"/>
    <w:rsid w:val="002C05D9"/>
    <w:rsid w:val="002C06B5"/>
    <w:rsid w:val="002C08D4"/>
    <w:rsid w:val="002C09B9"/>
    <w:rsid w:val="002C0BC2"/>
    <w:rsid w:val="002C0C96"/>
    <w:rsid w:val="002C0CCC"/>
    <w:rsid w:val="002C0CD7"/>
    <w:rsid w:val="002C0D7B"/>
    <w:rsid w:val="002C0D99"/>
    <w:rsid w:val="002C0EAB"/>
    <w:rsid w:val="002C105A"/>
    <w:rsid w:val="002C11BC"/>
    <w:rsid w:val="002C11D6"/>
    <w:rsid w:val="002C143E"/>
    <w:rsid w:val="002C1443"/>
    <w:rsid w:val="002C1524"/>
    <w:rsid w:val="002C1CBF"/>
    <w:rsid w:val="002C1D9C"/>
    <w:rsid w:val="002C1ECB"/>
    <w:rsid w:val="002C1EFA"/>
    <w:rsid w:val="002C22C5"/>
    <w:rsid w:val="002C2361"/>
    <w:rsid w:val="002C2421"/>
    <w:rsid w:val="002C2806"/>
    <w:rsid w:val="002C2A46"/>
    <w:rsid w:val="002C2BD3"/>
    <w:rsid w:val="002C2BEB"/>
    <w:rsid w:val="002C3098"/>
    <w:rsid w:val="002C30A4"/>
    <w:rsid w:val="002C30D3"/>
    <w:rsid w:val="002C312F"/>
    <w:rsid w:val="002C328D"/>
    <w:rsid w:val="002C333E"/>
    <w:rsid w:val="002C3360"/>
    <w:rsid w:val="002C34B2"/>
    <w:rsid w:val="002C366F"/>
    <w:rsid w:val="002C3894"/>
    <w:rsid w:val="002C3A2F"/>
    <w:rsid w:val="002C3D9B"/>
    <w:rsid w:val="002C3E6A"/>
    <w:rsid w:val="002C40EF"/>
    <w:rsid w:val="002C4467"/>
    <w:rsid w:val="002C4588"/>
    <w:rsid w:val="002C4816"/>
    <w:rsid w:val="002C486A"/>
    <w:rsid w:val="002C488D"/>
    <w:rsid w:val="002C4A35"/>
    <w:rsid w:val="002C4A81"/>
    <w:rsid w:val="002C4B78"/>
    <w:rsid w:val="002C4B93"/>
    <w:rsid w:val="002C4C27"/>
    <w:rsid w:val="002C4CA9"/>
    <w:rsid w:val="002C4CB2"/>
    <w:rsid w:val="002C4DB6"/>
    <w:rsid w:val="002C4E66"/>
    <w:rsid w:val="002C5265"/>
    <w:rsid w:val="002C5453"/>
    <w:rsid w:val="002C5698"/>
    <w:rsid w:val="002C57BD"/>
    <w:rsid w:val="002C5961"/>
    <w:rsid w:val="002C5A5C"/>
    <w:rsid w:val="002C5AEF"/>
    <w:rsid w:val="002C5BFE"/>
    <w:rsid w:val="002C5DEE"/>
    <w:rsid w:val="002C5F0D"/>
    <w:rsid w:val="002C6002"/>
    <w:rsid w:val="002C63F3"/>
    <w:rsid w:val="002C6477"/>
    <w:rsid w:val="002C64E1"/>
    <w:rsid w:val="002C64F8"/>
    <w:rsid w:val="002C6686"/>
    <w:rsid w:val="002C68E5"/>
    <w:rsid w:val="002C6928"/>
    <w:rsid w:val="002C7016"/>
    <w:rsid w:val="002C7084"/>
    <w:rsid w:val="002C70A3"/>
    <w:rsid w:val="002C7173"/>
    <w:rsid w:val="002C71DE"/>
    <w:rsid w:val="002C7301"/>
    <w:rsid w:val="002C73C2"/>
    <w:rsid w:val="002C7461"/>
    <w:rsid w:val="002C7566"/>
    <w:rsid w:val="002C75E6"/>
    <w:rsid w:val="002C7C0A"/>
    <w:rsid w:val="002C7C9C"/>
    <w:rsid w:val="002C7FF4"/>
    <w:rsid w:val="002D04C5"/>
    <w:rsid w:val="002D059D"/>
    <w:rsid w:val="002D0727"/>
    <w:rsid w:val="002D100C"/>
    <w:rsid w:val="002D16F0"/>
    <w:rsid w:val="002D1768"/>
    <w:rsid w:val="002D1B36"/>
    <w:rsid w:val="002D1B57"/>
    <w:rsid w:val="002D1B96"/>
    <w:rsid w:val="002D1CCB"/>
    <w:rsid w:val="002D2270"/>
    <w:rsid w:val="002D2597"/>
    <w:rsid w:val="002D2E4C"/>
    <w:rsid w:val="002D2EC4"/>
    <w:rsid w:val="002D319A"/>
    <w:rsid w:val="002D32AF"/>
    <w:rsid w:val="002D3306"/>
    <w:rsid w:val="002D3568"/>
    <w:rsid w:val="002D3628"/>
    <w:rsid w:val="002D370D"/>
    <w:rsid w:val="002D379C"/>
    <w:rsid w:val="002D37C1"/>
    <w:rsid w:val="002D3805"/>
    <w:rsid w:val="002D3921"/>
    <w:rsid w:val="002D3B22"/>
    <w:rsid w:val="002D4009"/>
    <w:rsid w:val="002D4074"/>
    <w:rsid w:val="002D42CF"/>
    <w:rsid w:val="002D42F1"/>
    <w:rsid w:val="002D4487"/>
    <w:rsid w:val="002D4830"/>
    <w:rsid w:val="002D4A0A"/>
    <w:rsid w:val="002D4A43"/>
    <w:rsid w:val="002D5041"/>
    <w:rsid w:val="002D5136"/>
    <w:rsid w:val="002D51B7"/>
    <w:rsid w:val="002D52BF"/>
    <w:rsid w:val="002D58A4"/>
    <w:rsid w:val="002D5950"/>
    <w:rsid w:val="002D607F"/>
    <w:rsid w:val="002D60C9"/>
    <w:rsid w:val="002D620E"/>
    <w:rsid w:val="002D65B4"/>
    <w:rsid w:val="002D6701"/>
    <w:rsid w:val="002D68CE"/>
    <w:rsid w:val="002D6D06"/>
    <w:rsid w:val="002D7072"/>
    <w:rsid w:val="002D72F7"/>
    <w:rsid w:val="002D77CA"/>
    <w:rsid w:val="002D7AC4"/>
    <w:rsid w:val="002D7B97"/>
    <w:rsid w:val="002D7D93"/>
    <w:rsid w:val="002D7EC5"/>
    <w:rsid w:val="002E002E"/>
    <w:rsid w:val="002E019F"/>
    <w:rsid w:val="002E01AB"/>
    <w:rsid w:val="002E0315"/>
    <w:rsid w:val="002E0403"/>
    <w:rsid w:val="002E08AA"/>
    <w:rsid w:val="002E0903"/>
    <w:rsid w:val="002E0C71"/>
    <w:rsid w:val="002E0C9E"/>
    <w:rsid w:val="002E0D26"/>
    <w:rsid w:val="002E0D8B"/>
    <w:rsid w:val="002E10FA"/>
    <w:rsid w:val="002E1279"/>
    <w:rsid w:val="002E12E8"/>
    <w:rsid w:val="002E1658"/>
    <w:rsid w:val="002E19A6"/>
    <w:rsid w:val="002E19B4"/>
    <w:rsid w:val="002E1C06"/>
    <w:rsid w:val="002E21D1"/>
    <w:rsid w:val="002E229D"/>
    <w:rsid w:val="002E25A8"/>
    <w:rsid w:val="002E279A"/>
    <w:rsid w:val="002E2BE7"/>
    <w:rsid w:val="002E2C2C"/>
    <w:rsid w:val="002E323E"/>
    <w:rsid w:val="002E3397"/>
    <w:rsid w:val="002E34CF"/>
    <w:rsid w:val="002E3832"/>
    <w:rsid w:val="002E399E"/>
    <w:rsid w:val="002E3AE1"/>
    <w:rsid w:val="002E3B08"/>
    <w:rsid w:val="002E3B49"/>
    <w:rsid w:val="002E3BF8"/>
    <w:rsid w:val="002E3CE5"/>
    <w:rsid w:val="002E3CEE"/>
    <w:rsid w:val="002E3DC8"/>
    <w:rsid w:val="002E4118"/>
    <w:rsid w:val="002E41F3"/>
    <w:rsid w:val="002E42D7"/>
    <w:rsid w:val="002E434D"/>
    <w:rsid w:val="002E4418"/>
    <w:rsid w:val="002E4505"/>
    <w:rsid w:val="002E4519"/>
    <w:rsid w:val="002E451C"/>
    <w:rsid w:val="002E4912"/>
    <w:rsid w:val="002E5038"/>
    <w:rsid w:val="002E533C"/>
    <w:rsid w:val="002E557C"/>
    <w:rsid w:val="002E55A5"/>
    <w:rsid w:val="002E5BB9"/>
    <w:rsid w:val="002E60A1"/>
    <w:rsid w:val="002E6116"/>
    <w:rsid w:val="002E67E6"/>
    <w:rsid w:val="002E67FD"/>
    <w:rsid w:val="002E69B3"/>
    <w:rsid w:val="002E6AF5"/>
    <w:rsid w:val="002E6C43"/>
    <w:rsid w:val="002E6D9A"/>
    <w:rsid w:val="002E6DBB"/>
    <w:rsid w:val="002E6E7C"/>
    <w:rsid w:val="002E6F6D"/>
    <w:rsid w:val="002E6F72"/>
    <w:rsid w:val="002E7611"/>
    <w:rsid w:val="002E78E4"/>
    <w:rsid w:val="002E794A"/>
    <w:rsid w:val="002E7A2B"/>
    <w:rsid w:val="002E7B0D"/>
    <w:rsid w:val="002F04DE"/>
    <w:rsid w:val="002F06FF"/>
    <w:rsid w:val="002F073A"/>
    <w:rsid w:val="002F089E"/>
    <w:rsid w:val="002F092E"/>
    <w:rsid w:val="002F0A2B"/>
    <w:rsid w:val="002F0B9F"/>
    <w:rsid w:val="002F0D1B"/>
    <w:rsid w:val="002F0F46"/>
    <w:rsid w:val="002F1005"/>
    <w:rsid w:val="002F121E"/>
    <w:rsid w:val="002F14A5"/>
    <w:rsid w:val="002F14D0"/>
    <w:rsid w:val="002F1511"/>
    <w:rsid w:val="002F1524"/>
    <w:rsid w:val="002F190D"/>
    <w:rsid w:val="002F196B"/>
    <w:rsid w:val="002F1A3E"/>
    <w:rsid w:val="002F1A4C"/>
    <w:rsid w:val="002F1CD3"/>
    <w:rsid w:val="002F1D51"/>
    <w:rsid w:val="002F1E10"/>
    <w:rsid w:val="002F1E43"/>
    <w:rsid w:val="002F1EA4"/>
    <w:rsid w:val="002F24B0"/>
    <w:rsid w:val="002F279C"/>
    <w:rsid w:val="002F283F"/>
    <w:rsid w:val="002F2BB2"/>
    <w:rsid w:val="002F3182"/>
    <w:rsid w:val="002F332E"/>
    <w:rsid w:val="002F38C0"/>
    <w:rsid w:val="002F3A93"/>
    <w:rsid w:val="002F3AFA"/>
    <w:rsid w:val="002F40DB"/>
    <w:rsid w:val="002F41A4"/>
    <w:rsid w:val="002F4269"/>
    <w:rsid w:val="002F4355"/>
    <w:rsid w:val="002F435E"/>
    <w:rsid w:val="002F4417"/>
    <w:rsid w:val="002F4444"/>
    <w:rsid w:val="002F45E9"/>
    <w:rsid w:val="002F4777"/>
    <w:rsid w:val="002F477E"/>
    <w:rsid w:val="002F479D"/>
    <w:rsid w:val="002F48E3"/>
    <w:rsid w:val="002F4B24"/>
    <w:rsid w:val="002F4BEA"/>
    <w:rsid w:val="002F4E11"/>
    <w:rsid w:val="002F4E5F"/>
    <w:rsid w:val="002F5276"/>
    <w:rsid w:val="002F5415"/>
    <w:rsid w:val="002F54B6"/>
    <w:rsid w:val="002F5587"/>
    <w:rsid w:val="002F5629"/>
    <w:rsid w:val="002F5674"/>
    <w:rsid w:val="002F5F30"/>
    <w:rsid w:val="002F5FC7"/>
    <w:rsid w:val="002F61FE"/>
    <w:rsid w:val="002F65E5"/>
    <w:rsid w:val="002F68A1"/>
    <w:rsid w:val="002F6A6F"/>
    <w:rsid w:val="002F6B24"/>
    <w:rsid w:val="002F6E28"/>
    <w:rsid w:val="002F70BA"/>
    <w:rsid w:val="002F713D"/>
    <w:rsid w:val="002F725F"/>
    <w:rsid w:val="002F764B"/>
    <w:rsid w:val="002F782B"/>
    <w:rsid w:val="002F7A88"/>
    <w:rsid w:val="002F7A99"/>
    <w:rsid w:val="002F7C08"/>
    <w:rsid w:val="002F7E68"/>
    <w:rsid w:val="002F7F86"/>
    <w:rsid w:val="0030001F"/>
    <w:rsid w:val="003003F7"/>
    <w:rsid w:val="00300560"/>
    <w:rsid w:val="00300578"/>
    <w:rsid w:val="003007DE"/>
    <w:rsid w:val="003008EE"/>
    <w:rsid w:val="00300A82"/>
    <w:rsid w:val="00300A84"/>
    <w:rsid w:val="00300ADE"/>
    <w:rsid w:val="00300C9E"/>
    <w:rsid w:val="00300CFC"/>
    <w:rsid w:val="00300E39"/>
    <w:rsid w:val="00300F95"/>
    <w:rsid w:val="0030101C"/>
    <w:rsid w:val="0030107F"/>
    <w:rsid w:val="00301137"/>
    <w:rsid w:val="003011A6"/>
    <w:rsid w:val="003013EF"/>
    <w:rsid w:val="00301443"/>
    <w:rsid w:val="0030167B"/>
    <w:rsid w:val="00301B02"/>
    <w:rsid w:val="00302306"/>
    <w:rsid w:val="003023C2"/>
    <w:rsid w:val="003024FE"/>
    <w:rsid w:val="003027F0"/>
    <w:rsid w:val="003028E2"/>
    <w:rsid w:val="0030294F"/>
    <w:rsid w:val="00302AD2"/>
    <w:rsid w:val="00302BDC"/>
    <w:rsid w:val="00302D08"/>
    <w:rsid w:val="00302E5E"/>
    <w:rsid w:val="00302EA1"/>
    <w:rsid w:val="00303249"/>
    <w:rsid w:val="00303268"/>
    <w:rsid w:val="003032AA"/>
    <w:rsid w:val="00303353"/>
    <w:rsid w:val="0030352A"/>
    <w:rsid w:val="003038DB"/>
    <w:rsid w:val="003039CC"/>
    <w:rsid w:val="00303BC0"/>
    <w:rsid w:val="00303BC3"/>
    <w:rsid w:val="00303D58"/>
    <w:rsid w:val="00303D69"/>
    <w:rsid w:val="00303F7B"/>
    <w:rsid w:val="00303FA3"/>
    <w:rsid w:val="0030415A"/>
    <w:rsid w:val="00304433"/>
    <w:rsid w:val="00304481"/>
    <w:rsid w:val="003044F3"/>
    <w:rsid w:val="0030458D"/>
    <w:rsid w:val="0030469D"/>
    <w:rsid w:val="003046CD"/>
    <w:rsid w:val="0030471F"/>
    <w:rsid w:val="003048C9"/>
    <w:rsid w:val="00304C8F"/>
    <w:rsid w:val="00304D19"/>
    <w:rsid w:val="00304D4E"/>
    <w:rsid w:val="00304EC1"/>
    <w:rsid w:val="00304F3C"/>
    <w:rsid w:val="00304F57"/>
    <w:rsid w:val="00304FF8"/>
    <w:rsid w:val="00305098"/>
    <w:rsid w:val="0030511E"/>
    <w:rsid w:val="00305378"/>
    <w:rsid w:val="0030553F"/>
    <w:rsid w:val="00305705"/>
    <w:rsid w:val="00305781"/>
    <w:rsid w:val="00305ADF"/>
    <w:rsid w:val="00305B96"/>
    <w:rsid w:val="00305BCF"/>
    <w:rsid w:val="003060AE"/>
    <w:rsid w:val="0030615E"/>
    <w:rsid w:val="00306635"/>
    <w:rsid w:val="003066E9"/>
    <w:rsid w:val="003067DE"/>
    <w:rsid w:val="003068E5"/>
    <w:rsid w:val="00306A7B"/>
    <w:rsid w:val="00306D6D"/>
    <w:rsid w:val="00306D71"/>
    <w:rsid w:val="00306D7F"/>
    <w:rsid w:val="00306E81"/>
    <w:rsid w:val="003071E1"/>
    <w:rsid w:val="00307448"/>
    <w:rsid w:val="00307464"/>
    <w:rsid w:val="003074E1"/>
    <w:rsid w:val="003077F5"/>
    <w:rsid w:val="003078D0"/>
    <w:rsid w:val="003079B4"/>
    <w:rsid w:val="00307B1D"/>
    <w:rsid w:val="00307C55"/>
    <w:rsid w:val="00307DEF"/>
    <w:rsid w:val="00310138"/>
    <w:rsid w:val="0031027B"/>
    <w:rsid w:val="003105A3"/>
    <w:rsid w:val="003107E5"/>
    <w:rsid w:val="00310DC1"/>
    <w:rsid w:val="00310DE6"/>
    <w:rsid w:val="0031115B"/>
    <w:rsid w:val="0031143E"/>
    <w:rsid w:val="003115AC"/>
    <w:rsid w:val="003115D4"/>
    <w:rsid w:val="00311829"/>
    <w:rsid w:val="00311858"/>
    <w:rsid w:val="003119A7"/>
    <w:rsid w:val="00311D33"/>
    <w:rsid w:val="00311EE1"/>
    <w:rsid w:val="0031200F"/>
    <w:rsid w:val="00312054"/>
    <w:rsid w:val="0031208A"/>
    <w:rsid w:val="003126CA"/>
    <w:rsid w:val="003127C5"/>
    <w:rsid w:val="00313163"/>
    <w:rsid w:val="00313386"/>
    <w:rsid w:val="003135E8"/>
    <w:rsid w:val="00313612"/>
    <w:rsid w:val="00313664"/>
    <w:rsid w:val="00313754"/>
    <w:rsid w:val="0031380E"/>
    <w:rsid w:val="00313842"/>
    <w:rsid w:val="003138A6"/>
    <w:rsid w:val="003138C7"/>
    <w:rsid w:val="00313958"/>
    <w:rsid w:val="00313B78"/>
    <w:rsid w:val="00313C9A"/>
    <w:rsid w:val="00313CAD"/>
    <w:rsid w:val="00313D18"/>
    <w:rsid w:val="00313DD4"/>
    <w:rsid w:val="00313FE4"/>
    <w:rsid w:val="003141DC"/>
    <w:rsid w:val="003142A8"/>
    <w:rsid w:val="003143BF"/>
    <w:rsid w:val="00314475"/>
    <w:rsid w:val="0031460E"/>
    <w:rsid w:val="0031486F"/>
    <w:rsid w:val="0031488D"/>
    <w:rsid w:val="00314A3D"/>
    <w:rsid w:val="00314F90"/>
    <w:rsid w:val="00315238"/>
    <w:rsid w:val="00315247"/>
    <w:rsid w:val="003153B1"/>
    <w:rsid w:val="003153C5"/>
    <w:rsid w:val="00315725"/>
    <w:rsid w:val="00315731"/>
    <w:rsid w:val="003157A1"/>
    <w:rsid w:val="003159A1"/>
    <w:rsid w:val="003159DB"/>
    <w:rsid w:val="00315AF4"/>
    <w:rsid w:val="00315C6A"/>
    <w:rsid w:val="00315CF1"/>
    <w:rsid w:val="00315D4B"/>
    <w:rsid w:val="00315E34"/>
    <w:rsid w:val="00315F83"/>
    <w:rsid w:val="00315F85"/>
    <w:rsid w:val="003160DB"/>
    <w:rsid w:val="0031617F"/>
    <w:rsid w:val="003161CE"/>
    <w:rsid w:val="0031627A"/>
    <w:rsid w:val="003162A1"/>
    <w:rsid w:val="003164A2"/>
    <w:rsid w:val="00316769"/>
    <w:rsid w:val="00316C3C"/>
    <w:rsid w:val="00316C82"/>
    <w:rsid w:val="00316DEC"/>
    <w:rsid w:val="00317101"/>
    <w:rsid w:val="00317559"/>
    <w:rsid w:val="003176C9"/>
    <w:rsid w:val="003177BC"/>
    <w:rsid w:val="00317858"/>
    <w:rsid w:val="0032006F"/>
    <w:rsid w:val="003201A1"/>
    <w:rsid w:val="00320384"/>
    <w:rsid w:val="00320524"/>
    <w:rsid w:val="00320747"/>
    <w:rsid w:val="00320832"/>
    <w:rsid w:val="003208E3"/>
    <w:rsid w:val="00320FD1"/>
    <w:rsid w:val="00321109"/>
    <w:rsid w:val="0032124F"/>
    <w:rsid w:val="0032139A"/>
    <w:rsid w:val="00321560"/>
    <w:rsid w:val="00321690"/>
    <w:rsid w:val="00321758"/>
    <w:rsid w:val="00321823"/>
    <w:rsid w:val="00321BDA"/>
    <w:rsid w:val="003226B9"/>
    <w:rsid w:val="0032277F"/>
    <w:rsid w:val="0032278C"/>
    <w:rsid w:val="00322882"/>
    <w:rsid w:val="00322E12"/>
    <w:rsid w:val="0032322A"/>
    <w:rsid w:val="0032327D"/>
    <w:rsid w:val="0032358B"/>
    <w:rsid w:val="003235B5"/>
    <w:rsid w:val="00323665"/>
    <w:rsid w:val="003238F4"/>
    <w:rsid w:val="00323D94"/>
    <w:rsid w:val="00323DB7"/>
    <w:rsid w:val="00323FC4"/>
    <w:rsid w:val="003243D1"/>
    <w:rsid w:val="003245B3"/>
    <w:rsid w:val="003245BD"/>
    <w:rsid w:val="00324741"/>
    <w:rsid w:val="00324D77"/>
    <w:rsid w:val="003250EC"/>
    <w:rsid w:val="0032514C"/>
    <w:rsid w:val="003253B9"/>
    <w:rsid w:val="0032547A"/>
    <w:rsid w:val="00325670"/>
    <w:rsid w:val="00325692"/>
    <w:rsid w:val="003257A7"/>
    <w:rsid w:val="00325820"/>
    <w:rsid w:val="00325841"/>
    <w:rsid w:val="003259D7"/>
    <w:rsid w:val="003263FA"/>
    <w:rsid w:val="00326451"/>
    <w:rsid w:val="00326464"/>
    <w:rsid w:val="00326829"/>
    <w:rsid w:val="00326839"/>
    <w:rsid w:val="003268C7"/>
    <w:rsid w:val="00326914"/>
    <w:rsid w:val="00326B3B"/>
    <w:rsid w:val="00326C30"/>
    <w:rsid w:val="00326E1E"/>
    <w:rsid w:val="00326EE0"/>
    <w:rsid w:val="00326F2C"/>
    <w:rsid w:val="0032704C"/>
    <w:rsid w:val="0032709A"/>
    <w:rsid w:val="00327278"/>
    <w:rsid w:val="00327426"/>
    <w:rsid w:val="003277AE"/>
    <w:rsid w:val="003277F5"/>
    <w:rsid w:val="00327BD3"/>
    <w:rsid w:val="00327CAA"/>
    <w:rsid w:val="00327CD6"/>
    <w:rsid w:val="00327DE9"/>
    <w:rsid w:val="00327EB4"/>
    <w:rsid w:val="00327F5E"/>
    <w:rsid w:val="00327FD4"/>
    <w:rsid w:val="003301B3"/>
    <w:rsid w:val="0033033D"/>
    <w:rsid w:val="00330372"/>
    <w:rsid w:val="00330385"/>
    <w:rsid w:val="003303CC"/>
    <w:rsid w:val="00330643"/>
    <w:rsid w:val="003306DE"/>
    <w:rsid w:val="003308D8"/>
    <w:rsid w:val="00330CB9"/>
    <w:rsid w:val="00330DC5"/>
    <w:rsid w:val="00331008"/>
    <w:rsid w:val="0033102E"/>
    <w:rsid w:val="0033137B"/>
    <w:rsid w:val="00331401"/>
    <w:rsid w:val="00331418"/>
    <w:rsid w:val="00331728"/>
    <w:rsid w:val="00331C3C"/>
    <w:rsid w:val="00331C7B"/>
    <w:rsid w:val="00331CEE"/>
    <w:rsid w:val="00332094"/>
    <w:rsid w:val="003320B4"/>
    <w:rsid w:val="00332127"/>
    <w:rsid w:val="00332344"/>
    <w:rsid w:val="00332372"/>
    <w:rsid w:val="0033289C"/>
    <w:rsid w:val="00332CF5"/>
    <w:rsid w:val="00332F67"/>
    <w:rsid w:val="0033303F"/>
    <w:rsid w:val="00333069"/>
    <w:rsid w:val="0033312E"/>
    <w:rsid w:val="00333187"/>
    <w:rsid w:val="0033319E"/>
    <w:rsid w:val="00333234"/>
    <w:rsid w:val="00333822"/>
    <w:rsid w:val="003339EC"/>
    <w:rsid w:val="00333B1F"/>
    <w:rsid w:val="00333CC8"/>
    <w:rsid w:val="003340BC"/>
    <w:rsid w:val="0033414E"/>
    <w:rsid w:val="003343B5"/>
    <w:rsid w:val="003345F8"/>
    <w:rsid w:val="00334A9A"/>
    <w:rsid w:val="00334F30"/>
    <w:rsid w:val="00334F79"/>
    <w:rsid w:val="00335072"/>
    <w:rsid w:val="003351AE"/>
    <w:rsid w:val="00335370"/>
    <w:rsid w:val="003353FE"/>
    <w:rsid w:val="003356B3"/>
    <w:rsid w:val="0033572C"/>
    <w:rsid w:val="0033577C"/>
    <w:rsid w:val="0033583D"/>
    <w:rsid w:val="0033596B"/>
    <w:rsid w:val="00335C87"/>
    <w:rsid w:val="00335ED1"/>
    <w:rsid w:val="0033626A"/>
    <w:rsid w:val="003365F4"/>
    <w:rsid w:val="00336C06"/>
    <w:rsid w:val="00336D13"/>
    <w:rsid w:val="00336FBD"/>
    <w:rsid w:val="003371F3"/>
    <w:rsid w:val="00337808"/>
    <w:rsid w:val="00337905"/>
    <w:rsid w:val="003379C3"/>
    <w:rsid w:val="00337B25"/>
    <w:rsid w:val="00337EF8"/>
    <w:rsid w:val="0034039D"/>
    <w:rsid w:val="003407E4"/>
    <w:rsid w:val="0034081B"/>
    <w:rsid w:val="00340A1B"/>
    <w:rsid w:val="00340C0A"/>
    <w:rsid w:val="00340C4C"/>
    <w:rsid w:val="00340CEB"/>
    <w:rsid w:val="00340FB9"/>
    <w:rsid w:val="0034100E"/>
    <w:rsid w:val="00341296"/>
    <w:rsid w:val="00341308"/>
    <w:rsid w:val="00341557"/>
    <w:rsid w:val="003416A0"/>
    <w:rsid w:val="00341833"/>
    <w:rsid w:val="00341A29"/>
    <w:rsid w:val="00341FB6"/>
    <w:rsid w:val="00341FD4"/>
    <w:rsid w:val="003423C7"/>
    <w:rsid w:val="003424A0"/>
    <w:rsid w:val="003425DF"/>
    <w:rsid w:val="0034264D"/>
    <w:rsid w:val="00342803"/>
    <w:rsid w:val="00342841"/>
    <w:rsid w:val="003428BA"/>
    <w:rsid w:val="00342A60"/>
    <w:rsid w:val="00342CA6"/>
    <w:rsid w:val="00342CBB"/>
    <w:rsid w:val="00342D3F"/>
    <w:rsid w:val="00342DDC"/>
    <w:rsid w:val="00342F92"/>
    <w:rsid w:val="00342FBC"/>
    <w:rsid w:val="00343086"/>
    <w:rsid w:val="003433A4"/>
    <w:rsid w:val="0034375A"/>
    <w:rsid w:val="0034379D"/>
    <w:rsid w:val="003439F6"/>
    <w:rsid w:val="00343A1A"/>
    <w:rsid w:val="00343C39"/>
    <w:rsid w:val="00343CB0"/>
    <w:rsid w:val="00343D04"/>
    <w:rsid w:val="00343DED"/>
    <w:rsid w:val="00343E5D"/>
    <w:rsid w:val="00343E69"/>
    <w:rsid w:val="00343F2D"/>
    <w:rsid w:val="0034402F"/>
    <w:rsid w:val="0034410F"/>
    <w:rsid w:val="00344182"/>
    <w:rsid w:val="00344184"/>
    <w:rsid w:val="00344287"/>
    <w:rsid w:val="00344359"/>
    <w:rsid w:val="003446C8"/>
    <w:rsid w:val="00344774"/>
    <w:rsid w:val="00344983"/>
    <w:rsid w:val="00344A10"/>
    <w:rsid w:val="00344A29"/>
    <w:rsid w:val="00344C81"/>
    <w:rsid w:val="00345553"/>
    <w:rsid w:val="003455E1"/>
    <w:rsid w:val="00345DA8"/>
    <w:rsid w:val="00345EC9"/>
    <w:rsid w:val="00346192"/>
    <w:rsid w:val="003463D1"/>
    <w:rsid w:val="003463D8"/>
    <w:rsid w:val="00346406"/>
    <w:rsid w:val="0034646D"/>
    <w:rsid w:val="00346681"/>
    <w:rsid w:val="00346748"/>
    <w:rsid w:val="00346768"/>
    <w:rsid w:val="00346C66"/>
    <w:rsid w:val="0034714F"/>
    <w:rsid w:val="0034729D"/>
    <w:rsid w:val="00347478"/>
    <w:rsid w:val="003477AD"/>
    <w:rsid w:val="0034797B"/>
    <w:rsid w:val="00347BE5"/>
    <w:rsid w:val="00347D85"/>
    <w:rsid w:val="00347D88"/>
    <w:rsid w:val="003504B1"/>
    <w:rsid w:val="003504F7"/>
    <w:rsid w:val="003507DD"/>
    <w:rsid w:val="00350B03"/>
    <w:rsid w:val="00350C0E"/>
    <w:rsid w:val="00350C95"/>
    <w:rsid w:val="00350CE3"/>
    <w:rsid w:val="00350EA7"/>
    <w:rsid w:val="00351124"/>
    <w:rsid w:val="00351347"/>
    <w:rsid w:val="00351508"/>
    <w:rsid w:val="00351632"/>
    <w:rsid w:val="00351656"/>
    <w:rsid w:val="0035167A"/>
    <w:rsid w:val="003517C0"/>
    <w:rsid w:val="00351831"/>
    <w:rsid w:val="00351C3E"/>
    <w:rsid w:val="003522E0"/>
    <w:rsid w:val="00352449"/>
    <w:rsid w:val="0035267F"/>
    <w:rsid w:val="0035284A"/>
    <w:rsid w:val="00352B39"/>
    <w:rsid w:val="00352B55"/>
    <w:rsid w:val="003530FE"/>
    <w:rsid w:val="00353DAF"/>
    <w:rsid w:val="00353E09"/>
    <w:rsid w:val="00354193"/>
    <w:rsid w:val="00354685"/>
    <w:rsid w:val="003547F2"/>
    <w:rsid w:val="003547FA"/>
    <w:rsid w:val="003548FE"/>
    <w:rsid w:val="00354FBC"/>
    <w:rsid w:val="00354FC8"/>
    <w:rsid w:val="003550A4"/>
    <w:rsid w:val="003550BA"/>
    <w:rsid w:val="0035511E"/>
    <w:rsid w:val="00355171"/>
    <w:rsid w:val="0035537A"/>
    <w:rsid w:val="003554D2"/>
    <w:rsid w:val="00355592"/>
    <w:rsid w:val="0035580D"/>
    <w:rsid w:val="0035588D"/>
    <w:rsid w:val="00355985"/>
    <w:rsid w:val="00355D0B"/>
    <w:rsid w:val="00355D4A"/>
    <w:rsid w:val="00355FF6"/>
    <w:rsid w:val="00356389"/>
    <w:rsid w:val="003565E0"/>
    <w:rsid w:val="00356887"/>
    <w:rsid w:val="00356915"/>
    <w:rsid w:val="00356963"/>
    <w:rsid w:val="00356E75"/>
    <w:rsid w:val="00356F02"/>
    <w:rsid w:val="003574D6"/>
    <w:rsid w:val="0035766F"/>
    <w:rsid w:val="0035781A"/>
    <w:rsid w:val="0035797B"/>
    <w:rsid w:val="00357B39"/>
    <w:rsid w:val="00357CB5"/>
    <w:rsid w:val="00357E8C"/>
    <w:rsid w:val="00360050"/>
    <w:rsid w:val="003600B2"/>
    <w:rsid w:val="003602DC"/>
    <w:rsid w:val="0036040E"/>
    <w:rsid w:val="00360517"/>
    <w:rsid w:val="00360532"/>
    <w:rsid w:val="00360A48"/>
    <w:rsid w:val="00360B57"/>
    <w:rsid w:val="00360C4D"/>
    <w:rsid w:val="00360EB5"/>
    <w:rsid w:val="00360F43"/>
    <w:rsid w:val="00361373"/>
    <w:rsid w:val="0036152B"/>
    <w:rsid w:val="00361A0A"/>
    <w:rsid w:val="00361D06"/>
    <w:rsid w:val="00361D3F"/>
    <w:rsid w:val="00361EBE"/>
    <w:rsid w:val="003624C6"/>
    <w:rsid w:val="00362660"/>
    <w:rsid w:val="00362672"/>
    <w:rsid w:val="00362B81"/>
    <w:rsid w:val="00362DF5"/>
    <w:rsid w:val="00362F2C"/>
    <w:rsid w:val="00362FD3"/>
    <w:rsid w:val="003635DF"/>
    <w:rsid w:val="0036363C"/>
    <w:rsid w:val="0036375E"/>
    <w:rsid w:val="003638FE"/>
    <w:rsid w:val="003639FB"/>
    <w:rsid w:val="00363BF7"/>
    <w:rsid w:val="0036420B"/>
    <w:rsid w:val="00364264"/>
    <w:rsid w:val="00364B5B"/>
    <w:rsid w:val="00364BF4"/>
    <w:rsid w:val="00364D58"/>
    <w:rsid w:val="00364D9D"/>
    <w:rsid w:val="003650F3"/>
    <w:rsid w:val="003652B9"/>
    <w:rsid w:val="00365392"/>
    <w:rsid w:val="00365C18"/>
    <w:rsid w:val="00365D5A"/>
    <w:rsid w:val="00365FF6"/>
    <w:rsid w:val="0036601F"/>
    <w:rsid w:val="00366035"/>
    <w:rsid w:val="003660DB"/>
    <w:rsid w:val="0036633A"/>
    <w:rsid w:val="003665B1"/>
    <w:rsid w:val="0036695B"/>
    <w:rsid w:val="00366B8C"/>
    <w:rsid w:val="00366BB8"/>
    <w:rsid w:val="00366C78"/>
    <w:rsid w:val="00366D39"/>
    <w:rsid w:val="0036706B"/>
    <w:rsid w:val="00367301"/>
    <w:rsid w:val="0036732D"/>
    <w:rsid w:val="00367748"/>
    <w:rsid w:val="003677DF"/>
    <w:rsid w:val="003678EB"/>
    <w:rsid w:val="00367940"/>
    <w:rsid w:val="00367B88"/>
    <w:rsid w:val="00367BDE"/>
    <w:rsid w:val="003701FF"/>
    <w:rsid w:val="00370307"/>
    <w:rsid w:val="0037035D"/>
    <w:rsid w:val="003703D2"/>
    <w:rsid w:val="00370821"/>
    <w:rsid w:val="00370980"/>
    <w:rsid w:val="003709A2"/>
    <w:rsid w:val="00370A18"/>
    <w:rsid w:val="00370AA1"/>
    <w:rsid w:val="00370B5B"/>
    <w:rsid w:val="00370D80"/>
    <w:rsid w:val="0037107D"/>
    <w:rsid w:val="003710ED"/>
    <w:rsid w:val="003716B7"/>
    <w:rsid w:val="003717D0"/>
    <w:rsid w:val="00371D3A"/>
    <w:rsid w:val="003720EE"/>
    <w:rsid w:val="00372263"/>
    <w:rsid w:val="003725AA"/>
    <w:rsid w:val="003728BF"/>
    <w:rsid w:val="00372A5B"/>
    <w:rsid w:val="00372EA5"/>
    <w:rsid w:val="00373083"/>
    <w:rsid w:val="00373178"/>
    <w:rsid w:val="00373491"/>
    <w:rsid w:val="00373766"/>
    <w:rsid w:val="0037395B"/>
    <w:rsid w:val="003739DD"/>
    <w:rsid w:val="00373A55"/>
    <w:rsid w:val="00373A9E"/>
    <w:rsid w:val="00374147"/>
    <w:rsid w:val="003741A2"/>
    <w:rsid w:val="00374419"/>
    <w:rsid w:val="0037454A"/>
    <w:rsid w:val="003745A0"/>
    <w:rsid w:val="003745DE"/>
    <w:rsid w:val="00374624"/>
    <w:rsid w:val="0037488F"/>
    <w:rsid w:val="00374AC8"/>
    <w:rsid w:val="00374C44"/>
    <w:rsid w:val="00374D75"/>
    <w:rsid w:val="00374DC6"/>
    <w:rsid w:val="0037526B"/>
    <w:rsid w:val="003753CE"/>
    <w:rsid w:val="00375459"/>
    <w:rsid w:val="0037547A"/>
    <w:rsid w:val="003757DF"/>
    <w:rsid w:val="003759BA"/>
    <w:rsid w:val="00375A73"/>
    <w:rsid w:val="00375E08"/>
    <w:rsid w:val="00375EA8"/>
    <w:rsid w:val="00375F64"/>
    <w:rsid w:val="00375FFC"/>
    <w:rsid w:val="00376068"/>
    <w:rsid w:val="0037642D"/>
    <w:rsid w:val="00376842"/>
    <w:rsid w:val="00376F2E"/>
    <w:rsid w:val="00377098"/>
    <w:rsid w:val="0037738C"/>
    <w:rsid w:val="00377677"/>
    <w:rsid w:val="00377AF1"/>
    <w:rsid w:val="00377C18"/>
    <w:rsid w:val="00377CAD"/>
    <w:rsid w:val="00377D9A"/>
    <w:rsid w:val="00377E4F"/>
    <w:rsid w:val="00377F68"/>
    <w:rsid w:val="00380021"/>
    <w:rsid w:val="0038016E"/>
    <w:rsid w:val="00380265"/>
    <w:rsid w:val="00380364"/>
    <w:rsid w:val="0038047C"/>
    <w:rsid w:val="00380746"/>
    <w:rsid w:val="00380B0B"/>
    <w:rsid w:val="00380B34"/>
    <w:rsid w:val="00380BB9"/>
    <w:rsid w:val="00380D7D"/>
    <w:rsid w:val="00380E94"/>
    <w:rsid w:val="0038119D"/>
    <w:rsid w:val="00381256"/>
    <w:rsid w:val="0038126C"/>
    <w:rsid w:val="003813B0"/>
    <w:rsid w:val="00381495"/>
    <w:rsid w:val="003814BB"/>
    <w:rsid w:val="00381562"/>
    <w:rsid w:val="00381750"/>
    <w:rsid w:val="0038197D"/>
    <w:rsid w:val="003819DF"/>
    <w:rsid w:val="00381F46"/>
    <w:rsid w:val="0038204E"/>
    <w:rsid w:val="003820CB"/>
    <w:rsid w:val="00382266"/>
    <w:rsid w:val="0038235E"/>
    <w:rsid w:val="00382A53"/>
    <w:rsid w:val="00382AE5"/>
    <w:rsid w:val="00382AEF"/>
    <w:rsid w:val="00382B0C"/>
    <w:rsid w:val="00382FE3"/>
    <w:rsid w:val="00383170"/>
    <w:rsid w:val="003833B5"/>
    <w:rsid w:val="0038352D"/>
    <w:rsid w:val="003835FF"/>
    <w:rsid w:val="00383BF4"/>
    <w:rsid w:val="00383EF2"/>
    <w:rsid w:val="00384584"/>
    <w:rsid w:val="003847B7"/>
    <w:rsid w:val="003847ED"/>
    <w:rsid w:val="0038486B"/>
    <w:rsid w:val="0038498F"/>
    <w:rsid w:val="00384A31"/>
    <w:rsid w:val="00384ADE"/>
    <w:rsid w:val="00384DB9"/>
    <w:rsid w:val="00384DDB"/>
    <w:rsid w:val="00385170"/>
    <w:rsid w:val="0038532B"/>
    <w:rsid w:val="003854D6"/>
    <w:rsid w:val="003856BD"/>
    <w:rsid w:val="0038589E"/>
    <w:rsid w:val="00385937"/>
    <w:rsid w:val="00385BFB"/>
    <w:rsid w:val="00385E28"/>
    <w:rsid w:val="003865A1"/>
    <w:rsid w:val="00386DDB"/>
    <w:rsid w:val="00387032"/>
    <w:rsid w:val="003870F3"/>
    <w:rsid w:val="00387553"/>
    <w:rsid w:val="0038792E"/>
    <w:rsid w:val="0038797A"/>
    <w:rsid w:val="00387A4A"/>
    <w:rsid w:val="0039003F"/>
    <w:rsid w:val="003907CE"/>
    <w:rsid w:val="00390A45"/>
    <w:rsid w:val="00390B35"/>
    <w:rsid w:val="00391078"/>
    <w:rsid w:val="0039121A"/>
    <w:rsid w:val="003912CA"/>
    <w:rsid w:val="003912F8"/>
    <w:rsid w:val="0039152E"/>
    <w:rsid w:val="003919D8"/>
    <w:rsid w:val="00391A61"/>
    <w:rsid w:val="00391C5B"/>
    <w:rsid w:val="003921CD"/>
    <w:rsid w:val="00392231"/>
    <w:rsid w:val="00392270"/>
    <w:rsid w:val="0039259C"/>
    <w:rsid w:val="00392827"/>
    <w:rsid w:val="003929D2"/>
    <w:rsid w:val="00392BC2"/>
    <w:rsid w:val="00392BF1"/>
    <w:rsid w:val="00392CCA"/>
    <w:rsid w:val="00392F26"/>
    <w:rsid w:val="00393029"/>
    <w:rsid w:val="003935A2"/>
    <w:rsid w:val="00393A6A"/>
    <w:rsid w:val="00393AD7"/>
    <w:rsid w:val="00393C22"/>
    <w:rsid w:val="00393D49"/>
    <w:rsid w:val="00393E3E"/>
    <w:rsid w:val="00393F81"/>
    <w:rsid w:val="00393FA5"/>
    <w:rsid w:val="0039406E"/>
    <w:rsid w:val="0039411F"/>
    <w:rsid w:val="0039413F"/>
    <w:rsid w:val="003941CC"/>
    <w:rsid w:val="003946B9"/>
    <w:rsid w:val="0039481A"/>
    <w:rsid w:val="00394B51"/>
    <w:rsid w:val="00395034"/>
    <w:rsid w:val="0039537E"/>
    <w:rsid w:val="003953BE"/>
    <w:rsid w:val="003954F9"/>
    <w:rsid w:val="003956F2"/>
    <w:rsid w:val="003957BB"/>
    <w:rsid w:val="00395A9E"/>
    <w:rsid w:val="00395AEE"/>
    <w:rsid w:val="00395FBD"/>
    <w:rsid w:val="00396203"/>
    <w:rsid w:val="003962CD"/>
    <w:rsid w:val="003963E1"/>
    <w:rsid w:val="003963EC"/>
    <w:rsid w:val="003963FF"/>
    <w:rsid w:val="003965C0"/>
    <w:rsid w:val="00396894"/>
    <w:rsid w:val="00396935"/>
    <w:rsid w:val="00396997"/>
    <w:rsid w:val="00396A4C"/>
    <w:rsid w:val="00396A6D"/>
    <w:rsid w:val="00396C2B"/>
    <w:rsid w:val="00396D13"/>
    <w:rsid w:val="003973E0"/>
    <w:rsid w:val="003973EF"/>
    <w:rsid w:val="00397430"/>
    <w:rsid w:val="0039743E"/>
    <w:rsid w:val="00397A8D"/>
    <w:rsid w:val="00397BA8"/>
    <w:rsid w:val="00397BE1"/>
    <w:rsid w:val="00397CAC"/>
    <w:rsid w:val="00397CC8"/>
    <w:rsid w:val="00397D16"/>
    <w:rsid w:val="00397E1C"/>
    <w:rsid w:val="003A00BD"/>
    <w:rsid w:val="003A0403"/>
    <w:rsid w:val="003A0538"/>
    <w:rsid w:val="003A09F6"/>
    <w:rsid w:val="003A0A5A"/>
    <w:rsid w:val="003A0D0B"/>
    <w:rsid w:val="003A0E35"/>
    <w:rsid w:val="003A0E97"/>
    <w:rsid w:val="003A12C9"/>
    <w:rsid w:val="003A1301"/>
    <w:rsid w:val="003A13C0"/>
    <w:rsid w:val="003A1596"/>
    <w:rsid w:val="003A1968"/>
    <w:rsid w:val="003A1EE5"/>
    <w:rsid w:val="003A2090"/>
    <w:rsid w:val="003A2516"/>
    <w:rsid w:val="003A2583"/>
    <w:rsid w:val="003A262E"/>
    <w:rsid w:val="003A27BB"/>
    <w:rsid w:val="003A280A"/>
    <w:rsid w:val="003A2D5B"/>
    <w:rsid w:val="003A2F1B"/>
    <w:rsid w:val="003A2FE5"/>
    <w:rsid w:val="003A30CD"/>
    <w:rsid w:val="003A31F5"/>
    <w:rsid w:val="003A35D6"/>
    <w:rsid w:val="003A362E"/>
    <w:rsid w:val="003A3838"/>
    <w:rsid w:val="003A39A4"/>
    <w:rsid w:val="003A3B5C"/>
    <w:rsid w:val="003A3FD5"/>
    <w:rsid w:val="003A42C2"/>
    <w:rsid w:val="003A43CA"/>
    <w:rsid w:val="003A4467"/>
    <w:rsid w:val="003A4473"/>
    <w:rsid w:val="003A46D1"/>
    <w:rsid w:val="003A4780"/>
    <w:rsid w:val="003A483F"/>
    <w:rsid w:val="003A4E46"/>
    <w:rsid w:val="003A4E51"/>
    <w:rsid w:val="003A4FDD"/>
    <w:rsid w:val="003A5077"/>
    <w:rsid w:val="003A5166"/>
    <w:rsid w:val="003A5266"/>
    <w:rsid w:val="003A541F"/>
    <w:rsid w:val="003A5514"/>
    <w:rsid w:val="003A55E5"/>
    <w:rsid w:val="003A5614"/>
    <w:rsid w:val="003A56A1"/>
    <w:rsid w:val="003A58E1"/>
    <w:rsid w:val="003A5946"/>
    <w:rsid w:val="003A5BC5"/>
    <w:rsid w:val="003A5C36"/>
    <w:rsid w:val="003A5C82"/>
    <w:rsid w:val="003A5CF2"/>
    <w:rsid w:val="003A5D19"/>
    <w:rsid w:val="003A5D52"/>
    <w:rsid w:val="003A5E4A"/>
    <w:rsid w:val="003A5F4E"/>
    <w:rsid w:val="003A6006"/>
    <w:rsid w:val="003A6167"/>
    <w:rsid w:val="003A6181"/>
    <w:rsid w:val="003A65E3"/>
    <w:rsid w:val="003A669D"/>
    <w:rsid w:val="003A67DD"/>
    <w:rsid w:val="003A69F2"/>
    <w:rsid w:val="003A6A4E"/>
    <w:rsid w:val="003A6B01"/>
    <w:rsid w:val="003A6D5B"/>
    <w:rsid w:val="003A6DDA"/>
    <w:rsid w:val="003A72FF"/>
    <w:rsid w:val="003A73AD"/>
    <w:rsid w:val="003A7450"/>
    <w:rsid w:val="003A782B"/>
    <w:rsid w:val="003A788D"/>
    <w:rsid w:val="003A7C03"/>
    <w:rsid w:val="003A7C0A"/>
    <w:rsid w:val="003A7DF3"/>
    <w:rsid w:val="003B016C"/>
    <w:rsid w:val="003B01EA"/>
    <w:rsid w:val="003B0205"/>
    <w:rsid w:val="003B028E"/>
    <w:rsid w:val="003B03BF"/>
    <w:rsid w:val="003B052A"/>
    <w:rsid w:val="003B055B"/>
    <w:rsid w:val="003B0E9B"/>
    <w:rsid w:val="003B143E"/>
    <w:rsid w:val="003B1620"/>
    <w:rsid w:val="003B1661"/>
    <w:rsid w:val="003B1919"/>
    <w:rsid w:val="003B1955"/>
    <w:rsid w:val="003B1D4D"/>
    <w:rsid w:val="003B1D8F"/>
    <w:rsid w:val="003B1EBC"/>
    <w:rsid w:val="003B1FE0"/>
    <w:rsid w:val="003B23A5"/>
    <w:rsid w:val="003B255B"/>
    <w:rsid w:val="003B2677"/>
    <w:rsid w:val="003B28F3"/>
    <w:rsid w:val="003B2914"/>
    <w:rsid w:val="003B2A09"/>
    <w:rsid w:val="003B2E43"/>
    <w:rsid w:val="003B2FAB"/>
    <w:rsid w:val="003B2FCF"/>
    <w:rsid w:val="003B303D"/>
    <w:rsid w:val="003B3165"/>
    <w:rsid w:val="003B317B"/>
    <w:rsid w:val="003B3197"/>
    <w:rsid w:val="003B3EC4"/>
    <w:rsid w:val="003B3FD2"/>
    <w:rsid w:val="003B4059"/>
    <w:rsid w:val="003B4407"/>
    <w:rsid w:val="003B440E"/>
    <w:rsid w:val="003B4411"/>
    <w:rsid w:val="003B453B"/>
    <w:rsid w:val="003B4B94"/>
    <w:rsid w:val="003B4DE9"/>
    <w:rsid w:val="003B51D0"/>
    <w:rsid w:val="003B5236"/>
    <w:rsid w:val="003B5254"/>
    <w:rsid w:val="003B533E"/>
    <w:rsid w:val="003B55FE"/>
    <w:rsid w:val="003B5747"/>
    <w:rsid w:val="003B57F1"/>
    <w:rsid w:val="003B580F"/>
    <w:rsid w:val="003B5C27"/>
    <w:rsid w:val="003B5D22"/>
    <w:rsid w:val="003B60C6"/>
    <w:rsid w:val="003B6230"/>
    <w:rsid w:val="003B62B3"/>
    <w:rsid w:val="003B63DD"/>
    <w:rsid w:val="003B642F"/>
    <w:rsid w:val="003B673D"/>
    <w:rsid w:val="003B67E8"/>
    <w:rsid w:val="003B6A7F"/>
    <w:rsid w:val="003B6CA3"/>
    <w:rsid w:val="003B730A"/>
    <w:rsid w:val="003B76DE"/>
    <w:rsid w:val="003B77C8"/>
    <w:rsid w:val="003B7840"/>
    <w:rsid w:val="003B789C"/>
    <w:rsid w:val="003B7AF0"/>
    <w:rsid w:val="003B7CC3"/>
    <w:rsid w:val="003B7E41"/>
    <w:rsid w:val="003B7F41"/>
    <w:rsid w:val="003C007B"/>
    <w:rsid w:val="003C0109"/>
    <w:rsid w:val="003C0183"/>
    <w:rsid w:val="003C01AF"/>
    <w:rsid w:val="003C0729"/>
    <w:rsid w:val="003C076A"/>
    <w:rsid w:val="003C084C"/>
    <w:rsid w:val="003C08C5"/>
    <w:rsid w:val="003C0933"/>
    <w:rsid w:val="003C0B0E"/>
    <w:rsid w:val="003C0B88"/>
    <w:rsid w:val="003C0D3C"/>
    <w:rsid w:val="003C0F37"/>
    <w:rsid w:val="003C1054"/>
    <w:rsid w:val="003C13E6"/>
    <w:rsid w:val="003C175D"/>
    <w:rsid w:val="003C19E0"/>
    <w:rsid w:val="003C1BEB"/>
    <w:rsid w:val="003C1CFB"/>
    <w:rsid w:val="003C232C"/>
    <w:rsid w:val="003C2577"/>
    <w:rsid w:val="003C25D8"/>
    <w:rsid w:val="003C274A"/>
    <w:rsid w:val="003C29AA"/>
    <w:rsid w:val="003C2BBD"/>
    <w:rsid w:val="003C2F98"/>
    <w:rsid w:val="003C32A6"/>
    <w:rsid w:val="003C3379"/>
    <w:rsid w:val="003C3A4E"/>
    <w:rsid w:val="003C3AAD"/>
    <w:rsid w:val="003C3AE8"/>
    <w:rsid w:val="003C3BB5"/>
    <w:rsid w:val="003C3D7B"/>
    <w:rsid w:val="003C3E38"/>
    <w:rsid w:val="003C3E77"/>
    <w:rsid w:val="003C3E86"/>
    <w:rsid w:val="003C4066"/>
    <w:rsid w:val="003C4264"/>
    <w:rsid w:val="003C43EC"/>
    <w:rsid w:val="003C4448"/>
    <w:rsid w:val="003C44F6"/>
    <w:rsid w:val="003C46AD"/>
    <w:rsid w:val="003C4962"/>
    <w:rsid w:val="003C4B15"/>
    <w:rsid w:val="003C4D1E"/>
    <w:rsid w:val="003C4DE4"/>
    <w:rsid w:val="003C4E99"/>
    <w:rsid w:val="003C4F6C"/>
    <w:rsid w:val="003C529F"/>
    <w:rsid w:val="003C5CB6"/>
    <w:rsid w:val="003C5E5E"/>
    <w:rsid w:val="003C5FC9"/>
    <w:rsid w:val="003C639E"/>
    <w:rsid w:val="003C63D3"/>
    <w:rsid w:val="003C643F"/>
    <w:rsid w:val="003C6D58"/>
    <w:rsid w:val="003C6F41"/>
    <w:rsid w:val="003C7449"/>
    <w:rsid w:val="003C74B4"/>
    <w:rsid w:val="003C76C7"/>
    <w:rsid w:val="003C76FB"/>
    <w:rsid w:val="003C7AF1"/>
    <w:rsid w:val="003C7BE5"/>
    <w:rsid w:val="003C7E32"/>
    <w:rsid w:val="003D0022"/>
    <w:rsid w:val="003D01F4"/>
    <w:rsid w:val="003D040E"/>
    <w:rsid w:val="003D0446"/>
    <w:rsid w:val="003D0606"/>
    <w:rsid w:val="003D063A"/>
    <w:rsid w:val="003D0869"/>
    <w:rsid w:val="003D0B52"/>
    <w:rsid w:val="003D0B5A"/>
    <w:rsid w:val="003D0EF8"/>
    <w:rsid w:val="003D1093"/>
    <w:rsid w:val="003D1448"/>
    <w:rsid w:val="003D1621"/>
    <w:rsid w:val="003D1ADC"/>
    <w:rsid w:val="003D1AE7"/>
    <w:rsid w:val="003D1BB5"/>
    <w:rsid w:val="003D1CF8"/>
    <w:rsid w:val="003D1D66"/>
    <w:rsid w:val="003D1D95"/>
    <w:rsid w:val="003D1EEC"/>
    <w:rsid w:val="003D1EF2"/>
    <w:rsid w:val="003D1F44"/>
    <w:rsid w:val="003D22D2"/>
    <w:rsid w:val="003D2308"/>
    <w:rsid w:val="003D25E3"/>
    <w:rsid w:val="003D3388"/>
    <w:rsid w:val="003D33E2"/>
    <w:rsid w:val="003D3537"/>
    <w:rsid w:val="003D35E6"/>
    <w:rsid w:val="003D3996"/>
    <w:rsid w:val="003D39F9"/>
    <w:rsid w:val="003D3A06"/>
    <w:rsid w:val="003D3C1B"/>
    <w:rsid w:val="003D3CB2"/>
    <w:rsid w:val="003D3D91"/>
    <w:rsid w:val="003D3EC2"/>
    <w:rsid w:val="003D3F3C"/>
    <w:rsid w:val="003D4022"/>
    <w:rsid w:val="003D4641"/>
    <w:rsid w:val="003D4674"/>
    <w:rsid w:val="003D4708"/>
    <w:rsid w:val="003D472C"/>
    <w:rsid w:val="003D477A"/>
    <w:rsid w:val="003D49F8"/>
    <w:rsid w:val="003D4B81"/>
    <w:rsid w:val="003D4D86"/>
    <w:rsid w:val="003D5469"/>
    <w:rsid w:val="003D55F6"/>
    <w:rsid w:val="003D57E8"/>
    <w:rsid w:val="003D5847"/>
    <w:rsid w:val="003D5E37"/>
    <w:rsid w:val="003D603B"/>
    <w:rsid w:val="003D614C"/>
    <w:rsid w:val="003D619A"/>
    <w:rsid w:val="003D646A"/>
    <w:rsid w:val="003D6556"/>
    <w:rsid w:val="003D6763"/>
    <w:rsid w:val="003D6875"/>
    <w:rsid w:val="003D6A9C"/>
    <w:rsid w:val="003D6CD1"/>
    <w:rsid w:val="003D7078"/>
    <w:rsid w:val="003D708C"/>
    <w:rsid w:val="003D71FB"/>
    <w:rsid w:val="003D73E5"/>
    <w:rsid w:val="003D74D5"/>
    <w:rsid w:val="003D758E"/>
    <w:rsid w:val="003D7C86"/>
    <w:rsid w:val="003D7CF9"/>
    <w:rsid w:val="003E01B9"/>
    <w:rsid w:val="003E0228"/>
    <w:rsid w:val="003E0352"/>
    <w:rsid w:val="003E038A"/>
    <w:rsid w:val="003E05BD"/>
    <w:rsid w:val="003E0976"/>
    <w:rsid w:val="003E0983"/>
    <w:rsid w:val="003E0A15"/>
    <w:rsid w:val="003E0C71"/>
    <w:rsid w:val="003E0C99"/>
    <w:rsid w:val="003E0FC1"/>
    <w:rsid w:val="003E104D"/>
    <w:rsid w:val="003E1230"/>
    <w:rsid w:val="003E13DE"/>
    <w:rsid w:val="003E14BE"/>
    <w:rsid w:val="003E14D3"/>
    <w:rsid w:val="003E181D"/>
    <w:rsid w:val="003E182D"/>
    <w:rsid w:val="003E184E"/>
    <w:rsid w:val="003E1937"/>
    <w:rsid w:val="003E1AFB"/>
    <w:rsid w:val="003E1FC0"/>
    <w:rsid w:val="003E213F"/>
    <w:rsid w:val="003E22C0"/>
    <w:rsid w:val="003E26B2"/>
    <w:rsid w:val="003E26BB"/>
    <w:rsid w:val="003E2B86"/>
    <w:rsid w:val="003E2D4D"/>
    <w:rsid w:val="003E2E5D"/>
    <w:rsid w:val="003E3046"/>
    <w:rsid w:val="003E3205"/>
    <w:rsid w:val="003E32E1"/>
    <w:rsid w:val="003E32FE"/>
    <w:rsid w:val="003E334E"/>
    <w:rsid w:val="003E345C"/>
    <w:rsid w:val="003E3615"/>
    <w:rsid w:val="003E3966"/>
    <w:rsid w:val="003E3A1E"/>
    <w:rsid w:val="003E3B30"/>
    <w:rsid w:val="003E3F41"/>
    <w:rsid w:val="003E3F62"/>
    <w:rsid w:val="003E40A1"/>
    <w:rsid w:val="003E4223"/>
    <w:rsid w:val="003E4251"/>
    <w:rsid w:val="003E42FD"/>
    <w:rsid w:val="003E476B"/>
    <w:rsid w:val="003E47F5"/>
    <w:rsid w:val="003E4892"/>
    <w:rsid w:val="003E4B1B"/>
    <w:rsid w:val="003E4D11"/>
    <w:rsid w:val="003E50A1"/>
    <w:rsid w:val="003E5127"/>
    <w:rsid w:val="003E5144"/>
    <w:rsid w:val="003E536E"/>
    <w:rsid w:val="003E542F"/>
    <w:rsid w:val="003E569A"/>
    <w:rsid w:val="003E578A"/>
    <w:rsid w:val="003E592F"/>
    <w:rsid w:val="003E5AAC"/>
    <w:rsid w:val="003E5CF1"/>
    <w:rsid w:val="003E5F33"/>
    <w:rsid w:val="003E5F9E"/>
    <w:rsid w:val="003E5FA7"/>
    <w:rsid w:val="003E5FB3"/>
    <w:rsid w:val="003E60BC"/>
    <w:rsid w:val="003E61EF"/>
    <w:rsid w:val="003E6615"/>
    <w:rsid w:val="003E694D"/>
    <w:rsid w:val="003E695E"/>
    <w:rsid w:val="003E6CD0"/>
    <w:rsid w:val="003E6FCF"/>
    <w:rsid w:val="003E7110"/>
    <w:rsid w:val="003E743C"/>
    <w:rsid w:val="003E74C3"/>
    <w:rsid w:val="003E79F9"/>
    <w:rsid w:val="003E7C0B"/>
    <w:rsid w:val="003E7C34"/>
    <w:rsid w:val="003E7C76"/>
    <w:rsid w:val="003F008B"/>
    <w:rsid w:val="003F0152"/>
    <w:rsid w:val="003F0189"/>
    <w:rsid w:val="003F024B"/>
    <w:rsid w:val="003F02CF"/>
    <w:rsid w:val="003F0359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3C0"/>
    <w:rsid w:val="003F1522"/>
    <w:rsid w:val="003F177A"/>
    <w:rsid w:val="003F17B9"/>
    <w:rsid w:val="003F1945"/>
    <w:rsid w:val="003F1967"/>
    <w:rsid w:val="003F1A53"/>
    <w:rsid w:val="003F1AB9"/>
    <w:rsid w:val="003F1BBE"/>
    <w:rsid w:val="003F1C13"/>
    <w:rsid w:val="003F1E78"/>
    <w:rsid w:val="003F1FD6"/>
    <w:rsid w:val="003F1FF2"/>
    <w:rsid w:val="003F20F0"/>
    <w:rsid w:val="003F22F8"/>
    <w:rsid w:val="003F2311"/>
    <w:rsid w:val="003F23C9"/>
    <w:rsid w:val="003F25C2"/>
    <w:rsid w:val="003F26FE"/>
    <w:rsid w:val="003F270B"/>
    <w:rsid w:val="003F2A44"/>
    <w:rsid w:val="003F2ABB"/>
    <w:rsid w:val="003F2C11"/>
    <w:rsid w:val="003F301F"/>
    <w:rsid w:val="003F3214"/>
    <w:rsid w:val="003F3377"/>
    <w:rsid w:val="003F33B7"/>
    <w:rsid w:val="003F3461"/>
    <w:rsid w:val="003F36D8"/>
    <w:rsid w:val="003F37FD"/>
    <w:rsid w:val="003F3854"/>
    <w:rsid w:val="003F3899"/>
    <w:rsid w:val="003F39AE"/>
    <w:rsid w:val="003F3A52"/>
    <w:rsid w:val="003F3EF1"/>
    <w:rsid w:val="003F4422"/>
    <w:rsid w:val="003F45B2"/>
    <w:rsid w:val="003F4679"/>
    <w:rsid w:val="003F4A32"/>
    <w:rsid w:val="003F4B62"/>
    <w:rsid w:val="003F4F35"/>
    <w:rsid w:val="003F510E"/>
    <w:rsid w:val="003F53E0"/>
    <w:rsid w:val="003F547A"/>
    <w:rsid w:val="003F59F4"/>
    <w:rsid w:val="003F5B16"/>
    <w:rsid w:val="003F5B56"/>
    <w:rsid w:val="003F5CD7"/>
    <w:rsid w:val="003F5CD8"/>
    <w:rsid w:val="003F5D37"/>
    <w:rsid w:val="003F5E38"/>
    <w:rsid w:val="003F5FDD"/>
    <w:rsid w:val="003F6086"/>
    <w:rsid w:val="003F60E1"/>
    <w:rsid w:val="003F631E"/>
    <w:rsid w:val="003F648C"/>
    <w:rsid w:val="003F64FF"/>
    <w:rsid w:val="003F6633"/>
    <w:rsid w:val="003F66FD"/>
    <w:rsid w:val="003F672A"/>
    <w:rsid w:val="003F6971"/>
    <w:rsid w:val="003F6AB8"/>
    <w:rsid w:val="003F6EF5"/>
    <w:rsid w:val="003F7000"/>
    <w:rsid w:val="003F70FC"/>
    <w:rsid w:val="003F724A"/>
    <w:rsid w:val="003F757E"/>
    <w:rsid w:val="003F764A"/>
    <w:rsid w:val="003F78FF"/>
    <w:rsid w:val="003F7D3B"/>
    <w:rsid w:val="003F7F49"/>
    <w:rsid w:val="0040032A"/>
    <w:rsid w:val="0040033C"/>
    <w:rsid w:val="00400494"/>
    <w:rsid w:val="004004F6"/>
    <w:rsid w:val="0040078F"/>
    <w:rsid w:val="0040096A"/>
    <w:rsid w:val="00400971"/>
    <w:rsid w:val="00400E0B"/>
    <w:rsid w:val="00400F0B"/>
    <w:rsid w:val="004010AA"/>
    <w:rsid w:val="004015AE"/>
    <w:rsid w:val="004017DF"/>
    <w:rsid w:val="004018B8"/>
    <w:rsid w:val="00401A68"/>
    <w:rsid w:val="00401B47"/>
    <w:rsid w:val="00401B69"/>
    <w:rsid w:val="0040214B"/>
    <w:rsid w:val="00402199"/>
    <w:rsid w:val="00402280"/>
    <w:rsid w:val="004029E9"/>
    <w:rsid w:val="00402B37"/>
    <w:rsid w:val="00402BA1"/>
    <w:rsid w:val="00402DC6"/>
    <w:rsid w:val="0040313C"/>
    <w:rsid w:val="004032E7"/>
    <w:rsid w:val="00403450"/>
    <w:rsid w:val="0040351E"/>
    <w:rsid w:val="00403882"/>
    <w:rsid w:val="0040397D"/>
    <w:rsid w:val="00403A03"/>
    <w:rsid w:val="00403D27"/>
    <w:rsid w:val="004040EB"/>
    <w:rsid w:val="004045CA"/>
    <w:rsid w:val="00404880"/>
    <w:rsid w:val="00404CA3"/>
    <w:rsid w:val="00404D5C"/>
    <w:rsid w:val="00404D94"/>
    <w:rsid w:val="00404DCD"/>
    <w:rsid w:val="0040506F"/>
    <w:rsid w:val="00405269"/>
    <w:rsid w:val="00405297"/>
    <w:rsid w:val="004052EB"/>
    <w:rsid w:val="00405349"/>
    <w:rsid w:val="0040548B"/>
    <w:rsid w:val="004054A8"/>
    <w:rsid w:val="004055FB"/>
    <w:rsid w:val="004059E4"/>
    <w:rsid w:val="00405AE6"/>
    <w:rsid w:val="00405E6C"/>
    <w:rsid w:val="00405EA9"/>
    <w:rsid w:val="00406145"/>
    <w:rsid w:val="0040646D"/>
    <w:rsid w:val="004064C7"/>
    <w:rsid w:val="00406500"/>
    <w:rsid w:val="0040667E"/>
    <w:rsid w:val="00406888"/>
    <w:rsid w:val="00406A86"/>
    <w:rsid w:val="00406AC1"/>
    <w:rsid w:val="00406BC3"/>
    <w:rsid w:val="00406D88"/>
    <w:rsid w:val="00406FFC"/>
    <w:rsid w:val="00407303"/>
    <w:rsid w:val="00407441"/>
    <w:rsid w:val="004077D6"/>
    <w:rsid w:val="0040780E"/>
    <w:rsid w:val="00407867"/>
    <w:rsid w:val="00407C0D"/>
    <w:rsid w:val="004104BE"/>
    <w:rsid w:val="00410778"/>
    <w:rsid w:val="00410883"/>
    <w:rsid w:val="004109D2"/>
    <w:rsid w:val="00410A5C"/>
    <w:rsid w:val="00410C9B"/>
    <w:rsid w:val="00410DE5"/>
    <w:rsid w:val="00410E7B"/>
    <w:rsid w:val="00411033"/>
    <w:rsid w:val="00411317"/>
    <w:rsid w:val="004113A4"/>
    <w:rsid w:val="00411508"/>
    <w:rsid w:val="004115E1"/>
    <w:rsid w:val="004116F3"/>
    <w:rsid w:val="00411724"/>
    <w:rsid w:val="00411797"/>
    <w:rsid w:val="004117A8"/>
    <w:rsid w:val="00411A53"/>
    <w:rsid w:val="00411BEF"/>
    <w:rsid w:val="00411E5A"/>
    <w:rsid w:val="00411F5D"/>
    <w:rsid w:val="00412027"/>
    <w:rsid w:val="004120B3"/>
    <w:rsid w:val="004121E7"/>
    <w:rsid w:val="00412287"/>
    <w:rsid w:val="004123C7"/>
    <w:rsid w:val="0041255B"/>
    <w:rsid w:val="004129AE"/>
    <w:rsid w:val="004129F1"/>
    <w:rsid w:val="00412E00"/>
    <w:rsid w:val="0041312D"/>
    <w:rsid w:val="0041316E"/>
    <w:rsid w:val="004132EA"/>
    <w:rsid w:val="00413554"/>
    <w:rsid w:val="00413573"/>
    <w:rsid w:val="00413710"/>
    <w:rsid w:val="0041420E"/>
    <w:rsid w:val="0041430C"/>
    <w:rsid w:val="00414334"/>
    <w:rsid w:val="00414423"/>
    <w:rsid w:val="00414453"/>
    <w:rsid w:val="00414609"/>
    <w:rsid w:val="00414665"/>
    <w:rsid w:val="00414673"/>
    <w:rsid w:val="0041473B"/>
    <w:rsid w:val="0041478B"/>
    <w:rsid w:val="00414B30"/>
    <w:rsid w:val="00414BFD"/>
    <w:rsid w:val="00414C6B"/>
    <w:rsid w:val="00414E2F"/>
    <w:rsid w:val="00414E51"/>
    <w:rsid w:val="00414E5C"/>
    <w:rsid w:val="0041517D"/>
    <w:rsid w:val="004151EC"/>
    <w:rsid w:val="0041594C"/>
    <w:rsid w:val="00415C2D"/>
    <w:rsid w:val="00415D9B"/>
    <w:rsid w:val="00416093"/>
    <w:rsid w:val="00416124"/>
    <w:rsid w:val="00416175"/>
    <w:rsid w:val="004161D1"/>
    <w:rsid w:val="004162D3"/>
    <w:rsid w:val="00416512"/>
    <w:rsid w:val="004167C7"/>
    <w:rsid w:val="004167DB"/>
    <w:rsid w:val="00416B0F"/>
    <w:rsid w:val="00416B90"/>
    <w:rsid w:val="00416C0F"/>
    <w:rsid w:val="00416CA7"/>
    <w:rsid w:val="00416CC7"/>
    <w:rsid w:val="00416D3C"/>
    <w:rsid w:val="00416E86"/>
    <w:rsid w:val="00417337"/>
    <w:rsid w:val="00417347"/>
    <w:rsid w:val="004173A0"/>
    <w:rsid w:val="0041747D"/>
    <w:rsid w:val="004174CA"/>
    <w:rsid w:val="0041760B"/>
    <w:rsid w:val="00417775"/>
    <w:rsid w:val="004178D5"/>
    <w:rsid w:val="0041793E"/>
    <w:rsid w:val="004179E2"/>
    <w:rsid w:val="00417BF5"/>
    <w:rsid w:val="00417D57"/>
    <w:rsid w:val="00417E60"/>
    <w:rsid w:val="004202E1"/>
    <w:rsid w:val="0042037D"/>
    <w:rsid w:val="004203EF"/>
    <w:rsid w:val="00420435"/>
    <w:rsid w:val="0042051E"/>
    <w:rsid w:val="0042053B"/>
    <w:rsid w:val="0042094B"/>
    <w:rsid w:val="00420A68"/>
    <w:rsid w:val="00420AAC"/>
    <w:rsid w:val="00420EF6"/>
    <w:rsid w:val="00420F04"/>
    <w:rsid w:val="00420F09"/>
    <w:rsid w:val="004210BA"/>
    <w:rsid w:val="004213A2"/>
    <w:rsid w:val="004213A6"/>
    <w:rsid w:val="004214FC"/>
    <w:rsid w:val="00421870"/>
    <w:rsid w:val="00421B9E"/>
    <w:rsid w:val="00421CB4"/>
    <w:rsid w:val="00422156"/>
    <w:rsid w:val="00422175"/>
    <w:rsid w:val="00422392"/>
    <w:rsid w:val="0042262D"/>
    <w:rsid w:val="004228C6"/>
    <w:rsid w:val="00422B44"/>
    <w:rsid w:val="00422D03"/>
    <w:rsid w:val="00423099"/>
    <w:rsid w:val="0042319B"/>
    <w:rsid w:val="004231DC"/>
    <w:rsid w:val="0042322E"/>
    <w:rsid w:val="0042329D"/>
    <w:rsid w:val="0042347C"/>
    <w:rsid w:val="004237A6"/>
    <w:rsid w:val="00423A89"/>
    <w:rsid w:val="00423BCE"/>
    <w:rsid w:val="00423CBD"/>
    <w:rsid w:val="00424015"/>
    <w:rsid w:val="004240A9"/>
    <w:rsid w:val="004241CE"/>
    <w:rsid w:val="00424200"/>
    <w:rsid w:val="004242A6"/>
    <w:rsid w:val="00424564"/>
    <w:rsid w:val="004246B2"/>
    <w:rsid w:val="004246E4"/>
    <w:rsid w:val="00424BAD"/>
    <w:rsid w:val="00424D0A"/>
    <w:rsid w:val="00424DD8"/>
    <w:rsid w:val="00424E41"/>
    <w:rsid w:val="00424E79"/>
    <w:rsid w:val="00424FA9"/>
    <w:rsid w:val="0042558E"/>
    <w:rsid w:val="00425725"/>
    <w:rsid w:val="004257FB"/>
    <w:rsid w:val="0042583C"/>
    <w:rsid w:val="00425B6E"/>
    <w:rsid w:val="00425BA1"/>
    <w:rsid w:val="00425E28"/>
    <w:rsid w:val="00426178"/>
    <w:rsid w:val="00426467"/>
    <w:rsid w:val="0042661C"/>
    <w:rsid w:val="00426E32"/>
    <w:rsid w:val="00427195"/>
    <w:rsid w:val="00427271"/>
    <w:rsid w:val="00427499"/>
    <w:rsid w:val="004274B3"/>
    <w:rsid w:val="00427808"/>
    <w:rsid w:val="00427B89"/>
    <w:rsid w:val="00427F27"/>
    <w:rsid w:val="0043009C"/>
    <w:rsid w:val="00430294"/>
    <w:rsid w:val="00430308"/>
    <w:rsid w:val="004303AB"/>
    <w:rsid w:val="0043044F"/>
    <w:rsid w:val="0043062E"/>
    <w:rsid w:val="00430683"/>
    <w:rsid w:val="00430734"/>
    <w:rsid w:val="0043076A"/>
    <w:rsid w:val="004307DF"/>
    <w:rsid w:val="00430BDD"/>
    <w:rsid w:val="00430E0A"/>
    <w:rsid w:val="00431060"/>
    <w:rsid w:val="0043113F"/>
    <w:rsid w:val="004312C7"/>
    <w:rsid w:val="004313B0"/>
    <w:rsid w:val="00431435"/>
    <w:rsid w:val="00431668"/>
    <w:rsid w:val="00431785"/>
    <w:rsid w:val="00431AB5"/>
    <w:rsid w:val="00431B17"/>
    <w:rsid w:val="00431E4D"/>
    <w:rsid w:val="00432048"/>
    <w:rsid w:val="00432240"/>
    <w:rsid w:val="00432278"/>
    <w:rsid w:val="004323EB"/>
    <w:rsid w:val="00432540"/>
    <w:rsid w:val="004326C7"/>
    <w:rsid w:val="004328C6"/>
    <w:rsid w:val="00432B97"/>
    <w:rsid w:val="00432D78"/>
    <w:rsid w:val="00432D9D"/>
    <w:rsid w:val="00432E48"/>
    <w:rsid w:val="00432ED2"/>
    <w:rsid w:val="004332B3"/>
    <w:rsid w:val="00433306"/>
    <w:rsid w:val="00433469"/>
    <w:rsid w:val="0043351F"/>
    <w:rsid w:val="00433529"/>
    <w:rsid w:val="0043362C"/>
    <w:rsid w:val="0043391E"/>
    <w:rsid w:val="0043393A"/>
    <w:rsid w:val="00433AB6"/>
    <w:rsid w:val="00433BD9"/>
    <w:rsid w:val="00433C2A"/>
    <w:rsid w:val="00433F36"/>
    <w:rsid w:val="00433FEE"/>
    <w:rsid w:val="00434103"/>
    <w:rsid w:val="00434487"/>
    <w:rsid w:val="004344BF"/>
    <w:rsid w:val="0043452F"/>
    <w:rsid w:val="00434660"/>
    <w:rsid w:val="004347FF"/>
    <w:rsid w:val="00434B15"/>
    <w:rsid w:val="00434B64"/>
    <w:rsid w:val="0043522F"/>
    <w:rsid w:val="00435326"/>
    <w:rsid w:val="004356DD"/>
    <w:rsid w:val="00435A59"/>
    <w:rsid w:val="00435C52"/>
    <w:rsid w:val="00435CB8"/>
    <w:rsid w:val="00436217"/>
    <w:rsid w:val="00436227"/>
    <w:rsid w:val="0043632B"/>
    <w:rsid w:val="004363C2"/>
    <w:rsid w:val="00436624"/>
    <w:rsid w:val="004366A6"/>
    <w:rsid w:val="004366E1"/>
    <w:rsid w:val="00436D92"/>
    <w:rsid w:val="00436E6C"/>
    <w:rsid w:val="00437057"/>
    <w:rsid w:val="00437135"/>
    <w:rsid w:val="004375B3"/>
    <w:rsid w:val="00437824"/>
    <w:rsid w:val="00437B99"/>
    <w:rsid w:val="00440195"/>
    <w:rsid w:val="00440360"/>
    <w:rsid w:val="004403D0"/>
    <w:rsid w:val="004403F7"/>
    <w:rsid w:val="0044069D"/>
    <w:rsid w:val="00440BAD"/>
    <w:rsid w:val="00440C8C"/>
    <w:rsid w:val="00440E4E"/>
    <w:rsid w:val="004412FA"/>
    <w:rsid w:val="00441343"/>
    <w:rsid w:val="0044167F"/>
    <w:rsid w:val="00441702"/>
    <w:rsid w:val="004418E1"/>
    <w:rsid w:val="00441913"/>
    <w:rsid w:val="00441CBC"/>
    <w:rsid w:val="00441EDE"/>
    <w:rsid w:val="00441F98"/>
    <w:rsid w:val="0044207C"/>
    <w:rsid w:val="0044227D"/>
    <w:rsid w:val="0044237A"/>
    <w:rsid w:val="00442E9B"/>
    <w:rsid w:val="0044341A"/>
    <w:rsid w:val="004435C5"/>
    <w:rsid w:val="0044380E"/>
    <w:rsid w:val="004438E4"/>
    <w:rsid w:val="00443B94"/>
    <w:rsid w:val="00443BC4"/>
    <w:rsid w:val="00443E1C"/>
    <w:rsid w:val="00443E1F"/>
    <w:rsid w:val="00443EC1"/>
    <w:rsid w:val="00443FDA"/>
    <w:rsid w:val="0044403E"/>
    <w:rsid w:val="004441D6"/>
    <w:rsid w:val="00444240"/>
    <w:rsid w:val="004443E1"/>
    <w:rsid w:val="0044467F"/>
    <w:rsid w:val="00444A57"/>
    <w:rsid w:val="00444D52"/>
    <w:rsid w:val="004450D5"/>
    <w:rsid w:val="00445493"/>
    <w:rsid w:val="004454F7"/>
    <w:rsid w:val="0044566E"/>
    <w:rsid w:val="0044567D"/>
    <w:rsid w:val="004457D1"/>
    <w:rsid w:val="00445839"/>
    <w:rsid w:val="00445BBA"/>
    <w:rsid w:val="00446280"/>
    <w:rsid w:val="00446527"/>
    <w:rsid w:val="00446A96"/>
    <w:rsid w:val="00446C68"/>
    <w:rsid w:val="00446D05"/>
    <w:rsid w:val="00446F26"/>
    <w:rsid w:val="00447054"/>
    <w:rsid w:val="0044756C"/>
    <w:rsid w:val="00447666"/>
    <w:rsid w:val="00447725"/>
    <w:rsid w:val="004477BE"/>
    <w:rsid w:val="004477FF"/>
    <w:rsid w:val="00447900"/>
    <w:rsid w:val="00447999"/>
    <w:rsid w:val="004479C1"/>
    <w:rsid w:val="00447AC9"/>
    <w:rsid w:val="00447CE7"/>
    <w:rsid w:val="00447D1A"/>
    <w:rsid w:val="00447D60"/>
    <w:rsid w:val="004502B2"/>
    <w:rsid w:val="00450452"/>
    <w:rsid w:val="0045047E"/>
    <w:rsid w:val="004504E9"/>
    <w:rsid w:val="00450B28"/>
    <w:rsid w:val="00450CD9"/>
    <w:rsid w:val="00451433"/>
    <w:rsid w:val="0045164C"/>
    <w:rsid w:val="00451970"/>
    <w:rsid w:val="00451C5A"/>
    <w:rsid w:val="00451E80"/>
    <w:rsid w:val="00451FCA"/>
    <w:rsid w:val="00452434"/>
    <w:rsid w:val="004524A3"/>
    <w:rsid w:val="004525FF"/>
    <w:rsid w:val="00452631"/>
    <w:rsid w:val="004526F1"/>
    <w:rsid w:val="00452AE8"/>
    <w:rsid w:val="00452E52"/>
    <w:rsid w:val="00452EAE"/>
    <w:rsid w:val="00452EF2"/>
    <w:rsid w:val="00452FEC"/>
    <w:rsid w:val="00452FF9"/>
    <w:rsid w:val="004530D8"/>
    <w:rsid w:val="00453135"/>
    <w:rsid w:val="00453264"/>
    <w:rsid w:val="0045350E"/>
    <w:rsid w:val="00453CD2"/>
    <w:rsid w:val="00453E93"/>
    <w:rsid w:val="00453F85"/>
    <w:rsid w:val="0045402E"/>
    <w:rsid w:val="00454837"/>
    <w:rsid w:val="004549A2"/>
    <w:rsid w:val="004549B9"/>
    <w:rsid w:val="00454CC9"/>
    <w:rsid w:val="004551F2"/>
    <w:rsid w:val="0045521A"/>
    <w:rsid w:val="0045526D"/>
    <w:rsid w:val="00455597"/>
    <w:rsid w:val="0045565C"/>
    <w:rsid w:val="00455F70"/>
    <w:rsid w:val="00455FBF"/>
    <w:rsid w:val="00456172"/>
    <w:rsid w:val="00456226"/>
    <w:rsid w:val="0045628F"/>
    <w:rsid w:val="004562B8"/>
    <w:rsid w:val="0045650E"/>
    <w:rsid w:val="004568BA"/>
    <w:rsid w:val="004568D7"/>
    <w:rsid w:val="00456941"/>
    <w:rsid w:val="00456C48"/>
    <w:rsid w:val="00456D59"/>
    <w:rsid w:val="00456E0B"/>
    <w:rsid w:val="00456EEB"/>
    <w:rsid w:val="004574E7"/>
    <w:rsid w:val="004575B3"/>
    <w:rsid w:val="0045775D"/>
    <w:rsid w:val="00457981"/>
    <w:rsid w:val="00457990"/>
    <w:rsid w:val="00457C7C"/>
    <w:rsid w:val="00457DD1"/>
    <w:rsid w:val="00460114"/>
    <w:rsid w:val="00460243"/>
    <w:rsid w:val="00460A55"/>
    <w:rsid w:val="00460B5E"/>
    <w:rsid w:val="00460CB2"/>
    <w:rsid w:val="00460F33"/>
    <w:rsid w:val="004612E0"/>
    <w:rsid w:val="0046139D"/>
    <w:rsid w:val="0046147A"/>
    <w:rsid w:val="0046154B"/>
    <w:rsid w:val="004616D5"/>
    <w:rsid w:val="0046174C"/>
    <w:rsid w:val="004619BA"/>
    <w:rsid w:val="00461AD2"/>
    <w:rsid w:val="00461CAF"/>
    <w:rsid w:val="00461CDE"/>
    <w:rsid w:val="00462036"/>
    <w:rsid w:val="0046222A"/>
    <w:rsid w:val="004628A9"/>
    <w:rsid w:val="00462914"/>
    <w:rsid w:val="00462B54"/>
    <w:rsid w:val="00462BE2"/>
    <w:rsid w:val="00462CD4"/>
    <w:rsid w:val="00463064"/>
    <w:rsid w:val="004630C1"/>
    <w:rsid w:val="0046334D"/>
    <w:rsid w:val="004633A5"/>
    <w:rsid w:val="004636C0"/>
    <w:rsid w:val="004636C5"/>
    <w:rsid w:val="004637AF"/>
    <w:rsid w:val="004639C8"/>
    <w:rsid w:val="00463AC6"/>
    <w:rsid w:val="00463CDE"/>
    <w:rsid w:val="00463DB5"/>
    <w:rsid w:val="00463FDB"/>
    <w:rsid w:val="00464016"/>
    <w:rsid w:val="0046404D"/>
    <w:rsid w:val="004640FD"/>
    <w:rsid w:val="00464118"/>
    <w:rsid w:val="00464261"/>
    <w:rsid w:val="00464628"/>
    <w:rsid w:val="004649CD"/>
    <w:rsid w:val="00464C37"/>
    <w:rsid w:val="00464FAB"/>
    <w:rsid w:val="00465385"/>
    <w:rsid w:val="0046558A"/>
    <w:rsid w:val="004656AA"/>
    <w:rsid w:val="004656CF"/>
    <w:rsid w:val="00465998"/>
    <w:rsid w:val="004659A5"/>
    <w:rsid w:val="00465D65"/>
    <w:rsid w:val="00465E91"/>
    <w:rsid w:val="004660AA"/>
    <w:rsid w:val="00466168"/>
    <w:rsid w:val="00466750"/>
    <w:rsid w:val="004667DB"/>
    <w:rsid w:val="00466805"/>
    <w:rsid w:val="0046685B"/>
    <w:rsid w:val="00466BC5"/>
    <w:rsid w:val="00466F44"/>
    <w:rsid w:val="00466FC4"/>
    <w:rsid w:val="00467066"/>
    <w:rsid w:val="004670A0"/>
    <w:rsid w:val="0046713C"/>
    <w:rsid w:val="0046767A"/>
    <w:rsid w:val="0046770A"/>
    <w:rsid w:val="00467822"/>
    <w:rsid w:val="00467A5C"/>
    <w:rsid w:val="00467ABD"/>
    <w:rsid w:val="00467E2B"/>
    <w:rsid w:val="00467F48"/>
    <w:rsid w:val="00470147"/>
    <w:rsid w:val="004704B8"/>
    <w:rsid w:val="004706A1"/>
    <w:rsid w:val="004707D9"/>
    <w:rsid w:val="00470900"/>
    <w:rsid w:val="00470BAE"/>
    <w:rsid w:val="00470D5F"/>
    <w:rsid w:val="00470E3D"/>
    <w:rsid w:val="00470E80"/>
    <w:rsid w:val="00471092"/>
    <w:rsid w:val="00471411"/>
    <w:rsid w:val="00471869"/>
    <w:rsid w:val="00471956"/>
    <w:rsid w:val="00471C22"/>
    <w:rsid w:val="00471CAF"/>
    <w:rsid w:val="00471D36"/>
    <w:rsid w:val="00471D67"/>
    <w:rsid w:val="00471DEC"/>
    <w:rsid w:val="00472386"/>
    <w:rsid w:val="00472461"/>
    <w:rsid w:val="004724BE"/>
    <w:rsid w:val="004727AD"/>
    <w:rsid w:val="00472909"/>
    <w:rsid w:val="00472B98"/>
    <w:rsid w:val="00472BB5"/>
    <w:rsid w:val="00472BBE"/>
    <w:rsid w:val="00472DEE"/>
    <w:rsid w:val="00472F42"/>
    <w:rsid w:val="00472FC4"/>
    <w:rsid w:val="00472FF7"/>
    <w:rsid w:val="0047301F"/>
    <w:rsid w:val="00473043"/>
    <w:rsid w:val="00473141"/>
    <w:rsid w:val="004732CA"/>
    <w:rsid w:val="004733C8"/>
    <w:rsid w:val="004737BC"/>
    <w:rsid w:val="004739F5"/>
    <w:rsid w:val="00473C3D"/>
    <w:rsid w:val="00473D39"/>
    <w:rsid w:val="00473DC6"/>
    <w:rsid w:val="00473E2F"/>
    <w:rsid w:val="00473EBA"/>
    <w:rsid w:val="00473FF8"/>
    <w:rsid w:val="0047418F"/>
    <w:rsid w:val="00474289"/>
    <w:rsid w:val="00474445"/>
    <w:rsid w:val="0047451E"/>
    <w:rsid w:val="0047467E"/>
    <w:rsid w:val="00474835"/>
    <w:rsid w:val="00474BA0"/>
    <w:rsid w:val="00474BB0"/>
    <w:rsid w:val="00474C14"/>
    <w:rsid w:val="00474CF5"/>
    <w:rsid w:val="00474EA2"/>
    <w:rsid w:val="00475B40"/>
    <w:rsid w:val="00475B95"/>
    <w:rsid w:val="00475BFE"/>
    <w:rsid w:val="00475C23"/>
    <w:rsid w:val="00475C50"/>
    <w:rsid w:val="00475D7A"/>
    <w:rsid w:val="00475DED"/>
    <w:rsid w:val="00475E9F"/>
    <w:rsid w:val="004762F3"/>
    <w:rsid w:val="00476ABD"/>
    <w:rsid w:val="00476B03"/>
    <w:rsid w:val="00476DBC"/>
    <w:rsid w:val="00476F97"/>
    <w:rsid w:val="00477042"/>
    <w:rsid w:val="0047711B"/>
    <w:rsid w:val="00477404"/>
    <w:rsid w:val="00477612"/>
    <w:rsid w:val="00477909"/>
    <w:rsid w:val="00477C42"/>
    <w:rsid w:val="00477D68"/>
    <w:rsid w:val="00477E5D"/>
    <w:rsid w:val="00477EC3"/>
    <w:rsid w:val="00480065"/>
    <w:rsid w:val="00480495"/>
    <w:rsid w:val="00480562"/>
    <w:rsid w:val="00480564"/>
    <w:rsid w:val="004808B8"/>
    <w:rsid w:val="004809B8"/>
    <w:rsid w:val="00480A65"/>
    <w:rsid w:val="00480DD9"/>
    <w:rsid w:val="0048119A"/>
    <w:rsid w:val="0048134C"/>
    <w:rsid w:val="004813BF"/>
    <w:rsid w:val="00481641"/>
    <w:rsid w:val="00481708"/>
    <w:rsid w:val="004817E9"/>
    <w:rsid w:val="00481868"/>
    <w:rsid w:val="00481984"/>
    <w:rsid w:val="00481BA7"/>
    <w:rsid w:val="00481CFE"/>
    <w:rsid w:val="00481F10"/>
    <w:rsid w:val="004820B6"/>
    <w:rsid w:val="004820FA"/>
    <w:rsid w:val="004821B9"/>
    <w:rsid w:val="00482277"/>
    <w:rsid w:val="004824F0"/>
    <w:rsid w:val="0048270C"/>
    <w:rsid w:val="00482758"/>
    <w:rsid w:val="004828D2"/>
    <w:rsid w:val="00482F7F"/>
    <w:rsid w:val="00483217"/>
    <w:rsid w:val="0048347E"/>
    <w:rsid w:val="0048354C"/>
    <w:rsid w:val="0048387B"/>
    <w:rsid w:val="004838D3"/>
    <w:rsid w:val="00483A69"/>
    <w:rsid w:val="00483F9B"/>
    <w:rsid w:val="004849B8"/>
    <w:rsid w:val="00484AA6"/>
    <w:rsid w:val="00484D05"/>
    <w:rsid w:val="00485026"/>
    <w:rsid w:val="00485079"/>
    <w:rsid w:val="00485301"/>
    <w:rsid w:val="00485601"/>
    <w:rsid w:val="00485612"/>
    <w:rsid w:val="0048561A"/>
    <w:rsid w:val="00485A0F"/>
    <w:rsid w:val="00485A9A"/>
    <w:rsid w:val="00485DD4"/>
    <w:rsid w:val="00485F13"/>
    <w:rsid w:val="00485FB7"/>
    <w:rsid w:val="00486093"/>
    <w:rsid w:val="00486148"/>
    <w:rsid w:val="004861FB"/>
    <w:rsid w:val="0048632D"/>
    <w:rsid w:val="0048687A"/>
    <w:rsid w:val="004869FE"/>
    <w:rsid w:val="00486D36"/>
    <w:rsid w:val="00486E2E"/>
    <w:rsid w:val="00486F84"/>
    <w:rsid w:val="0048701F"/>
    <w:rsid w:val="0048710B"/>
    <w:rsid w:val="00487498"/>
    <w:rsid w:val="004877EA"/>
    <w:rsid w:val="00487D40"/>
    <w:rsid w:val="00487E7A"/>
    <w:rsid w:val="00487EA3"/>
    <w:rsid w:val="00487FAA"/>
    <w:rsid w:val="004900BA"/>
    <w:rsid w:val="004902A7"/>
    <w:rsid w:val="004903DF"/>
    <w:rsid w:val="00490742"/>
    <w:rsid w:val="004908BF"/>
    <w:rsid w:val="00490A31"/>
    <w:rsid w:val="00490CBF"/>
    <w:rsid w:val="00490CD9"/>
    <w:rsid w:val="00490FFF"/>
    <w:rsid w:val="0049106D"/>
    <w:rsid w:val="004910A6"/>
    <w:rsid w:val="00491575"/>
    <w:rsid w:val="004916CB"/>
    <w:rsid w:val="0049176D"/>
    <w:rsid w:val="004917B9"/>
    <w:rsid w:val="0049183D"/>
    <w:rsid w:val="00491880"/>
    <w:rsid w:val="00491BDC"/>
    <w:rsid w:val="00491CE7"/>
    <w:rsid w:val="00491D88"/>
    <w:rsid w:val="00491FDF"/>
    <w:rsid w:val="00491FFC"/>
    <w:rsid w:val="00492271"/>
    <w:rsid w:val="00492523"/>
    <w:rsid w:val="004925BF"/>
    <w:rsid w:val="004925FD"/>
    <w:rsid w:val="004926AE"/>
    <w:rsid w:val="004927D8"/>
    <w:rsid w:val="004928BF"/>
    <w:rsid w:val="00492C6A"/>
    <w:rsid w:val="00492F61"/>
    <w:rsid w:val="00493021"/>
    <w:rsid w:val="004930F7"/>
    <w:rsid w:val="00493277"/>
    <w:rsid w:val="0049335E"/>
    <w:rsid w:val="004935ED"/>
    <w:rsid w:val="00493631"/>
    <w:rsid w:val="004939D7"/>
    <w:rsid w:val="00493A2E"/>
    <w:rsid w:val="00493BE7"/>
    <w:rsid w:val="00493D76"/>
    <w:rsid w:val="00493E33"/>
    <w:rsid w:val="004942B5"/>
    <w:rsid w:val="004945F6"/>
    <w:rsid w:val="0049472B"/>
    <w:rsid w:val="00494E80"/>
    <w:rsid w:val="0049508D"/>
    <w:rsid w:val="00495634"/>
    <w:rsid w:val="004957C8"/>
    <w:rsid w:val="004958AC"/>
    <w:rsid w:val="004958C5"/>
    <w:rsid w:val="00495E1B"/>
    <w:rsid w:val="00495FD4"/>
    <w:rsid w:val="0049605C"/>
    <w:rsid w:val="004965C1"/>
    <w:rsid w:val="004965F7"/>
    <w:rsid w:val="00496605"/>
    <w:rsid w:val="004966F6"/>
    <w:rsid w:val="0049687E"/>
    <w:rsid w:val="004969AF"/>
    <w:rsid w:val="00496A3B"/>
    <w:rsid w:val="00496DA4"/>
    <w:rsid w:val="00497074"/>
    <w:rsid w:val="004970F8"/>
    <w:rsid w:val="004974CD"/>
    <w:rsid w:val="00497552"/>
    <w:rsid w:val="004975AD"/>
    <w:rsid w:val="00497839"/>
    <w:rsid w:val="00497950"/>
    <w:rsid w:val="00497AC1"/>
    <w:rsid w:val="00497BFA"/>
    <w:rsid w:val="00497E7F"/>
    <w:rsid w:val="00497FBF"/>
    <w:rsid w:val="004A0210"/>
    <w:rsid w:val="004A0298"/>
    <w:rsid w:val="004A0464"/>
    <w:rsid w:val="004A053D"/>
    <w:rsid w:val="004A06F9"/>
    <w:rsid w:val="004A072F"/>
    <w:rsid w:val="004A0E6E"/>
    <w:rsid w:val="004A0EDC"/>
    <w:rsid w:val="004A1635"/>
    <w:rsid w:val="004A1A08"/>
    <w:rsid w:val="004A1D47"/>
    <w:rsid w:val="004A1F44"/>
    <w:rsid w:val="004A1FCC"/>
    <w:rsid w:val="004A2565"/>
    <w:rsid w:val="004A259E"/>
    <w:rsid w:val="004A267A"/>
    <w:rsid w:val="004A28EE"/>
    <w:rsid w:val="004A29BD"/>
    <w:rsid w:val="004A2B2B"/>
    <w:rsid w:val="004A2B71"/>
    <w:rsid w:val="004A2F18"/>
    <w:rsid w:val="004A2FFD"/>
    <w:rsid w:val="004A3126"/>
    <w:rsid w:val="004A3183"/>
    <w:rsid w:val="004A325C"/>
    <w:rsid w:val="004A3873"/>
    <w:rsid w:val="004A39C9"/>
    <w:rsid w:val="004A3A53"/>
    <w:rsid w:val="004A3B78"/>
    <w:rsid w:val="004A3DEF"/>
    <w:rsid w:val="004A3F0D"/>
    <w:rsid w:val="004A4036"/>
    <w:rsid w:val="004A406F"/>
    <w:rsid w:val="004A40B0"/>
    <w:rsid w:val="004A40EA"/>
    <w:rsid w:val="004A41FB"/>
    <w:rsid w:val="004A4309"/>
    <w:rsid w:val="004A46FF"/>
    <w:rsid w:val="004A4A56"/>
    <w:rsid w:val="004A4B12"/>
    <w:rsid w:val="004A4BFA"/>
    <w:rsid w:val="004A4C99"/>
    <w:rsid w:val="004A4CBD"/>
    <w:rsid w:val="004A4CF0"/>
    <w:rsid w:val="004A56B1"/>
    <w:rsid w:val="004A5A65"/>
    <w:rsid w:val="004A5DFA"/>
    <w:rsid w:val="004A5F9D"/>
    <w:rsid w:val="004A6101"/>
    <w:rsid w:val="004A6166"/>
    <w:rsid w:val="004A63E5"/>
    <w:rsid w:val="004A64F8"/>
    <w:rsid w:val="004A65E9"/>
    <w:rsid w:val="004A66FC"/>
    <w:rsid w:val="004A6727"/>
    <w:rsid w:val="004A67E9"/>
    <w:rsid w:val="004A6846"/>
    <w:rsid w:val="004A687D"/>
    <w:rsid w:val="004A6896"/>
    <w:rsid w:val="004A689C"/>
    <w:rsid w:val="004A6A87"/>
    <w:rsid w:val="004A6B13"/>
    <w:rsid w:val="004A6DB6"/>
    <w:rsid w:val="004A7048"/>
    <w:rsid w:val="004A7057"/>
    <w:rsid w:val="004A70A2"/>
    <w:rsid w:val="004A70F7"/>
    <w:rsid w:val="004A7200"/>
    <w:rsid w:val="004A73A0"/>
    <w:rsid w:val="004A742E"/>
    <w:rsid w:val="004A7616"/>
    <w:rsid w:val="004A7824"/>
    <w:rsid w:val="004A7B16"/>
    <w:rsid w:val="004A7B5E"/>
    <w:rsid w:val="004A7C0E"/>
    <w:rsid w:val="004A7EFC"/>
    <w:rsid w:val="004B0498"/>
    <w:rsid w:val="004B0514"/>
    <w:rsid w:val="004B092D"/>
    <w:rsid w:val="004B0A0A"/>
    <w:rsid w:val="004B0B7E"/>
    <w:rsid w:val="004B0D70"/>
    <w:rsid w:val="004B0E7A"/>
    <w:rsid w:val="004B0E84"/>
    <w:rsid w:val="004B102D"/>
    <w:rsid w:val="004B1088"/>
    <w:rsid w:val="004B1125"/>
    <w:rsid w:val="004B12F1"/>
    <w:rsid w:val="004B130C"/>
    <w:rsid w:val="004B13AB"/>
    <w:rsid w:val="004B13FE"/>
    <w:rsid w:val="004B141D"/>
    <w:rsid w:val="004B14B1"/>
    <w:rsid w:val="004B1C4B"/>
    <w:rsid w:val="004B1DA3"/>
    <w:rsid w:val="004B1F04"/>
    <w:rsid w:val="004B208D"/>
    <w:rsid w:val="004B218C"/>
    <w:rsid w:val="004B21B9"/>
    <w:rsid w:val="004B2392"/>
    <w:rsid w:val="004B2722"/>
    <w:rsid w:val="004B2891"/>
    <w:rsid w:val="004B2A88"/>
    <w:rsid w:val="004B2C16"/>
    <w:rsid w:val="004B2C60"/>
    <w:rsid w:val="004B2D06"/>
    <w:rsid w:val="004B2D30"/>
    <w:rsid w:val="004B33A4"/>
    <w:rsid w:val="004B33AA"/>
    <w:rsid w:val="004B358E"/>
    <w:rsid w:val="004B370E"/>
    <w:rsid w:val="004B37AC"/>
    <w:rsid w:val="004B37D3"/>
    <w:rsid w:val="004B3804"/>
    <w:rsid w:val="004B38EC"/>
    <w:rsid w:val="004B3B67"/>
    <w:rsid w:val="004B3BDE"/>
    <w:rsid w:val="004B3BF2"/>
    <w:rsid w:val="004B3E57"/>
    <w:rsid w:val="004B3F9E"/>
    <w:rsid w:val="004B3FC2"/>
    <w:rsid w:val="004B42D7"/>
    <w:rsid w:val="004B4507"/>
    <w:rsid w:val="004B4520"/>
    <w:rsid w:val="004B46BB"/>
    <w:rsid w:val="004B4928"/>
    <w:rsid w:val="004B494C"/>
    <w:rsid w:val="004B4AF6"/>
    <w:rsid w:val="004B4C98"/>
    <w:rsid w:val="004B4F33"/>
    <w:rsid w:val="004B545E"/>
    <w:rsid w:val="004B57CC"/>
    <w:rsid w:val="004B5A99"/>
    <w:rsid w:val="004B5ABC"/>
    <w:rsid w:val="004B5B92"/>
    <w:rsid w:val="004B5C07"/>
    <w:rsid w:val="004B5DDB"/>
    <w:rsid w:val="004B60CB"/>
    <w:rsid w:val="004B6291"/>
    <w:rsid w:val="004B6673"/>
    <w:rsid w:val="004B676F"/>
    <w:rsid w:val="004B6784"/>
    <w:rsid w:val="004B6896"/>
    <w:rsid w:val="004B696F"/>
    <w:rsid w:val="004B6BAA"/>
    <w:rsid w:val="004B6CDF"/>
    <w:rsid w:val="004B6DEF"/>
    <w:rsid w:val="004B6E81"/>
    <w:rsid w:val="004B6E89"/>
    <w:rsid w:val="004B703A"/>
    <w:rsid w:val="004B73DE"/>
    <w:rsid w:val="004B748C"/>
    <w:rsid w:val="004B7591"/>
    <w:rsid w:val="004B7652"/>
    <w:rsid w:val="004B77E4"/>
    <w:rsid w:val="004B7B95"/>
    <w:rsid w:val="004B7D11"/>
    <w:rsid w:val="004B7FCC"/>
    <w:rsid w:val="004C0093"/>
    <w:rsid w:val="004C012D"/>
    <w:rsid w:val="004C04AB"/>
    <w:rsid w:val="004C0562"/>
    <w:rsid w:val="004C059E"/>
    <w:rsid w:val="004C0609"/>
    <w:rsid w:val="004C0650"/>
    <w:rsid w:val="004C07D9"/>
    <w:rsid w:val="004C0924"/>
    <w:rsid w:val="004C0A8F"/>
    <w:rsid w:val="004C0AF1"/>
    <w:rsid w:val="004C0B4E"/>
    <w:rsid w:val="004C0F41"/>
    <w:rsid w:val="004C10FE"/>
    <w:rsid w:val="004C12D1"/>
    <w:rsid w:val="004C14AA"/>
    <w:rsid w:val="004C1590"/>
    <w:rsid w:val="004C195D"/>
    <w:rsid w:val="004C1CB5"/>
    <w:rsid w:val="004C1DA7"/>
    <w:rsid w:val="004C1F25"/>
    <w:rsid w:val="004C29CF"/>
    <w:rsid w:val="004C2DEE"/>
    <w:rsid w:val="004C30EF"/>
    <w:rsid w:val="004C33E8"/>
    <w:rsid w:val="004C3486"/>
    <w:rsid w:val="004C37DA"/>
    <w:rsid w:val="004C3B79"/>
    <w:rsid w:val="004C3B7B"/>
    <w:rsid w:val="004C4088"/>
    <w:rsid w:val="004C466C"/>
    <w:rsid w:val="004C484D"/>
    <w:rsid w:val="004C48B2"/>
    <w:rsid w:val="004C4B9A"/>
    <w:rsid w:val="004C4C21"/>
    <w:rsid w:val="004C4F29"/>
    <w:rsid w:val="004C507A"/>
    <w:rsid w:val="004C50F1"/>
    <w:rsid w:val="004C5141"/>
    <w:rsid w:val="004C5197"/>
    <w:rsid w:val="004C51BA"/>
    <w:rsid w:val="004C54A0"/>
    <w:rsid w:val="004C5665"/>
    <w:rsid w:val="004C58E8"/>
    <w:rsid w:val="004C58E9"/>
    <w:rsid w:val="004C5C5F"/>
    <w:rsid w:val="004C5C83"/>
    <w:rsid w:val="004C5F4F"/>
    <w:rsid w:val="004C6354"/>
    <w:rsid w:val="004C63BB"/>
    <w:rsid w:val="004C641F"/>
    <w:rsid w:val="004C662F"/>
    <w:rsid w:val="004C6639"/>
    <w:rsid w:val="004C67C5"/>
    <w:rsid w:val="004C6876"/>
    <w:rsid w:val="004C6982"/>
    <w:rsid w:val="004C721C"/>
    <w:rsid w:val="004C74C5"/>
    <w:rsid w:val="004C7986"/>
    <w:rsid w:val="004C7D58"/>
    <w:rsid w:val="004C7DD3"/>
    <w:rsid w:val="004D05B5"/>
    <w:rsid w:val="004D075D"/>
    <w:rsid w:val="004D07EB"/>
    <w:rsid w:val="004D0A49"/>
    <w:rsid w:val="004D0B88"/>
    <w:rsid w:val="004D0C27"/>
    <w:rsid w:val="004D0D2B"/>
    <w:rsid w:val="004D0DFB"/>
    <w:rsid w:val="004D15CD"/>
    <w:rsid w:val="004D17B2"/>
    <w:rsid w:val="004D1AB3"/>
    <w:rsid w:val="004D1C82"/>
    <w:rsid w:val="004D1E1E"/>
    <w:rsid w:val="004D1EC9"/>
    <w:rsid w:val="004D210D"/>
    <w:rsid w:val="004D228F"/>
    <w:rsid w:val="004D2819"/>
    <w:rsid w:val="004D281A"/>
    <w:rsid w:val="004D28CA"/>
    <w:rsid w:val="004D29BC"/>
    <w:rsid w:val="004D2B7A"/>
    <w:rsid w:val="004D2CDD"/>
    <w:rsid w:val="004D2E82"/>
    <w:rsid w:val="004D2F55"/>
    <w:rsid w:val="004D3041"/>
    <w:rsid w:val="004D313B"/>
    <w:rsid w:val="004D3158"/>
    <w:rsid w:val="004D31E0"/>
    <w:rsid w:val="004D3287"/>
    <w:rsid w:val="004D33BE"/>
    <w:rsid w:val="004D33C5"/>
    <w:rsid w:val="004D34A9"/>
    <w:rsid w:val="004D3571"/>
    <w:rsid w:val="004D376D"/>
    <w:rsid w:val="004D3995"/>
    <w:rsid w:val="004D3C8F"/>
    <w:rsid w:val="004D3E27"/>
    <w:rsid w:val="004D3EFB"/>
    <w:rsid w:val="004D3F61"/>
    <w:rsid w:val="004D4209"/>
    <w:rsid w:val="004D44B4"/>
    <w:rsid w:val="004D479B"/>
    <w:rsid w:val="004D4861"/>
    <w:rsid w:val="004D48FD"/>
    <w:rsid w:val="004D4C0F"/>
    <w:rsid w:val="004D4CF4"/>
    <w:rsid w:val="004D4E8E"/>
    <w:rsid w:val="004D51EC"/>
    <w:rsid w:val="004D5209"/>
    <w:rsid w:val="004D5293"/>
    <w:rsid w:val="004D55D1"/>
    <w:rsid w:val="004D5681"/>
    <w:rsid w:val="004D56AB"/>
    <w:rsid w:val="004D578B"/>
    <w:rsid w:val="004D57E2"/>
    <w:rsid w:val="004D5D09"/>
    <w:rsid w:val="004D5DAE"/>
    <w:rsid w:val="004D6032"/>
    <w:rsid w:val="004D6165"/>
    <w:rsid w:val="004D6742"/>
    <w:rsid w:val="004D6797"/>
    <w:rsid w:val="004D693C"/>
    <w:rsid w:val="004D6EC4"/>
    <w:rsid w:val="004D6EF5"/>
    <w:rsid w:val="004D7100"/>
    <w:rsid w:val="004D73A4"/>
    <w:rsid w:val="004D73D0"/>
    <w:rsid w:val="004D7553"/>
    <w:rsid w:val="004D7660"/>
    <w:rsid w:val="004D76E1"/>
    <w:rsid w:val="004D7977"/>
    <w:rsid w:val="004D7E55"/>
    <w:rsid w:val="004E094F"/>
    <w:rsid w:val="004E0B48"/>
    <w:rsid w:val="004E0E19"/>
    <w:rsid w:val="004E0F27"/>
    <w:rsid w:val="004E10E4"/>
    <w:rsid w:val="004E1357"/>
    <w:rsid w:val="004E13EF"/>
    <w:rsid w:val="004E184D"/>
    <w:rsid w:val="004E186D"/>
    <w:rsid w:val="004E19C6"/>
    <w:rsid w:val="004E2022"/>
    <w:rsid w:val="004E2081"/>
    <w:rsid w:val="004E269F"/>
    <w:rsid w:val="004E26EC"/>
    <w:rsid w:val="004E2715"/>
    <w:rsid w:val="004E2879"/>
    <w:rsid w:val="004E2BA0"/>
    <w:rsid w:val="004E2E89"/>
    <w:rsid w:val="004E2F42"/>
    <w:rsid w:val="004E32D8"/>
    <w:rsid w:val="004E356E"/>
    <w:rsid w:val="004E37EF"/>
    <w:rsid w:val="004E3A95"/>
    <w:rsid w:val="004E3AA7"/>
    <w:rsid w:val="004E3B79"/>
    <w:rsid w:val="004E402C"/>
    <w:rsid w:val="004E406C"/>
    <w:rsid w:val="004E420A"/>
    <w:rsid w:val="004E4597"/>
    <w:rsid w:val="004E4825"/>
    <w:rsid w:val="004E4899"/>
    <w:rsid w:val="004E49E1"/>
    <w:rsid w:val="004E4AAD"/>
    <w:rsid w:val="004E4B1B"/>
    <w:rsid w:val="004E4C39"/>
    <w:rsid w:val="004E4F12"/>
    <w:rsid w:val="004E4F75"/>
    <w:rsid w:val="004E513E"/>
    <w:rsid w:val="004E518A"/>
    <w:rsid w:val="004E55D2"/>
    <w:rsid w:val="004E59E1"/>
    <w:rsid w:val="004E5CDE"/>
    <w:rsid w:val="004E6073"/>
    <w:rsid w:val="004E6185"/>
    <w:rsid w:val="004E627A"/>
    <w:rsid w:val="004E6318"/>
    <w:rsid w:val="004E6499"/>
    <w:rsid w:val="004E66E3"/>
    <w:rsid w:val="004E6719"/>
    <w:rsid w:val="004E6752"/>
    <w:rsid w:val="004E697B"/>
    <w:rsid w:val="004E6B7D"/>
    <w:rsid w:val="004E6DD8"/>
    <w:rsid w:val="004E7076"/>
    <w:rsid w:val="004E7104"/>
    <w:rsid w:val="004E7143"/>
    <w:rsid w:val="004E73AB"/>
    <w:rsid w:val="004E7517"/>
    <w:rsid w:val="004E7519"/>
    <w:rsid w:val="004E769A"/>
    <w:rsid w:val="004E7AEB"/>
    <w:rsid w:val="004E7C01"/>
    <w:rsid w:val="004F00CA"/>
    <w:rsid w:val="004F0104"/>
    <w:rsid w:val="004F03D5"/>
    <w:rsid w:val="004F0684"/>
    <w:rsid w:val="004F06A5"/>
    <w:rsid w:val="004F07A1"/>
    <w:rsid w:val="004F07FE"/>
    <w:rsid w:val="004F080E"/>
    <w:rsid w:val="004F08C0"/>
    <w:rsid w:val="004F0B2F"/>
    <w:rsid w:val="004F1055"/>
    <w:rsid w:val="004F1173"/>
    <w:rsid w:val="004F13C0"/>
    <w:rsid w:val="004F148C"/>
    <w:rsid w:val="004F149E"/>
    <w:rsid w:val="004F1ACF"/>
    <w:rsid w:val="004F1AF8"/>
    <w:rsid w:val="004F1BA7"/>
    <w:rsid w:val="004F1D28"/>
    <w:rsid w:val="004F23FA"/>
    <w:rsid w:val="004F25FB"/>
    <w:rsid w:val="004F2A15"/>
    <w:rsid w:val="004F2C66"/>
    <w:rsid w:val="004F2CB7"/>
    <w:rsid w:val="004F2D92"/>
    <w:rsid w:val="004F2F39"/>
    <w:rsid w:val="004F2F52"/>
    <w:rsid w:val="004F3156"/>
    <w:rsid w:val="004F31AE"/>
    <w:rsid w:val="004F32CE"/>
    <w:rsid w:val="004F32DC"/>
    <w:rsid w:val="004F341F"/>
    <w:rsid w:val="004F383C"/>
    <w:rsid w:val="004F399E"/>
    <w:rsid w:val="004F3A4F"/>
    <w:rsid w:val="004F3A8E"/>
    <w:rsid w:val="004F3B60"/>
    <w:rsid w:val="004F3C6F"/>
    <w:rsid w:val="004F3F7A"/>
    <w:rsid w:val="004F4275"/>
    <w:rsid w:val="004F44AA"/>
    <w:rsid w:val="004F4578"/>
    <w:rsid w:val="004F490B"/>
    <w:rsid w:val="004F491F"/>
    <w:rsid w:val="004F4A0A"/>
    <w:rsid w:val="004F4A13"/>
    <w:rsid w:val="004F4D36"/>
    <w:rsid w:val="004F4DD1"/>
    <w:rsid w:val="004F502A"/>
    <w:rsid w:val="004F50FC"/>
    <w:rsid w:val="004F510E"/>
    <w:rsid w:val="004F5242"/>
    <w:rsid w:val="004F53E2"/>
    <w:rsid w:val="004F57C3"/>
    <w:rsid w:val="004F585C"/>
    <w:rsid w:val="004F58D3"/>
    <w:rsid w:val="004F594A"/>
    <w:rsid w:val="004F5CEF"/>
    <w:rsid w:val="004F5D2B"/>
    <w:rsid w:val="004F5D45"/>
    <w:rsid w:val="004F5F48"/>
    <w:rsid w:val="004F6230"/>
    <w:rsid w:val="004F628E"/>
    <w:rsid w:val="004F6439"/>
    <w:rsid w:val="004F65C1"/>
    <w:rsid w:val="004F6794"/>
    <w:rsid w:val="004F6818"/>
    <w:rsid w:val="004F6AEB"/>
    <w:rsid w:val="004F750C"/>
    <w:rsid w:val="004F7531"/>
    <w:rsid w:val="004F760F"/>
    <w:rsid w:val="004F7F2F"/>
    <w:rsid w:val="0050005E"/>
    <w:rsid w:val="00500128"/>
    <w:rsid w:val="00500160"/>
    <w:rsid w:val="005002E0"/>
    <w:rsid w:val="005003BB"/>
    <w:rsid w:val="00500586"/>
    <w:rsid w:val="005007BA"/>
    <w:rsid w:val="00500A3C"/>
    <w:rsid w:val="00500ACD"/>
    <w:rsid w:val="00500C0B"/>
    <w:rsid w:val="00500D49"/>
    <w:rsid w:val="00500D4C"/>
    <w:rsid w:val="00500E00"/>
    <w:rsid w:val="00500E71"/>
    <w:rsid w:val="00500EF2"/>
    <w:rsid w:val="00500FC1"/>
    <w:rsid w:val="00500FCE"/>
    <w:rsid w:val="00501138"/>
    <w:rsid w:val="00501181"/>
    <w:rsid w:val="005012C0"/>
    <w:rsid w:val="005015C6"/>
    <w:rsid w:val="005017F8"/>
    <w:rsid w:val="0050187A"/>
    <w:rsid w:val="005018B4"/>
    <w:rsid w:val="00501A5D"/>
    <w:rsid w:val="00501C81"/>
    <w:rsid w:val="00501CF6"/>
    <w:rsid w:val="00501F21"/>
    <w:rsid w:val="00501F68"/>
    <w:rsid w:val="00501F6F"/>
    <w:rsid w:val="00501FFE"/>
    <w:rsid w:val="005021FF"/>
    <w:rsid w:val="005025BB"/>
    <w:rsid w:val="005028D2"/>
    <w:rsid w:val="00502C17"/>
    <w:rsid w:val="00502C52"/>
    <w:rsid w:val="00502E6D"/>
    <w:rsid w:val="00502E9D"/>
    <w:rsid w:val="00503344"/>
    <w:rsid w:val="00503496"/>
    <w:rsid w:val="0050349C"/>
    <w:rsid w:val="00503797"/>
    <w:rsid w:val="0050379E"/>
    <w:rsid w:val="0050390F"/>
    <w:rsid w:val="00503994"/>
    <w:rsid w:val="00503A82"/>
    <w:rsid w:val="00503AB4"/>
    <w:rsid w:val="00503C46"/>
    <w:rsid w:val="00504061"/>
    <w:rsid w:val="005040DA"/>
    <w:rsid w:val="005044CD"/>
    <w:rsid w:val="0050461B"/>
    <w:rsid w:val="0050462E"/>
    <w:rsid w:val="00504A0B"/>
    <w:rsid w:val="00504A1C"/>
    <w:rsid w:val="00504B27"/>
    <w:rsid w:val="00504D92"/>
    <w:rsid w:val="00504DE0"/>
    <w:rsid w:val="00504E91"/>
    <w:rsid w:val="00504F2E"/>
    <w:rsid w:val="00504FB1"/>
    <w:rsid w:val="0050506E"/>
    <w:rsid w:val="00505176"/>
    <w:rsid w:val="00505210"/>
    <w:rsid w:val="005053B0"/>
    <w:rsid w:val="00505BAE"/>
    <w:rsid w:val="00505DE5"/>
    <w:rsid w:val="00505E22"/>
    <w:rsid w:val="00505F82"/>
    <w:rsid w:val="005060F6"/>
    <w:rsid w:val="005062FE"/>
    <w:rsid w:val="005063E9"/>
    <w:rsid w:val="00506634"/>
    <w:rsid w:val="00506956"/>
    <w:rsid w:val="00506973"/>
    <w:rsid w:val="005069BD"/>
    <w:rsid w:val="00506BD5"/>
    <w:rsid w:val="00506C40"/>
    <w:rsid w:val="00506C9F"/>
    <w:rsid w:val="00506ED2"/>
    <w:rsid w:val="00506F90"/>
    <w:rsid w:val="0050707B"/>
    <w:rsid w:val="00507243"/>
    <w:rsid w:val="005072C5"/>
    <w:rsid w:val="005074E8"/>
    <w:rsid w:val="005074FC"/>
    <w:rsid w:val="00507531"/>
    <w:rsid w:val="0050753C"/>
    <w:rsid w:val="0050771D"/>
    <w:rsid w:val="00507AA1"/>
    <w:rsid w:val="00507B89"/>
    <w:rsid w:val="00507C1B"/>
    <w:rsid w:val="0050AAE0"/>
    <w:rsid w:val="00510236"/>
    <w:rsid w:val="00510370"/>
    <w:rsid w:val="0051058D"/>
    <w:rsid w:val="005105DA"/>
    <w:rsid w:val="00510669"/>
    <w:rsid w:val="00510ECC"/>
    <w:rsid w:val="00510FA2"/>
    <w:rsid w:val="00510FDF"/>
    <w:rsid w:val="00511159"/>
    <w:rsid w:val="00511267"/>
    <w:rsid w:val="00511361"/>
    <w:rsid w:val="00511660"/>
    <w:rsid w:val="00511662"/>
    <w:rsid w:val="005117F7"/>
    <w:rsid w:val="00511A17"/>
    <w:rsid w:val="00511C48"/>
    <w:rsid w:val="00511CE8"/>
    <w:rsid w:val="00511D3F"/>
    <w:rsid w:val="00511D63"/>
    <w:rsid w:val="00512025"/>
    <w:rsid w:val="0051234F"/>
    <w:rsid w:val="005127C1"/>
    <w:rsid w:val="0051299B"/>
    <w:rsid w:val="00512B49"/>
    <w:rsid w:val="00512BD8"/>
    <w:rsid w:val="00512CC3"/>
    <w:rsid w:val="00512F2F"/>
    <w:rsid w:val="00513153"/>
    <w:rsid w:val="00513154"/>
    <w:rsid w:val="0051339F"/>
    <w:rsid w:val="00513553"/>
    <w:rsid w:val="005138B1"/>
    <w:rsid w:val="00513B32"/>
    <w:rsid w:val="00513BA8"/>
    <w:rsid w:val="00513DC7"/>
    <w:rsid w:val="00513E6D"/>
    <w:rsid w:val="00513F21"/>
    <w:rsid w:val="00514122"/>
    <w:rsid w:val="00514161"/>
    <w:rsid w:val="00514559"/>
    <w:rsid w:val="00514685"/>
    <w:rsid w:val="00514A33"/>
    <w:rsid w:val="00514C08"/>
    <w:rsid w:val="00515380"/>
    <w:rsid w:val="005153F3"/>
    <w:rsid w:val="00515460"/>
    <w:rsid w:val="0051549E"/>
    <w:rsid w:val="005155DD"/>
    <w:rsid w:val="005155F1"/>
    <w:rsid w:val="0051569E"/>
    <w:rsid w:val="00515B06"/>
    <w:rsid w:val="00515B60"/>
    <w:rsid w:val="00515DC1"/>
    <w:rsid w:val="005160DB"/>
    <w:rsid w:val="00516118"/>
    <w:rsid w:val="00516126"/>
    <w:rsid w:val="0051639F"/>
    <w:rsid w:val="0051645B"/>
    <w:rsid w:val="00516652"/>
    <w:rsid w:val="0051694E"/>
    <w:rsid w:val="00516BB6"/>
    <w:rsid w:val="00516C18"/>
    <w:rsid w:val="00516C1C"/>
    <w:rsid w:val="00516CDA"/>
    <w:rsid w:val="00516E41"/>
    <w:rsid w:val="00516EE6"/>
    <w:rsid w:val="005171F2"/>
    <w:rsid w:val="005176CA"/>
    <w:rsid w:val="0051783F"/>
    <w:rsid w:val="00517852"/>
    <w:rsid w:val="00517A74"/>
    <w:rsid w:val="00517B07"/>
    <w:rsid w:val="00517B22"/>
    <w:rsid w:val="00517D2D"/>
    <w:rsid w:val="00517D7F"/>
    <w:rsid w:val="00520091"/>
    <w:rsid w:val="00520324"/>
    <w:rsid w:val="00520495"/>
    <w:rsid w:val="00520530"/>
    <w:rsid w:val="005206F3"/>
    <w:rsid w:val="00520708"/>
    <w:rsid w:val="00520D09"/>
    <w:rsid w:val="00520D70"/>
    <w:rsid w:val="00520F28"/>
    <w:rsid w:val="00520FFC"/>
    <w:rsid w:val="00521111"/>
    <w:rsid w:val="0052116B"/>
    <w:rsid w:val="00521244"/>
    <w:rsid w:val="005213EB"/>
    <w:rsid w:val="0052159B"/>
    <w:rsid w:val="00521758"/>
    <w:rsid w:val="00521B2A"/>
    <w:rsid w:val="00521D6E"/>
    <w:rsid w:val="00521F7D"/>
    <w:rsid w:val="00522660"/>
    <w:rsid w:val="005227A8"/>
    <w:rsid w:val="00522967"/>
    <w:rsid w:val="00522ACA"/>
    <w:rsid w:val="00522C42"/>
    <w:rsid w:val="00522C4B"/>
    <w:rsid w:val="00522EE8"/>
    <w:rsid w:val="005230D5"/>
    <w:rsid w:val="005230FD"/>
    <w:rsid w:val="005235D1"/>
    <w:rsid w:val="005236C0"/>
    <w:rsid w:val="00523A80"/>
    <w:rsid w:val="00523C7A"/>
    <w:rsid w:val="00523DCF"/>
    <w:rsid w:val="00524457"/>
    <w:rsid w:val="0052445F"/>
    <w:rsid w:val="005244E9"/>
    <w:rsid w:val="00524529"/>
    <w:rsid w:val="00524687"/>
    <w:rsid w:val="005247FB"/>
    <w:rsid w:val="00524A7D"/>
    <w:rsid w:val="00524CC8"/>
    <w:rsid w:val="00524E4E"/>
    <w:rsid w:val="00525268"/>
    <w:rsid w:val="00525367"/>
    <w:rsid w:val="005253CA"/>
    <w:rsid w:val="005253FC"/>
    <w:rsid w:val="005256A7"/>
    <w:rsid w:val="005259AE"/>
    <w:rsid w:val="005259BB"/>
    <w:rsid w:val="005259C4"/>
    <w:rsid w:val="00525A03"/>
    <w:rsid w:val="00525A79"/>
    <w:rsid w:val="00525B27"/>
    <w:rsid w:val="00525B2F"/>
    <w:rsid w:val="0052604A"/>
    <w:rsid w:val="005260B6"/>
    <w:rsid w:val="005260FD"/>
    <w:rsid w:val="0052638F"/>
    <w:rsid w:val="00526495"/>
    <w:rsid w:val="005266BD"/>
    <w:rsid w:val="005269C1"/>
    <w:rsid w:val="005269C5"/>
    <w:rsid w:val="00526CD6"/>
    <w:rsid w:val="00527084"/>
    <w:rsid w:val="005270FC"/>
    <w:rsid w:val="0052743C"/>
    <w:rsid w:val="00527486"/>
    <w:rsid w:val="0052773D"/>
    <w:rsid w:val="0052774C"/>
    <w:rsid w:val="00527841"/>
    <w:rsid w:val="0052784C"/>
    <w:rsid w:val="005278FC"/>
    <w:rsid w:val="005279AE"/>
    <w:rsid w:val="005279FA"/>
    <w:rsid w:val="00527DA9"/>
    <w:rsid w:val="00527E95"/>
    <w:rsid w:val="00527EFF"/>
    <w:rsid w:val="00527F6D"/>
    <w:rsid w:val="005305AB"/>
    <w:rsid w:val="00530623"/>
    <w:rsid w:val="00530736"/>
    <w:rsid w:val="00530C32"/>
    <w:rsid w:val="00530C74"/>
    <w:rsid w:val="00530CDB"/>
    <w:rsid w:val="00530D3A"/>
    <w:rsid w:val="00530DB1"/>
    <w:rsid w:val="00531296"/>
    <w:rsid w:val="005312A2"/>
    <w:rsid w:val="005312A7"/>
    <w:rsid w:val="0053144E"/>
    <w:rsid w:val="00531530"/>
    <w:rsid w:val="00531630"/>
    <w:rsid w:val="00531B3F"/>
    <w:rsid w:val="00531C44"/>
    <w:rsid w:val="00531D0E"/>
    <w:rsid w:val="00531DDD"/>
    <w:rsid w:val="00531FA2"/>
    <w:rsid w:val="00532324"/>
    <w:rsid w:val="005323F8"/>
    <w:rsid w:val="00532494"/>
    <w:rsid w:val="0053264E"/>
    <w:rsid w:val="00532B13"/>
    <w:rsid w:val="00532CB2"/>
    <w:rsid w:val="00532D10"/>
    <w:rsid w:val="00532E04"/>
    <w:rsid w:val="00533094"/>
    <w:rsid w:val="005330F3"/>
    <w:rsid w:val="00533149"/>
    <w:rsid w:val="005331EB"/>
    <w:rsid w:val="0053340D"/>
    <w:rsid w:val="00533571"/>
    <w:rsid w:val="0053371D"/>
    <w:rsid w:val="00533A05"/>
    <w:rsid w:val="00533B84"/>
    <w:rsid w:val="00533F8D"/>
    <w:rsid w:val="00534593"/>
    <w:rsid w:val="005348EE"/>
    <w:rsid w:val="0053498F"/>
    <w:rsid w:val="00534A1C"/>
    <w:rsid w:val="00534AD0"/>
    <w:rsid w:val="00534CAE"/>
    <w:rsid w:val="00534D7D"/>
    <w:rsid w:val="005350DC"/>
    <w:rsid w:val="00535252"/>
    <w:rsid w:val="0053539E"/>
    <w:rsid w:val="00535C83"/>
    <w:rsid w:val="00535CB4"/>
    <w:rsid w:val="00535DFF"/>
    <w:rsid w:val="00536010"/>
    <w:rsid w:val="0053606A"/>
    <w:rsid w:val="00536237"/>
    <w:rsid w:val="0053645E"/>
    <w:rsid w:val="00536598"/>
    <w:rsid w:val="00536644"/>
    <w:rsid w:val="00536896"/>
    <w:rsid w:val="00536946"/>
    <w:rsid w:val="00536AD2"/>
    <w:rsid w:val="00536AD5"/>
    <w:rsid w:val="00536ED2"/>
    <w:rsid w:val="00537052"/>
    <w:rsid w:val="005370E0"/>
    <w:rsid w:val="00537146"/>
    <w:rsid w:val="00537568"/>
    <w:rsid w:val="005375F6"/>
    <w:rsid w:val="005376F7"/>
    <w:rsid w:val="00537780"/>
    <w:rsid w:val="00537904"/>
    <w:rsid w:val="00537A08"/>
    <w:rsid w:val="00537A77"/>
    <w:rsid w:val="00537A7E"/>
    <w:rsid w:val="00537A87"/>
    <w:rsid w:val="00537C63"/>
    <w:rsid w:val="00537F0D"/>
    <w:rsid w:val="00540310"/>
    <w:rsid w:val="005408E1"/>
    <w:rsid w:val="00540A01"/>
    <w:rsid w:val="00540EB6"/>
    <w:rsid w:val="00540F9D"/>
    <w:rsid w:val="00541264"/>
    <w:rsid w:val="00541415"/>
    <w:rsid w:val="0054148C"/>
    <w:rsid w:val="0054154D"/>
    <w:rsid w:val="00541A14"/>
    <w:rsid w:val="00541C6B"/>
    <w:rsid w:val="00541D17"/>
    <w:rsid w:val="00541DDB"/>
    <w:rsid w:val="005420F8"/>
    <w:rsid w:val="0054211F"/>
    <w:rsid w:val="005422EE"/>
    <w:rsid w:val="00542A59"/>
    <w:rsid w:val="00542D62"/>
    <w:rsid w:val="00542DE0"/>
    <w:rsid w:val="00542E34"/>
    <w:rsid w:val="00542EEF"/>
    <w:rsid w:val="00543462"/>
    <w:rsid w:val="005434A6"/>
    <w:rsid w:val="0054352F"/>
    <w:rsid w:val="00543834"/>
    <w:rsid w:val="0054390B"/>
    <w:rsid w:val="00543A5B"/>
    <w:rsid w:val="00543E00"/>
    <w:rsid w:val="00543F9C"/>
    <w:rsid w:val="00544300"/>
    <w:rsid w:val="005445CB"/>
    <w:rsid w:val="00544774"/>
    <w:rsid w:val="00544A37"/>
    <w:rsid w:val="00544BCE"/>
    <w:rsid w:val="00544BF1"/>
    <w:rsid w:val="00544CB3"/>
    <w:rsid w:val="00544F82"/>
    <w:rsid w:val="00545290"/>
    <w:rsid w:val="00545488"/>
    <w:rsid w:val="005454B1"/>
    <w:rsid w:val="005458AD"/>
    <w:rsid w:val="00545B04"/>
    <w:rsid w:val="00545C42"/>
    <w:rsid w:val="00545D06"/>
    <w:rsid w:val="00545DB7"/>
    <w:rsid w:val="00545DDB"/>
    <w:rsid w:val="00545F2D"/>
    <w:rsid w:val="005461AA"/>
    <w:rsid w:val="005462D0"/>
    <w:rsid w:val="005468C4"/>
    <w:rsid w:val="00546AD0"/>
    <w:rsid w:val="00546C79"/>
    <w:rsid w:val="00546D39"/>
    <w:rsid w:val="00546F85"/>
    <w:rsid w:val="005472F3"/>
    <w:rsid w:val="00547A88"/>
    <w:rsid w:val="00547AED"/>
    <w:rsid w:val="00547C84"/>
    <w:rsid w:val="00547DB6"/>
    <w:rsid w:val="00547FF9"/>
    <w:rsid w:val="0055000A"/>
    <w:rsid w:val="005501DB"/>
    <w:rsid w:val="0055036C"/>
    <w:rsid w:val="0055047F"/>
    <w:rsid w:val="00550657"/>
    <w:rsid w:val="005507EB"/>
    <w:rsid w:val="0055087D"/>
    <w:rsid w:val="00550AB0"/>
    <w:rsid w:val="00550BC4"/>
    <w:rsid w:val="00550CBF"/>
    <w:rsid w:val="00550E84"/>
    <w:rsid w:val="0055116D"/>
    <w:rsid w:val="00551368"/>
    <w:rsid w:val="005513AC"/>
    <w:rsid w:val="0055141A"/>
    <w:rsid w:val="0055161D"/>
    <w:rsid w:val="00551653"/>
    <w:rsid w:val="00551759"/>
    <w:rsid w:val="00551CCE"/>
    <w:rsid w:val="005523BB"/>
    <w:rsid w:val="005524B0"/>
    <w:rsid w:val="00552A0A"/>
    <w:rsid w:val="00552B0F"/>
    <w:rsid w:val="00552C3B"/>
    <w:rsid w:val="00552CD2"/>
    <w:rsid w:val="00552F7C"/>
    <w:rsid w:val="00552FCC"/>
    <w:rsid w:val="0055344F"/>
    <w:rsid w:val="0055376F"/>
    <w:rsid w:val="00553893"/>
    <w:rsid w:val="00553D16"/>
    <w:rsid w:val="00553DFB"/>
    <w:rsid w:val="00554139"/>
    <w:rsid w:val="00554316"/>
    <w:rsid w:val="00554471"/>
    <w:rsid w:val="00554894"/>
    <w:rsid w:val="00554A84"/>
    <w:rsid w:val="00554C67"/>
    <w:rsid w:val="00554EB8"/>
    <w:rsid w:val="00554F08"/>
    <w:rsid w:val="00554FAD"/>
    <w:rsid w:val="00554FFD"/>
    <w:rsid w:val="00555089"/>
    <w:rsid w:val="00555218"/>
    <w:rsid w:val="005555DB"/>
    <w:rsid w:val="0055563B"/>
    <w:rsid w:val="005556B6"/>
    <w:rsid w:val="0055584F"/>
    <w:rsid w:val="0055587F"/>
    <w:rsid w:val="00555AE0"/>
    <w:rsid w:val="00555AEC"/>
    <w:rsid w:val="00555B16"/>
    <w:rsid w:val="00555DC3"/>
    <w:rsid w:val="00555F09"/>
    <w:rsid w:val="00556028"/>
    <w:rsid w:val="0055635E"/>
    <w:rsid w:val="005566B4"/>
    <w:rsid w:val="005567FF"/>
    <w:rsid w:val="00556EFB"/>
    <w:rsid w:val="00557260"/>
    <w:rsid w:val="00557296"/>
    <w:rsid w:val="005574B4"/>
    <w:rsid w:val="005577B0"/>
    <w:rsid w:val="005578CA"/>
    <w:rsid w:val="00557B39"/>
    <w:rsid w:val="00557C42"/>
    <w:rsid w:val="00557C7B"/>
    <w:rsid w:val="00557FAB"/>
    <w:rsid w:val="0056013B"/>
    <w:rsid w:val="00560151"/>
    <w:rsid w:val="00560192"/>
    <w:rsid w:val="005602D8"/>
    <w:rsid w:val="00560880"/>
    <w:rsid w:val="00560B5F"/>
    <w:rsid w:val="00560BAD"/>
    <w:rsid w:val="00561117"/>
    <w:rsid w:val="00561241"/>
    <w:rsid w:val="0056143A"/>
    <w:rsid w:val="00561795"/>
    <w:rsid w:val="00561909"/>
    <w:rsid w:val="0056194E"/>
    <w:rsid w:val="00561A60"/>
    <w:rsid w:val="00561AB3"/>
    <w:rsid w:val="00561B22"/>
    <w:rsid w:val="00561EC4"/>
    <w:rsid w:val="00562084"/>
    <w:rsid w:val="005620A4"/>
    <w:rsid w:val="00562191"/>
    <w:rsid w:val="005623EA"/>
    <w:rsid w:val="005626AD"/>
    <w:rsid w:val="00562A85"/>
    <w:rsid w:val="00562EA1"/>
    <w:rsid w:val="005630B7"/>
    <w:rsid w:val="005632E4"/>
    <w:rsid w:val="00563659"/>
    <w:rsid w:val="0056375B"/>
    <w:rsid w:val="0056379F"/>
    <w:rsid w:val="00563BF2"/>
    <w:rsid w:val="00563DD9"/>
    <w:rsid w:val="00563DF2"/>
    <w:rsid w:val="00564369"/>
    <w:rsid w:val="0056463E"/>
    <w:rsid w:val="005646D1"/>
    <w:rsid w:val="005647E4"/>
    <w:rsid w:val="00564955"/>
    <w:rsid w:val="00564A50"/>
    <w:rsid w:val="00564B82"/>
    <w:rsid w:val="00564C58"/>
    <w:rsid w:val="00564C66"/>
    <w:rsid w:val="00564D0B"/>
    <w:rsid w:val="00564F4B"/>
    <w:rsid w:val="00565333"/>
    <w:rsid w:val="0056574F"/>
    <w:rsid w:val="005658BD"/>
    <w:rsid w:val="00565AA0"/>
    <w:rsid w:val="00565B5F"/>
    <w:rsid w:val="00565BB7"/>
    <w:rsid w:val="00565DB9"/>
    <w:rsid w:val="00566208"/>
    <w:rsid w:val="005662AD"/>
    <w:rsid w:val="0056644C"/>
    <w:rsid w:val="005669BC"/>
    <w:rsid w:val="00566AD4"/>
    <w:rsid w:val="00566D15"/>
    <w:rsid w:val="00567154"/>
    <w:rsid w:val="00567456"/>
    <w:rsid w:val="00567562"/>
    <w:rsid w:val="005675DF"/>
    <w:rsid w:val="005676F9"/>
    <w:rsid w:val="005679ED"/>
    <w:rsid w:val="00567AEA"/>
    <w:rsid w:val="00567BDA"/>
    <w:rsid w:val="00567BE3"/>
    <w:rsid w:val="00567DE1"/>
    <w:rsid w:val="00567F99"/>
    <w:rsid w:val="005702C1"/>
    <w:rsid w:val="0057042E"/>
    <w:rsid w:val="00570668"/>
    <w:rsid w:val="005707D8"/>
    <w:rsid w:val="00570EED"/>
    <w:rsid w:val="00570F18"/>
    <w:rsid w:val="0057107A"/>
    <w:rsid w:val="005713B1"/>
    <w:rsid w:val="005713F1"/>
    <w:rsid w:val="0057141A"/>
    <w:rsid w:val="005716FC"/>
    <w:rsid w:val="005717F7"/>
    <w:rsid w:val="00571935"/>
    <w:rsid w:val="0057198F"/>
    <w:rsid w:val="005719A2"/>
    <w:rsid w:val="00571D2A"/>
    <w:rsid w:val="00571F6E"/>
    <w:rsid w:val="00571F9E"/>
    <w:rsid w:val="00571FE8"/>
    <w:rsid w:val="005720C3"/>
    <w:rsid w:val="005723C9"/>
    <w:rsid w:val="00572546"/>
    <w:rsid w:val="005725E3"/>
    <w:rsid w:val="005727BD"/>
    <w:rsid w:val="00572C2A"/>
    <w:rsid w:val="00572EF2"/>
    <w:rsid w:val="005731AF"/>
    <w:rsid w:val="005734C6"/>
    <w:rsid w:val="00573587"/>
    <w:rsid w:val="00573B54"/>
    <w:rsid w:val="00573E3A"/>
    <w:rsid w:val="00573F56"/>
    <w:rsid w:val="00573FF6"/>
    <w:rsid w:val="0057421F"/>
    <w:rsid w:val="00574362"/>
    <w:rsid w:val="005743C4"/>
    <w:rsid w:val="005744F6"/>
    <w:rsid w:val="005747B3"/>
    <w:rsid w:val="00574A97"/>
    <w:rsid w:val="00574B37"/>
    <w:rsid w:val="0057520A"/>
    <w:rsid w:val="00575323"/>
    <w:rsid w:val="005754ED"/>
    <w:rsid w:val="005756B9"/>
    <w:rsid w:val="005758C4"/>
    <w:rsid w:val="00575A28"/>
    <w:rsid w:val="00575AAF"/>
    <w:rsid w:val="00575AD4"/>
    <w:rsid w:val="00575AE0"/>
    <w:rsid w:val="00575B15"/>
    <w:rsid w:val="00575B53"/>
    <w:rsid w:val="00575CAC"/>
    <w:rsid w:val="00575D3C"/>
    <w:rsid w:val="00575DEF"/>
    <w:rsid w:val="00575F16"/>
    <w:rsid w:val="00575F36"/>
    <w:rsid w:val="00576742"/>
    <w:rsid w:val="00576B7A"/>
    <w:rsid w:val="00576BAB"/>
    <w:rsid w:val="00576C5F"/>
    <w:rsid w:val="00576D0A"/>
    <w:rsid w:val="00576F22"/>
    <w:rsid w:val="00577004"/>
    <w:rsid w:val="005771F0"/>
    <w:rsid w:val="0057740D"/>
    <w:rsid w:val="005774BA"/>
    <w:rsid w:val="0057755E"/>
    <w:rsid w:val="005778C8"/>
    <w:rsid w:val="005778EF"/>
    <w:rsid w:val="00577A25"/>
    <w:rsid w:val="00577A7F"/>
    <w:rsid w:val="00577A85"/>
    <w:rsid w:val="00577AEC"/>
    <w:rsid w:val="00577D43"/>
    <w:rsid w:val="0058013F"/>
    <w:rsid w:val="005801A4"/>
    <w:rsid w:val="00580750"/>
    <w:rsid w:val="00580891"/>
    <w:rsid w:val="0058092E"/>
    <w:rsid w:val="00580945"/>
    <w:rsid w:val="00580A06"/>
    <w:rsid w:val="00580ADB"/>
    <w:rsid w:val="00580E04"/>
    <w:rsid w:val="0058131B"/>
    <w:rsid w:val="00581370"/>
    <w:rsid w:val="00581576"/>
    <w:rsid w:val="005816FA"/>
    <w:rsid w:val="005817DB"/>
    <w:rsid w:val="005818C7"/>
    <w:rsid w:val="00581A80"/>
    <w:rsid w:val="00581C1B"/>
    <w:rsid w:val="0058211D"/>
    <w:rsid w:val="005822FF"/>
    <w:rsid w:val="00582353"/>
    <w:rsid w:val="0058248A"/>
    <w:rsid w:val="0058250B"/>
    <w:rsid w:val="005826EA"/>
    <w:rsid w:val="005829A8"/>
    <w:rsid w:val="00582A21"/>
    <w:rsid w:val="00582F7E"/>
    <w:rsid w:val="0058303C"/>
    <w:rsid w:val="0058340D"/>
    <w:rsid w:val="00583432"/>
    <w:rsid w:val="0058358D"/>
    <w:rsid w:val="0058385F"/>
    <w:rsid w:val="00583A33"/>
    <w:rsid w:val="00583C3B"/>
    <w:rsid w:val="00583DAA"/>
    <w:rsid w:val="00583E24"/>
    <w:rsid w:val="00583F94"/>
    <w:rsid w:val="00584379"/>
    <w:rsid w:val="0058453E"/>
    <w:rsid w:val="00584619"/>
    <w:rsid w:val="005848EC"/>
    <w:rsid w:val="0058490D"/>
    <w:rsid w:val="0058497A"/>
    <w:rsid w:val="00584BE4"/>
    <w:rsid w:val="00584BFC"/>
    <w:rsid w:val="00584F08"/>
    <w:rsid w:val="00584F3B"/>
    <w:rsid w:val="00584FDB"/>
    <w:rsid w:val="00584FED"/>
    <w:rsid w:val="005850D8"/>
    <w:rsid w:val="005852F7"/>
    <w:rsid w:val="0058546C"/>
    <w:rsid w:val="005854C4"/>
    <w:rsid w:val="005855B6"/>
    <w:rsid w:val="005855EF"/>
    <w:rsid w:val="005857DF"/>
    <w:rsid w:val="00585A79"/>
    <w:rsid w:val="00585D6F"/>
    <w:rsid w:val="00586005"/>
    <w:rsid w:val="005860AF"/>
    <w:rsid w:val="005867D2"/>
    <w:rsid w:val="0058687D"/>
    <w:rsid w:val="00586891"/>
    <w:rsid w:val="005869CB"/>
    <w:rsid w:val="00586E67"/>
    <w:rsid w:val="005870E2"/>
    <w:rsid w:val="0058724E"/>
    <w:rsid w:val="0058732D"/>
    <w:rsid w:val="005875A5"/>
    <w:rsid w:val="00587613"/>
    <w:rsid w:val="0058782C"/>
    <w:rsid w:val="00587876"/>
    <w:rsid w:val="0058794B"/>
    <w:rsid w:val="0058798E"/>
    <w:rsid w:val="0059013D"/>
    <w:rsid w:val="00590155"/>
    <w:rsid w:val="005906B3"/>
    <w:rsid w:val="00590781"/>
    <w:rsid w:val="0059078E"/>
    <w:rsid w:val="005907DC"/>
    <w:rsid w:val="005907F8"/>
    <w:rsid w:val="00590862"/>
    <w:rsid w:val="005909A8"/>
    <w:rsid w:val="00590A8B"/>
    <w:rsid w:val="00590D4E"/>
    <w:rsid w:val="00590E3D"/>
    <w:rsid w:val="00590EC5"/>
    <w:rsid w:val="00591080"/>
    <w:rsid w:val="005910E0"/>
    <w:rsid w:val="005912AF"/>
    <w:rsid w:val="00591318"/>
    <w:rsid w:val="00591A39"/>
    <w:rsid w:val="00591AE8"/>
    <w:rsid w:val="00591C16"/>
    <w:rsid w:val="00591C58"/>
    <w:rsid w:val="00591E33"/>
    <w:rsid w:val="005920AC"/>
    <w:rsid w:val="00592229"/>
    <w:rsid w:val="00592808"/>
    <w:rsid w:val="00592A0D"/>
    <w:rsid w:val="00592A8E"/>
    <w:rsid w:val="00592B45"/>
    <w:rsid w:val="00592B4E"/>
    <w:rsid w:val="00592BC8"/>
    <w:rsid w:val="00592E53"/>
    <w:rsid w:val="00592ECC"/>
    <w:rsid w:val="00593A9C"/>
    <w:rsid w:val="00593C81"/>
    <w:rsid w:val="00593D1C"/>
    <w:rsid w:val="00593E9C"/>
    <w:rsid w:val="00593FA4"/>
    <w:rsid w:val="00594288"/>
    <w:rsid w:val="00594376"/>
    <w:rsid w:val="005944B6"/>
    <w:rsid w:val="00594A61"/>
    <w:rsid w:val="00594D3A"/>
    <w:rsid w:val="00594F1D"/>
    <w:rsid w:val="00594F6F"/>
    <w:rsid w:val="005951A1"/>
    <w:rsid w:val="005953AD"/>
    <w:rsid w:val="005956B6"/>
    <w:rsid w:val="005956E3"/>
    <w:rsid w:val="00595894"/>
    <w:rsid w:val="00595996"/>
    <w:rsid w:val="00595B18"/>
    <w:rsid w:val="00595DDD"/>
    <w:rsid w:val="00596154"/>
    <w:rsid w:val="005963CC"/>
    <w:rsid w:val="005966DC"/>
    <w:rsid w:val="0059674F"/>
    <w:rsid w:val="00596817"/>
    <w:rsid w:val="00596841"/>
    <w:rsid w:val="00596861"/>
    <w:rsid w:val="0059699D"/>
    <w:rsid w:val="00596C9B"/>
    <w:rsid w:val="00596E19"/>
    <w:rsid w:val="00596E80"/>
    <w:rsid w:val="005970D6"/>
    <w:rsid w:val="0059731E"/>
    <w:rsid w:val="005973A6"/>
    <w:rsid w:val="0059778A"/>
    <w:rsid w:val="005978AA"/>
    <w:rsid w:val="0059794D"/>
    <w:rsid w:val="00597AA8"/>
    <w:rsid w:val="00597BC1"/>
    <w:rsid w:val="00597D89"/>
    <w:rsid w:val="00597FC3"/>
    <w:rsid w:val="005A015C"/>
    <w:rsid w:val="005A01B2"/>
    <w:rsid w:val="005A02D7"/>
    <w:rsid w:val="005A0487"/>
    <w:rsid w:val="005A05DE"/>
    <w:rsid w:val="005A07F1"/>
    <w:rsid w:val="005A0E45"/>
    <w:rsid w:val="005A1113"/>
    <w:rsid w:val="005A113D"/>
    <w:rsid w:val="005A1369"/>
    <w:rsid w:val="005A16FB"/>
    <w:rsid w:val="005A172A"/>
    <w:rsid w:val="005A18B6"/>
    <w:rsid w:val="005A1986"/>
    <w:rsid w:val="005A1AA5"/>
    <w:rsid w:val="005A1C71"/>
    <w:rsid w:val="005A1E35"/>
    <w:rsid w:val="005A1E97"/>
    <w:rsid w:val="005A1FEF"/>
    <w:rsid w:val="005A2049"/>
    <w:rsid w:val="005A21CB"/>
    <w:rsid w:val="005A241E"/>
    <w:rsid w:val="005A2474"/>
    <w:rsid w:val="005A266E"/>
    <w:rsid w:val="005A27B6"/>
    <w:rsid w:val="005A27FB"/>
    <w:rsid w:val="005A28B4"/>
    <w:rsid w:val="005A28DB"/>
    <w:rsid w:val="005A2995"/>
    <w:rsid w:val="005A2EC5"/>
    <w:rsid w:val="005A2FEF"/>
    <w:rsid w:val="005A316A"/>
    <w:rsid w:val="005A31A8"/>
    <w:rsid w:val="005A3624"/>
    <w:rsid w:val="005A38AA"/>
    <w:rsid w:val="005A3C37"/>
    <w:rsid w:val="005A3C3C"/>
    <w:rsid w:val="005A3C9B"/>
    <w:rsid w:val="005A3FCA"/>
    <w:rsid w:val="005A418F"/>
    <w:rsid w:val="005A4289"/>
    <w:rsid w:val="005A42B5"/>
    <w:rsid w:val="005A4587"/>
    <w:rsid w:val="005A46A3"/>
    <w:rsid w:val="005A46F6"/>
    <w:rsid w:val="005A472C"/>
    <w:rsid w:val="005A4869"/>
    <w:rsid w:val="005A4897"/>
    <w:rsid w:val="005A4A43"/>
    <w:rsid w:val="005A4B3D"/>
    <w:rsid w:val="005A4C3D"/>
    <w:rsid w:val="005A4C76"/>
    <w:rsid w:val="005A50B6"/>
    <w:rsid w:val="005A51A0"/>
    <w:rsid w:val="005A5325"/>
    <w:rsid w:val="005A554C"/>
    <w:rsid w:val="005A5557"/>
    <w:rsid w:val="005A55E1"/>
    <w:rsid w:val="005A55E6"/>
    <w:rsid w:val="005A56F2"/>
    <w:rsid w:val="005A5704"/>
    <w:rsid w:val="005A573A"/>
    <w:rsid w:val="005A5A82"/>
    <w:rsid w:val="005A61A7"/>
    <w:rsid w:val="005A61F3"/>
    <w:rsid w:val="005A627D"/>
    <w:rsid w:val="005A69C6"/>
    <w:rsid w:val="005A6BE4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B002C"/>
    <w:rsid w:val="005B05E7"/>
    <w:rsid w:val="005B071A"/>
    <w:rsid w:val="005B0787"/>
    <w:rsid w:val="005B0AE8"/>
    <w:rsid w:val="005B0B39"/>
    <w:rsid w:val="005B106D"/>
    <w:rsid w:val="005B10EF"/>
    <w:rsid w:val="005B1280"/>
    <w:rsid w:val="005B13CE"/>
    <w:rsid w:val="005B166A"/>
    <w:rsid w:val="005B180B"/>
    <w:rsid w:val="005B1815"/>
    <w:rsid w:val="005B1A25"/>
    <w:rsid w:val="005B1B32"/>
    <w:rsid w:val="005B1B3E"/>
    <w:rsid w:val="005B1B40"/>
    <w:rsid w:val="005B1BC4"/>
    <w:rsid w:val="005B1D50"/>
    <w:rsid w:val="005B1EAB"/>
    <w:rsid w:val="005B2836"/>
    <w:rsid w:val="005B2A92"/>
    <w:rsid w:val="005B2C40"/>
    <w:rsid w:val="005B2D3D"/>
    <w:rsid w:val="005B2D3F"/>
    <w:rsid w:val="005B37F4"/>
    <w:rsid w:val="005B38A2"/>
    <w:rsid w:val="005B3989"/>
    <w:rsid w:val="005B39C0"/>
    <w:rsid w:val="005B3B14"/>
    <w:rsid w:val="005B3BE6"/>
    <w:rsid w:val="005B3C66"/>
    <w:rsid w:val="005B3D11"/>
    <w:rsid w:val="005B411C"/>
    <w:rsid w:val="005B4168"/>
    <w:rsid w:val="005B438C"/>
    <w:rsid w:val="005B4768"/>
    <w:rsid w:val="005B4BA3"/>
    <w:rsid w:val="005B4E4D"/>
    <w:rsid w:val="005B51DA"/>
    <w:rsid w:val="005B5350"/>
    <w:rsid w:val="005B5538"/>
    <w:rsid w:val="005B55C4"/>
    <w:rsid w:val="005B5D5B"/>
    <w:rsid w:val="005B5D5F"/>
    <w:rsid w:val="005B5E5A"/>
    <w:rsid w:val="005B638D"/>
    <w:rsid w:val="005B63CD"/>
    <w:rsid w:val="005B6661"/>
    <w:rsid w:val="005B668D"/>
    <w:rsid w:val="005B6894"/>
    <w:rsid w:val="005B6B61"/>
    <w:rsid w:val="005B6C18"/>
    <w:rsid w:val="005B6D82"/>
    <w:rsid w:val="005B6E5D"/>
    <w:rsid w:val="005B6ED8"/>
    <w:rsid w:val="005B6F74"/>
    <w:rsid w:val="005B6FEC"/>
    <w:rsid w:val="005B6FF5"/>
    <w:rsid w:val="005B7121"/>
    <w:rsid w:val="005B7243"/>
    <w:rsid w:val="005B7434"/>
    <w:rsid w:val="005B7540"/>
    <w:rsid w:val="005B7693"/>
    <w:rsid w:val="005B779C"/>
    <w:rsid w:val="005B7843"/>
    <w:rsid w:val="005B7A5C"/>
    <w:rsid w:val="005B7A7D"/>
    <w:rsid w:val="005B7B2E"/>
    <w:rsid w:val="005B7B47"/>
    <w:rsid w:val="005B7C30"/>
    <w:rsid w:val="005B7D41"/>
    <w:rsid w:val="005B7DAD"/>
    <w:rsid w:val="005C01A8"/>
    <w:rsid w:val="005C032E"/>
    <w:rsid w:val="005C0418"/>
    <w:rsid w:val="005C06F8"/>
    <w:rsid w:val="005C072C"/>
    <w:rsid w:val="005C0C10"/>
    <w:rsid w:val="005C0E15"/>
    <w:rsid w:val="005C1023"/>
    <w:rsid w:val="005C1384"/>
    <w:rsid w:val="005C13B2"/>
    <w:rsid w:val="005C1728"/>
    <w:rsid w:val="005C17A1"/>
    <w:rsid w:val="005C1815"/>
    <w:rsid w:val="005C182B"/>
    <w:rsid w:val="005C1AEC"/>
    <w:rsid w:val="005C1FC1"/>
    <w:rsid w:val="005C2269"/>
    <w:rsid w:val="005C263B"/>
    <w:rsid w:val="005C26BD"/>
    <w:rsid w:val="005C27E3"/>
    <w:rsid w:val="005C33AA"/>
    <w:rsid w:val="005C3554"/>
    <w:rsid w:val="005C365C"/>
    <w:rsid w:val="005C37CB"/>
    <w:rsid w:val="005C39DF"/>
    <w:rsid w:val="005C3B9C"/>
    <w:rsid w:val="005C3BE8"/>
    <w:rsid w:val="005C3EF8"/>
    <w:rsid w:val="005C3FA3"/>
    <w:rsid w:val="005C3FE3"/>
    <w:rsid w:val="005C4188"/>
    <w:rsid w:val="005C43CC"/>
    <w:rsid w:val="005C459C"/>
    <w:rsid w:val="005C463C"/>
    <w:rsid w:val="005C475A"/>
    <w:rsid w:val="005C4C3C"/>
    <w:rsid w:val="005C4E7B"/>
    <w:rsid w:val="005C5749"/>
    <w:rsid w:val="005C5951"/>
    <w:rsid w:val="005C5AB2"/>
    <w:rsid w:val="005C5C95"/>
    <w:rsid w:val="005C614F"/>
    <w:rsid w:val="005C61DC"/>
    <w:rsid w:val="005C6739"/>
    <w:rsid w:val="005C68F9"/>
    <w:rsid w:val="005C6FCE"/>
    <w:rsid w:val="005C70E6"/>
    <w:rsid w:val="005C71FB"/>
    <w:rsid w:val="005C7221"/>
    <w:rsid w:val="005C7226"/>
    <w:rsid w:val="005C74C5"/>
    <w:rsid w:val="005C76CC"/>
    <w:rsid w:val="005C7738"/>
    <w:rsid w:val="005C7775"/>
    <w:rsid w:val="005C7DD9"/>
    <w:rsid w:val="005C7FCF"/>
    <w:rsid w:val="005D01F3"/>
    <w:rsid w:val="005D022A"/>
    <w:rsid w:val="005D02FB"/>
    <w:rsid w:val="005D081D"/>
    <w:rsid w:val="005D0CB2"/>
    <w:rsid w:val="005D0FB0"/>
    <w:rsid w:val="005D1457"/>
    <w:rsid w:val="005D14B9"/>
    <w:rsid w:val="005D1A9F"/>
    <w:rsid w:val="005D1C71"/>
    <w:rsid w:val="005D1D91"/>
    <w:rsid w:val="005D1DE2"/>
    <w:rsid w:val="005D1E66"/>
    <w:rsid w:val="005D2059"/>
    <w:rsid w:val="005D23CC"/>
    <w:rsid w:val="005D26A7"/>
    <w:rsid w:val="005D271A"/>
    <w:rsid w:val="005D28CC"/>
    <w:rsid w:val="005D292F"/>
    <w:rsid w:val="005D2A87"/>
    <w:rsid w:val="005D2DB6"/>
    <w:rsid w:val="005D3030"/>
    <w:rsid w:val="005D3135"/>
    <w:rsid w:val="005D3264"/>
    <w:rsid w:val="005D32EE"/>
    <w:rsid w:val="005D34EA"/>
    <w:rsid w:val="005D354D"/>
    <w:rsid w:val="005D368B"/>
    <w:rsid w:val="005D36E8"/>
    <w:rsid w:val="005D3E8E"/>
    <w:rsid w:val="005D40A9"/>
    <w:rsid w:val="005D41C3"/>
    <w:rsid w:val="005D42BD"/>
    <w:rsid w:val="005D45B5"/>
    <w:rsid w:val="005D4661"/>
    <w:rsid w:val="005D47DC"/>
    <w:rsid w:val="005D488D"/>
    <w:rsid w:val="005D4C57"/>
    <w:rsid w:val="005D4EB1"/>
    <w:rsid w:val="005D4EC1"/>
    <w:rsid w:val="005D4F6D"/>
    <w:rsid w:val="005D4FE1"/>
    <w:rsid w:val="005D5075"/>
    <w:rsid w:val="005D50C0"/>
    <w:rsid w:val="005D52FA"/>
    <w:rsid w:val="005D5357"/>
    <w:rsid w:val="005D5403"/>
    <w:rsid w:val="005D5DF5"/>
    <w:rsid w:val="005D600F"/>
    <w:rsid w:val="005D6013"/>
    <w:rsid w:val="005D62AA"/>
    <w:rsid w:val="005D63EE"/>
    <w:rsid w:val="005D6427"/>
    <w:rsid w:val="005D6612"/>
    <w:rsid w:val="005D66F5"/>
    <w:rsid w:val="005D697E"/>
    <w:rsid w:val="005D7088"/>
    <w:rsid w:val="005D76AE"/>
    <w:rsid w:val="005D76DE"/>
    <w:rsid w:val="005D7713"/>
    <w:rsid w:val="005D777B"/>
    <w:rsid w:val="005D77BC"/>
    <w:rsid w:val="005D77DE"/>
    <w:rsid w:val="005D78C5"/>
    <w:rsid w:val="005D7B91"/>
    <w:rsid w:val="005D7C80"/>
    <w:rsid w:val="005D7D29"/>
    <w:rsid w:val="005D7EBF"/>
    <w:rsid w:val="005E00A0"/>
    <w:rsid w:val="005E0113"/>
    <w:rsid w:val="005E0544"/>
    <w:rsid w:val="005E05A1"/>
    <w:rsid w:val="005E0602"/>
    <w:rsid w:val="005E07BD"/>
    <w:rsid w:val="005E09E4"/>
    <w:rsid w:val="005E0D78"/>
    <w:rsid w:val="005E102C"/>
    <w:rsid w:val="005E15F8"/>
    <w:rsid w:val="005E1726"/>
    <w:rsid w:val="005E17F2"/>
    <w:rsid w:val="005E1C6D"/>
    <w:rsid w:val="005E1E3E"/>
    <w:rsid w:val="005E2037"/>
    <w:rsid w:val="005E223E"/>
    <w:rsid w:val="005E224A"/>
    <w:rsid w:val="005E235A"/>
    <w:rsid w:val="005E2513"/>
    <w:rsid w:val="005E25C0"/>
    <w:rsid w:val="005E266F"/>
    <w:rsid w:val="005E26A3"/>
    <w:rsid w:val="005E289A"/>
    <w:rsid w:val="005E29F1"/>
    <w:rsid w:val="005E2BCF"/>
    <w:rsid w:val="005E2FA1"/>
    <w:rsid w:val="005E3819"/>
    <w:rsid w:val="005E38DE"/>
    <w:rsid w:val="005E3933"/>
    <w:rsid w:val="005E3A68"/>
    <w:rsid w:val="005E3B4C"/>
    <w:rsid w:val="005E3B52"/>
    <w:rsid w:val="005E3D04"/>
    <w:rsid w:val="005E3D7A"/>
    <w:rsid w:val="005E3F34"/>
    <w:rsid w:val="005E421C"/>
    <w:rsid w:val="005E4241"/>
    <w:rsid w:val="005E42F5"/>
    <w:rsid w:val="005E46B5"/>
    <w:rsid w:val="005E46CD"/>
    <w:rsid w:val="005E4BCF"/>
    <w:rsid w:val="005E4E03"/>
    <w:rsid w:val="005E4EF0"/>
    <w:rsid w:val="005E50E8"/>
    <w:rsid w:val="005E5230"/>
    <w:rsid w:val="005E544D"/>
    <w:rsid w:val="005E5734"/>
    <w:rsid w:val="005E5741"/>
    <w:rsid w:val="005E5819"/>
    <w:rsid w:val="005E58AF"/>
    <w:rsid w:val="005E58EB"/>
    <w:rsid w:val="005E5929"/>
    <w:rsid w:val="005E5B28"/>
    <w:rsid w:val="005E5E84"/>
    <w:rsid w:val="005E5EC3"/>
    <w:rsid w:val="005E602B"/>
    <w:rsid w:val="005E6150"/>
    <w:rsid w:val="005E61B6"/>
    <w:rsid w:val="005E6487"/>
    <w:rsid w:val="005E651F"/>
    <w:rsid w:val="005E664C"/>
    <w:rsid w:val="005E6777"/>
    <w:rsid w:val="005E6971"/>
    <w:rsid w:val="005E6BBC"/>
    <w:rsid w:val="005E6D4E"/>
    <w:rsid w:val="005E6D54"/>
    <w:rsid w:val="005E73CE"/>
    <w:rsid w:val="005E7609"/>
    <w:rsid w:val="005E768D"/>
    <w:rsid w:val="005E7758"/>
    <w:rsid w:val="005E77E3"/>
    <w:rsid w:val="005E79B1"/>
    <w:rsid w:val="005E7B9F"/>
    <w:rsid w:val="005E7BA9"/>
    <w:rsid w:val="005F0530"/>
    <w:rsid w:val="005F0616"/>
    <w:rsid w:val="005F0727"/>
    <w:rsid w:val="005F07DC"/>
    <w:rsid w:val="005F09A4"/>
    <w:rsid w:val="005F0C34"/>
    <w:rsid w:val="005F0D52"/>
    <w:rsid w:val="005F0EAB"/>
    <w:rsid w:val="005F0FB4"/>
    <w:rsid w:val="005F1283"/>
    <w:rsid w:val="005F12D2"/>
    <w:rsid w:val="005F13BD"/>
    <w:rsid w:val="005F1859"/>
    <w:rsid w:val="005F1AC8"/>
    <w:rsid w:val="005F1B25"/>
    <w:rsid w:val="005F1C03"/>
    <w:rsid w:val="005F21AF"/>
    <w:rsid w:val="005F21FB"/>
    <w:rsid w:val="005F228E"/>
    <w:rsid w:val="005F257C"/>
    <w:rsid w:val="005F25E2"/>
    <w:rsid w:val="005F25FA"/>
    <w:rsid w:val="005F27E3"/>
    <w:rsid w:val="005F2A8A"/>
    <w:rsid w:val="005F2B4F"/>
    <w:rsid w:val="005F3431"/>
    <w:rsid w:val="005F347F"/>
    <w:rsid w:val="005F35AA"/>
    <w:rsid w:val="005F361B"/>
    <w:rsid w:val="005F3669"/>
    <w:rsid w:val="005F36B2"/>
    <w:rsid w:val="005F3888"/>
    <w:rsid w:val="005F38CE"/>
    <w:rsid w:val="005F3D55"/>
    <w:rsid w:val="005F3E1C"/>
    <w:rsid w:val="005F40DE"/>
    <w:rsid w:val="005F40FE"/>
    <w:rsid w:val="005F41B8"/>
    <w:rsid w:val="005F4421"/>
    <w:rsid w:val="005F4541"/>
    <w:rsid w:val="005F4748"/>
    <w:rsid w:val="005F4927"/>
    <w:rsid w:val="005F49F4"/>
    <w:rsid w:val="005F4ABD"/>
    <w:rsid w:val="005F4AFC"/>
    <w:rsid w:val="005F4B7D"/>
    <w:rsid w:val="005F4D34"/>
    <w:rsid w:val="005F4DB6"/>
    <w:rsid w:val="005F4E65"/>
    <w:rsid w:val="005F4E85"/>
    <w:rsid w:val="005F4EB2"/>
    <w:rsid w:val="005F4F77"/>
    <w:rsid w:val="005F516E"/>
    <w:rsid w:val="005F557D"/>
    <w:rsid w:val="005F55E7"/>
    <w:rsid w:val="005F56E9"/>
    <w:rsid w:val="005F56F3"/>
    <w:rsid w:val="005F5711"/>
    <w:rsid w:val="005F580B"/>
    <w:rsid w:val="005F59E5"/>
    <w:rsid w:val="005F5A0F"/>
    <w:rsid w:val="005F5B06"/>
    <w:rsid w:val="005F5EC2"/>
    <w:rsid w:val="005F5EDF"/>
    <w:rsid w:val="005F5F4C"/>
    <w:rsid w:val="005F6035"/>
    <w:rsid w:val="005F606B"/>
    <w:rsid w:val="005F60F4"/>
    <w:rsid w:val="005F6142"/>
    <w:rsid w:val="005F61C5"/>
    <w:rsid w:val="005F6310"/>
    <w:rsid w:val="005F634D"/>
    <w:rsid w:val="005F63D8"/>
    <w:rsid w:val="005F64FB"/>
    <w:rsid w:val="005F6548"/>
    <w:rsid w:val="005F654E"/>
    <w:rsid w:val="005F67EC"/>
    <w:rsid w:val="005F6A3F"/>
    <w:rsid w:val="005F6BBB"/>
    <w:rsid w:val="005F6C45"/>
    <w:rsid w:val="005F6C50"/>
    <w:rsid w:val="005F7198"/>
    <w:rsid w:val="005F71EC"/>
    <w:rsid w:val="005F72F6"/>
    <w:rsid w:val="005F77EB"/>
    <w:rsid w:val="005F789F"/>
    <w:rsid w:val="005F7B4E"/>
    <w:rsid w:val="005F7DBA"/>
    <w:rsid w:val="005F7F4E"/>
    <w:rsid w:val="005F7F70"/>
    <w:rsid w:val="006000CD"/>
    <w:rsid w:val="006000FB"/>
    <w:rsid w:val="0060012B"/>
    <w:rsid w:val="006001C9"/>
    <w:rsid w:val="00600265"/>
    <w:rsid w:val="00600278"/>
    <w:rsid w:val="006002DD"/>
    <w:rsid w:val="006005FE"/>
    <w:rsid w:val="006006E4"/>
    <w:rsid w:val="006006E5"/>
    <w:rsid w:val="00600754"/>
    <w:rsid w:val="00600B8D"/>
    <w:rsid w:val="00600D12"/>
    <w:rsid w:val="0060119A"/>
    <w:rsid w:val="0060140A"/>
    <w:rsid w:val="00601632"/>
    <w:rsid w:val="00601EFC"/>
    <w:rsid w:val="00602296"/>
    <w:rsid w:val="006022D0"/>
    <w:rsid w:val="006023AC"/>
    <w:rsid w:val="0060251E"/>
    <w:rsid w:val="00602A68"/>
    <w:rsid w:val="00602B30"/>
    <w:rsid w:val="00602DDE"/>
    <w:rsid w:val="00602E0C"/>
    <w:rsid w:val="0060339B"/>
    <w:rsid w:val="006033D1"/>
    <w:rsid w:val="00603552"/>
    <w:rsid w:val="0060377C"/>
    <w:rsid w:val="006039DB"/>
    <w:rsid w:val="00603B41"/>
    <w:rsid w:val="00603FC5"/>
    <w:rsid w:val="0060410C"/>
    <w:rsid w:val="0060430D"/>
    <w:rsid w:val="006046D6"/>
    <w:rsid w:val="006046E4"/>
    <w:rsid w:val="00604BC5"/>
    <w:rsid w:val="00604D85"/>
    <w:rsid w:val="00604F04"/>
    <w:rsid w:val="00605037"/>
    <w:rsid w:val="00605467"/>
    <w:rsid w:val="0060577C"/>
    <w:rsid w:val="006058B4"/>
    <w:rsid w:val="0060595F"/>
    <w:rsid w:val="006059B6"/>
    <w:rsid w:val="00605E04"/>
    <w:rsid w:val="00605E0D"/>
    <w:rsid w:val="00605FFE"/>
    <w:rsid w:val="00606351"/>
    <w:rsid w:val="006063F2"/>
    <w:rsid w:val="0060650C"/>
    <w:rsid w:val="00606959"/>
    <w:rsid w:val="006069BD"/>
    <w:rsid w:val="00606A90"/>
    <w:rsid w:val="00606B37"/>
    <w:rsid w:val="00606BBC"/>
    <w:rsid w:val="00606BBE"/>
    <w:rsid w:val="00606F71"/>
    <w:rsid w:val="00606FA0"/>
    <w:rsid w:val="00606FC4"/>
    <w:rsid w:val="00606FF6"/>
    <w:rsid w:val="00607138"/>
    <w:rsid w:val="00607252"/>
    <w:rsid w:val="006075AF"/>
    <w:rsid w:val="00607624"/>
    <w:rsid w:val="0060773E"/>
    <w:rsid w:val="006078EF"/>
    <w:rsid w:val="00607C2E"/>
    <w:rsid w:val="00607CAE"/>
    <w:rsid w:val="00607D53"/>
    <w:rsid w:val="00610137"/>
    <w:rsid w:val="0061038C"/>
    <w:rsid w:val="006106AB"/>
    <w:rsid w:val="006106C1"/>
    <w:rsid w:val="006106F4"/>
    <w:rsid w:val="00610A17"/>
    <w:rsid w:val="00610B28"/>
    <w:rsid w:val="00610F52"/>
    <w:rsid w:val="0061124A"/>
    <w:rsid w:val="006112D0"/>
    <w:rsid w:val="006112D6"/>
    <w:rsid w:val="0061167D"/>
    <w:rsid w:val="0061169D"/>
    <w:rsid w:val="00611737"/>
    <w:rsid w:val="00611752"/>
    <w:rsid w:val="00611926"/>
    <w:rsid w:val="006119DC"/>
    <w:rsid w:val="00611B07"/>
    <w:rsid w:val="00611C1D"/>
    <w:rsid w:val="00611C60"/>
    <w:rsid w:val="00611F0D"/>
    <w:rsid w:val="00611FD5"/>
    <w:rsid w:val="00612019"/>
    <w:rsid w:val="006122B0"/>
    <w:rsid w:val="00612388"/>
    <w:rsid w:val="006123E7"/>
    <w:rsid w:val="00612695"/>
    <w:rsid w:val="006128B4"/>
    <w:rsid w:val="006128EB"/>
    <w:rsid w:val="00612904"/>
    <w:rsid w:val="00612A7A"/>
    <w:rsid w:val="00612E32"/>
    <w:rsid w:val="00612FDD"/>
    <w:rsid w:val="006133A6"/>
    <w:rsid w:val="006134CA"/>
    <w:rsid w:val="006136FB"/>
    <w:rsid w:val="00613762"/>
    <w:rsid w:val="00613846"/>
    <w:rsid w:val="00613ABE"/>
    <w:rsid w:val="00613B9A"/>
    <w:rsid w:val="00613ECE"/>
    <w:rsid w:val="00613F81"/>
    <w:rsid w:val="00614245"/>
    <w:rsid w:val="00614356"/>
    <w:rsid w:val="00614387"/>
    <w:rsid w:val="006144A9"/>
    <w:rsid w:val="0061461E"/>
    <w:rsid w:val="00614646"/>
    <w:rsid w:val="006148C3"/>
    <w:rsid w:val="0061494C"/>
    <w:rsid w:val="00614B10"/>
    <w:rsid w:val="00614B35"/>
    <w:rsid w:val="00614DE8"/>
    <w:rsid w:val="006152D6"/>
    <w:rsid w:val="006154EE"/>
    <w:rsid w:val="00615A35"/>
    <w:rsid w:val="00615B2C"/>
    <w:rsid w:val="00615CF6"/>
    <w:rsid w:val="00616266"/>
    <w:rsid w:val="006165A9"/>
    <w:rsid w:val="0061662C"/>
    <w:rsid w:val="00616755"/>
    <w:rsid w:val="0061681A"/>
    <w:rsid w:val="00616B67"/>
    <w:rsid w:val="00616B8C"/>
    <w:rsid w:val="00616BC0"/>
    <w:rsid w:val="00616DE4"/>
    <w:rsid w:val="00616E3A"/>
    <w:rsid w:val="00617108"/>
    <w:rsid w:val="00617198"/>
    <w:rsid w:val="00617211"/>
    <w:rsid w:val="00617264"/>
    <w:rsid w:val="0061750E"/>
    <w:rsid w:val="006175A7"/>
    <w:rsid w:val="006175FC"/>
    <w:rsid w:val="00617652"/>
    <w:rsid w:val="0061784D"/>
    <w:rsid w:val="00617896"/>
    <w:rsid w:val="00617B8B"/>
    <w:rsid w:val="00617C18"/>
    <w:rsid w:val="00617C50"/>
    <w:rsid w:val="00617F79"/>
    <w:rsid w:val="0062004D"/>
    <w:rsid w:val="00620166"/>
    <w:rsid w:val="00620231"/>
    <w:rsid w:val="00620384"/>
    <w:rsid w:val="006207B2"/>
    <w:rsid w:val="006207ED"/>
    <w:rsid w:val="00620AFF"/>
    <w:rsid w:val="00620B98"/>
    <w:rsid w:val="006210BF"/>
    <w:rsid w:val="0062140E"/>
    <w:rsid w:val="0062143F"/>
    <w:rsid w:val="006215A6"/>
    <w:rsid w:val="00621627"/>
    <w:rsid w:val="006217D4"/>
    <w:rsid w:val="00621805"/>
    <w:rsid w:val="006218EA"/>
    <w:rsid w:val="0062198F"/>
    <w:rsid w:val="006219ED"/>
    <w:rsid w:val="00621F46"/>
    <w:rsid w:val="00622066"/>
    <w:rsid w:val="00622143"/>
    <w:rsid w:val="00622388"/>
    <w:rsid w:val="00622669"/>
    <w:rsid w:val="006227DB"/>
    <w:rsid w:val="0062281E"/>
    <w:rsid w:val="0062286A"/>
    <w:rsid w:val="00622B1A"/>
    <w:rsid w:val="00622E0B"/>
    <w:rsid w:val="00622EFD"/>
    <w:rsid w:val="00622FE1"/>
    <w:rsid w:val="006230E8"/>
    <w:rsid w:val="006231A1"/>
    <w:rsid w:val="0062325B"/>
    <w:rsid w:val="00623438"/>
    <w:rsid w:val="006237DE"/>
    <w:rsid w:val="00623960"/>
    <w:rsid w:val="006240FF"/>
    <w:rsid w:val="0062416C"/>
    <w:rsid w:val="006241BC"/>
    <w:rsid w:val="0062436B"/>
    <w:rsid w:val="00624422"/>
    <w:rsid w:val="00624470"/>
    <w:rsid w:val="0062449E"/>
    <w:rsid w:val="00624510"/>
    <w:rsid w:val="006245DF"/>
    <w:rsid w:val="0062488E"/>
    <w:rsid w:val="00624918"/>
    <w:rsid w:val="006249B1"/>
    <w:rsid w:val="00624CAC"/>
    <w:rsid w:val="00624F4E"/>
    <w:rsid w:val="00624F7C"/>
    <w:rsid w:val="006253B7"/>
    <w:rsid w:val="00625976"/>
    <w:rsid w:val="00625C1A"/>
    <w:rsid w:val="00625C77"/>
    <w:rsid w:val="00625CE5"/>
    <w:rsid w:val="00625EE9"/>
    <w:rsid w:val="00626007"/>
    <w:rsid w:val="00626071"/>
    <w:rsid w:val="006261D4"/>
    <w:rsid w:val="006261D7"/>
    <w:rsid w:val="00626216"/>
    <w:rsid w:val="00626567"/>
    <w:rsid w:val="00626652"/>
    <w:rsid w:val="006267E9"/>
    <w:rsid w:val="00626C37"/>
    <w:rsid w:val="00626C39"/>
    <w:rsid w:val="00626F07"/>
    <w:rsid w:val="00626FCF"/>
    <w:rsid w:val="0062707D"/>
    <w:rsid w:val="006274F5"/>
    <w:rsid w:val="00627608"/>
    <w:rsid w:val="00630020"/>
    <w:rsid w:val="00630196"/>
    <w:rsid w:val="00630256"/>
    <w:rsid w:val="00630712"/>
    <w:rsid w:val="0063071F"/>
    <w:rsid w:val="0063075D"/>
    <w:rsid w:val="0063078C"/>
    <w:rsid w:val="006309D8"/>
    <w:rsid w:val="00630B0A"/>
    <w:rsid w:val="00630BD2"/>
    <w:rsid w:val="00630C5E"/>
    <w:rsid w:val="00630CFB"/>
    <w:rsid w:val="00631093"/>
    <w:rsid w:val="00631655"/>
    <w:rsid w:val="00631850"/>
    <w:rsid w:val="00631873"/>
    <w:rsid w:val="00631891"/>
    <w:rsid w:val="006318C0"/>
    <w:rsid w:val="006319BB"/>
    <w:rsid w:val="006319D7"/>
    <w:rsid w:val="00631BCE"/>
    <w:rsid w:val="00631E00"/>
    <w:rsid w:val="00631E43"/>
    <w:rsid w:val="00632111"/>
    <w:rsid w:val="006321F1"/>
    <w:rsid w:val="006321FB"/>
    <w:rsid w:val="00632225"/>
    <w:rsid w:val="0063233A"/>
    <w:rsid w:val="00632459"/>
    <w:rsid w:val="0063251C"/>
    <w:rsid w:val="0063266D"/>
    <w:rsid w:val="006326DF"/>
    <w:rsid w:val="006327CF"/>
    <w:rsid w:val="0063286A"/>
    <w:rsid w:val="00632940"/>
    <w:rsid w:val="00632B0E"/>
    <w:rsid w:val="00632E50"/>
    <w:rsid w:val="00632FD8"/>
    <w:rsid w:val="0063336F"/>
    <w:rsid w:val="00633B73"/>
    <w:rsid w:val="00633C36"/>
    <w:rsid w:val="00633C83"/>
    <w:rsid w:val="00633DE2"/>
    <w:rsid w:val="006341F0"/>
    <w:rsid w:val="0063426D"/>
    <w:rsid w:val="0063440B"/>
    <w:rsid w:val="00634509"/>
    <w:rsid w:val="00634573"/>
    <w:rsid w:val="0063461D"/>
    <w:rsid w:val="006347E7"/>
    <w:rsid w:val="006347F4"/>
    <w:rsid w:val="00634826"/>
    <w:rsid w:val="006348D5"/>
    <w:rsid w:val="00634AA9"/>
    <w:rsid w:val="00634B42"/>
    <w:rsid w:val="00634D4F"/>
    <w:rsid w:val="00634D53"/>
    <w:rsid w:val="00635027"/>
    <w:rsid w:val="006350B9"/>
    <w:rsid w:val="00635560"/>
    <w:rsid w:val="00635599"/>
    <w:rsid w:val="006355C4"/>
    <w:rsid w:val="0063574D"/>
    <w:rsid w:val="0063587C"/>
    <w:rsid w:val="00635CB0"/>
    <w:rsid w:val="0063636A"/>
    <w:rsid w:val="0063646C"/>
    <w:rsid w:val="00636486"/>
    <w:rsid w:val="0063660C"/>
    <w:rsid w:val="00636664"/>
    <w:rsid w:val="00636694"/>
    <w:rsid w:val="0063695A"/>
    <w:rsid w:val="00636EBB"/>
    <w:rsid w:val="006370E6"/>
    <w:rsid w:val="00637170"/>
    <w:rsid w:val="00637208"/>
    <w:rsid w:val="006374E0"/>
    <w:rsid w:val="00637764"/>
    <w:rsid w:val="0063784C"/>
    <w:rsid w:val="00637C38"/>
    <w:rsid w:val="00637CBA"/>
    <w:rsid w:val="00640055"/>
    <w:rsid w:val="00640576"/>
    <w:rsid w:val="0064059A"/>
    <w:rsid w:val="00640962"/>
    <w:rsid w:val="006409AD"/>
    <w:rsid w:val="00640A77"/>
    <w:rsid w:val="00640AC5"/>
    <w:rsid w:val="00640DE1"/>
    <w:rsid w:val="0064126C"/>
    <w:rsid w:val="006413AA"/>
    <w:rsid w:val="00641447"/>
    <w:rsid w:val="00641458"/>
    <w:rsid w:val="006416D2"/>
    <w:rsid w:val="00641A83"/>
    <w:rsid w:val="00641B42"/>
    <w:rsid w:val="00641D62"/>
    <w:rsid w:val="00641D96"/>
    <w:rsid w:val="00641DBD"/>
    <w:rsid w:val="00641EE2"/>
    <w:rsid w:val="00641FE7"/>
    <w:rsid w:val="006423AA"/>
    <w:rsid w:val="00642DE6"/>
    <w:rsid w:val="00642E37"/>
    <w:rsid w:val="00642F08"/>
    <w:rsid w:val="0064319B"/>
    <w:rsid w:val="00643307"/>
    <w:rsid w:val="0064338A"/>
    <w:rsid w:val="00643ABD"/>
    <w:rsid w:val="00643AF4"/>
    <w:rsid w:val="00643C1A"/>
    <w:rsid w:val="00643C78"/>
    <w:rsid w:val="00643E35"/>
    <w:rsid w:val="00644178"/>
    <w:rsid w:val="006441F6"/>
    <w:rsid w:val="0064422A"/>
    <w:rsid w:val="0064456B"/>
    <w:rsid w:val="006449C6"/>
    <w:rsid w:val="00644A7B"/>
    <w:rsid w:val="00644D3A"/>
    <w:rsid w:val="00644DE9"/>
    <w:rsid w:val="00644FC4"/>
    <w:rsid w:val="0064516B"/>
    <w:rsid w:val="006455AF"/>
    <w:rsid w:val="00645BDE"/>
    <w:rsid w:val="00645D40"/>
    <w:rsid w:val="00645E4D"/>
    <w:rsid w:val="00645E59"/>
    <w:rsid w:val="00645F5B"/>
    <w:rsid w:val="006464DF"/>
    <w:rsid w:val="006465A8"/>
    <w:rsid w:val="006465C3"/>
    <w:rsid w:val="0064669D"/>
    <w:rsid w:val="00646B2B"/>
    <w:rsid w:val="00646C0D"/>
    <w:rsid w:val="00646C6F"/>
    <w:rsid w:val="006470C4"/>
    <w:rsid w:val="00647157"/>
    <w:rsid w:val="00647163"/>
    <w:rsid w:val="0064720C"/>
    <w:rsid w:val="0064722E"/>
    <w:rsid w:val="00647706"/>
    <w:rsid w:val="006478DF"/>
    <w:rsid w:val="00647A7F"/>
    <w:rsid w:val="0065014C"/>
    <w:rsid w:val="00650941"/>
    <w:rsid w:val="00650C28"/>
    <w:rsid w:val="00650CDA"/>
    <w:rsid w:val="00650E6D"/>
    <w:rsid w:val="0065108F"/>
    <w:rsid w:val="006510CE"/>
    <w:rsid w:val="00651272"/>
    <w:rsid w:val="006512D6"/>
    <w:rsid w:val="0065149D"/>
    <w:rsid w:val="00651812"/>
    <w:rsid w:val="0065196B"/>
    <w:rsid w:val="00651B25"/>
    <w:rsid w:val="00651BBB"/>
    <w:rsid w:val="00651C59"/>
    <w:rsid w:val="00651D74"/>
    <w:rsid w:val="00651E1B"/>
    <w:rsid w:val="00651F55"/>
    <w:rsid w:val="00652117"/>
    <w:rsid w:val="0065251E"/>
    <w:rsid w:val="006526B8"/>
    <w:rsid w:val="00652880"/>
    <w:rsid w:val="00652C3A"/>
    <w:rsid w:val="00652DB7"/>
    <w:rsid w:val="00652F41"/>
    <w:rsid w:val="00652FCE"/>
    <w:rsid w:val="0065306B"/>
    <w:rsid w:val="00653298"/>
    <w:rsid w:val="006535EE"/>
    <w:rsid w:val="0065394F"/>
    <w:rsid w:val="00653B1B"/>
    <w:rsid w:val="00653B92"/>
    <w:rsid w:val="00653F67"/>
    <w:rsid w:val="0065408C"/>
    <w:rsid w:val="006541F5"/>
    <w:rsid w:val="006543BA"/>
    <w:rsid w:val="00654926"/>
    <w:rsid w:val="00654BCC"/>
    <w:rsid w:val="00654D72"/>
    <w:rsid w:val="00654DCB"/>
    <w:rsid w:val="0065509A"/>
    <w:rsid w:val="006551C9"/>
    <w:rsid w:val="006551E9"/>
    <w:rsid w:val="006553F3"/>
    <w:rsid w:val="0065543D"/>
    <w:rsid w:val="006554CB"/>
    <w:rsid w:val="006556D1"/>
    <w:rsid w:val="006556D9"/>
    <w:rsid w:val="0065585E"/>
    <w:rsid w:val="006559B1"/>
    <w:rsid w:val="00655AEE"/>
    <w:rsid w:val="00655B64"/>
    <w:rsid w:val="00655BB2"/>
    <w:rsid w:val="00655E21"/>
    <w:rsid w:val="00655F88"/>
    <w:rsid w:val="00655F9D"/>
    <w:rsid w:val="0065607A"/>
    <w:rsid w:val="006560CE"/>
    <w:rsid w:val="006564CB"/>
    <w:rsid w:val="006565F7"/>
    <w:rsid w:val="006566BF"/>
    <w:rsid w:val="00656CDB"/>
    <w:rsid w:val="00656DA0"/>
    <w:rsid w:val="00657123"/>
    <w:rsid w:val="00657189"/>
    <w:rsid w:val="0065724E"/>
    <w:rsid w:val="00657342"/>
    <w:rsid w:val="006576EC"/>
    <w:rsid w:val="00657881"/>
    <w:rsid w:val="00657F90"/>
    <w:rsid w:val="006600DB"/>
    <w:rsid w:val="00660215"/>
    <w:rsid w:val="0066081B"/>
    <w:rsid w:val="00660B17"/>
    <w:rsid w:val="00660B82"/>
    <w:rsid w:val="00661209"/>
    <w:rsid w:val="006613C0"/>
    <w:rsid w:val="00661546"/>
    <w:rsid w:val="0066194E"/>
    <w:rsid w:val="00661B69"/>
    <w:rsid w:val="00661C46"/>
    <w:rsid w:val="0066202F"/>
    <w:rsid w:val="006622A8"/>
    <w:rsid w:val="006626BE"/>
    <w:rsid w:val="0066306D"/>
    <w:rsid w:val="00663074"/>
    <w:rsid w:val="006630FC"/>
    <w:rsid w:val="00663147"/>
    <w:rsid w:val="00663154"/>
    <w:rsid w:val="00663344"/>
    <w:rsid w:val="0066338E"/>
    <w:rsid w:val="006633C2"/>
    <w:rsid w:val="006638F8"/>
    <w:rsid w:val="00663AD1"/>
    <w:rsid w:val="00663C93"/>
    <w:rsid w:val="00663CBD"/>
    <w:rsid w:val="00663DFB"/>
    <w:rsid w:val="00664202"/>
    <w:rsid w:val="00664416"/>
    <w:rsid w:val="006644CE"/>
    <w:rsid w:val="006644E1"/>
    <w:rsid w:val="006645EC"/>
    <w:rsid w:val="00664642"/>
    <w:rsid w:val="00664674"/>
    <w:rsid w:val="006646BD"/>
    <w:rsid w:val="0066490D"/>
    <w:rsid w:val="00664C0C"/>
    <w:rsid w:val="00664C95"/>
    <w:rsid w:val="0066506E"/>
    <w:rsid w:val="00665083"/>
    <w:rsid w:val="006652D3"/>
    <w:rsid w:val="006653FD"/>
    <w:rsid w:val="0066540D"/>
    <w:rsid w:val="006655D2"/>
    <w:rsid w:val="00665618"/>
    <w:rsid w:val="00665880"/>
    <w:rsid w:val="00665888"/>
    <w:rsid w:val="006659BC"/>
    <w:rsid w:val="00665C0D"/>
    <w:rsid w:val="0066650B"/>
    <w:rsid w:val="006668BC"/>
    <w:rsid w:val="00666B8F"/>
    <w:rsid w:val="00666CBE"/>
    <w:rsid w:val="00666D35"/>
    <w:rsid w:val="006671F2"/>
    <w:rsid w:val="00667409"/>
    <w:rsid w:val="0066759E"/>
    <w:rsid w:val="006676FE"/>
    <w:rsid w:val="00667B59"/>
    <w:rsid w:val="00667BC6"/>
    <w:rsid w:val="00667C3E"/>
    <w:rsid w:val="00667CF3"/>
    <w:rsid w:val="00667E5D"/>
    <w:rsid w:val="00667F48"/>
    <w:rsid w:val="00667F94"/>
    <w:rsid w:val="00670380"/>
    <w:rsid w:val="0067050A"/>
    <w:rsid w:val="0067051D"/>
    <w:rsid w:val="006705D5"/>
    <w:rsid w:val="006706B5"/>
    <w:rsid w:val="00670722"/>
    <w:rsid w:val="0067085D"/>
    <w:rsid w:val="006708F6"/>
    <w:rsid w:val="00670C07"/>
    <w:rsid w:val="00670D48"/>
    <w:rsid w:val="00670F72"/>
    <w:rsid w:val="00670F81"/>
    <w:rsid w:val="00671047"/>
    <w:rsid w:val="0067158A"/>
    <w:rsid w:val="00671738"/>
    <w:rsid w:val="006719B2"/>
    <w:rsid w:val="00671B9C"/>
    <w:rsid w:val="00671BB7"/>
    <w:rsid w:val="00671DD0"/>
    <w:rsid w:val="00671FF4"/>
    <w:rsid w:val="00672084"/>
    <w:rsid w:val="006721FF"/>
    <w:rsid w:val="00672416"/>
    <w:rsid w:val="006724F6"/>
    <w:rsid w:val="00672BC1"/>
    <w:rsid w:val="00672C45"/>
    <w:rsid w:val="00672DBD"/>
    <w:rsid w:val="00672F79"/>
    <w:rsid w:val="0067319C"/>
    <w:rsid w:val="006735E2"/>
    <w:rsid w:val="006735F0"/>
    <w:rsid w:val="006736A2"/>
    <w:rsid w:val="00673C2E"/>
    <w:rsid w:val="00673C9A"/>
    <w:rsid w:val="00673D26"/>
    <w:rsid w:val="00673DC1"/>
    <w:rsid w:val="00673F42"/>
    <w:rsid w:val="00674042"/>
    <w:rsid w:val="0067416E"/>
    <w:rsid w:val="006741A1"/>
    <w:rsid w:val="006744B2"/>
    <w:rsid w:val="00674518"/>
    <w:rsid w:val="006746F3"/>
    <w:rsid w:val="0067498D"/>
    <w:rsid w:val="006749E9"/>
    <w:rsid w:val="00674AE7"/>
    <w:rsid w:val="00674C47"/>
    <w:rsid w:val="00674D58"/>
    <w:rsid w:val="00674EAA"/>
    <w:rsid w:val="00675666"/>
    <w:rsid w:val="0067571B"/>
    <w:rsid w:val="006758C9"/>
    <w:rsid w:val="0067591E"/>
    <w:rsid w:val="00675A5F"/>
    <w:rsid w:val="00675AC0"/>
    <w:rsid w:val="00675B0A"/>
    <w:rsid w:val="0067616C"/>
    <w:rsid w:val="006762D6"/>
    <w:rsid w:val="006764BC"/>
    <w:rsid w:val="0067656E"/>
    <w:rsid w:val="006765F3"/>
    <w:rsid w:val="00676667"/>
    <w:rsid w:val="006769C4"/>
    <w:rsid w:val="00676C1F"/>
    <w:rsid w:val="00676C47"/>
    <w:rsid w:val="00676C6F"/>
    <w:rsid w:val="00676C77"/>
    <w:rsid w:val="00676CC6"/>
    <w:rsid w:val="006773A1"/>
    <w:rsid w:val="00677435"/>
    <w:rsid w:val="00677456"/>
    <w:rsid w:val="006774B0"/>
    <w:rsid w:val="006774C4"/>
    <w:rsid w:val="00677627"/>
    <w:rsid w:val="006776C7"/>
    <w:rsid w:val="00677743"/>
    <w:rsid w:val="00677963"/>
    <w:rsid w:val="00677A67"/>
    <w:rsid w:val="00677A87"/>
    <w:rsid w:val="00677BD5"/>
    <w:rsid w:val="00677CC9"/>
    <w:rsid w:val="00677E3C"/>
    <w:rsid w:val="00677EC9"/>
    <w:rsid w:val="00677F96"/>
    <w:rsid w:val="00680015"/>
    <w:rsid w:val="0068025E"/>
    <w:rsid w:val="0068051B"/>
    <w:rsid w:val="006805D9"/>
    <w:rsid w:val="00680610"/>
    <w:rsid w:val="00680912"/>
    <w:rsid w:val="0068092C"/>
    <w:rsid w:val="00680A78"/>
    <w:rsid w:val="00680B54"/>
    <w:rsid w:val="00680E8B"/>
    <w:rsid w:val="00680FB3"/>
    <w:rsid w:val="006812C2"/>
    <w:rsid w:val="006814F7"/>
    <w:rsid w:val="0068150F"/>
    <w:rsid w:val="006818D0"/>
    <w:rsid w:val="006819A3"/>
    <w:rsid w:val="00681D51"/>
    <w:rsid w:val="00681E2F"/>
    <w:rsid w:val="00682129"/>
    <w:rsid w:val="0068213C"/>
    <w:rsid w:val="006822E2"/>
    <w:rsid w:val="006823F2"/>
    <w:rsid w:val="00682553"/>
    <w:rsid w:val="0068266C"/>
    <w:rsid w:val="0068285B"/>
    <w:rsid w:val="00682E55"/>
    <w:rsid w:val="00682F3F"/>
    <w:rsid w:val="0068340E"/>
    <w:rsid w:val="00683528"/>
    <w:rsid w:val="0068360E"/>
    <w:rsid w:val="0068367E"/>
    <w:rsid w:val="00683722"/>
    <w:rsid w:val="006837AA"/>
    <w:rsid w:val="00683C67"/>
    <w:rsid w:val="00683D2F"/>
    <w:rsid w:val="00684044"/>
    <w:rsid w:val="006840B2"/>
    <w:rsid w:val="006843E3"/>
    <w:rsid w:val="006843F6"/>
    <w:rsid w:val="0068491F"/>
    <w:rsid w:val="00684F4C"/>
    <w:rsid w:val="006851A2"/>
    <w:rsid w:val="006851CE"/>
    <w:rsid w:val="00685511"/>
    <w:rsid w:val="006855BA"/>
    <w:rsid w:val="0068563E"/>
    <w:rsid w:val="00685B56"/>
    <w:rsid w:val="00685BD8"/>
    <w:rsid w:val="00685DE4"/>
    <w:rsid w:val="00686118"/>
    <w:rsid w:val="006861C0"/>
    <w:rsid w:val="00686596"/>
    <w:rsid w:val="00686706"/>
    <w:rsid w:val="00686CC2"/>
    <w:rsid w:val="00686F00"/>
    <w:rsid w:val="00687141"/>
    <w:rsid w:val="0068778D"/>
    <w:rsid w:val="0068790B"/>
    <w:rsid w:val="006879C7"/>
    <w:rsid w:val="00687C97"/>
    <w:rsid w:val="00687D5A"/>
    <w:rsid w:val="006902B8"/>
    <w:rsid w:val="00690324"/>
    <w:rsid w:val="006904C2"/>
    <w:rsid w:val="006904D4"/>
    <w:rsid w:val="006904DD"/>
    <w:rsid w:val="00690524"/>
    <w:rsid w:val="00690907"/>
    <w:rsid w:val="00690E71"/>
    <w:rsid w:val="00690F18"/>
    <w:rsid w:val="00690F39"/>
    <w:rsid w:val="00691057"/>
    <w:rsid w:val="00691131"/>
    <w:rsid w:val="006911C8"/>
    <w:rsid w:val="00691459"/>
    <w:rsid w:val="00691471"/>
    <w:rsid w:val="006916FA"/>
    <w:rsid w:val="00691793"/>
    <w:rsid w:val="00691808"/>
    <w:rsid w:val="00691A13"/>
    <w:rsid w:val="00691E81"/>
    <w:rsid w:val="00692063"/>
    <w:rsid w:val="006920BE"/>
    <w:rsid w:val="00692C81"/>
    <w:rsid w:val="00692D12"/>
    <w:rsid w:val="00692D8A"/>
    <w:rsid w:val="00692E5F"/>
    <w:rsid w:val="00692FCF"/>
    <w:rsid w:val="00693137"/>
    <w:rsid w:val="0069319B"/>
    <w:rsid w:val="006934A6"/>
    <w:rsid w:val="00693531"/>
    <w:rsid w:val="00693842"/>
    <w:rsid w:val="00693888"/>
    <w:rsid w:val="00693C87"/>
    <w:rsid w:val="00693D3E"/>
    <w:rsid w:val="00693FC6"/>
    <w:rsid w:val="0069422F"/>
    <w:rsid w:val="0069457A"/>
    <w:rsid w:val="00694773"/>
    <w:rsid w:val="006949A7"/>
    <w:rsid w:val="00694B65"/>
    <w:rsid w:val="00694C69"/>
    <w:rsid w:val="00694D53"/>
    <w:rsid w:val="00694D78"/>
    <w:rsid w:val="00694E58"/>
    <w:rsid w:val="00694FD4"/>
    <w:rsid w:val="006951CE"/>
    <w:rsid w:val="006951E5"/>
    <w:rsid w:val="006951FF"/>
    <w:rsid w:val="00695592"/>
    <w:rsid w:val="006955F6"/>
    <w:rsid w:val="0069568C"/>
    <w:rsid w:val="006959E8"/>
    <w:rsid w:val="00695B5A"/>
    <w:rsid w:val="00695BD9"/>
    <w:rsid w:val="00695D1E"/>
    <w:rsid w:val="00695DD9"/>
    <w:rsid w:val="00695FCA"/>
    <w:rsid w:val="00696335"/>
    <w:rsid w:val="0069639B"/>
    <w:rsid w:val="006966B9"/>
    <w:rsid w:val="00696830"/>
    <w:rsid w:val="00696951"/>
    <w:rsid w:val="00696A4D"/>
    <w:rsid w:val="00696A99"/>
    <w:rsid w:val="00696BF8"/>
    <w:rsid w:val="00696C70"/>
    <w:rsid w:val="00696F11"/>
    <w:rsid w:val="00697A50"/>
    <w:rsid w:val="00697AC9"/>
    <w:rsid w:val="00697CBF"/>
    <w:rsid w:val="00697D19"/>
    <w:rsid w:val="006A0052"/>
    <w:rsid w:val="006A05C7"/>
    <w:rsid w:val="006A0844"/>
    <w:rsid w:val="006A08CA"/>
    <w:rsid w:val="006A0ACE"/>
    <w:rsid w:val="006A0C61"/>
    <w:rsid w:val="006A0CF4"/>
    <w:rsid w:val="006A0D6A"/>
    <w:rsid w:val="006A0E43"/>
    <w:rsid w:val="006A0E6F"/>
    <w:rsid w:val="006A102D"/>
    <w:rsid w:val="006A10EE"/>
    <w:rsid w:val="006A11E4"/>
    <w:rsid w:val="006A13BF"/>
    <w:rsid w:val="006A15CF"/>
    <w:rsid w:val="006A16F0"/>
    <w:rsid w:val="006A1969"/>
    <w:rsid w:val="006A1EE5"/>
    <w:rsid w:val="006A20A4"/>
    <w:rsid w:val="006A29FF"/>
    <w:rsid w:val="006A2AB9"/>
    <w:rsid w:val="006A2BE3"/>
    <w:rsid w:val="006A2C47"/>
    <w:rsid w:val="006A2DB4"/>
    <w:rsid w:val="006A2DDE"/>
    <w:rsid w:val="006A3425"/>
    <w:rsid w:val="006A350E"/>
    <w:rsid w:val="006A3CF9"/>
    <w:rsid w:val="006A4010"/>
    <w:rsid w:val="006A40F4"/>
    <w:rsid w:val="006A414D"/>
    <w:rsid w:val="006A41F8"/>
    <w:rsid w:val="006A42A5"/>
    <w:rsid w:val="006A451E"/>
    <w:rsid w:val="006A45BB"/>
    <w:rsid w:val="006A46B5"/>
    <w:rsid w:val="006A481C"/>
    <w:rsid w:val="006A4924"/>
    <w:rsid w:val="006A4DD4"/>
    <w:rsid w:val="006A4E52"/>
    <w:rsid w:val="006A4FC8"/>
    <w:rsid w:val="006A50F1"/>
    <w:rsid w:val="006A5142"/>
    <w:rsid w:val="006A517B"/>
    <w:rsid w:val="006A51B6"/>
    <w:rsid w:val="006A55E1"/>
    <w:rsid w:val="006A566C"/>
    <w:rsid w:val="006A597D"/>
    <w:rsid w:val="006A603D"/>
    <w:rsid w:val="006A607B"/>
    <w:rsid w:val="006A6174"/>
    <w:rsid w:val="006A61EC"/>
    <w:rsid w:val="006A6257"/>
    <w:rsid w:val="006A6296"/>
    <w:rsid w:val="006A6623"/>
    <w:rsid w:val="006A6E27"/>
    <w:rsid w:val="006A6E79"/>
    <w:rsid w:val="006A6EAC"/>
    <w:rsid w:val="006A6ED7"/>
    <w:rsid w:val="006A6FB8"/>
    <w:rsid w:val="006A72B0"/>
    <w:rsid w:val="006A74E5"/>
    <w:rsid w:val="006A7AB4"/>
    <w:rsid w:val="006A7BA1"/>
    <w:rsid w:val="006B009C"/>
    <w:rsid w:val="006B01BB"/>
    <w:rsid w:val="006B02C4"/>
    <w:rsid w:val="006B04FE"/>
    <w:rsid w:val="006B05D4"/>
    <w:rsid w:val="006B06EF"/>
    <w:rsid w:val="006B075B"/>
    <w:rsid w:val="006B075C"/>
    <w:rsid w:val="006B080D"/>
    <w:rsid w:val="006B0856"/>
    <w:rsid w:val="006B0894"/>
    <w:rsid w:val="006B08FA"/>
    <w:rsid w:val="006B0A0C"/>
    <w:rsid w:val="006B0A81"/>
    <w:rsid w:val="006B0AFA"/>
    <w:rsid w:val="006B0D50"/>
    <w:rsid w:val="006B0DDC"/>
    <w:rsid w:val="006B1464"/>
    <w:rsid w:val="006B17C1"/>
    <w:rsid w:val="006B18C5"/>
    <w:rsid w:val="006B1932"/>
    <w:rsid w:val="006B1B85"/>
    <w:rsid w:val="006B1C1A"/>
    <w:rsid w:val="006B1E44"/>
    <w:rsid w:val="006B1F47"/>
    <w:rsid w:val="006B1FDA"/>
    <w:rsid w:val="006B25E4"/>
    <w:rsid w:val="006B2CD8"/>
    <w:rsid w:val="006B35A8"/>
    <w:rsid w:val="006B36AE"/>
    <w:rsid w:val="006B38AD"/>
    <w:rsid w:val="006B3980"/>
    <w:rsid w:val="006B3E4D"/>
    <w:rsid w:val="006B3F76"/>
    <w:rsid w:val="006B4054"/>
    <w:rsid w:val="006B40F0"/>
    <w:rsid w:val="006B415B"/>
    <w:rsid w:val="006B417B"/>
    <w:rsid w:val="006B4449"/>
    <w:rsid w:val="006B44BB"/>
    <w:rsid w:val="006B456E"/>
    <w:rsid w:val="006B474F"/>
    <w:rsid w:val="006B4A0C"/>
    <w:rsid w:val="006B4C0C"/>
    <w:rsid w:val="006B4D12"/>
    <w:rsid w:val="006B4D92"/>
    <w:rsid w:val="006B4EAB"/>
    <w:rsid w:val="006B500A"/>
    <w:rsid w:val="006B5019"/>
    <w:rsid w:val="006B505F"/>
    <w:rsid w:val="006B5091"/>
    <w:rsid w:val="006B50B8"/>
    <w:rsid w:val="006B50F9"/>
    <w:rsid w:val="006B51B2"/>
    <w:rsid w:val="006B51CC"/>
    <w:rsid w:val="006B5238"/>
    <w:rsid w:val="006B5756"/>
    <w:rsid w:val="006B5A61"/>
    <w:rsid w:val="006B5C4C"/>
    <w:rsid w:val="006B5D79"/>
    <w:rsid w:val="006B5F0F"/>
    <w:rsid w:val="006B5FBC"/>
    <w:rsid w:val="006B64E8"/>
    <w:rsid w:val="006B654C"/>
    <w:rsid w:val="006B658B"/>
    <w:rsid w:val="006B659E"/>
    <w:rsid w:val="006B6648"/>
    <w:rsid w:val="006B6AEF"/>
    <w:rsid w:val="006B6B08"/>
    <w:rsid w:val="006B6B9A"/>
    <w:rsid w:val="006B6C54"/>
    <w:rsid w:val="006B6C65"/>
    <w:rsid w:val="006B6DA1"/>
    <w:rsid w:val="006B76C2"/>
    <w:rsid w:val="006B7877"/>
    <w:rsid w:val="006B7AA6"/>
    <w:rsid w:val="006B7CBC"/>
    <w:rsid w:val="006B7D10"/>
    <w:rsid w:val="006B7DAF"/>
    <w:rsid w:val="006C021C"/>
    <w:rsid w:val="006C02CD"/>
    <w:rsid w:val="006C0481"/>
    <w:rsid w:val="006C06A9"/>
    <w:rsid w:val="006C06AA"/>
    <w:rsid w:val="006C0765"/>
    <w:rsid w:val="006C0ACF"/>
    <w:rsid w:val="006C0C26"/>
    <w:rsid w:val="006C0D02"/>
    <w:rsid w:val="006C0EB9"/>
    <w:rsid w:val="006C132E"/>
    <w:rsid w:val="006C13A3"/>
    <w:rsid w:val="006C157B"/>
    <w:rsid w:val="006C1822"/>
    <w:rsid w:val="006C1DA7"/>
    <w:rsid w:val="006C204C"/>
    <w:rsid w:val="006C21F1"/>
    <w:rsid w:val="006C229E"/>
    <w:rsid w:val="006C240A"/>
    <w:rsid w:val="006C24D6"/>
    <w:rsid w:val="006C2858"/>
    <w:rsid w:val="006C2ABA"/>
    <w:rsid w:val="006C2ACE"/>
    <w:rsid w:val="006C2B59"/>
    <w:rsid w:val="006C2C86"/>
    <w:rsid w:val="006C2C8B"/>
    <w:rsid w:val="006C2D1A"/>
    <w:rsid w:val="006C2DE3"/>
    <w:rsid w:val="006C3183"/>
    <w:rsid w:val="006C332C"/>
    <w:rsid w:val="006C34A1"/>
    <w:rsid w:val="006C3661"/>
    <w:rsid w:val="006C3686"/>
    <w:rsid w:val="006C38EF"/>
    <w:rsid w:val="006C3A2D"/>
    <w:rsid w:val="006C3BCF"/>
    <w:rsid w:val="006C3BEF"/>
    <w:rsid w:val="006C3EBC"/>
    <w:rsid w:val="006C4043"/>
    <w:rsid w:val="006C41C1"/>
    <w:rsid w:val="006C41ED"/>
    <w:rsid w:val="006C43A1"/>
    <w:rsid w:val="006C43EF"/>
    <w:rsid w:val="006C43FB"/>
    <w:rsid w:val="006C466F"/>
    <w:rsid w:val="006C468F"/>
    <w:rsid w:val="006C4950"/>
    <w:rsid w:val="006C49AF"/>
    <w:rsid w:val="006C4BA1"/>
    <w:rsid w:val="006C4C17"/>
    <w:rsid w:val="006C4F0A"/>
    <w:rsid w:val="006C4F6F"/>
    <w:rsid w:val="006C4F76"/>
    <w:rsid w:val="006C52B9"/>
    <w:rsid w:val="006C5363"/>
    <w:rsid w:val="006C548B"/>
    <w:rsid w:val="006C5512"/>
    <w:rsid w:val="006C554B"/>
    <w:rsid w:val="006C559A"/>
    <w:rsid w:val="006C58E3"/>
    <w:rsid w:val="006C5A8D"/>
    <w:rsid w:val="006C5CDD"/>
    <w:rsid w:val="006C5D0C"/>
    <w:rsid w:val="006C5D16"/>
    <w:rsid w:val="006C60F7"/>
    <w:rsid w:val="006C62DF"/>
    <w:rsid w:val="006C6346"/>
    <w:rsid w:val="006C6C12"/>
    <w:rsid w:val="006C6CB7"/>
    <w:rsid w:val="006C6E0A"/>
    <w:rsid w:val="006C6ED1"/>
    <w:rsid w:val="006C6F11"/>
    <w:rsid w:val="006C6F68"/>
    <w:rsid w:val="006C775C"/>
    <w:rsid w:val="006C7B35"/>
    <w:rsid w:val="006C7FB8"/>
    <w:rsid w:val="006C7FF1"/>
    <w:rsid w:val="006D0038"/>
    <w:rsid w:val="006D02AA"/>
    <w:rsid w:val="006D0519"/>
    <w:rsid w:val="006D0F89"/>
    <w:rsid w:val="006D15D1"/>
    <w:rsid w:val="006D1A50"/>
    <w:rsid w:val="006D1C10"/>
    <w:rsid w:val="006D1DFE"/>
    <w:rsid w:val="006D20A4"/>
    <w:rsid w:val="006D2560"/>
    <w:rsid w:val="006D299D"/>
    <w:rsid w:val="006D2AE6"/>
    <w:rsid w:val="006D2BA5"/>
    <w:rsid w:val="006D2FFC"/>
    <w:rsid w:val="006D328B"/>
    <w:rsid w:val="006D32AF"/>
    <w:rsid w:val="006D35D6"/>
    <w:rsid w:val="006D3620"/>
    <w:rsid w:val="006D36D0"/>
    <w:rsid w:val="006D36DB"/>
    <w:rsid w:val="006D39C9"/>
    <w:rsid w:val="006D3AB6"/>
    <w:rsid w:val="006D3BB9"/>
    <w:rsid w:val="006D3D9B"/>
    <w:rsid w:val="006D41CE"/>
    <w:rsid w:val="006D460E"/>
    <w:rsid w:val="006D472A"/>
    <w:rsid w:val="006D4799"/>
    <w:rsid w:val="006D49B8"/>
    <w:rsid w:val="006D4ADA"/>
    <w:rsid w:val="006D4CA2"/>
    <w:rsid w:val="006D4D92"/>
    <w:rsid w:val="006D5176"/>
    <w:rsid w:val="006D5201"/>
    <w:rsid w:val="006D52DC"/>
    <w:rsid w:val="006D5313"/>
    <w:rsid w:val="006D535C"/>
    <w:rsid w:val="006D5510"/>
    <w:rsid w:val="006D55C0"/>
    <w:rsid w:val="006D5753"/>
    <w:rsid w:val="006D5820"/>
    <w:rsid w:val="006D5886"/>
    <w:rsid w:val="006D5F5E"/>
    <w:rsid w:val="006D5F9A"/>
    <w:rsid w:val="006D639E"/>
    <w:rsid w:val="006D6703"/>
    <w:rsid w:val="006D6812"/>
    <w:rsid w:val="006D6944"/>
    <w:rsid w:val="006D6948"/>
    <w:rsid w:val="006D6989"/>
    <w:rsid w:val="006D6B15"/>
    <w:rsid w:val="006D6E30"/>
    <w:rsid w:val="006D6F24"/>
    <w:rsid w:val="006D74ED"/>
    <w:rsid w:val="006D78EB"/>
    <w:rsid w:val="006D7C6D"/>
    <w:rsid w:val="006D7E12"/>
    <w:rsid w:val="006E021B"/>
    <w:rsid w:val="006E0395"/>
    <w:rsid w:val="006E058C"/>
    <w:rsid w:val="006E06A0"/>
    <w:rsid w:val="006E0922"/>
    <w:rsid w:val="006E0B0D"/>
    <w:rsid w:val="006E0ED9"/>
    <w:rsid w:val="006E0EF4"/>
    <w:rsid w:val="006E0F5D"/>
    <w:rsid w:val="006E0FA4"/>
    <w:rsid w:val="006E10FF"/>
    <w:rsid w:val="006E121D"/>
    <w:rsid w:val="006E13A6"/>
    <w:rsid w:val="006E13C3"/>
    <w:rsid w:val="006E1629"/>
    <w:rsid w:val="006E1691"/>
    <w:rsid w:val="006E16F2"/>
    <w:rsid w:val="006E1932"/>
    <w:rsid w:val="006E1936"/>
    <w:rsid w:val="006E1941"/>
    <w:rsid w:val="006E19DD"/>
    <w:rsid w:val="006E1C98"/>
    <w:rsid w:val="006E1EDB"/>
    <w:rsid w:val="006E2008"/>
    <w:rsid w:val="006E2429"/>
    <w:rsid w:val="006E254B"/>
    <w:rsid w:val="006E25ED"/>
    <w:rsid w:val="006E2656"/>
    <w:rsid w:val="006E272B"/>
    <w:rsid w:val="006E28E8"/>
    <w:rsid w:val="006E28FF"/>
    <w:rsid w:val="006E298A"/>
    <w:rsid w:val="006E2BB3"/>
    <w:rsid w:val="006E2FCA"/>
    <w:rsid w:val="006E31D8"/>
    <w:rsid w:val="006E3842"/>
    <w:rsid w:val="006E3848"/>
    <w:rsid w:val="006E38A2"/>
    <w:rsid w:val="006E38F2"/>
    <w:rsid w:val="006E3D01"/>
    <w:rsid w:val="006E3D74"/>
    <w:rsid w:val="006E3DA4"/>
    <w:rsid w:val="006E3E96"/>
    <w:rsid w:val="006E4021"/>
    <w:rsid w:val="006E402D"/>
    <w:rsid w:val="006E4181"/>
    <w:rsid w:val="006E42CD"/>
    <w:rsid w:val="006E4585"/>
    <w:rsid w:val="006E4654"/>
    <w:rsid w:val="006E4690"/>
    <w:rsid w:val="006E48EE"/>
    <w:rsid w:val="006E4A37"/>
    <w:rsid w:val="006E4A43"/>
    <w:rsid w:val="006E4B4C"/>
    <w:rsid w:val="006E4C5B"/>
    <w:rsid w:val="006E4F5E"/>
    <w:rsid w:val="006E50C5"/>
    <w:rsid w:val="006E50E1"/>
    <w:rsid w:val="006E5147"/>
    <w:rsid w:val="006E5269"/>
    <w:rsid w:val="006E56A5"/>
    <w:rsid w:val="006E5934"/>
    <w:rsid w:val="006E5BC2"/>
    <w:rsid w:val="006E5E77"/>
    <w:rsid w:val="006E5F40"/>
    <w:rsid w:val="006E61B1"/>
    <w:rsid w:val="006E66C4"/>
    <w:rsid w:val="006E6779"/>
    <w:rsid w:val="006E6BC2"/>
    <w:rsid w:val="006E6CE7"/>
    <w:rsid w:val="006E72FB"/>
    <w:rsid w:val="006E744A"/>
    <w:rsid w:val="006E762E"/>
    <w:rsid w:val="006E77A5"/>
    <w:rsid w:val="006E77BB"/>
    <w:rsid w:val="006E780C"/>
    <w:rsid w:val="006E7BD2"/>
    <w:rsid w:val="006E7D41"/>
    <w:rsid w:val="006E7EF3"/>
    <w:rsid w:val="006E7F99"/>
    <w:rsid w:val="006E7FB6"/>
    <w:rsid w:val="006E7FEA"/>
    <w:rsid w:val="006F00E1"/>
    <w:rsid w:val="006F020F"/>
    <w:rsid w:val="006F03A5"/>
    <w:rsid w:val="006F061C"/>
    <w:rsid w:val="006F0800"/>
    <w:rsid w:val="006F08FA"/>
    <w:rsid w:val="006F094B"/>
    <w:rsid w:val="006F0960"/>
    <w:rsid w:val="006F0A30"/>
    <w:rsid w:val="006F1024"/>
    <w:rsid w:val="006F129F"/>
    <w:rsid w:val="006F13E0"/>
    <w:rsid w:val="006F1488"/>
    <w:rsid w:val="006F1C8A"/>
    <w:rsid w:val="006F1F36"/>
    <w:rsid w:val="006F22D1"/>
    <w:rsid w:val="006F255E"/>
    <w:rsid w:val="006F26B4"/>
    <w:rsid w:val="006F2A0D"/>
    <w:rsid w:val="006F2D0A"/>
    <w:rsid w:val="006F2D7F"/>
    <w:rsid w:val="006F3152"/>
    <w:rsid w:val="006F319D"/>
    <w:rsid w:val="006F34EB"/>
    <w:rsid w:val="006F3549"/>
    <w:rsid w:val="006F38B0"/>
    <w:rsid w:val="006F3A7D"/>
    <w:rsid w:val="006F3ABE"/>
    <w:rsid w:val="006F3C1F"/>
    <w:rsid w:val="006F41F0"/>
    <w:rsid w:val="006F45A4"/>
    <w:rsid w:val="006F4609"/>
    <w:rsid w:val="006F474D"/>
    <w:rsid w:val="006F4C65"/>
    <w:rsid w:val="006F4CC9"/>
    <w:rsid w:val="006F4E52"/>
    <w:rsid w:val="006F4EA0"/>
    <w:rsid w:val="006F4EE5"/>
    <w:rsid w:val="006F4FB4"/>
    <w:rsid w:val="006F517C"/>
    <w:rsid w:val="006F58E1"/>
    <w:rsid w:val="006F5A33"/>
    <w:rsid w:val="006F5A7C"/>
    <w:rsid w:val="006F5C30"/>
    <w:rsid w:val="006F5CC2"/>
    <w:rsid w:val="006F5D2D"/>
    <w:rsid w:val="006F60E6"/>
    <w:rsid w:val="006F62BC"/>
    <w:rsid w:val="006F6303"/>
    <w:rsid w:val="006F6316"/>
    <w:rsid w:val="006F65A2"/>
    <w:rsid w:val="006F6885"/>
    <w:rsid w:val="006F68BA"/>
    <w:rsid w:val="006F6AFC"/>
    <w:rsid w:val="006F6C31"/>
    <w:rsid w:val="006F7335"/>
    <w:rsid w:val="006F7429"/>
    <w:rsid w:val="006F7452"/>
    <w:rsid w:val="006F74B5"/>
    <w:rsid w:val="006F7A56"/>
    <w:rsid w:val="006F7D74"/>
    <w:rsid w:val="006F7DC7"/>
    <w:rsid w:val="006F7DEF"/>
    <w:rsid w:val="007004F0"/>
    <w:rsid w:val="00700CF2"/>
    <w:rsid w:val="00700DC3"/>
    <w:rsid w:val="00700F78"/>
    <w:rsid w:val="007010AB"/>
    <w:rsid w:val="007011AD"/>
    <w:rsid w:val="007011CC"/>
    <w:rsid w:val="00701446"/>
    <w:rsid w:val="0070150E"/>
    <w:rsid w:val="00701534"/>
    <w:rsid w:val="007016DD"/>
    <w:rsid w:val="00701735"/>
    <w:rsid w:val="00701852"/>
    <w:rsid w:val="00701957"/>
    <w:rsid w:val="00701AD9"/>
    <w:rsid w:val="00701CC3"/>
    <w:rsid w:val="00701E32"/>
    <w:rsid w:val="00702081"/>
    <w:rsid w:val="00702160"/>
    <w:rsid w:val="007021AB"/>
    <w:rsid w:val="00702381"/>
    <w:rsid w:val="007023AF"/>
    <w:rsid w:val="007024FB"/>
    <w:rsid w:val="00702577"/>
    <w:rsid w:val="00702F8D"/>
    <w:rsid w:val="00702FE6"/>
    <w:rsid w:val="00702FF9"/>
    <w:rsid w:val="0070314E"/>
    <w:rsid w:val="00703238"/>
    <w:rsid w:val="00703253"/>
    <w:rsid w:val="007032EF"/>
    <w:rsid w:val="0070344F"/>
    <w:rsid w:val="00703CF8"/>
    <w:rsid w:val="00703F05"/>
    <w:rsid w:val="00704126"/>
    <w:rsid w:val="007043D6"/>
    <w:rsid w:val="00704788"/>
    <w:rsid w:val="007047C6"/>
    <w:rsid w:val="00704993"/>
    <w:rsid w:val="00704B39"/>
    <w:rsid w:val="00704C5B"/>
    <w:rsid w:val="00704E60"/>
    <w:rsid w:val="007050C8"/>
    <w:rsid w:val="00705143"/>
    <w:rsid w:val="00705212"/>
    <w:rsid w:val="007055E4"/>
    <w:rsid w:val="00705B63"/>
    <w:rsid w:val="00705DB8"/>
    <w:rsid w:val="00705F47"/>
    <w:rsid w:val="00705F50"/>
    <w:rsid w:val="00705F92"/>
    <w:rsid w:val="00705FD6"/>
    <w:rsid w:val="00706065"/>
    <w:rsid w:val="0070625C"/>
    <w:rsid w:val="00706279"/>
    <w:rsid w:val="007066F3"/>
    <w:rsid w:val="00706929"/>
    <w:rsid w:val="00706A35"/>
    <w:rsid w:val="00706B83"/>
    <w:rsid w:val="00706C8C"/>
    <w:rsid w:val="00706DB2"/>
    <w:rsid w:val="00706F12"/>
    <w:rsid w:val="00707295"/>
    <w:rsid w:val="0070746A"/>
    <w:rsid w:val="0070748A"/>
    <w:rsid w:val="007076A2"/>
    <w:rsid w:val="007076E7"/>
    <w:rsid w:val="00707A4C"/>
    <w:rsid w:val="00707A98"/>
    <w:rsid w:val="00707E5B"/>
    <w:rsid w:val="00707FE1"/>
    <w:rsid w:val="00710349"/>
    <w:rsid w:val="0071035A"/>
    <w:rsid w:val="0071049B"/>
    <w:rsid w:val="00710AF8"/>
    <w:rsid w:val="00710B8A"/>
    <w:rsid w:val="00710DF2"/>
    <w:rsid w:val="00710E22"/>
    <w:rsid w:val="00710EEB"/>
    <w:rsid w:val="00710EF8"/>
    <w:rsid w:val="0071139C"/>
    <w:rsid w:val="00711412"/>
    <w:rsid w:val="00711590"/>
    <w:rsid w:val="00711738"/>
    <w:rsid w:val="0071179B"/>
    <w:rsid w:val="007117EC"/>
    <w:rsid w:val="00711A7C"/>
    <w:rsid w:val="00711C71"/>
    <w:rsid w:val="00711C91"/>
    <w:rsid w:val="00711CEB"/>
    <w:rsid w:val="00711D57"/>
    <w:rsid w:val="007121EC"/>
    <w:rsid w:val="007122CA"/>
    <w:rsid w:val="00712418"/>
    <w:rsid w:val="007125E6"/>
    <w:rsid w:val="00712726"/>
    <w:rsid w:val="007127DB"/>
    <w:rsid w:val="00712F30"/>
    <w:rsid w:val="007131AE"/>
    <w:rsid w:val="00713225"/>
    <w:rsid w:val="00713286"/>
    <w:rsid w:val="00713359"/>
    <w:rsid w:val="00713475"/>
    <w:rsid w:val="007134AE"/>
    <w:rsid w:val="00713737"/>
    <w:rsid w:val="00713B79"/>
    <w:rsid w:val="00713BB3"/>
    <w:rsid w:val="00713E9B"/>
    <w:rsid w:val="00713F23"/>
    <w:rsid w:val="007140E8"/>
    <w:rsid w:val="0071418E"/>
    <w:rsid w:val="007141F4"/>
    <w:rsid w:val="00714569"/>
    <w:rsid w:val="00714972"/>
    <w:rsid w:val="00714C0F"/>
    <w:rsid w:val="00714F97"/>
    <w:rsid w:val="00715017"/>
    <w:rsid w:val="0071529D"/>
    <w:rsid w:val="0071548F"/>
    <w:rsid w:val="007158A3"/>
    <w:rsid w:val="007158E5"/>
    <w:rsid w:val="00716473"/>
    <w:rsid w:val="007165EB"/>
    <w:rsid w:val="0071682C"/>
    <w:rsid w:val="00716FE6"/>
    <w:rsid w:val="0071717E"/>
    <w:rsid w:val="007171E9"/>
    <w:rsid w:val="0071730C"/>
    <w:rsid w:val="00717342"/>
    <w:rsid w:val="007175A7"/>
    <w:rsid w:val="007177B9"/>
    <w:rsid w:val="00717892"/>
    <w:rsid w:val="0071797F"/>
    <w:rsid w:val="007179B7"/>
    <w:rsid w:val="00717B3E"/>
    <w:rsid w:val="00717E6D"/>
    <w:rsid w:val="00717F6C"/>
    <w:rsid w:val="00720232"/>
    <w:rsid w:val="007205E1"/>
    <w:rsid w:val="00720844"/>
    <w:rsid w:val="0072095F"/>
    <w:rsid w:val="00720C6F"/>
    <w:rsid w:val="00720E3D"/>
    <w:rsid w:val="0072108E"/>
    <w:rsid w:val="007212B0"/>
    <w:rsid w:val="007215E5"/>
    <w:rsid w:val="007216B7"/>
    <w:rsid w:val="00721767"/>
    <w:rsid w:val="00721826"/>
    <w:rsid w:val="007219C0"/>
    <w:rsid w:val="00721A20"/>
    <w:rsid w:val="00721C77"/>
    <w:rsid w:val="00721F44"/>
    <w:rsid w:val="0072215E"/>
    <w:rsid w:val="007223D1"/>
    <w:rsid w:val="0072244A"/>
    <w:rsid w:val="00722623"/>
    <w:rsid w:val="007228FE"/>
    <w:rsid w:val="0072299A"/>
    <w:rsid w:val="007229A1"/>
    <w:rsid w:val="00722B70"/>
    <w:rsid w:val="00722CDB"/>
    <w:rsid w:val="00722D6F"/>
    <w:rsid w:val="00723062"/>
    <w:rsid w:val="00723187"/>
    <w:rsid w:val="007231DD"/>
    <w:rsid w:val="007231E1"/>
    <w:rsid w:val="007233FD"/>
    <w:rsid w:val="00723425"/>
    <w:rsid w:val="0072351C"/>
    <w:rsid w:val="00723770"/>
    <w:rsid w:val="00723B9C"/>
    <w:rsid w:val="00724018"/>
    <w:rsid w:val="0072406D"/>
    <w:rsid w:val="007241BE"/>
    <w:rsid w:val="007243F0"/>
    <w:rsid w:val="00724786"/>
    <w:rsid w:val="0072498B"/>
    <w:rsid w:val="00724A9C"/>
    <w:rsid w:val="0072512A"/>
    <w:rsid w:val="007252C8"/>
    <w:rsid w:val="007252DB"/>
    <w:rsid w:val="00725356"/>
    <w:rsid w:val="0072539A"/>
    <w:rsid w:val="007253C4"/>
    <w:rsid w:val="00725409"/>
    <w:rsid w:val="0072585E"/>
    <w:rsid w:val="00725966"/>
    <w:rsid w:val="00725C82"/>
    <w:rsid w:val="007261CF"/>
    <w:rsid w:val="00726384"/>
    <w:rsid w:val="007264AD"/>
    <w:rsid w:val="007264B1"/>
    <w:rsid w:val="007268A3"/>
    <w:rsid w:val="0072693A"/>
    <w:rsid w:val="00726A60"/>
    <w:rsid w:val="00726C80"/>
    <w:rsid w:val="00726C8F"/>
    <w:rsid w:val="00726E75"/>
    <w:rsid w:val="00726F11"/>
    <w:rsid w:val="00726FDC"/>
    <w:rsid w:val="007270F0"/>
    <w:rsid w:val="00727529"/>
    <w:rsid w:val="0072757E"/>
    <w:rsid w:val="007276DB"/>
    <w:rsid w:val="00727930"/>
    <w:rsid w:val="00727A53"/>
    <w:rsid w:val="00727AAD"/>
    <w:rsid w:val="00727C95"/>
    <w:rsid w:val="00727D4D"/>
    <w:rsid w:val="00727EC4"/>
    <w:rsid w:val="007305C2"/>
    <w:rsid w:val="0073072C"/>
    <w:rsid w:val="00730779"/>
    <w:rsid w:val="00730F47"/>
    <w:rsid w:val="00730FB1"/>
    <w:rsid w:val="00731289"/>
    <w:rsid w:val="0073130B"/>
    <w:rsid w:val="0073149F"/>
    <w:rsid w:val="00731769"/>
    <w:rsid w:val="00731995"/>
    <w:rsid w:val="007319A2"/>
    <w:rsid w:val="00731A02"/>
    <w:rsid w:val="00731A08"/>
    <w:rsid w:val="00731A58"/>
    <w:rsid w:val="00731C35"/>
    <w:rsid w:val="00731EE6"/>
    <w:rsid w:val="0073211A"/>
    <w:rsid w:val="0073239D"/>
    <w:rsid w:val="0073271E"/>
    <w:rsid w:val="007329E9"/>
    <w:rsid w:val="00732C26"/>
    <w:rsid w:val="00732C2F"/>
    <w:rsid w:val="00732C49"/>
    <w:rsid w:val="00732D7D"/>
    <w:rsid w:val="0073301A"/>
    <w:rsid w:val="00733081"/>
    <w:rsid w:val="0073347A"/>
    <w:rsid w:val="0073356D"/>
    <w:rsid w:val="0073359C"/>
    <w:rsid w:val="007337FC"/>
    <w:rsid w:val="00733B64"/>
    <w:rsid w:val="00734083"/>
    <w:rsid w:val="00734249"/>
    <w:rsid w:val="007342EA"/>
    <w:rsid w:val="007343D5"/>
    <w:rsid w:val="00734420"/>
    <w:rsid w:val="00734CD3"/>
    <w:rsid w:val="00734D16"/>
    <w:rsid w:val="00734E10"/>
    <w:rsid w:val="00734F40"/>
    <w:rsid w:val="00734FA3"/>
    <w:rsid w:val="00735025"/>
    <w:rsid w:val="007355A6"/>
    <w:rsid w:val="00735AE1"/>
    <w:rsid w:val="00735C36"/>
    <w:rsid w:val="00735F43"/>
    <w:rsid w:val="00736130"/>
    <w:rsid w:val="007362A1"/>
    <w:rsid w:val="00736675"/>
    <w:rsid w:val="007368D0"/>
    <w:rsid w:val="00736915"/>
    <w:rsid w:val="00736E5C"/>
    <w:rsid w:val="00736E60"/>
    <w:rsid w:val="00736F23"/>
    <w:rsid w:val="007371C6"/>
    <w:rsid w:val="007371D7"/>
    <w:rsid w:val="00737503"/>
    <w:rsid w:val="007378B8"/>
    <w:rsid w:val="00737927"/>
    <w:rsid w:val="00737E19"/>
    <w:rsid w:val="00737F87"/>
    <w:rsid w:val="00740368"/>
    <w:rsid w:val="00740410"/>
    <w:rsid w:val="0074059E"/>
    <w:rsid w:val="007405C5"/>
    <w:rsid w:val="0074077F"/>
    <w:rsid w:val="00740A71"/>
    <w:rsid w:val="00740CAF"/>
    <w:rsid w:val="00740E94"/>
    <w:rsid w:val="00740EF9"/>
    <w:rsid w:val="00740FA6"/>
    <w:rsid w:val="00741167"/>
    <w:rsid w:val="0074146C"/>
    <w:rsid w:val="007419A5"/>
    <w:rsid w:val="00741C69"/>
    <w:rsid w:val="00741E06"/>
    <w:rsid w:val="007420C7"/>
    <w:rsid w:val="0074223A"/>
    <w:rsid w:val="0074233D"/>
    <w:rsid w:val="00742532"/>
    <w:rsid w:val="00742648"/>
    <w:rsid w:val="00742C47"/>
    <w:rsid w:val="00742DD0"/>
    <w:rsid w:val="00742FAF"/>
    <w:rsid w:val="00743047"/>
    <w:rsid w:val="00743171"/>
    <w:rsid w:val="007432A8"/>
    <w:rsid w:val="00743403"/>
    <w:rsid w:val="007438DC"/>
    <w:rsid w:val="007439CC"/>
    <w:rsid w:val="00743A7D"/>
    <w:rsid w:val="00743CAC"/>
    <w:rsid w:val="00743CC3"/>
    <w:rsid w:val="00743CD7"/>
    <w:rsid w:val="00743D29"/>
    <w:rsid w:val="00743DC1"/>
    <w:rsid w:val="00743E88"/>
    <w:rsid w:val="00743F25"/>
    <w:rsid w:val="00744015"/>
    <w:rsid w:val="00744041"/>
    <w:rsid w:val="0074436B"/>
    <w:rsid w:val="00744858"/>
    <w:rsid w:val="007448F4"/>
    <w:rsid w:val="00744B2E"/>
    <w:rsid w:val="00744C1F"/>
    <w:rsid w:val="00744E10"/>
    <w:rsid w:val="007450A5"/>
    <w:rsid w:val="007451F1"/>
    <w:rsid w:val="007453BE"/>
    <w:rsid w:val="007453E9"/>
    <w:rsid w:val="007458D5"/>
    <w:rsid w:val="007459A4"/>
    <w:rsid w:val="00745C92"/>
    <w:rsid w:val="00745D08"/>
    <w:rsid w:val="007460DA"/>
    <w:rsid w:val="007462FC"/>
    <w:rsid w:val="00746901"/>
    <w:rsid w:val="00746F4A"/>
    <w:rsid w:val="00747126"/>
    <w:rsid w:val="007476A0"/>
    <w:rsid w:val="007477C5"/>
    <w:rsid w:val="0074792C"/>
    <w:rsid w:val="00747938"/>
    <w:rsid w:val="00747A86"/>
    <w:rsid w:val="00747C6E"/>
    <w:rsid w:val="00747C8E"/>
    <w:rsid w:val="00747F8C"/>
    <w:rsid w:val="00747FE7"/>
    <w:rsid w:val="00750012"/>
    <w:rsid w:val="007500C5"/>
    <w:rsid w:val="00750509"/>
    <w:rsid w:val="007505A6"/>
    <w:rsid w:val="00750C8A"/>
    <w:rsid w:val="00750EC3"/>
    <w:rsid w:val="00750FCF"/>
    <w:rsid w:val="00750FF6"/>
    <w:rsid w:val="007512B3"/>
    <w:rsid w:val="00751551"/>
    <w:rsid w:val="007515D1"/>
    <w:rsid w:val="00751675"/>
    <w:rsid w:val="007517DA"/>
    <w:rsid w:val="00751811"/>
    <w:rsid w:val="00751908"/>
    <w:rsid w:val="00751B95"/>
    <w:rsid w:val="00751CC0"/>
    <w:rsid w:val="0075204A"/>
    <w:rsid w:val="007521C4"/>
    <w:rsid w:val="007522EE"/>
    <w:rsid w:val="007524FF"/>
    <w:rsid w:val="007525FE"/>
    <w:rsid w:val="0075273B"/>
    <w:rsid w:val="00752AB3"/>
    <w:rsid w:val="00752BBE"/>
    <w:rsid w:val="00752BEB"/>
    <w:rsid w:val="00752C31"/>
    <w:rsid w:val="00752D13"/>
    <w:rsid w:val="00752DD8"/>
    <w:rsid w:val="00752E38"/>
    <w:rsid w:val="00752E56"/>
    <w:rsid w:val="0075312C"/>
    <w:rsid w:val="007532FA"/>
    <w:rsid w:val="00753671"/>
    <w:rsid w:val="00753757"/>
    <w:rsid w:val="0075377A"/>
    <w:rsid w:val="0075388F"/>
    <w:rsid w:val="00753A38"/>
    <w:rsid w:val="00753D0A"/>
    <w:rsid w:val="007541E4"/>
    <w:rsid w:val="0075469A"/>
    <w:rsid w:val="007548DE"/>
    <w:rsid w:val="00754B18"/>
    <w:rsid w:val="00754E73"/>
    <w:rsid w:val="00755467"/>
    <w:rsid w:val="00755817"/>
    <w:rsid w:val="00755B12"/>
    <w:rsid w:val="00755CB4"/>
    <w:rsid w:val="00755D93"/>
    <w:rsid w:val="00755DCB"/>
    <w:rsid w:val="00755E5C"/>
    <w:rsid w:val="00755F67"/>
    <w:rsid w:val="00756050"/>
    <w:rsid w:val="007563C4"/>
    <w:rsid w:val="0075694A"/>
    <w:rsid w:val="007569C1"/>
    <w:rsid w:val="00756BCF"/>
    <w:rsid w:val="00756C93"/>
    <w:rsid w:val="00756CE4"/>
    <w:rsid w:val="00756EF7"/>
    <w:rsid w:val="00757035"/>
    <w:rsid w:val="00757186"/>
    <w:rsid w:val="0075747B"/>
    <w:rsid w:val="00757799"/>
    <w:rsid w:val="007578E1"/>
    <w:rsid w:val="00757A29"/>
    <w:rsid w:val="00757A6A"/>
    <w:rsid w:val="00757AF4"/>
    <w:rsid w:val="00757C13"/>
    <w:rsid w:val="00757CD9"/>
    <w:rsid w:val="00757CF3"/>
    <w:rsid w:val="0076006D"/>
    <w:rsid w:val="00760094"/>
    <w:rsid w:val="00760532"/>
    <w:rsid w:val="00760768"/>
    <w:rsid w:val="00760B1B"/>
    <w:rsid w:val="00760BCC"/>
    <w:rsid w:val="00760FB0"/>
    <w:rsid w:val="0076106B"/>
    <w:rsid w:val="00761688"/>
    <w:rsid w:val="007616CF"/>
    <w:rsid w:val="00761830"/>
    <w:rsid w:val="00761931"/>
    <w:rsid w:val="00761A7B"/>
    <w:rsid w:val="00761B62"/>
    <w:rsid w:val="00761EBE"/>
    <w:rsid w:val="007621FF"/>
    <w:rsid w:val="007623E7"/>
    <w:rsid w:val="00762428"/>
    <w:rsid w:val="00762672"/>
    <w:rsid w:val="007629D0"/>
    <w:rsid w:val="00762AFB"/>
    <w:rsid w:val="00762E45"/>
    <w:rsid w:val="00762ED8"/>
    <w:rsid w:val="007630F5"/>
    <w:rsid w:val="00763275"/>
    <w:rsid w:val="00763287"/>
    <w:rsid w:val="00763388"/>
    <w:rsid w:val="007637BC"/>
    <w:rsid w:val="007637FF"/>
    <w:rsid w:val="007638E4"/>
    <w:rsid w:val="007639D9"/>
    <w:rsid w:val="007640AF"/>
    <w:rsid w:val="0076440A"/>
    <w:rsid w:val="00764554"/>
    <w:rsid w:val="0076475B"/>
    <w:rsid w:val="007648F4"/>
    <w:rsid w:val="00764B31"/>
    <w:rsid w:val="00764B5D"/>
    <w:rsid w:val="00764B6F"/>
    <w:rsid w:val="00764BD8"/>
    <w:rsid w:val="00764D00"/>
    <w:rsid w:val="00764DC4"/>
    <w:rsid w:val="00764FD5"/>
    <w:rsid w:val="0076530B"/>
    <w:rsid w:val="0076559D"/>
    <w:rsid w:val="007655A9"/>
    <w:rsid w:val="00765659"/>
    <w:rsid w:val="007656A1"/>
    <w:rsid w:val="007656CA"/>
    <w:rsid w:val="00765956"/>
    <w:rsid w:val="00765A07"/>
    <w:rsid w:val="00765A29"/>
    <w:rsid w:val="00765BA8"/>
    <w:rsid w:val="00765D6E"/>
    <w:rsid w:val="00766007"/>
    <w:rsid w:val="00766143"/>
    <w:rsid w:val="00766220"/>
    <w:rsid w:val="00766463"/>
    <w:rsid w:val="007664F7"/>
    <w:rsid w:val="00766833"/>
    <w:rsid w:val="00766890"/>
    <w:rsid w:val="007669B7"/>
    <w:rsid w:val="00766BFB"/>
    <w:rsid w:val="00766D0C"/>
    <w:rsid w:val="00766E0A"/>
    <w:rsid w:val="00766E0B"/>
    <w:rsid w:val="00766F62"/>
    <w:rsid w:val="00767193"/>
    <w:rsid w:val="007673C8"/>
    <w:rsid w:val="0076761F"/>
    <w:rsid w:val="00767768"/>
    <w:rsid w:val="0076784F"/>
    <w:rsid w:val="00767A88"/>
    <w:rsid w:val="00767BEF"/>
    <w:rsid w:val="00767BF3"/>
    <w:rsid w:val="00767D37"/>
    <w:rsid w:val="00767D40"/>
    <w:rsid w:val="00767D9C"/>
    <w:rsid w:val="00767E95"/>
    <w:rsid w:val="00767FFC"/>
    <w:rsid w:val="0077018F"/>
    <w:rsid w:val="00770416"/>
    <w:rsid w:val="007705AB"/>
    <w:rsid w:val="00770A26"/>
    <w:rsid w:val="00770F71"/>
    <w:rsid w:val="00770FA5"/>
    <w:rsid w:val="0077104B"/>
    <w:rsid w:val="007714CE"/>
    <w:rsid w:val="00771608"/>
    <w:rsid w:val="0077163A"/>
    <w:rsid w:val="00771797"/>
    <w:rsid w:val="007717E4"/>
    <w:rsid w:val="00771852"/>
    <w:rsid w:val="00771A88"/>
    <w:rsid w:val="00771C6C"/>
    <w:rsid w:val="00771FB5"/>
    <w:rsid w:val="007724A7"/>
    <w:rsid w:val="007726FA"/>
    <w:rsid w:val="00772945"/>
    <w:rsid w:val="00772EAD"/>
    <w:rsid w:val="0077308A"/>
    <w:rsid w:val="007730BE"/>
    <w:rsid w:val="007731BC"/>
    <w:rsid w:val="00773245"/>
    <w:rsid w:val="00773276"/>
    <w:rsid w:val="0077330B"/>
    <w:rsid w:val="00773328"/>
    <w:rsid w:val="00773481"/>
    <w:rsid w:val="007735E3"/>
    <w:rsid w:val="007736B4"/>
    <w:rsid w:val="00773913"/>
    <w:rsid w:val="00773A4A"/>
    <w:rsid w:val="00773A71"/>
    <w:rsid w:val="00773B44"/>
    <w:rsid w:val="00773C3D"/>
    <w:rsid w:val="007741E7"/>
    <w:rsid w:val="00774240"/>
    <w:rsid w:val="00774355"/>
    <w:rsid w:val="007743BF"/>
    <w:rsid w:val="00774494"/>
    <w:rsid w:val="007746ED"/>
    <w:rsid w:val="00774814"/>
    <w:rsid w:val="00774B05"/>
    <w:rsid w:val="00774B58"/>
    <w:rsid w:val="00774B93"/>
    <w:rsid w:val="00774CA1"/>
    <w:rsid w:val="00774EAF"/>
    <w:rsid w:val="00774EB0"/>
    <w:rsid w:val="00774FC7"/>
    <w:rsid w:val="00774FF4"/>
    <w:rsid w:val="00775115"/>
    <w:rsid w:val="0077516A"/>
    <w:rsid w:val="00775231"/>
    <w:rsid w:val="007754C3"/>
    <w:rsid w:val="0077554D"/>
    <w:rsid w:val="00775567"/>
    <w:rsid w:val="007757C6"/>
    <w:rsid w:val="0077595B"/>
    <w:rsid w:val="00775B34"/>
    <w:rsid w:val="00775C40"/>
    <w:rsid w:val="00775C59"/>
    <w:rsid w:val="00775FED"/>
    <w:rsid w:val="0077618C"/>
    <w:rsid w:val="0077629F"/>
    <w:rsid w:val="0077645D"/>
    <w:rsid w:val="00776542"/>
    <w:rsid w:val="00776749"/>
    <w:rsid w:val="0077684F"/>
    <w:rsid w:val="0077690B"/>
    <w:rsid w:val="00776E2E"/>
    <w:rsid w:val="0077709F"/>
    <w:rsid w:val="00777442"/>
    <w:rsid w:val="00777451"/>
    <w:rsid w:val="007776F3"/>
    <w:rsid w:val="00777864"/>
    <w:rsid w:val="00777912"/>
    <w:rsid w:val="007779A3"/>
    <w:rsid w:val="00777ADC"/>
    <w:rsid w:val="00777D8D"/>
    <w:rsid w:val="007802E7"/>
    <w:rsid w:val="00780438"/>
    <w:rsid w:val="00780596"/>
    <w:rsid w:val="007807A3"/>
    <w:rsid w:val="00780B1A"/>
    <w:rsid w:val="00780D1A"/>
    <w:rsid w:val="00780D45"/>
    <w:rsid w:val="00780F3F"/>
    <w:rsid w:val="007812E7"/>
    <w:rsid w:val="00781315"/>
    <w:rsid w:val="0078144A"/>
    <w:rsid w:val="0078159F"/>
    <w:rsid w:val="00781A97"/>
    <w:rsid w:val="00781C1B"/>
    <w:rsid w:val="00781E72"/>
    <w:rsid w:val="00781E7D"/>
    <w:rsid w:val="00782065"/>
    <w:rsid w:val="00782280"/>
    <w:rsid w:val="0078237A"/>
    <w:rsid w:val="00782419"/>
    <w:rsid w:val="007824BC"/>
    <w:rsid w:val="007828B0"/>
    <w:rsid w:val="00782B8F"/>
    <w:rsid w:val="00782C92"/>
    <w:rsid w:val="00782D2D"/>
    <w:rsid w:val="00782DFC"/>
    <w:rsid w:val="00782EC4"/>
    <w:rsid w:val="00782EEE"/>
    <w:rsid w:val="00783055"/>
    <w:rsid w:val="00783153"/>
    <w:rsid w:val="00783713"/>
    <w:rsid w:val="00783873"/>
    <w:rsid w:val="00783A74"/>
    <w:rsid w:val="00783AE5"/>
    <w:rsid w:val="00783E09"/>
    <w:rsid w:val="00783E68"/>
    <w:rsid w:val="00783EA4"/>
    <w:rsid w:val="00784283"/>
    <w:rsid w:val="00784470"/>
    <w:rsid w:val="00784719"/>
    <w:rsid w:val="00784B98"/>
    <w:rsid w:val="00784C39"/>
    <w:rsid w:val="0078539C"/>
    <w:rsid w:val="007854CD"/>
    <w:rsid w:val="00785514"/>
    <w:rsid w:val="007855AD"/>
    <w:rsid w:val="0078567A"/>
    <w:rsid w:val="00785777"/>
    <w:rsid w:val="00785986"/>
    <w:rsid w:val="00785A1C"/>
    <w:rsid w:val="00785C83"/>
    <w:rsid w:val="00786413"/>
    <w:rsid w:val="007864DA"/>
    <w:rsid w:val="00786909"/>
    <w:rsid w:val="00786971"/>
    <w:rsid w:val="00786D51"/>
    <w:rsid w:val="00786ED8"/>
    <w:rsid w:val="00787491"/>
    <w:rsid w:val="0078759B"/>
    <w:rsid w:val="007876E4"/>
    <w:rsid w:val="00787706"/>
    <w:rsid w:val="00787727"/>
    <w:rsid w:val="00787803"/>
    <w:rsid w:val="00787807"/>
    <w:rsid w:val="00787A15"/>
    <w:rsid w:val="00787C87"/>
    <w:rsid w:val="00787CF3"/>
    <w:rsid w:val="00787D20"/>
    <w:rsid w:val="00787D87"/>
    <w:rsid w:val="00787EEA"/>
    <w:rsid w:val="00787FD1"/>
    <w:rsid w:val="0079001F"/>
    <w:rsid w:val="007900E8"/>
    <w:rsid w:val="00790362"/>
    <w:rsid w:val="007904BC"/>
    <w:rsid w:val="007904EA"/>
    <w:rsid w:val="0079065C"/>
    <w:rsid w:val="00790681"/>
    <w:rsid w:val="00790767"/>
    <w:rsid w:val="007908D4"/>
    <w:rsid w:val="00790B5F"/>
    <w:rsid w:val="00790EA3"/>
    <w:rsid w:val="0079108A"/>
    <w:rsid w:val="007911B6"/>
    <w:rsid w:val="00791242"/>
    <w:rsid w:val="007914B9"/>
    <w:rsid w:val="007915F5"/>
    <w:rsid w:val="00791669"/>
    <w:rsid w:val="00791BF5"/>
    <w:rsid w:val="00791F6D"/>
    <w:rsid w:val="007920FE"/>
    <w:rsid w:val="0079219B"/>
    <w:rsid w:val="00792431"/>
    <w:rsid w:val="007927D2"/>
    <w:rsid w:val="00792CDE"/>
    <w:rsid w:val="00792CFB"/>
    <w:rsid w:val="00792D48"/>
    <w:rsid w:val="007930B7"/>
    <w:rsid w:val="00793237"/>
    <w:rsid w:val="007932F4"/>
    <w:rsid w:val="00793541"/>
    <w:rsid w:val="00793587"/>
    <w:rsid w:val="007936EE"/>
    <w:rsid w:val="00793702"/>
    <w:rsid w:val="0079375B"/>
    <w:rsid w:val="00793A1A"/>
    <w:rsid w:val="00793BDF"/>
    <w:rsid w:val="0079404D"/>
    <w:rsid w:val="007946AA"/>
    <w:rsid w:val="00794705"/>
    <w:rsid w:val="00794840"/>
    <w:rsid w:val="00794CBF"/>
    <w:rsid w:val="00794E6A"/>
    <w:rsid w:val="00794F38"/>
    <w:rsid w:val="00794F5F"/>
    <w:rsid w:val="00795307"/>
    <w:rsid w:val="007953AE"/>
    <w:rsid w:val="007954CF"/>
    <w:rsid w:val="00795730"/>
    <w:rsid w:val="007958E5"/>
    <w:rsid w:val="00795A3E"/>
    <w:rsid w:val="00795AF0"/>
    <w:rsid w:val="00795B42"/>
    <w:rsid w:val="00795DF5"/>
    <w:rsid w:val="00795E2E"/>
    <w:rsid w:val="007964BD"/>
    <w:rsid w:val="007966DA"/>
    <w:rsid w:val="0079691E"/>
    <w:rsid w:val="007969E4"/>
    <w:rsid w:val="00796A98"/>
    <w:rsid w:val="00796B3F"/>
    <w:rsid w:val="00796CD0"/>
    <w:rsid w:val="00796E5B"/>
    <w:rsid w:val="00796E96"/>
    <w:rsid w:val="00797093"/>
    <w:rsid w:val="007970C0"/>
    <w:rsid w:val="007974FA"/>
    <w:rsid w:val="007976D9"/>
    <w:rsid w:val="0079776F"/>
    <w:rsid w:val="00797CD7"/>
    <w:rsid w:val="007A0003"/>
    <w:rsid w:val="007A009D"/>
    <w:rsid w:val="007A0131"/>
    <w:rsid w:val="007A0478"/>
    <w:rsid w:val="007A04E1"/>
    <w:rsid w:val="007A06CB"/>
    <w:rsid w:val="007A0829"/>
    <w:rsid w:val="007A086B"/>
    <w:rsid w:val="007A08CD"/>
    <w:rsid w:val="007A08CE"/>
    <w:rsid w:val="007A092C"/>
    <w:rsid w:val="007A0B7E"/>
    <w:rsid w:val="007A0BC8"/>
    <w:rsid w:val="007A0F3F"/>
    <w:rsid w:val="007A11CE"/>
    <w:rsid w:val="007A1364"/>
    <w:rsid w:val="007A1785"/>
    <w:rsid w:val="007A1889"/>
    <w:rsid w:val="007A1939"/>
    <w:rsid w:val="007A1973"/>
    <w:rsid w:val="007A1B11"/>
    <w:rsid w:val="007A1D7C"/>
    <w:rsid w:val="007A1EE9"/>
    <w:rsid w:val="007A1F2D"/>
    <w:rsid w:val="007A2286"/>
    <w:rsid w:val="007A2452"/>
    <w:rsid w:val="007A2485"/>
    <w:rsid w:val="007A24A0"/>
    <w:rsid w:val="007A2542"/>
    <w:rsid w:val="007A26C5"/>
    <w:rsid w:val="007A2720"/>
    <w:rsid w:val="007A2769"/>
    <w:rsid w:val="007A2824"/>
    <w:rsid w:val="007A28EC"/>
    <w:rsid w:val="007A2938"/>
    <w:rsid w:val="007A295C"/>
    <w:rsid w:val="007A2A06"/>
    <w:rsid w:val="007A2AEB"/>
    <w:rsid w:val="007A2B36"/>
    <w:rsid w:val="007A2C77"/>
    <w:rsid w:val="007A2CCB"/>
    <w:rsid w:val="007A2D4C"/>
    <w:rsid w:val="007A2DB0"/>
    <w:rsid w:val="007A2E83"/>
    <w:rsid w:val="007A332C"/>
    <w:rsid w:val="007A3484"/>
    <w:rsid w:val="007A35AC"/>
    <w:rsid w:val="007A3B9A"/>
    <w:rsid w:val="007A3FC1"/>
    <w:rsid w:val="007A4171"/>
    <w:rsid w:val="007A41A1"/>
    <w:rsid w:val="007A41B9"/>
    <w:rsid w:val="007A4377"/>
    <w:rsid w:val="007A438D"/>
    <w:rsid w:val="007A4637"/>
    <w:rsid w:val="007A46B1"/>
    <w:rsid w:val="007A4735"/>
    <w:rsid w:val="007A4788"/>
    <w:rsid w:val="007A48CA"/>
    <w:rsid w:val="007A49AA"/>
    <w:rsid w:val="007A4AB2"/>
    <w:rsid w:val="007A4C95"/>
    <w:rsid w:val="007A4E13"/>
    <w:rsid w:val="007A5800"/>
    <w:rsid w:val="007A5827"/>
    <w:rsid w:val="007A58DD"/>
    <w:rsid w:val="007A5E68"/>
    <w:rsid w:val="007A5EAB"/>
    <w:rsid w:val="007A5F25"/>
    <w:rsid w:val="007A602B"/>
    <w:rsid w:val="007A61FE"/>
    <w:rsid w:val="007A623A"/>
    <w:rsid w:val="007A63C9"/>
    <w:rsid w:val="007A6CFC"/>
    <w:rsid w:val="007A6D8F"/>
    <w:rsid w:val="007A6E00"/>
    <w:rsid w:val="007A6E4C"/>
    <w:rsid w:val="007A6F2D"/>
    <w:rsid w:val="007A6FC5"/>
    <w:rsid w:val="007A71CE"/>
    <w:rsid w:val="007A7223"/>
    <w:rsid w:val="007A7314"/>
    <w:rsid w:val="007A7442"/>
    <w:rsid w:val="007A7784"/>
    <w:rsid w:val="007A7825"/>
    <w:rsid w:val="007A7925"/>
    <w:rsid w:val="007A7957"/>
    <w:rsid w:val="007A795A"/>
    <w:rsid w:val="007A7E8C"/>
    <w:rsid w:val="007B0045"/>
    <w:rsid w:val="007B0742"/>
    <w:rsid w:val="007B08C9"/>
    <w:rsid w:val="007B08FE"/>
    <w:rsid w:val="007B0970"/>
    <w:rsid w:val="007B09AA"/>
    <w:rsid w:val="007B09BD"/>
    <w:rsid w:val="007B0A13"/>
    <w:rsid w:val="007B0A22"/>
    <w:rsid w:val="007B0CAC"/>
    <w:rsid w:val="007B0E20"/>
    <w:rsid w:val="007B0FBC"/>
    <w:rsid w:val="007B12DB"/>
    <w:rsid w:val="007B1322"/>
    <w:rsid w:val="007B13E8"/>
    <w:rsid w:val="007B13EB"/>
    <w:rsid w:val="007B14FD"/>
    <w:rsid w:val="007B15A6"/>
    <w:rsid w:val="007B18D5"/>
    <w:rsid w:val="007B1980"/>
    <w:rsid w:val="007B1B6D"/>
    <w:rsid w:val="007B1BF7"/>
    <w:rsid w:val="007B1DA8"/>
    <w:rsid w:val="007B200B"/>
    <w:rsid w:val="007B20A5"/>
    <w:rsid w:val="007B210B"/>
    <w:rsid w:val="007B265A"/>
    <w:rsid w:val="007B27BE"/>
    <w:rsid w:val="007B2892"/>
    <w:rsid w:val="007B2ED6"/>
    <w:rsid w:val="007B2FD6"/>
    <w:rsid w:val="007B321C"/>
    <w:rsid w:val="007B33E5"/>
    <w:rsid w:val="007B341D"/>
    <w:rsid w:val="007B342A"/>
    <w:rsid w:val="007B367E"/>
    <w:rsid w:val="007B36BF"/>
    <w:rsid w:val="007B38F5"/>
    <w:rsid w:val="007B394D"/>
    <w:rsid w:val="007B3C14"/>
    <w:rsid w:val="007B3D0B"/>
    <w:rsid w:val="007B3DB6"/>
    <w:rsid w:val="007B3E08"/>
    <w:rsid w:val="007B3E22"/>
    <w:rsid w:val="007B3EDA"/>
    <w:rsid w:val="007B3F93"/>
    <w:rsid w:val="007B4261"/>
    <w:rsid w:val="007B454A"/>
    <w:rsid w:val="007B46A6"/>
    <w:rsid w:val="007B484E"/>
    <w:rsid w:val="007B48BF"/>
    <w:rsid w:val="007B4A59"/>
    <w:rsid w:val="007B4D42"/>
    <w:rsid w:val="007B4F22"/>
    <w:rsid w:val="007B51AA"/>
    <w:rsid w:val="007B5502"/>
    <w:rsid w:val="007B5764"/>
    <w:rsid w:val="007B577C"/>
    <w:rsid w:val="007B5865"/>
    <w:rsid w:val="007B598C"/>
    <w:rsid w:val="007B5A2F"/>
    <w:rsid w:val="007B5AB6"/>
    <w:rsid w:val="007B5B27"/>
    <w:rsid w:val="007B5B32"/>
    <w:rsid w:val="007B5C75"/>
    <w:rsid w:val="007B60C6"/>
    <w:rsid w:val="007B610F"/>
    <w:rsid w:val="007B61B4"/>
    <w:rsid w:val="007B629E"/>
    <w:rsid w:val="007B63BD"/>
    <w:rsid w:val="007B63CF"/>
    <w:rsid w:val="007B6656"/>
    <w:rsid w:val="007B66AC"/>
    <w:rsid w:val="007B66C1"/>
    <w:rsid w:val="007B67E6"/>
    <w:rsid w:val="007B68AF"/>
    <w:rsid w:val="007B6AEE"/>
    <w:rsid w:val="007B713D"/>
    <w:rsid w:val="007B740C"/>
    <w:rsid w:val="007B745C"/>
    <w:rsid w:val="007B7472"/>
    <w:rsid w:val="007B74F4"/>
    <w:rsid w:val="007B7573"/>
    <w:rsid w:val="007B7A13"/>
    <w:rsid w:val="007B7AAB"/>
    <w:rsid w:val="007B7F08"/>
    <w:rsid w:val="007B7F39"/>
    <w:rsid w:val="007C03BB"/>
    <w:rsid w:val="007C046E"/>
    <w:rsid w:val="007C06B2"/>
    <w:rsid w:val="007C0761"/>
    <w:rsid w:val="007C0886"/>
    <w:rsid w:val="007C0F54"/>
    <w:rsid w:val="007C1119"/>
    <w:rsid w:val="007C124F"/>
    <w:rsid w:val="007C1D9D"/>
    <w:rsid w:val="007C1E02"/>
    <w:rsid w:val="007C229C"/>
    <w:rsid w:val="007C2672"/>
    <w:rsid w:val="007C27F4"/>
    <w:rsid w:val="007C28CF"/>
    <w:rsid w:val="007C2941"/>
    <w:rsid w:val="007C29D7"/>
    <w:rsid w:val="007C2A90"/>
    <w:rsid w:val="007C2A9E"/>
    <w:rsid w:val="007C2BC7"/>
    <w:rsid w:val="007C2FC6"/>
    <w:rsid w:val="007C3215"/>
    <w:rsid w:val="007C335B"/>
    <w:rsid w:val="007C339E"/>
    <w:rsid w:val="007C34DE"/>
    <w:rsid w:val="007C3853"/>
    <w:rsid w:val="007C38B5"/>
    <w:rsid w:val="007C404B"/>
    <w:rsid w:val="007C4187"/>
    <w:rsid w:val="007C41A0"/>
    <w:rsid w:val="007C452D"/>
    <w:rsid w:val="007C4A68"/>
    <w:rsid w:val="007C4BAE"/>
    <w:rsid w:val="007C4BEE"/>
    <w:rsid w:val="007C4D64"/>
    <w:rsid w:val="007C4DD0"/>
    <w:rsid w:val="007C4EF0"/>
    <w:rsid w:val="007C4F25"/>
    <w:rsid w:val="007C4FAE"/>
    <w:rsid w:val="007C50C0"/>
    <w:rsid w:val="007C5BA9"/>
    <w:rsid w:val="007C5D88"/>
    <w:rsid w:val="007C5E70"/>
    <w:rsid w:val="007C6099"/>
    <w:rsid w:val="007C62AC"/>
    <w:rsid w:val="007C667A"/>
    <w:rsid w:val="007C68BE"/>
    <w:rsid w:val="007C6A89"/>
    <w:rsid w:val="007C6D50"/>
    <w:rsid w:val="007C6F2E"/>
    <w:rsid w:val="007C7289"/>
    <w:rsid w:val="007C73CF"/>
    <w:rsid w:val="007C764E"/>
    <w:rsid w:val="007C77C5"/>
    <w:rsid w:val="007C7A28"/>
    <w:rsid w:val="007C7AAF"/>
    <w:rsid w:val="007C7B93"/>
    <w:rsid w:val="007C7C54"/>
    <w:rsid w:val="007C7E37"/>
    <w:rsid w:val="007D01AF"/>
    <w:rsid w:val="007D044C"/>
    <w:rsid w:val="007D0962"/>
    <w:rsid w:val="007D10C8"/>
    <w:rsid w:val="007D1269"/>
    <w:rsid w:val="007D1406"/>
    <w:rsid w:val="007D1662"/>
    <w:rsid w:val="007D1AB1"/>
    <w:rsid w:val="007D1D3B"/>
    <w:rsid w:val="007D1DF0"/>
    <w:rsid w:val="007D20B0"/>
    <w:rsid w:val="007D24CF"/>
    <w:rsid w:val="007D2609"/>
    <w:rsid w:val="007D2732"/>
    <w:rsid w:val="007D290F"/>
    <w:rsid w:val="007D2A15"/>
    <w:rsid w:val="007D2A6A"/>
    <w:rsid w:val="007D2B52"/>
    <w:rsid w:val="007D2B74"/>
    <w:rsid w:val="007D2BAE"/>
    <w:rsid w:val="007D2D56"/>
    <w:rsid w:val="007D3165"/>
    <w:rsid w:val="007D32B3"/>
    <w:rsid w:val="007D3425"/>
    <w:rsid w:val="007D3560"/>
    <w:rsid w:val="007D3B80"/>
    <w:rsid w:val="007D3C95"/>
    <w:rsid w:val="007D3DF2"/>
    <w:rsid w:val="007D4068"/>
    <w:rsid w:val="007D4173"/>
    <w:rsid w:val="007D41C2"/>
    <w:rsid w:val="007D4284"/>
    <w:rsid w:val="007D4621"/>
    <w:rsid w:val="007D46AD"/>
    <w:rsid w:val="007D47A8"/>
    <w:rsid w:val="007D495A"/>
    <w:rsid w:val="007D4982"/>
    <w:rsid w:val="007D4D87"/>
    <w:rsid w:val="007D4E55"/>
    <w:rsid w:val="007D4E79"/>
    <w:rsid w:val="007D5134"/>
    <w:rsid w:val="007D531F"/>
    <w:rsid w:val="007D5540"/>
    <w:rsid w:val="007D5696"/>
    <w:rsid w:val="007D5787"/>
    <w:rsid w:val="007D57AF"/>
    <w:rsid w:val="007D5835"/>
    <w:rsid w:val="007D5960"/>
    <w:rsid w:val="007D5A85"/>
    <w:rsid w:val="007D5A97"/>
    <w:rsid w:val="007D5B4E"/>
    <w:rsid w:val="007D5C9A"/>
    <w:rsid w:val="007D5D81"/>
    <w:rsid w:val="007D6002"/>
    <w:rsid w:val="007D606A"/>
    <w:rsid w:val="007D65F6"/>
    <w:rsid w:val="007D689A"/>
    <w:rsid w:val="007D6913"/>
    <w:rsid w:val="007D6A83"/>
    <w:rsid w:val="007D6C0C"/>
    <w:rsid w:val="007D6FF2"/>
    <w:rsid w:val="007D70A0"/>
    <w:rsid w:val="007D7123"/>
    <w:rsid w:val="007D76CE"/>
    <w:rsid w:val="007D7882"/>
    <w:rsid w:val="007D7C3C"/>
    <w:rsid w:val="007D7D31"/>
    <w:rsid w:val="007E0148"/>
    <w:rsid w:val="007E025A"/>
    <w:rsid w:val="007E0262"/>
    <w:rsid w:val="007E03C7"/>
    <w:rsid w:val="007E0521"/>
    <w:rsid w:val="007E06B3"/>
    <w:rsid w:val="007E0746"/>
    <w:rsid w:val="007E0D25"/>
    <w:rsid w:val="007E114E"/>
    <w:rsid w:val="007E1167"/>
    <w:rsid w:val="007E119B"/>
    <w:rsid w:val="007E1405"/>
    <w:rsid w:val="007E15F0"/>
    <w:rsid w:val="007E17E8"/>
    <w:rsid w:val="007E17FA"/>
    <w:rsid w:val="007E199F"/>
    <w:rsid w:val="007E2074"/>
    <w:rsid w:val="007E22D4"/>
    <w:rsid w:val="007E2569"/>
    <w:rsid w:val="007E29EE"/>
    <w:rsid w:val="007E2B82"/>
    <w:rsid w:val="007E2DD3"/>
    <w:rsid w:val="007E2E45"/>
    <w:rsid w:val="007E2F1B"/>
    <w:rsid w:val="007E2F97"/>
    <w:rsid w:val="007E3130"/>
    <w:rsid w:val="007E3327"/>
    <w:rsid w:val="007E33B9"/>
    <w:rsid w:val="007E344E"/>
    <w:rsid w:val="007E3460"/>
    <w:rsid w:val="007E3588"/>
    <w:rsid w:val="007E36ED"/>
    <w:rsid w:val="007E378E"/>
    <w:rsid w:val="007E3D8A"/>
    <w:rsid w:val="007E4222"/>
    <w:rsid w:val="007E42E6"/>
    <w:rsid w:val="007E46BF"/>
    <w:rsid w:val="007E487F"/>
    <w:rsid w:val="007E4909"/>
    <w:rsid w:val="007E4A0D"/>
    <w:rsid w:val="007E4B2D"/>
    <w:rsid w:val="007E4B4F"/>
    <w:rsid w:val="007E4BFF"/>
    <w:rsid w:val="007E4C3F"/>
    <w:rsid w:val="007E5388"/>
    <w:rsid w:val="007E54E0"/>
    <w:rsid w:val="007E54FC"/>
    <w:rsid w:val="007E5736"/>
    <w:rsid w:val="007E587D"/>
    <w:rsid w:val="007E58C0"/>
    <w:rsid w:val="007E5CE4"/>
    <w:rsid w:val="007E5CE8"/>
    <w:rsid w:val="007E5FDC"/>
    <w:rsid w:val="007E62F9"/>
    <w:rsid w:val="007E6447"/>
    <w:rsid w:val="007E668F"/>
    <w:rsid w:val="007E6757"/>
    <w:rsid w:val="007E68C0"/>
    <w:rsid w:val="007E6A98"/>
    <w:rsid w:val="007E6D75"/>
    <w:rsid w:val="007E6D9B"/>
    <w:rsid w:val="007E6DE7"/>
    <w:rsid w:val="007E6E65"/>
    <w:rsid w:val="007E7124"/>
    <w:rsid w:val="007E71E9"/>
    <w:rsid w:val="007E74E3"/>
    <w:rsid w:val="007E76CB"/>
    <w:rsid w:val="007E7721"/>
    <w:rsid w:val="007E779C"/>
    <w:rsid w:val="007E79DB"/>
    <w:rsid w:val="007E7B1C"/>
    <w:rsid w:val="007E7C5C"/>
    <w:rsid w:val="007E7CB2"/>
    <w:rsid w:val="007E7CF2"/>
    <w:rsid w:val="007F007B"/>
    <w:rsid w:val="007F02B2"/>
    <w:rsid w:val="007F02C7"/>
    <w:rsid w:val="007F02EE"/>
    <w:rsid w:val="007F032B"/>
    <w:rsid w:val="007F0377"/>
    <w:rsid w:val="007F061D"/>
    <w:rsid w:val="007F0880"/>
    <w:rsid w:val="007F0B0F"/>
    <w:rsid w:val="007F0CBE"/>
    <w:rsid w:val="007F0DD0"/>
    <w:rsid w:val="007F10CC"/>
    <w:rsid w:val="007F1191"/>
    <w:rsid w:val="007F12E0"/>
    <w:rsid w:val="007F1338"/>
    <w:rsid w:val="007F160D"/>
    <w:rsid w:val="007F1873"/>
    <w:rsid w:val="007F1BFB"/>
    <w:rsid w:val="007F1D06"/>
    <w:rsid w:val="007F1E49"/>
    <w:rsid w:val="007F1ECD"/>
    <w:rsid w:val="007F1F25"/>
    <w:rsid w:val="007F270C"/>
    <w:rsid w:val="007F283A"/>
    <w:rsid w:val="007F2C72"/>
    <w:rsid w:val="007F2EB2"/>
    <w:rsid w:val="007F2F7E"/>
    <w:rsid w:val="007F3034"/>
    <w:rsid w:val="007F30E1"/>
    <w:rsid w:val="007F344C"/>
    <w:rsid w:val="007F34A3"/>
    <w:rsid w:val="007F365C"/>
    <w:rsid w:val="007F3745"/>
    <w:rsid w:val="007F375B"/>
    <w:rsid w:val="007F37D0"/>
    <w:rsid w:val="007F39AC"/>
    <w:rsid w:val="007F3FB8"/>
    <w:rsid w:val="007F4C4D"/>
    <w:rsid w:val="007F4DAB"/>
    <w:rsid w:val="007F5287"/>
    <w:rsid w:val="007F5799"/>
    <w:rsid w:val="007F593A"/>
    <w:rsid w:val="007F5A11"/>
    <w:rsid w:val="007F5BE0"/>
    <w:rsid w:val="007F5BF1"/>
    <w:rsid w:val="007F5EE2"/>
    <w:rsid w:val="007F618B"/>
    <w:rsid w:val="007F62F3"/>
    <w:rsid w:val="007F66F4"/>
    <w:rsid w:val="007F6806"/>
    <w:rsid w:val="007F68DC"/>
    <w:rsid w:val="007F68DF"/>
    <w:rsid w:val="007F68F2"/>
    <w:rsid w:val="007F6B28"/>
    <w:rsid w:val="007F6D6C"/>
    <w:rsid w:val="007F6F0D"/>
    <w:rsid w:val="007F70AF"/>
    <w:rsid w:val="007F70B9"/>
    <w:rsid w:val="007F7137"/>
    <w:rsid w:val="007F7A75"/>
    <w:rsid w:val="007F7C14"/>
    <w:rsid w:val="007F7C48"/>
    <w:rsid w:val="007F7E5D"/>
    <w:rsid w:val="007F7ECC"/>
    <w:rsid w:val="0080006E"/>
    <w:rsid w:val="00800318"/>
    <w:rsid w:val="00800462"/>
    <w:rsid w:val="0080048C"/>
    <w:rsid w:val="008006EC"/>
    <w:rsid w:val="008007B7"/>
    <w:rsid w:val="00800E62"/>
    <w:rsid w:val="00800F35"/>
    <w:rsid w:val="00800FD7"/>
    <w:rsid w:val="008010D7"/>
    <w:rsid w:val="0080128D"/>
    <w:rsid w:val="0080147D"/>
    <w:rsid w:val="008016CA"/>
    <w:rsid w:val="008017B6"/>
    <w:rsid w:val="00801C77"/>
    <w:rsid w:val="00801DB0"/>
    <w:rsid w:val="00801E04"/>
    <w:rsid w:val="008020A1"/>
    <w:rsid w:val="00802436"/>
    <w:rsid w:val="00802638"/>
    <w:rsid w:val="00802A65"/>
    <w:rsid w:val="00802D78"/>
    <w:rsid w:val="00802DF1"/>
    <w:rsid w:val="00803432"/>
    <w:rsid w:val="00803443"/>
    <w:rsid w:val="008036C0"/>
    <w:rsid w:val="008036E7"/>
    <w:rsid w:val="008039BF"/>
    <w:rsid w:val="00803AFE"/>
    <w:rsid w:val="00803E7E"/>
    <w:rsid w:val="00803F6A"/>
    <w:rsid w:val="00804069"/>
    <w:rsid w:val="008040DF"/>
    <w:rsid w:val="00804131"/>
    <w:rsid w:val="00804144"/>
    <w:rsid w:val="008041AA"/>
    <w:rsid w:val="008041DE"/>
    <w:rsid w:val="0080450E"/>
    <w:rsid w:val="00804530"/>
    <w:rsid w:val="00804894"/>
    <w:rsid w:val="008048F5"/>
    <w:rsid w:val="00804A6F"/>
    <w:rsid w:val="00804B0E"/>
    <w:rsid w:val="00804B1E"/>
    <w:rsid w:val="00804D52"/>
    <w:rsid w:val="00804FEA"/>
    <w:rsid w:val="00805159"/>
    <w:rsid w:val="0080516A"/>
    <w:rsid w:val="008056F3"/>
    <w:rsid w:val="00805794"/>
    <w:rsid w:val="00805930"/>
    <w:rsid w:val="00805D9C"/>
    <w:rsid w:val="00806126"/>
    <w:rsid w:val="008061D6"/>
    <w:rsid w:val="0080624A"/>
    <w:rsid w:val="008062DF"/>
    <w:rsid w:val="0080646D"/>
    <w:rsid w:val="0080651F"/>
    <w:rsid w:val="0080680D"/>
    <w:rsid w:val="00806865"/>
    <w:rsid w:val="00806C9D"/>
    <w:rsid w:val="00807138"/>
    <w:rsid w:val="00807578"/>
    <w:rsid w:val="0080773F"/>
    <w:rsid w:val="0080786A"/>
    <w:rsid w:val="0080795B"/>
    <w:rsid w:val="00807AA3"/>
    <w:rsid w:val="00807D27"/>
    <w:rsid w:val="00807F10"/>
    <w:rsid w:val="00810139"/>
    <w:rsid w:val="00810408"/>
    <w:rsid w:val="008104D1"/>
    <w:rsid w:val="00810552"/>
    <w:rsid w:val="008105B3"/>
    <w:rsid w:val="00810614"/>
    <w:rsid w:val="008107D1"/>
    <w:rsid w:val="00810871"/>
    <w:rsid w:val="00810B2C"/>
    <w:rsid w:val="008110BA"/>
    <w:rsid w:val="008111CF"/>
    <w:rsid w:val="0081154C"/>
    <w:rsid w:val="00811652"/>
    <w:rsid w:val="00811891"/>
    <w:rsid w:val="00811C12"/>
    <w:rsid w:val="00811CEA"/>
    <w:rsid w:val="00811D79"/>
    <w:rsid w:val="00811E9E"/>
    <w:rsid w:val="0081209B"/>
    <w:rsid w:val="00812172"/>
    <w:rsid w:val="008122A4"/>
    <w:rsid w:val="008127F9"/>
    <w:rsid w:val="00812A4B"/>
    <w:rsid w:val="00812C05"/>
    <w:rsid w:val="00812DF0"/>
    <w:rsid w:val="00812EF5"/>
    <w:rsid w:val="00812FA4"/>
    <w:rsid w:val="008130B3"/>
    <w:rsid w:val="008130C4"/>
    <w:rsid w:val="0081322A"/>
    <w:rsid w:val="00813480"/>
    <w:rsid w:val="008135A8"/>
    <w:rsid w:val="0081367C"/>
    <w:rsid w:val="008136F8"/>
    <w:rsid w:val="008137B6"/>
    <w:rsid w:val="00813A02"/>
    <w:rsid w:val="00813A44"/>
    <w:rsid w:val="00813B8D"/>
    <w:rsid w:val="00813C26"/>
    <w:rsid w:val="00813DC9"/>
    <w:rsid w:val="00813FD5"/>
    <w:rsid w:val="0081423C"/>
    <w:rsid w:val="008143D9"/>
    <w:rsid w:val="00814693"/>
    <w:rsid w:val="00814746"/>
    <w:rsid w:val="008148C2"/>
    <w:rsid w:val="00814D2B"/>
    <w:rsid w:val="00814EBC"/>
    <w:rsid w:val="00814FFC"/>
    <w:rsid w:val="00815055"/>
    <w:rsid w:val="008151CC"/>
    <w:rsid w:val="0081521F"/>
    <w:rsid w:val="008153C9"/>
    <w:rsid w:val="00815617"/>
    <w:rsid w:val="008158D3"/>
    <w:rsid w:val="008158DC"/>
    <w:rsid w:val="008159C8"/>
    <w:rsid w:val="00815A2A"/>
    <w:rsid w:val="00815E12"/>
    <w:rsid w:val="0081629B"/>
    <w:rsid w:val="008162AB"/>
    <w:rsid w:val="008164EB"/>
    <w:rsid w:val="008169C0"/>
    <w:rsid w:val="008169E7"/>
    <w:rsid w:val="00816B48"/>
    <w:rsid w:val="00816E7C"/>
    <w:rsid w:val="0081766B"/>
    <w:rsid w:val="00817944"/>
    <w:rsid w:val="00817A08"/>
    <w:rsid w:val="00817A68"/>
    <w:rsid w:val="00820071"/>
    <w:rsid w:val="00820281"/>
    <w:rsid w:val="008203C0"/>
    <w:rsid w:val="00820684"/>
    <w:rsid w:val="00820BC4"/>
    <w:rsid w:val="00820C60"/>
    <w:rsid w:val="00820F65"/>
    <w:rsid w:val="0082130E"/>
    <w:rsid w:val="008213F6"/>
    <w:rsid w:val="0082158C"/>
    <w:rsid w:val="00821747"/>
    <w:rsid w:val="00821C6A"/>
    <w:rsid w:val="00821EE3"/>
    <w:rsid w:val="00822048"/>
    <w:rsid w:val="0082210E"/>
    <w:rsid w:val="008223E4"/>
    <w:rsid w:val="0082253F"/>
    <w:rsid w:val="00822762"/>
    <w:rsid w:val="008227E3"/>
    <w:rsid w:val="008228A4"/>
    <w:rsid w:val="008228EE"/>
    <w:rsid w:val="00822AB9"/>
    <w:rsid w:val="00822AC0"/>
    <w:rsid w:val="00822C58"/>
    <w:rsid w:val="00822CF8"/>
    <w:rsid w:val="00822D96"/>
    <w:rsid w:val="0082353F"/>
    <w:rsid w:val="0082369E"/>
    <w:rsid w:val="00823A3C"/>
    <w:rsid w:val="00823AEB"/>
    <w:rsid w:val="00823C4B"/>
    <w:rsid w:val="00823E43"/>
    <w:rsid w:val="00823F22"/>
    <w:rsid w:val="00824052"/>
    <w:rsid w:val="0082419F"/>
    <w:rsid w:val="008241E6"/>
    <w:rsid w:val="00824399"/>
    <w:rsid w:val="008246CB"/>
    <w:rsid w:val="008249A1"/>
    <w:rsid w:val="00824CDD"/>
    <w:rsid w:val="00824E21"/>
    <w:rsid w:val="00824EF0"/>
    <w:rsid w:val="00824EF2"/>
    <w:rsid w:val="0082515D"/>
    <w:rsid w:val="008252C7"/>
    <w:rsid w:val="008253BF"/>
    <w:rsid w:val="008254A6"/>
    <w:rsid w:val="008255DB"/>
    <w:rsid w:val="00825933"/>
    <w:rsid w:val="00825CF5"/>
    <w:rsid w:val="00825FE5"/>
    <w:rsid w:val="0082604B"/>
    <w:rsid w:val="00826220"/>
    <w:rsid w:val="0082624E"/>
    <w:rsid w:val="008264F4"/>
    <w:rsid w:val="00826747"/>
    <w:rsid w:val="008267DA"/>
    <w:rsid w:val="008267E5"/>
    <w:rsid w:val="0082699A"/>
    <w:rsid w:val="00826A77"/>
    <w:rsid w:val="00826B50"/>
    <w:rsid w:val="00826BA6"/>
    <w:rsid w:val="00826BDA"/>
    <w:rsid w:val="00826C83"/>
    <w:rsid w:val="00826D47"/>
    <w:rsid w:val="00827368"/>
    <w:rsid w:val="0082792E"/>
    <w:rsid w:val="00827AAC"/>
    <w:rsid w:val="00827BA0"/>
    <w:rsid w:val="00827C83"/>
    <w:rsid w:val="00827D6E"/>
    <w:rsid w:val="00827DC0"/>
    <w:rsid w:val="00827DEF"/>
    <w:rsid w:val="00827F0B"/>
    <w:rsid w:val="00827F65"/>
    <w:rsid w:val="00830040"/>
    <w:rsid w:val="0083010F"/>
    <w:rsid w:val="0083024C"/>
    <w:rsid w:val="008302B7"/>
    <w:rsid w:val="00830340"/>
    <w:rsid w:val="008303A5"/>
    <w:rsid w:val="008304B9"/>
    <w:rsid w:val="00830848"/>
    <w:rsid w:val="00830A36"/>
    <w:rsid w:val="00830A7C"/>
    <w:rsid w:val="00830F45"/>
    <w:rsid w:val="0083115E"/>
    <w:rsid w:val="0083118A"/>
    <w:rsid w:val="00831279"/>
    <w:rsid w:val="00831282"/>
    <w:rsid w:val="008317B5"/>
    <w:rsid w:val="00831864"/>
    <w:rsid w:val="00831D5F"/>
    <w:rsid w:val="00831FC2"/>
    <w:rsid w:val="00832079"/>
    <w:rsid w:val="008323C2"/>
    <w:rsid w:val="00832565"/>
    <w:rsid w:val="0083256E"/>
    <w:rsid w:val="0083269B"/>
    <w:rsid w:val="00832836"/>
    <w:rsid w:val="00832B42"/>
    <w:rsid w:val="00832BB0"/>
    <w:rsid w:val="00832D79"/>
    <w:rsid w:val="00832F4C"/>
    <w:rsid w:val="00832F98"/>
    <w:rsid w:val="008330FE"/>
    <w:rsid w:val="008331D0"/>
    <w:rsid w:val="008333AF"/>
    <w:rsid w:val="008335EF"/>
    <w:rsid w:val="008336EC"/>
    <w:rsid w:val="008337D2"/>
    <w:rsid w:val="008338BB"/>
    <w:rsid w:val="008339CD"/>
    <w:rsid w:val="00833B23"/>
    <w:rsid w:val="00833B95"/>
    <w:rsid w:val="00833D58"/>
    <w:rsid w:val="00833DDB"/>
    <w:rsid w:val="00833E1F"/>
    <w:rsid w:val="00833E6F"/>
    <w:rsid w:val="00833F32"/>
    <w:rsid w:val="00833F3F"/>
    <w:rsid w:val="00833FBC"/>
    <w:rsid w:val="0083438F"/>
    <w:rsid w:val="00834608"/>
    <w:rsid w:val="008346C2"/>
    <w:rsid w:val="008346F0"/>
    <w:rsid w:val="008349B6"/>
    <w:rsid w:val="00834C54"/>
    <w:rsid w:val="00834D64"/>
    <w:rsid w:val="0083508E"/>
    <w:rsid w:val="0083582D"/>
    <w:rsid w:val="00835B07"/>
    <w:rsid w:val="00835B3E"/>
    <w:rsid w:val="00835D4F"/>
    <w:rsid w:val="00835F6A"/>
    <w:rsid w:val="0083608A"/>
    <w:rsid w:val="008360A1"/>
    <w:rsid w:val="0083639B"/>
    <w:rsid w:val="00836467"/>
    <w:rsid w:val="008366D7"/>
    <w:rsid w:val="00836A63"/>
    <w:rsid w:val="00836A70"/>
    <w:rsid w:val="00836D98"/>
    <w:rsid w:val="00836E9D"/>
    <w:rsid w:val="00837044"/>
    <w:rsid w:val="008372E7"/>
    <w:rsid w:val="008374D2"/>
    <w:rsid w:val="008375A0"/>
    <w:rsid w:val="0083793B"/>
    <w:rsid w:val="00837AA4"/>
    <w:rsid w:val="00837CF3"/>
    <w:rsid w:val="00837D9B"/>
    <w:rsid w:val="00837DCA"/>
    <w:rsid w:val="00837FBE"/>
    <w:rsid w:val="0084002A"/>
    <w:rsid w:val="00840287"/>
    <w:rsid w:val="00840417"/>
    <w:rsid w:val="0084082E"/>
    <w:rsid w:val="00840A83"/>
    <w:rsid w:val="00840CA5"/>
    <w:rsid w:val="00841533"/>
    <w:rsid w:val="008417A6"/>
    <w:rsid w:val="008418D7"/>
    <w:rsid w:val="00841A3B"/>
    <w:rsid w:val="00841B13"/>
    <w:rsid w:val="00841D44"/>
    <w:rsid w:val="00841D46"/>
    <w:rsid w:val="00841E76"/>
    <w:rsid w:val="00841E92"/>
    <w:rsid w:val="00842135"/>
    <w:rsid w:val="00842323"/>
    <w:rsid w:val="0084257C"/>
    <w:rsid w:val="008427F5"/>
    <w:rsid w:val="00842AB6"/>
    <w:rsid w:val="00842BA0"/>
    <w:rsid w:val="00842DD1"/>
    <w:rsid w:val="00842E09"/>
    <w:rsid w:val="00843016"/>
    <w:rsid w:val="00843148"/>
    <w:rsid w:val="008433F8"/>
    <w:rsid w:val="00843531"/>
    <w:rsid w:val="00843577"/>
    <w:rsid w:val="00843784"/>
    <w:rsid w:val="00843971"/>
    <w:rsid w:val="00843AE8"/>
    <w:rsid w:val="00843E6F"/>
    <w:rsid w:val="008441CE"/>
    <w:rsid w:val="008443E7"/>
    <w:rsid w:val="008445B4"/>
    <w:rsid w:val="00844680"/>
    <w:rsid w:val="00844802"/>
    <w:rsid w:val="00844890"/>
    <w:rsid w:val="008448B1"/>
    <w:rsid w:val="008448CD"/>
    <w:rsid w:val="00844A90"/>
    <w:rsid w:val="00844E7A"/>
    <w:rsid w:val="00844F46"/>
    <w:rsid w:val="00844F83"/>
    <w:rsid w:val="00845080"/>
    <w:rsid w:val="0084524A"/>
    <w:rsid w:val="00845381"/>
    <w:rsid w:val="00845458"/>
    <w:rsid w:val="00845487"/>
    <w:rsid w:val="00845499"/>
    <w:rsid w:val="008456CE"/>
    <w:rsid w:val="00845881"/>
    <w:rsid w:val="00845899"/>
    <w:rsid w:val="00845994"/>
    <w:rsid w:val="008459CA"/>
    <w:rsid w:val="0084605E"/>
    <w:rsid w:val="008460D6"/>
    <w:rsid w:val="0084632D"/>
    <w:rsid w:val="00846679"/>
    <w:rsid w:val="00846C00"/>
    <w:rsid w:val="00846E05"/>
    <w:rsid w:val="00846E4A"/>
    <w:rsid w:val="008474BF"/>
    <w:rsid w:val="008476D6"/>
    <w:rsid w:val="0084780D"/>
    <w:rsid w:val="0084798C"/>
    <w:rsid w:val="00847C2B"/>
    <w:rsid w:val="00847D46"/>
    <w:rsid w:val="00847F20"/>
    <w:rsid w:val="00850128"/>
    <w:rsid w:val="008502E9"/>
    <w:rsid w:val="0085033B"/>
    <w:rsid w:val="008503D0"/>
    <w:rsid w:val="00850581"/>
    <w:rsid w:val="00850832"/>
    <w:rsid w:val="0085085A"/>
    <w:rsid w:val="00850D14"/>
    <w:rsid w:val="00850F04"/>
    <w:rsid w:val="00851046"/>
    <w:rsid w:val="00851100"/>
    <w:rsid w:val="00851111"/>
    <w:rsid w:val="0085127C"/>
    <w:rsid w:val="00851575"/>
    <w:rsid w:val="00851654"/>
    <w:rsid w:val="008516C9"/>
    <w:rsid w:val="008516D4"/>
    <w:rsid w:val="00851AF5"/>
    <w:rsid w:val="00851C86"/>
    <w:rsid w:val="00851D52"/>
    <w:rsid w:val="00851DAA"/>
    <w:rsid w:val="00851E3A"/>
    <w:rsid w:val="00851EA9"/>
    <w:rsid w:val="00851FB5"/>
    <w:rsid w:val="008521DB"/>
    <w:rsid w:val="008522D5"/>
    <w:rsid w:val="008523B5"/>
    <w:rsid w:val="00852677"/>
    <w:rsid w:val="0085275C"/>
    <w:rsid w:val="00852766"/>
    <w:rsid w:val="008527D1"/>
    <w:rsid w:val="008529F2"/>
    <w:rsid w:val="00852A40"/>
    <w:rsid w:val="00852B97"/>
    <w:rsid w:val="00852DB4"/>
    <w:rsid w:val="00852DB9"/>
    <w:rsid w:val="00852EC6"/>
    <w:rsid w:val="00852ECF"/>
    <w:rsid w:val="008531BB"/>
    <w:rsid w:val="008533EE"/>
    <w:rsid w:val="008534D7"/>
    <w:rsid w:val="008535E4"/>
    <w:rsid w:val="0085379C"/>
    <w:rsid w:val="00853BC5"/>
    <w:rsid w:val="00853F22"/>
    <w:rsid w:val="0085404C"/>
    <w:rsid w:val="008540D6"/>
    <w:rsid w:val="008541F8"/>
    <w:rsid w:val="00854332"/>
    <w:rsid w:val="008543AB"/>
    <w:rsid w:val="00854509"/>
    <w:rsid w:val="00854670"/>
    <w:rsid w:val="00854724"/>
    <w:rsid w:val="008547E3"/>
    <w:rsid w:val="00854860"/>
    <w:rsid w:val="00854DAA"/>
    <w:rsid w:val="00854FF9"/>
    <w:rsid w:val="008550CB"/>
    <w:rsid w:val="00855513"/>
    <w:rsid w:val="00855761"/>
    <w:rsid w:val="00855B60"/>
    <w:rsid w:val="00855D10"/>
    <w:rsid w:val="00855E0B"/>
    <w:rsid w:val="008560B9"/>
    <w:rsid w:val="008561E8"/>
    <w:rsid w:val="0085624D"/>
    <w:rsid w:val="008562AC"/>
    <w:rsid w:val="00856882"/>
    <w:rsid w:val="008569B2"/>
    <w:rsid w:val="00856A20"/>
    <w:rsid w:val="00856D81"/>
    <w:rsid w:val="008570DB"/>
    <w:rsid w:val="0085710F"/>
    <w:rsid w:val="0085718B"/>
    <w:rsid w:val="008573D2"/>
    <w:rsid w:val="0085785E"/>
    <w:rsid w:val="00857897"/>
    <w:rsid w:val="008579C6"/>
    <w:rsid w:val="00857A69"/>
    <w:rsid w:val="00857C9C"/>
    <w:rsid w:val="00857CA1"/>
    <w:rsid w:val="00857D55"/>
    <w:rsid w:val="00857EE8"/>
    <w:rsid w:val="00860390"/>
    <w:rsid w:val="008603CB"/>
    <w:rsid w:val="0086064C"/>
    <w:rsid w:val="0086078F"/>
    <w:rsid w:val="00860793"/>
    <w:rsid w:val="008608A3"/>
    <w:rsid w:val="0086092E"/>
    <w:rsid w:val="008609A3"/>
    <w:rsid w:val="00860A31"/>
    <w:rsid w:val="00860A96"/>
    <w:rsid w:val="00860B4C"/>
    <w:rsid w:val="00860D6C"/>
    <w:rsid w:val="00860EB0"/>
    <w:rsid w:val="0086104E"/>
    <w:rsid w:val="008610D2"/>
    <w:rsid w:val="008612B7"/>
    <w:rsid w:val="0086169D"/>
    <w:rsid w:val="008616D8"/>
    <w:rsid w:val="00861ACE"/>
    <w:rsid w:val="00861B3D"/>
    <w:rsid w:val="00861B8D"/>
    <w:rsid w:val="00862196"/>
    <w:rsid w:val="008622FB"/>
    <w:rsid w:val="0086242C"/>
    <w:rsid w:val="0086247C"/>
    <w:rsid w:val="008626B9"/>
    <w:rsid w:val="00862721"/>
    <w:rsid w:val="00862CC3"/>
    <w:rsid w:val="00862E22"/>
    <w:rsid w:val="0086310F"/>
    <w:rsid w:val="0086339B"/>
    <w:rsid w:val="0086362C"/>
    <w:rsid w:val="008636D8"/>
    <w:rsid w:val="0086396F"/>
    <w:rsid w:val="00863A17"/>
    <w:rsid w:val="00863D0C"/>
    <w:rsid w:val="00863D2F"/>
    <w:rsid w:val="00863EA1"/>
    <w:rsid w:val="00864466"/>
    <w:rsid w:val="0086447F"/>
    <w:rsid w:val="00864599"/>
    <w:rsid w:val="008647DE"/>
    <w:rsid w:val="00864A8A"/>
    <w:rsid w:val="00864B95"/>
    <w:rsid w:val="00864DC5"/>
    <w:rsid w:val="00864DEB"/>
    <w:rsid w:val="00864E48"/>
    <w:rsid w:val="00865075"/>
    <w:rsid w:val="0086539C"/>
    <w:rsid w:val="0086549E"/>
    <w:rsid w:val="008654D4"/>
    <w:rsid w:val="008656A2"/>
    <w:rsid w:val="00865737"/>
    <w:rsid w:val="00865D77"/>
    <w:rsid w:val="00865E72"/>
    <w:rsid w:val="00865F33"/>
    <w:rsid w:val="00865F6D"/>
    <w:rsid w:val="00866142"/>
    <w:rsid w:val="00866277"/>
    <w:rsid w:val="0086630E"/>
    <w:rsid w:val="0086631B"/>
    <w:rsid w:val="008664A1"/>
    <w:rsid w:val="008664FE"/>
    <w:rsid w:val="0086663F"/>
    <w:rsid w:val="00866788"/>
    <w:rsid w:val="008667B8"/>
    <w:rsid w:val="008667FE"/>
    <w:rsid w:val="008668F6"/>
    <w:rsid w:val="00866A85"/>
    <w:rsid w:val="00866ACC"/>
    <w:rsid w:val="00866C0E"/>
    <w:rsid w:val="00866C80"/>
    <w:rsid w:val="00866EFA"/>
    <w:rsid w:val="00867003"/>
    <w:rsid w:val="0086708F"/>
    <w:rsid w:val="008673EB"/>
    <w:rsid w:val="008673F6"/>
    <w:rsid w:val="0086746F"/>
    <w:rsid w:val="00867488"/>
    <w:rsid w:val="008676C5"/>
    <w:rsid w:val="008678A8"/>
    <w:rsid w:val="0086798A"/>
    <w:rsid w:val="00867DA2"/>
    <w:rsid w:val="00870122"/>
    <w:rsid w:val="008702C7"/>
    <w:rsid w:val="00870402"/>
    <w:rsid w:val="0087048A"/>
    <w:rsid w:val="008705D6"/>
    <w:rsid w:val="00870BFB"/>
    <w:rsid w:val="00870C2B"/>
    <w:rsid w:val="00870D00"/>
    <w:rsid w:val="00870D1C"/>
    <w:rsid w:val="008712E0"/>
    <w:rsid w:val="008713BA"/>
    <w:rsid w:val="008715C8"/>
    <w:rsid w:val="0087190D"/>
    <w:rsid w:val="00871C23"/>
    <w:rsid w:val="00871C8A"/>
    <w:rsid w:val="00871C95"/>
    <w:rsid w:val="00871CFC"/>
    <w:rsid w:val="00871D49"/>
    <w:rsid w:val="00871DDA"/>
    <w:rsid w:val="00871E5E"/>
    <w:rsid w:val="00872004"/>
    <w:rsid w:val="00872072"/>
    <w:rsid w:val="0087211F"/>
    <w:rsid w:val="00872175"/>
    <w:rsid w:val="0087227D"/>
    <w:rsid w:val="00872295"/>
    <w:rsid w:val="008723B7"/>
    <w:rsid w:val="00872464"/>
    <w:rsid w:val="008727F1"/>
    <w:rsid w:val="00872926"/>
    <w:rsid w:val="0087324E"/>
    <w:rsid w:val="00873275"/>
    <w:rsid w:val="00873306"/>
    <w:rsid w:val="00873620"/>
    <w:rsid w:val="0087392E"/>
    <w:rsid w:val="00873BDE"/>
    <w:rsid w:val="00873C67"/>
    <w:rsid w:val="00873EFF"/>
    <w:rsid w:val="00874037"/>
    <w:rsid w:val="00874159"/>
    <w:rsid w:val="00874194"/>
    <w:rsid w:val="00874281"/>
    <w:rsid w:val="008747A6"/>
    <w:rsid w:val="00874ABD"/>
    <w:rsid w:val="00874DB0"/>
    <w:rsid w:val="00874E64"/>
    <w:rsid w:val="0087517F"/>
    <w:rsid w:val="008756A3"/>
    <w:rsid w:val="0087572C"/>
    <w:rsid w:val="00875A5A"/>
    <w:rsid w:val="00875A72"/>
    <w:rsid w:val="00875E1A"/>
    <w:rsid w:val="008760EF"/>
    <w:rsid w:val="00876567"/>
    <w:rsid w:val="00876B7E"/>
    <w:rsid w:val="00876B8D"/>
    <w:rsid w:val="00876D2F"/>
    <w:rsid w:val="00876EB6"/>
    <w:rsid w:val="00876F19"/>
    <w:rsid w:val="00877051"/>
    <w:rsid w:val="008771D1"/>
    <w:rsid w:val="008771EA"/>
    <w:rsid w:val="00877277"/>
    <w:rsid w:val="008773A1"/>
    <w:rsid w:val="00877727"/>
    <w:rsid w:val="008778F9"/>
    <w:rsid w:val="00877A07"/>
    <w:rsid w:val="00877B1A"/>
    <w:rsid w:val="00877E7E"/>
    <w:rsid w:val="00877E9C"/>
    <w:rsid w:val="00880074"/>
    <w:rsid w:val="008800D3"/>
    <w:rsid w:val="00880159"/>
    <w:rsid w:val="00880651"/>
    <w:rsid w:val="008807CD"/>
    <w:rsid w:val="008808E1"/>
    <w:rsid w:val="00880C56"/>
    <w:rsid w:val="00880D54"/>
    <w:rsid w:val="00880D8E"/>
    <w:rsid w:val="00880F1A"/>
    <w:rsid w:val="00881133"/>
    <w:rsid w:val="0088141F"/>
    <w:rsid w:val="0088150A"/>
    <w:rsid w:val="008816A8"/>
    <w:rsid w:val="00881ADB"/>
    <w:rsid w:val="00881B11"/>
    <w:rsid w:val="00881B16"/>
    <w:rsid w:val="00881C85"/>
    <w:rsid w:val="00882181"/>
    <w:rsid w:val="008822DC"/>
    <w:rsid w:val="0088236F"/>
    <w:rsid w:val="00882748"/>
    <w:rsid w:val="0088286F"/>
    <w:rsid w:val="00882A86"/>
    <w:rsid w:val="00882AB4"/>
    <w:rsid w:val="00882B3C"/>
    <w:rsid w:val="00882D12"/>
    <w:rsid w:val="00882F3C"/>
    <w:rsid w:val="008830DD"/>
    <w:rsid w:val="008831D1"/>
    <w:rsid w:val="0088360D"/>
    <w:rsid w:val="008837C2"/>
    <w:rsid w:val="00883B56"/>
    <w:rsid w:val="00883CA4"/>
    <w:rsid w:val="00883E2B"/>
    <w:rsid w:val="00883EC1"/>
    <w:rsid w:val="008841C5"/>
    <w:rsid w:val="008845F0"/>
    <w:rsid w:val="00884845"/>
    <w:rsid w:val="00884C79"/>
    <w:rsid w:val="00884EA2"/>
    <w:rsid w:val="0088500B"/>
    <w:rsid w:val="008853B4"/>
    <w:rsid w:val="008853C7"/>
    <w:rsid w:val="00885825"/>
    <w:rsid w:val="008858EB"/>
    <w:rsid w:val="00885A3E"/>
    <w:rsid w:val="00885B9B"/>
    <w:rsid w:val="00885D70"/>
    <w:rsid w:val="00885E43"/>
    <w:rsid w:val="00886030"/>
    <w:rsid w:val="00886093"/>
    <w:rsid w:val="00886501"/>
    <w:rsid w:val="00886531"/>
    <w:rsid w:val="0088674A"/>
    <w:rsid w:val="008868BE"/>
    <w:rsid w:val="00886A75"/>
    <w:rsid w:val="00886CDD"/>
    <w:rsid w:val="00886F36"/>
    <w:rsid w:val="00886F38"/>
    <w:rsid w:val="00886FF6"/>
    <w:rsid w:val="0088729D"/>
    <w:rsid w:val="00887315"/>
    <w:rsid w:val="008873DD"/>
    <w:rsid w:val="00887462"/>
    <w:rsid w:val="0088764C"/>
    <w:rsid w:val="0088792B"/>
    <w:rsid w:val="008879A9"/>
    <w:rsid w:val="00887A37"/>
    <w:rsid w:val="00887AB6"/>
    <w:rsid w:val="00887DBB"/>
    <w:rsid w:val="00887E1E"/>
    <w:rsid w:val="008901DA"/>
    <w:rsid w:val="0089022F"/>
    <w:rsid w:val="008906F1"/>
    <w:rsid w:val="0089074A"/>
    <w:rsid w:val="00890CFD"/>
    <w:rsid w:val="00890D81"/>
    <w:rsid w:val="008914FB"/>
    <w:rsid w:val="008915B6"/>
    <w:rsid w:val="008918FD"/>
    <w:rsid w:val="00891952"/>
    <w:rsid w:val="008919D7"/>
    <w:rsid w:val="00891CF8"/>
    <w:rsid w:val="00891D47"/>
    <w:rsid w:val="00891E1D"/>
    <w:rsid w:val="0089214D"/>
    <w:rsid w:val="008922AD"/>
    <w:rsid w:val="008929C8"/>
    <w:rsid w:val="008929CD"/>
    <w:rsid w:val="00892B2D"/>
    <w:rsid w:val="00892C20"/>
    <w:rsid w:val="00893223"/>
    <w:rsid w:val="008933CE"/>
    <w:rsid w:val="008939CD"/>
    <w:rsid w:val="00893AF4"/>
    <w:rsid w:val="00893C0D"/>
    <w:rsid w:val="00893D0C"/>
    <w:rsid w:val="00893D72"/>
    <w:rsid w:val="00893DAC"/>
    <w:rsid w:val="00894081"/>
    <w:rsid w:val="00894125"/>
    <w:rsid w:val="00894143"/>
    <w:rsid w:val="0089435A"/>
    <w:rsid w:val="00894538"/>
    <w:rsid w:val="0089455B"/>
    <w:rsid w:val="00894781"/>
    <w:rsid w:val="00894821"/>
    <w:rsid w:val="0089485F"/>
    <w:rsid w:val="00894A50"/>
    <w:rsid w:val="00894E3A"/>
    <w:rsid w:val="00894E5B"/>
    <w:rsid w:val="00894F95"/>
    <w:rsid w:val="008950EF"/>
    <w:rsid w:val="008954F9"/>
    <w:rsid w:val="0089559F"/>
    <w:rsid w:val="00895653"/>
    <w:rsid w:val="008957DD"/>
    <w:rsid w:val="00895972"/>
    <w:rsid w:val="00895DB6"/>
    <w:rsid w:val="00895DFB"/>
    <w:rsid w:val="00896449"/>
    <w:rsid w:val="00896596"/>
    <w:rsid w:val="00896856"/>
    <w:rsid w:val="008968B7"/>
    <w:rsid w:val="00896ED8"/>
    <w:rsid w:val="00897194"/>
    <w:rsid w:val="0089721E"/>
    <w:rsid w:val="0089724F"/>
    <w:rsid w:val="0089751D"/>
    <w:rsid w:val="0089754C"/>
    <w:rsid w:val="008975D9"/>
    <w:rsid w:val="00897759"/>
    <w:rsid w:val="008977CB"/>
    <w:rsid w:val="00897978"/>
    <w:rsid w:val="00897A5D"/>
    <w:rsid w:val="00897B5E"/>
    <w:rsid w:val="00897BC6"/>
    <w:rsid w:val="00897BD6"/>
    <w:rsid w:val="00897D8B"/>
    <w:rsid w:val="00897DC3"/>
    <w:rsid w:val="008A002A"/>
    <w:rsid w:val="008A00EB"/>
    <w:rsid w:val="008A014D"/>
    <w:rsid w:val="008A02EC"/>
    <w:rsid w:val="008A036F"/>
    <w:rsid w:val="008A0452"/>
    <w:rsid w:val="008A07DD"/>
    <w:rsid w:val="008A0B9A"/>
    <w:rsid w:val="008A0D33"/>
    <w:rsid w:val="008A0E11"/>
    <w:rsid w:val="008A12ED"/>
    <w:rsid w:val="008A14B7"/>
    <w:rsid w:val="008A15B8"/>
    <w:rsid w:val="008A18AD"/>
    <w:rsid w:val="008A1B0F"/>
    <w:rsid w:val="008A1B9B"/>
    <w:rsid w:val="008A20DA"/>
    <w:rsid w:val="008A21C0"/>
    <w:rsid w:val="008A21CD"/>
    <w:rsid w:val="008A27B9"/>
    <w:rsid w:val="008A27F5"/>
    <w:rsid w:val="008A28B1"/>
    <w:rsid w:val="008A2987"/>
    <w:rsid w:val="008A298B"/>
    <w:rsid w:val="008A2BC6"/>
    <w:rsid w:val="008A2D0B"/>
    <w:rsid w:val="008A2D18"/>
    <w:rsid w:val="008A2EF0"/>
    <w:rsid w:val="008A313D"/>
    <w:rsid w:val="008A3163"/>
    <w:rsid w:val="008A33B3"/>
    <w:rsid w:val="008A359B"/>
    <w:rsid w:val="008A369C"/>
    <w:rsid w:val="008A36C1"/>
    <w:rsid w:val="008A3C6F"/>
    <w:rsid w:val="008A3CC2"/>
    <w:rsid w:val="008A3CC4"/>
    <w:rsid w:val="008A4019"/>
    <w:rsid w:val="008A436D"/>
    <w:rsid w:val="008A4424"/>
    <w:rsid w:val="008A4469"/>
    <w:rsid w:val="008A461B"/>
    <w:rsid w:val="008A482E"/>
    <w:rsid w:val="008A4944"/>
    <w:rsid w:val="008A4AC4"/>
    <w:rsid w:val="008A4D27"/>
    <w:rsid w:val="008A4E05"/>
    <w:rsid w:val="008A4EDE"/>
    <w:rsid w:val="008A516F"/>
    <w:rsid w:val="008A517D"/>
    <w:rsid w:val="008A534C"/>
    <w:rsid w:val="008A53F1"/>
    <w:rsid w:val="008A54C1"/>
    <w:rsid w:val="008A5616"/>
    <w:rsid w:val="008A5709"/>
    <w:rsid w:val="008A581A"/>
    <w:rsid w:val="008A5863"/>
    <w:rsid w:val="008A5FB5"/>
    <w:rsid w:val="008A612D"/>
    <w:rsid w:val="008A6241"/>
    <w:rsid w:val="008A6395"/>
    <w:rsid w:val="008A6B2C"/>
    <w:rsid w:val="008A6B43"/>
    <w:rsid w:val="008A6C3A"/>
    <w:rsid w:val="008A6D58"/>
    <w:rsid w:val="008A7129"/>
    <w:rsid w:val="008A713E"/>
    <w:rsid w:val="008A71FC"/>
    <w:rsid w:val="008A724C"/>
    <w:rsid w:val="008A72E9"/>
    <w:rsid w:val="008A74B7"/>
    <w:rsid w:val="008A7878"/>
    <w:rsid w:val="008A7A14"/>
    <w:rsid w:val="008A7C16"/>
    <w:rsid w:val="008A7CA8"/>
    <w:rsid w:val="008A7FE2"/>
    <w:rsid w:val="008B0164"/>
    <w:rsid w:val="008B0198"/>
    <w:rsid w:val="008B01C2"/>
    <w:rsid w:val="008B0254"/>
    <w:rsid w:val="008B02F2"/>
    <w:rsid w:val="008B02F7"/>
    <w:rsid w:val="008B0421"/>
    <w:rsid w:val="008B0434"/>
    <w:rsid w:val="008B044E"/>
    <w:rsid w:val="008B0526"/>
    <w:rsid w:val="008B0805"/>
    <w:rsid w:val="008B0F41"/>
    <w:rsid w:val="008B103A"/>
    <w:rsid w:val="008B1185"/>
    <w:rsid w:val="008B1832"/>
    <w:rsid w:val="008B1A2A"/>
    <w:rsid w:val="008B1ABF"/>
    <w:rsid w:val="008B1E85"/>
    <w:rsid w:val="008B1F63"/>
    <w:rsid w:val="008B1FD2"/>
    <w:rsid w:val="008B20E3"/>
    <w:rsid w:val="008B2124"/>
    <w:rsid w:val="008B22E8"/>
    <w:rsid w:val="008B259C"/>
    <w:rsid w:val="008B261F"/>
    <w:rsid w:val="008B2636"/>
    <w:rsid w:val="008B26C7"/>
    <w:rsid w:val="008B293C"/>
    <w:rsid w:val="008B2B14"/>
    <w:rsid w:val="008B2BEE"/>
    <w:rsid w:val="008B2CBA"/>
    <w:rsid w:val="008B2ECB"/>
    <w:rsid w:val="008B30DE"/>
    <w:rsid w:val="008B3341"/>
    <w:rsid w:val="008B346D"/>
    <w:rsid w:val="008B3612"/>
    <w:rsid w:val="008B3745"/>
    <w:rsid w:val="008B3750"/>
    <w:rsid w:val="008B37C7"/>
    <w:rsid w:val="008B3A20"/>
    <w:rsid w:val="008B3C5E"/>
    <w:rsid w:val="008B4026"/>
    <w:rsid w:val="008B406E"/>
    <w:rsid w:val="008B4093"/>
    <w:rsid w:val="008B40F2"/>
    <w:rsid w:val="008B4431"/>
    <w:rsid w:val="008B4478"/>
    <w:rsid w:val="008B4608"/>
    <w:rsid w:val="008B498C"/>
    <w:rsid w:val="008B4C2C"/>
    <w:rsid w:val="008B4C35"/>
    <w:rsid w:val="008B5021"/>
    <w:rsid w:val="008B552F"/>
    <w:rsid w:val="008B5A41"/>
    <w:rsid w:val="008B5A50"/>
    <w:rsid w:val="008B5B7D"/>
    <w:rsid w:val="008B5C25"/>
    <w:rsid w:val="008B5C8F"/>
    <w:rsid w:val="008B5DD6"/>
    <w:rsid w:val="008B5F16"/>
    <w:rsid w:val="008B616E"/>
    <w:rsid w:val="008B63AC"/>
    <w:rsid w:val="008B64CC"/>
    <w:rsid w:val="008B674B"/>
    <w:rsid w:val="008B6B1E"/>
    <w:rsid w:val="008B6C38"/>
    <w:rsid w:val="008B6F7C"/>
    <w:rsid w:val="008B7183"/>
    <w:rsid w:val="008B71A5"/>
    <w:rsid w:val="008B7366"/>
    <w:rsid w:val="008B7451"/>
    <w:rsid w:val="008B7722"/>
    <w:rsid w:val="008B77AD"/>
    <w:rsid w:val="008B77CE"/>
    <w:rsid w:val="008B7868"/>
    <w:rsid w:val="008B786F"/>
    <w:rsid w:val="008B792C"/>
    <w:rsid w:val="008B7A29"/>
    <w:rsid w:val="008B7CA6"/>
    <w:rsid w:val="008B7EAB"/>
    <w:rsid w:val="008B7F69"/>
    <w:rsid w:val="008B7F9A"/>
    <w:rsid w:val="008C02BE"/>
    <w:rsid w:val="008C02E7"/>
    <w:rsid w:val="008C0336"/>
    <w:rsid w:val="008C0449"/>
    <w:rsid w:val="008C0475"/>
    <w:rsid w:val="008C0670"/>
    <w:rsid w:val="008C07DA"/>
    <w:rsid w:val="008C0849"/>
    <w:rsid w:val="008C0A53"/>
    <w:rsid w:val="008C0AE7"/>
    <w:rsid w:val="008C0AFA"/>
    <w:rsid w:val="008C0C94"/>
    <w:rsid w:val="008C0D25"/>
    <w:rsid w:val="008C0DAB"/>
    <w:rsid w:val="008C0E5C"/>
    <w:rsid w:val="008C0E9B"/>
    <w:rsid w:val="008C1272"/>
    <w:rsid w:val="008C14CD"/>
    <w:rsid w:val="008C1505"/>
    <w:rsid w:val="008C184B"/>
    <w:rsid w:val="008C18BC"/>
    <w:rsid w:val="008C1A12"/>
    <w:rsid w:val="008C1ADE"/>
    <w:rsid w:val="008C1B45"/>
    <w:rsid w:val="008C1D8A"/>
    <w:rsid w:val="008C1E2C"/>
    <w:rsid w:val="008C1F5E"/>
    <w:rsid w:val="008C1F72"/>
    <w:rsid w:val="008C250F"/>
    <w:rsid w:val="008C25C1"/>
    <w:rsid w:val="008C26ED"/>
    <w:rsid w:val="008C28D0"/>
    <w:rsid w:val="008C28ED"/>
    <w:rsid w:val="008C2AE3"/>
    <w:rsid w:val="008C2BB5"/>
    <w:rsid w:val="008C320B"/>
    <w:rsid w:val="008C3387"/>
    <w:rsid w:val="008C343F"/>
    <w:rsid w:val="008C36BD"/>
    <w:rsid w:val="008C39E1"/>
    <w:rsid w:val="008C3A1E"/>
    <w:rsid w:val="008C3AC4"/>
    <w:rsid w:val="008C3B3A"/>
    <w:rsid w:val="008C3C63"/>
    <w:rsid w:val="008C3D3D"/>
    <w:rsid w:val="008C3E86"/>
    <w:rsid w:val="008C3FA2"/>
    <w:rsid w:val="008C4206"/>
    <w:rsid w:val="008C43E2"/>
    <w:rsid w:val="008C446A"/>
    <w:rsid w:val="008C4581"/>
    <w:rsid w:val="008C47B6"/>
    <w:rsid w:val="008C489E"/>
    <w:rsid w:val="008C4987"/>
    <w:rsid w:val="008C4B49"/>
    <w:rsid w:val="008C4F9E"/>
    <w:rsid w:val="008C4FA9"/>
    <w:rsid w:val="008C504D"/>
    <w:rsid w:val="008C5288"/>
    <w:rsid w:val="008C5974"/>
    <w:rsid w:val="008C59DF"/>
    <w:rsid w:val="008C5C08"/>
    <w:rsid w:val="008C5D76"/>
    <w:rsid w:val="008C5EE3"/>
    <w:rsid w:val="008C6640"/>
    <w:rsid w:val="008C6829"/>
    <w:rsid w:val="008C6861"/>
    <w:rsid w:val="008C6B32"/>
    <w:rsid w:val="008C6BB6"/>
    <w:rsid w:val="008C6E2B"/>
    <w:rsid w:val="008C6E40"/>
    <w:rsid w:val="008C6F52"/>
    <w:rsid w:val="008C7096"/>
    <w:rsid w:val="008C7138"/>
    <w:rsid w:val="008C73B9"/>
    <w:rsid w:val="008C7584"/>
    <w:rsid w:val="008C79A1"/>
    <w:rsid w:val="008C7B35"/>
    <w:rsid w:val="008C7C57"/>
    <w:rsid w:val="008C7F69"/>
    <w:rsid w:val="008D02EF"/>
    <w:rsid w:val="008D0369"/>
    <w:rsid w:val="008D0519"/>
    <w:rsid w:val="008D0590"/>
    <w:rsid w:val="008D0902"/>
    <w:rsid w:val="008D0B58"/>
    <w:rsid w:val="008D0ED4"/>
    <w:rsid w:val="008D100D"/>
    <w:rsid w:val="008D1497"/>
    <w:rsid w:val="008D18E7"/>
    <w:rsid w:val="008D1A32"/>
    <w:rsid w:val="008D1ADB"/>
    <w:rsid w:val="008D1C17"/>
    <w:rsid w:val="008D1C1A"/>
    <w:rsid w:val="008D1E8F"/>
    <w:rsid w:val="008D1FB9"/>
    <w:rsid w:val="008D203E"/>
    <w:rsid w:val="008D2099"/>
    <w:rsid w:val="008D2243"/>
    <w:rsid w:val="008D248E"/>
    <w:rsid w:val="008D264B"/>
    <w:rsid w:val="008D32FC"/>
    <w:rsid w:val="008D333C"/>
    <w:rsid w:val="008D335A"/>
    <w:rsid w:val="008D348B"/>
    <w:rsid w:val="008D3B71"/>
    <w:rsid w:val="008D3BB2"/>
    <w:rsid w:val="008D3C8B"/>
    <w:rsid w:val="008D3C94"/>
    <w:rsid w:val="008D3D50"/>
    <w:rsid w:val="008D3F03"/>
    <w:rsid w:val="008D3F21"/>
    <w:rsid w:val="008D4269"/>
    <w:rsid w:val="008D4349"/>
    <w:rsid w:val="008D4629"/>
    <w:rsid w:val="008D4658"/>
    <w:rsid w:val="008D46EE"/>
    <w:rsid w:val="008D4A17"/>
    <w:rsid w:val="008D4E5B"/>
    <w:rsid w:val="008D4FF4"/>
    <w:rsid w:val="008D55D1"/>
    <w:rsid w:val="008D5705"/>
    <w:rsid w:val="008D5DBB"/>
    <w:rsid w:val="008D5EE7"/>
    <w:rsid w:val="008D635F"/>
    <w:rsid w:val="008D64A9"/>
    <w:rsid w:val="008D6600"/>
    <w:rsid w:val="008D6735"/>
    <w:rsid w:val="008D6782"/>
    <w:rsid w:val="008D6973"/>
    <w:rsid w:val="008D69A3"/>
    <w:rsid w:val="008D6BD6"/>
    <w:rsid w:val="008D6C04"/>
    <w:rsid w:val="008D6D34"/>
    <w:rsid w:val="008D7001"/>
    <w:rsid w:val="008D74D9"/>
    <w:rsid w:val="008D7814"/>
    <w:rsid w:val="008D7891"/>
    <w:rsid w:val="008D78C1"/>
    <w:rsid w:val="008D78DC"/>
    <w:rsid w:val="008D79E0"/>
    <w:rsid w:val="008D7CD8"/>
    <w:rsid w:val="008D7EE9"/>
    <w:rsid w:val="008E006C"/>
    <w:rsid w:val="008E027A"/>
    <w:rsid w:val="008E030A"/>
    <w:rsid w:val="008E0629"/>
    <w:rsid w:val="008E07EB"/>
    <w:rsid w:val="008E097D"/>
    <w:rsid w:val="008E0A6D"/>
    <w:rsid w:val="008E0AF4"/>
    <w:rsid w:val="008E14F9"/>
    <w:rsid w:val="008E1619"/>
    <w:rsid w:val="008E1B8E"/>
    <w:rsid w:val="008E1BF5"/>
    <w:rsid w:val="008E1CD4"/>
    <w:rsid w:val="008E1DBB"/>
    <w:rsid w:val="008E1FC2"/>
    <w:rsid w:val="008E2136"/>
    <w:rsid w:val="008E216E"/>
    <w:rsid w:val="008E230B"/>
    <w:rsid w:val="008E256A"/>
    <w:rsid w:val="008E27A2"/>
    <w:rsid w:val="008E2BCA"/>
    <w:rsid w:val="008E2BE4"/>
    <w:rsid w:val="008E2C65"/>
    <w:rsid w:val="008E2CBC"/>
    <w:rsid w:val="008E2D39"/>
    <w:rsid w:val="008E2D87"/>
    <w:rsid w:val="008E303B"/>
    <w:rsid w:val="008E3191"/>
    <w:rsid w:val="008E345C"/>
    <w:rsid w:val="008E35AE"/>
    <w:rsid w:val="008E3B97"/>
    <w:rsid w:val="008E3ED5"/>
    <w:rsid w:val="008E40A9"/>
    <w:rsid w:val="008E4117"/>
    <w:rsid w:val="008E41A7"/>
    <w:rsid w:val="008E41BE"/>
    <w:rsid w:val="008E4254"/>
    <w:rsid w:val="008E43A5"/>
    <w:rsid w:val="008E456A"/>
    <w:rsid w:val="008E48A8"/>
    <w:rsid w:val="008E49F3"/>
    <w:rsid w:val="008E4A5B"/>
    <w:rsid w:val="008E4A7E"/>
    <w:rsid w:val="008E4FAE"/>
    <w:rsid w:val="008E5047"/>
    <w:rsid w:val="008E5175"/>
    <w:rsid w:val="008E53A2"/>
    <w:rsid w:val="008E53C7"/>
    <w:rsid w:val="008E5446"/>
    <w:rsid w:val="008E5585"/>
    <w:rsid w:val="008E5786"/>
    <w:rsid w:val="008E58F0"/>
    <w:rsid w:val="008E590D"/>
    <w:rsid w:val="008E5A53"/>
    <w:rsid w:val="008E5B20"/>
    <w:rsid w:val="008E5F27"/>
    <w:rsid w:val="008E5F5E"/>
    <w:rsid w:val="008E609F"/>
    <w:rsid w:val="008E60B5"/>
    <w:rsid w:val="008E62D2"/>
    <w:rsid w:val="008E66B3"/>
    <w:rsid w:val="008E68E5"/>
    <w:rsid w:val="008E6910"/>
    <w:rsid w:val="008E6B2C"/>
    <w:rsid w:val="008E6B4E"/>
    <w:rsid w:val="008E6B79"/>
    <w:rsid w:val="008E6CE6"/>
    <w:rsid w:val="008E6D23"/>
    <w:rsid w:val="008E6DC0"/>
    <w:rsid w:val="008E6E3A"/>
    <w:rsid w:val="008E6F88"/>
    <w:rsid w:val="008E72EE"/>
    <w:rsid w:val="008E7455"/>
    <w:rsid w:val="008E74CE"/>
    <w:rsid w:val="008E7970"/>
    <w:rsid w:val="008E7B40"/>
    <w:rsid w:val="008E7BCE"/>
    <w:rsid w:val="008E7C34"/>
    <w:rsid w:val="008E7F4A"/>
    <w:rsid w:val="008F0155"/>
    <w:rsid w:val="008F02AF"/>
    <w:rsid w:val="008F03A7"/>
    <w:rsid w:val="008F0A8F"/>
    <w:rsid w:val="008F0B57"/>
    <w:rsid w:val="008F0BEF"/>
    <w:rsid w:val="008F0C36"/>
    <w:rsid w:val="008F0E78"/>
    <w:rsid w:val="008F0EB2"/>
    <w:rsid w:val="008F0ED8"/>
    <w:rsid w:val="008F1016"/>
    <w:rsid w:val="008F107F"/>
    <w:rsid w:val="008F10B3"/>
    <w:rsid w:val="008F10D9"/>
    <w:rsid w:val="008F10DD"/>
    <w:rsid w:val="008F1120"/>
    <w:rsid w:val="008F122E"/>
    <w:rsid w:val="008F1350"/>
    <w:rsid w:val="008F1602"/>
    <w:rsid w:val="008F161A"/>
    <w:rsid w:val="008F1959"/>
    <w:rsid w:val="008F1BDA"/>
    <w:rsid w:val="008F1C38"/>
    <w:rsid w:val="008F1CE0"/>
    <w:rsid w:val="008F20F7"/>
    <w:rsid w:val="008F21B8"/>
    <w:rsid w:val="008F246E"/>
    <w:rsid w:val="008F258F"/>
    <w:rsid w:val="008F2782"/>
    <w:rsid w:val="008F2847"/>
    <w:rsid w:val="008F2881"/>
    <w:rsid w:val="008F2F7D"/>
    <w:rsid w:val="008F31DA"/>
    <w:rsid w:val="008F31E7"/>
    <w:rsid w:val="008F328C"/>
    <w:rsid w:val="008F328D"/>
    <w:rsid w:val="008F344E"/>
    <w:rsid w:val="008F363D"/>
    <w:rsid w:val="008F36E2"/>
    <w:rsid w:val="008F377B"/>
    <w:rsid w:val="008F39D9"/>
    <w:rsid w:val="008F3C4B"/>
    <w:rsid w:val="008F3C72"/>
    <w:rsid w:val="008F3F90"/>
    <w:rsid w:val="008F413B"/>
    <w:rsid w:val="008F42CA"/>
    <w:rsid w:val="008F4381"/>
    <w:rsid w:val="008F43A7"/>
    <w:rsid w:val="008F43F5"/>
    <w:rsid w:val="008F4823"/>
    <w:rsid w:val="008F4835"/>
    <w:rsid w:val="008F48EF"/>
    <w:rsid w:val="008F48F6"/>
    <w:rsid w:val="008F49A7"/>
    <w:rsid w:val="008F4E1A"/>
    <w:rsid w:val="008F4E23"/>
    <w:rsid w:val="008F4FC9"/>
    <w:rsid w:val="008F50A6"/>
    <w:rsid w:val="008F51DA"/>
    <w:rsid w:val="008F5475"/>
    <w:rsid w:val="008F54F6"/>
    <w:rsid w:val="008F56DE"/>
    <w:rsid w:val="008F5702"/>
    <w:rsid w:val="008F58BC"/>
    <w:rsid w:val="008F58E6"/>
    <w:rsid w:val="008F5AEC"/>
    <w:rsid w:val="008F5C46"/>
    <w:rsid w:val="008F5D89"/>
    <w:rsid w:val="008F5E4C"/>
    <w:rsid w:val="008F6110"/>
    <w:rsid w:val="008F61A0"/>
    <w:rsid w:val="008F621C"/>
    <w:rsid w:val="008F65E6"/>
    <w:rsid w:val="008F664F"/>
    <w:rsid w:val="008F6671"/>
    <w:rsid w:val="008F67CC"/>
    <w:rsid w:val="008F6AD6"/>
    <w:rsid w:val="008F6BB7"/>
    <w:rsid w:val="008F6D86"/>
    <w:rsid w:val="008F7356"/>
    <w:rsid w:val="008F7436"/>
    <w:rsid w:val="008F7593"/>
    <w:rsid w:val="00900259"/>
    <w:rsid w:val="009007FC"/>
    <w:rsid w:val="0090088A"/>
    <w:rsid w:val="00900B47"/>
    <w:rsid w:val="00900B99"/>
    <w:rsid w:val="00900C35"/>
    <w:rsid w:val="00900CEB"/>
    <w:rsid w:val="00901012"/>
    <w:rsid w:val="00901106"/>
    <w:rsid w:val="009011CE"/>
    <w:rsid w:val="00901444"/>
    <w:rsid w:val="00901477"/>
    <w:rsid w:val="009017A1"/>
    <w:rsid w:val="00901D41"/>
    <w:rsid w:val="00901E9B"/>
    <w:rsid w:val="009022C1"/>
    <w:rsid w:val="00902466"/>
    <w:rsid w:val="0090252A"/>
    <w:rsid w:val="0090256E"/>
    <w:rsid w:val="0090258C"/>
    <w:rsid w:val="009025AB"/>
    <w:rsid w:val="00902A56"/>
    <w:rsid w:val="00902BBB"/>
    <w:rsid w:val="00902C00"/>
    <w:rsid w:val="00902CA5"/>
    <w:rsid w:val="00902D4F"/>
    <w:rsid w:val="00902D9D"/>
    <w:rsid w:val="00902DCC"/>
    <w:rsid w:val="00902E4F"/>
    <w:rsid w:val="009030E3"/>
    <w:rsid w:val="009034B9"/>
    <w:rsid w:val="00903558"/>
    <w:rsid w:val="009036A1"/>
    <w:rsid w:val="0090385C"/>
    <w:rsid w:val="00903BE6"/>
    <w:rsid w:val="00903C98"/>
    <w:rsid w:val="00903FB3"/>
    <w:rsid w:val="009043DD"/>
    <w:rsid w:val="00904416"/>
    <w:rsid w:val="00904690"/>
    <w:rsid w:val="00904813"/>
    <w:rsid w:val="00904983"/>
    <w:rsid w:val="00905336"/>
    <w:rsid w:val="0090582B"/>
    <w:rsid w:val="00905892"/>
    <w:rsid w:val="00905CA6"/>
    <w:rsid w:val="009060FF"/>
    <w:rsid w:val="00906108"/>
    <w:rsid w:val="0090644A"/>
    <w:rsid w:val="009066DC"/>
    <w:rsid w:val="00906725"/>
    <w:rsid w:val="00906D5A"/>
    <w:rsid w:val="00906E22"/>
    <w:rsid w:val="0090714A"/>
    <w:rsid w:val="00907163"/>
    <w:rsid w:val="0090728D"/>
    <w:rsid w:val="00907441"/>
    <w:rsid w:val="00907583"/>
    <w:rsid w:val="0090758F"/>
    <w:rsid w:val="00907657"/>
    <w:rsid w:val="0090766F"/>
    <w:rsid w:val="00907676"/>
    <w:rsid w:val="0090779A"/>
    <w:rsid w:val="0090780A"/>
    <w:rsid w:val="00907A75"/>
    <w:rsid w:val="009102B4"/>
    <w:rsid w:val="0091052B"/>
    <w:rsid w:val="00910715"/>
    <w:rsid w:val="009107D7"/>
    <w:rsid w:val="009107FF"/>
    <w:rsid w:val="0091091D"/>
    <w:rsid w:val="009109F5"/>
    <w:rsid w:val="00911327"/>
    <w:rsid w:val="009114FC"/>
    <w:rsid w:val="0091165F"/>
    <w:rsid w:val="00911E79"/>
    <w:rsid w:val="00911F16"/>
    <w:rsid w:val="00911F7E"/>
    <w:rsid w:val="009122DB"/>
    <w:rsid w:val="00912388"/>
    <w:rsid w:val="009126B3"/>
    <w:rsid w:val="00912848"/>
    <w:rsid w:val="00912857"/>
    <w:rsid w:val="0091290A"/>
    <w:rsid w:val="00912B56"/>
    <w:rsid w:val="00912C6F"/>
    <w:rsid w:val="00912E6B"/>
    <w:rsid w:val="00912FA8"/>
    <w:rsid w:val="009131F8"/>
    <w:rsid w:val="00913331"/>
    <w:rsid w:val="009133D4"/>
    <w:rsid w:val="0091350C"/>
    <w:rsid w:val="009136D9"/>
    <w:rsid w:val="00913A22"/>
    <w:rsid w:val="00913EBF"/>
    <w:rsid w:val="00913F3D"/>
    <w:rsid w:val="00913F98"/>
    <w:rsid w:val="009141B4"/>
    <w:rsid w:val="00914D25"/>
    <w:rsid w:val="00914D48"/>
    <w:rsid w:val="00915512"/>
    <w:rsid w:val="0091563B"/>
    <w:rsid w:val="00915808"/>
    <w:rsid w:val="009158D8"/>
    <w:rsid w:val="00915D06"/>
    <w:rsid w:val="009161E1"/>
    <w:rsid w:val="00916223"/>
    <w:rsid w:val="009163A0"/>
    <w:rsid w:val="009163E7"/>
    <w:rsid w:val="009164A7"/>
    <w:rsid w:val="009165A9"/>
    <w:rsid w:val="009165B1"/>
    <w:rsid w:val="0091696F"/>
    <w:rsid w:val="00916C99"/>
    <w:rsid w:val="00916EA5"/>
    <w:rsid w:val="00916EE9"/>
    <w:rsid w:val="00916EEE"/>
    <w:rsid w:val="00917159"/>
    <w:rsid w:val="00917360"/>
    <w:rsid w:val="00917997"/>
    <w:rsid w:val="00917C84"/>
    <w:rsid w:val="00917D2B"/>
    <w:rsid w:val="00917D6B"/>
    <w:rsid w:val="009202E0"/>
    <w:rsid w:val="00920640"/>
    <w:rsid w:val="0092081E"/>
    <w:rsid w:val="00920872"/>
    <w:rsid w:val="009209CB"/>
    <w:rsid w:val="00920A6B"/>
    <w:rsid w:val="00920AD2"/>
    <w:rsid w:val="00920CD3"/>
    <w:rsid w:val="00920FCF"/>
    <w:rsid w:val="00921183"/>
    <w:rsid w:val="0092119F"/>
    <w:rsid w:val="0092147F"/>
    <w:rsid w:val="009216AF"/>
    <w:rsid w:val="009218A2"/>
    <w:rsid w:val="0092191B"/>
    <w:rsid w:val="00921D86"/>
    <w:rsid w:val="00921FE8"/>
    <w:rsid w:val="009221C5"/>
    <w:rsid w:val="0092241F"/>
    <w:rsid w:val="009224A3"/>
    <w:rsid w:val="009224B7"/>
    <w:rsid w:val="009225CA"/>
    <w:rsid w:val="0092261B"/>
    <w:rsid w:val="00922AAB"/>
    <w:rsid w:val="00922E3B"/>
    <w:rsid w:val="00922F27"/>
    <w:rsid w:val="00922FD8"/>
    <w:rsid w:val="00922FE3"/>
    <w:rsid w:val="0092308E"/>
    <w:rsid w:val="009230B4"/>
    <w:rsid w:val="009230BF"/>
    <w:rsid w:val="00923261"/>
    <w:rsid w:val="009233CC"/>
    <w:rsid w:val="00923418"/>
    <w:rsid w:val="00923509"/>
    <w:rsid w:val="00923551"/>
    <w:rsid w:val="00923633"/>
    <w:rsid w:val="00923644"/>
    <w:rsid w:val="00923651"/>
    <w:rsid w:val="0092368F"/>
    <w:rsid w:val="00923C11"/>
    <w:rsid w:val="00923D6C"/>
    <w:rsid w:val="00923EC5"/>
    <w:rsid w:val="00923F57"/>
    <w:rsid w:val="009240D8"/>
    <w:rsid w:val="009240FF"/>
    <w:rsid w:val="009241A2"/>
    <w:rsid w:val="0092447C"/>
    <w:rsid w:val="00924502"/>
    <w:rsid w:val="00924AA7"/>
    <w:rsid w:val="00924C2B"/>
    <w:rsid w:val="00924EC9"/>
    <w:rsid w:val="00925103"/>
    <w:rsid w:val="0092518C"/>
    <w:rsid w:val="009251CA"/>
    <w:rsid w:val="0092523D"/>
    <w:rsid w:val="0092571D"/>
    <w:rsid w:val="009257A9"/>
    <w:rsid w:val="00925834"/>
    <w:rsid w:val="0092586A"/>
    <w:rsid w:val="0092589F"/>
    <w:rsid w:val="009259B4"/>
    <w:rsid w:val="009259B7"/>
    <w:rsid w:val="00925C16"/>
    <w:rsid w:val="00925D7F"/>
    <w:rsid w:val="00925EF6"/>
    <w:rsid w:val="00925F7F"/>
    <w:rsid w:val="009260FB"/>
    <w:rsid w:val="00926219"/>
    <w:rsid w:val="00926354"/>
    <w:rsid w:val="009264CA"/>
    <w:rsid w:val="009266C5"/>
    <w:rsid w:val="00926849"/>
    <w:rsid w:val="00926F34"/>
    <w:rsid w:val="00927038"/>
    <w:rsid w:val="0092785A"/>
    <w:rsid w:val="0092789F"/>
    <w:rsid w:val="009278D0"/>
    <w:rsid w:val="00927A08"/>
    <w:rsid w:val="00927C1B"/>
    <w:rsid w:val="00927C6F"/>
    <w:rsid w:val="00927CC4"/>
    <w:rsid w:val="00927DE2"/>
    <w:rsid w:val="00927F26"/>
    <w:rsid w:val="00927FCB"/>
    <w:rsid w:val="009300B1"/>
    <w:rsid w:val="00930196"/>
    <w:rsid w:val="009302C0"/>
    <w:rsid w:val="00930385"/>
    <w:rsid w:val="009303C3"/>
    <w:rsid w:val="0093063D"/>
    <w:rsid w:val="0093066B"/>
    <w:rsid w:val="0093069F"/>
    <w:rsid w:val="00930745"/>
    <w:rsid w:val="00930783"/>
    <w:rsid w:val="00930812"/>
    <w:rsid w:val="00930948"/>
    <w:rsid w:val="00930959"/>
    <w:rsid w:val="00930A39"/>
    <w:rsid w:val="00930A74"/>
    <w:rsid w:val="00930B12"/>
    <w:rsid w:val="00930E1C"/>
    <w:rsid w:val="00930E85"/>
    <w:rsid w:val="00930E86"/>
    <w:rsid w:val="00930EA1"/>
    <w:rsid w:val="009310EB"/>
    <w:rsid w:val="00931112"/>
    <w:rsid w:val="00931338"/>
    <w:rsid w:val="009316A4"/>
    <w:rsid w:val="0093176E"/>
    <w:rsid w:val="009317BA"/>
    <w:rsid w:val="00931852"/>
    <w:rsid w:val="00931B5E"/>
    <w:rsid w:val="00931BE7"/>
    <w:rsid w:val="00931E2E"/>
    <w:rsid w:val="00931FCF"/>
    <w:rsid w:val="00932100"/>
    <w:rsid w:val="0093211D"/>
    <w:rsid w:val="009323EF"/>
    <w:rsid w:val="00932509"/>
    <w:rsid w:val="00932929"/>
    <w:rsid w:val="00932983"/>
    <w:rsid w:val="009329B0"/>
    <w:rsid w:val="009329B2"/>
    <w:rsid w:val="00933165"/>
    <w:rsid w:val="009332E2"/>
    <w:rsid w:val="009335D0"/>
    <w:rsid w:val="00933817"/>
    <w:rsid w:val="00933A35"/>
    <w:rsid w:val="00933B25"/>
    <w:rsid w:val="00933FE3"/>
    <w:rsid w:val="00934166"/>
    <w:rsid w:val="009343B4"/>
    <w:rsid w:val="00934B9E"/>
    <w:rsid w:val="00934E52"/>
    <w:rsid w:val="00934EAC"/>
    <w:rsid w:val="00934F36"/>
    <w:rsid w:val="00934F93"/>
    <w:rsid w:val="009350E4"/>
    <w:rsid w:val="009354E5"/>
    <w:rsid w:val="0093560C"/>
    <w:rsid w:val="00935648"/>
    <w:rsid w:val="00935753"/>
    <w:rsid w:val="009359DF"/>
    <w:rsid w:val="00935A5A"/>
    <w:rsid w:val="00935C54"/>
    <w:rsid w:val="00935E76"/>
    <w:rsid w:val="0093603E"/>
    <w:rsid w:val="009360D7"/>
    <w:rsid w:val="009362C9"/>
    <w:rsid w:val="00936589"/>
    <w:rsid w:val="00936607"/>
    <w:rsid w:val="00936772"/>
    <w:rsid w:val="00936C68"/>
    <w:rsid w:val="00936F4A"/>
    <w:rsid w:val="0093743C"/>
    <w:rsid w:val="00937498"/>
    <w:rsid w:val="00937509"/>
    <w:rsid w:val="0093753F"/>
    <w:rsid w:val="009377C5"/>
    <w:rsid w:val="009377F5"/>
    <w:rsid w:val="00937935"/>
    <w:rsid w:val="00937E54"/>
    <w:rsid w:val="00937F40"/>
    <w:rsid w:val="0094027C"/>
    <w:rsid w:val="009404D7"/>
    <w:rsid w:val="009405A4"/>
    <w:rsid w:val="009407AA"/>
    <w:rsid w:val="00940AD1"/>
    <w:rsid w:val="00940E50"/>
    <w:rsid w:val="00941026"/>
    <w:rsid w:val="009410C8"/>
    <w:rsid w:val="009411B1"/>
    <w:rsid w:val="00941536"/>
    <w:rsid w:val="00941754"/>
    <w:rsid w:val="00941769"/>
    <w:rsid w:val="00941811"/>
    <w:rsid w:val="00941D13"/>
    <w:rsid w:val="00941DF0"/>
    <w:rsid w:val="00941E16"/>
    <w:rsid w:val="00942058"/>
    <w:rsid w:val="0094218A"/>
    <w:rsid w:val="00942226"/>
    <w:rsid w:val="0094227E"/>
    <w:rsid w:val="00942387"/>
    <w:rsid w:val="00942503"/>
    <w:rsid w:val="00942927"/>
    <w:rsid w:val="0094298E"/>
    <w:rsid w:val="0094299E"/>
    <w:rsid w:val="009429DC"/>
    <w:rsid w:val="00942A1E"/>
    <w:rsid w:val="00942B96"/>
    <w:rsid w:val="00943093"/>
    <w:rsid w:val="0094380C"/>
    <w:rsid w:val="0094385A"/>
    <w:rsid w:val="009438FE"/>
    <w:rsid w:val="00943AD9"/>
    <w:rsid w:val="00943AE3"/>
    <w:rsid w:val="00943F2E"/>
    <w:rsid w:val="00944236"/>
    <w:rsid w:val="0094457D"/>
    <w:rsid w:val="00944614"/>
    <w:rsid w:val="00944959"/>
    <w:rsid w:val="00944AEF"/>
    <w:rsid w:val="00944CA7"/>
    <w:rsid w:val="00944EAE"/>
    <w:rsid w:val="0094517F"/>
    <w:rsid w:val="009451A4"/>
    <w:rsid w:val="0094529D"/>
    <w:rsid w:val="0094553C"/>
    <w:rsid w:val="00945613"/>
    <w:rsid w:val="009457B0"/>
    <w:rsid w:val="0094594C"/>
    <w:rsid w:val="00945A29"/>
    <w:rsid w:val="00945D86"/>
    <w:rsid w:val="00945EF3"/>
    <w:rsid w:val="00946019"/>
    <w:rsid w:val="0094626F"/>
    <w:rsid w:val="009462D2"/>
    <w:rsid w:val="00946859"/>
    <w:rsid w:val="009468D6"/>
    <w:rsid w:val="0094692B"/>
    <w:rsid w:val="00946A1D"/>
    <w:rsid w:val="00946AB5"/>
    <w:rsid w:val="00946AE1"/>
    <w:rsid w:val="0094701C"/>
    <w:rsid w:val="00947253"/>
    <w:rsid w:val="009476AB"/>
    <w:rsid w:val="009476BB"/>
    <w:rsid w:val="009479A6"/>
    <w:rsid w:val="00947B47"/>
    <w:rsid w:val="00947E56"/>
    <w:rsid w:val="00950043"/>
    <w:rsid w:val="00950347"/>
    <w:rsid w:val="00950A20"/>
    <w:rsid w:val="00950BC6"/>
    <w:rsid w:val="00950CD5"/>
    <w:rsid w:val="00950D16"/>
    <w:rsid w:val="0095118D"/>
    <w:rsid w:val="0095144C"/>
    <w:rsid w:val="009515B3"/>
    <w:rsid w:val="009515F4"/>
    <w:rsid w:val="0095165B"/>
    <w:rsid w:val="009518A0"/>
    <w:rsid w:val="009519D1"/>
    <w:rsid w:val="00951BD0"/>
    <w:rsid w:val="00951C02"/>
    <w:rsid w:val="00951E03"/>
    <w:rsid w:val="00952297"/>
    <w:rsid w:val="009523F2"/>
    <w:rsid w:val="00952548"/>
    <w:rsid w:val="00952844"/>
    <w:rsid w:val="009531B5"/>
    <w:rsid w:val="009534FC"/>
    <w:rsid w:val="00953825"/>
    <w:rsid w:val="009538C2"/>
    <w:rsid w:val="0095399C"/>
    <w:rsid w:val="00953D79"/>
    <w:rsid w:val="00953D91"/>
    <w:rsid w:val="00953DBC"/>
    <w:rsid w:val="00954003"/>
    <w:rsid w:val="00954148"/>
    <w:rsid w:val="009542ED"/>
    <w:rsid w:val="0095434A"/>
    <w:rsid w:val="0095441F"/>
    <w:rsid w:val="00954613"/>
    <w:rsid w:val="0095463F"/>
    <w:rsid w:val="0095468A"/>
    <w:rsid w:val="00954939"/>
    <w:rsid w:val="00955326"/>
    <w:rsid w:val="00955341"/>
    <w:rsid w:val="009553CF"/>
    <w:rsid w:val="009553DD"/>
    <w:rsid w:val="0095554D"/>
    <w:rsid w:val="0095560A"/>
    <w:rsid w:val="00955630"/>
    <w:rsid w:val="00955943"/>
    <w:rsid w:val="009559B8"/>
    <w:rsid w:val="00955AC4"/>
    <w:rsid w:val="00955D67"/>
    <w:rsid w:val="00955DF3"/>
    <w:rsid w:val="0095654C"/>
    <w:rsid w:val="009566B8"/>
    <w:rsid w:val="0095686C"/>
    <w:rsid w:val="0095696B"/>
    <w:rsid w:val="00956B47"/>
    <w:rsid w:val="00956C4E"/>
    <w:rsid w:val="00956E15"/>
    <w:rsid w:val="0095751D"/>
    <w:rsid w:val="00957569"/>
    <w:rsid w:val="00957981"/>
    <w:rsid w:val="00957A77"/>
    <w:rsid w:val="00957D5D"/>
    <w:rsid w:val="00957D84"/>
    <w:rsid w:val="00957DDA"/>
    <w:rsid w:val="00957E78"/>
    <w:rsid w:val="0096002A"/>
    <w:rsid w:val="00960548"/>
    <w:rsid w:val="0096085C"/>
    <w:rsid w:val="009608B3"/>
    <w:rsid w:val="00960BFA"/>
    <w:rsid w:val="009612B7"/>
    <w:rsid w:val="0096152D"/>
    <w:rsid w:val="00961623"/>
    <w:rsid w:val="009619B3"/>
    <w:rsid w:val="00961ACE"/>
    <w:rsid w:val="00961C33"/>
    <w:rsid w:val="00961F6E"/>
    <w:rsid w:val="00961F98"/>
    <w:rsid w:val="00961F9F"/>
    <w:rsid w:val="00961FF0"/>
    <w:rsid w:val="00962323"/>
    <w:rsid w:val="009626AC"/>
    <w:rsid w:val="0096297B"/>
    <w:rsid w:val="00962E67"/>
    <w:rsid w:val="009633D7"/>
    <w:rsid w:val="009637F5"/>
    <w:rsid w:val="00963ACD"/>
    <w:rsid w:val="00963B72"/>
    <w:rsid w:val="00963B85"/>
    <w:rsid w:val="00963E0D"/>
    <w:rsid w:val="00963E17"/>
    <w:rsid w:val="00964723"/>
    <w:rsid w:val="00964A1C"/>
    <w:rsid w:val="00964A79"/>
    <w:rsid w:val="00964AA0"/>
    <w:rsid w:val="00964C14"/>
    <w:rsid w:val="00964CF1"/>
    <w:rsid w:val="00964FE3"/>
    <w:rsid w:val="00964FF5"/>
    <w:rsid w:val="009651B9"/>
    <w:rsid w:val="009652D5"/>
    <w:rsid w:val="00965D6B"/>
    <w:rsid w:val="00965D71"/>
    <w:rsid w:val="00965D78"/>
    <w:rsid w:val="00966C16"/>
    <w:rsid w:val="00966D01"/>
    <w:rsid w:val="009673BF"/>
    <w:rsid w:val="0096761A"/>
    <w:rsid w:val="009677F8"/>
    <w:rsid w:val="00967945"/>
    <w:rsid w:val="00967C8E"/>
    <w:rsid w:val="00967F13"/>
    <w:rsid w:val="0097004D"/>
    <w:rsid w:val="00970192"/>
    <w:rsid w:val="009701A3"/>
    <w:rsid w:val="00970225"/>
    <w:rsid w:val="0097036B"/>
    <w:rsid w:val="00970386"/>
    <w:rsid w:val="009703FC"/>
    <w:rsid w:val="0097054C"/>
    <w:rsid w:val="009705FE"/>
    <w:rsid w:val="00970910"/>
    <w:rsid w:val="00970B3F"/>
    <w:rsid w:val="00970C23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455"/>
    <w:rsid w:val="009717F0"/>
    <w:rsid w:val="00971973"/>
    <w:rsid w:val="0097198B"/>
    <w:rsid w:val="00971AA1"/>
    <w:rsid w:val="00971BDC"/>
    <w:rsid w:val="00971C3A"/>
    <w:rsid w:val="00971DC0"/>
    <w:rsid w:val="00971E8B"/>
    <w:rsid w:val="0097209B"/>
    <w:rsid w:val="009721A3"/>
    <w:rsid w:val="00972243"/>
    <w:rsid w:val="00972278"/>
    <w:rsid w:val="009723EC"/>
    <w:rsid w:val="009725F2"/>
    <w:rsid w:val="00972636"/>
    <w:rsid w:val="00972847"/>
    <w:rsid w:val="009728B7"/>
    <w:rsid w:val="00972916"/>
    <w:rsid w:val="00972989"/>
    <w:rsid w:val="00972A9A"/>
    <w:rsid w:val="00972AFF"/>
    <w:rsid w:val="00972B99"/>
    <w:rsid w:val="00972BD2"/>
    <w:rsid w:val="00972D13"/>
    <w:rsid w:val="009732BA"/>
    <w:rsid w:val="009733E5"/>
    <w:rsid w:val="0097348D"/>
    <w:rsid w:val="009735FB"/>
    <w:rsid w:val="0097374B"/>
    <w:rsid w:val="00973A3E"/>
    <w:rsid w:val="00973B7B"/>
    <w:rsid w:val="00973C85"/>
    <w:rsid w:val="00973F00"/>
    <w:rsid w:val="00973F14"/>
    <w:rsid w:val="0097429B"/>
    <w:rsid w:val="009742C4"/>
    <w:rsid w:val="009743BF"/>
    <w:rsid w:val="00974461"/>
    <w:rsid w:val="009745E1"/>
    <w:rsid w:val="009746C6"/>
    <w:rsid w:val="009749F7"/>
    <w:rsid w:val="009754D0"/>
    <w:rsid w:val="009757B3"/>
    <w:rsid w:val="009758AE"/>
    <w:rsid w:val="00975B8C"/>
    <w:rsid w:val="0097600B"/>
    <w:rsid w:val="009760EC"/>
    <w:rsid w:val="009764DD"/>
    <w:rsid w:val="009767BF"/>
    <w:rsid w:val="009768D2"/>
    <w:rsid w:val="0097691F"/>
    <w:rsid w:val="009769C3"/>
    <w:rsid w:val="00976D0F"/>
    <w:rsid w:val="00976FDD"/>
    <w:rsid w:val="00977263"/>
    <w:rsid w:val="00977A34"/>
    <w:rsid w:val="00977D75"/>
    <w:rsid w:val="00977DA4"/>
    <w:rsid w:val="00977DCB"/>
    <w:rsid w:val="00977E23"/>
    <w:rsid w:val="00977E87"/>
    <w:rsid w:val="00980475"/>
    <w:rsid w:val="009807E1"/>
    <w:rsid w:val="009809DC"/>
    <w:rsid w:val="00980B9A"/>
    <w:rsid w:val="00980CA4"/>
    <w:rsid w:val="00981126"/>
    <w:rsid w:val="00981384"/>
    <w:rsid w:val="00981807"/>
    <w:rsid w:val="0098193C"/>
    <w:rsid w:val="00981A01"/>
    <w:rsid w:val="00981A3C"/>
    <w:rsid w:val="00981BF3"/>
    <w:rsid w:val="00981C05"/>
    <w:rsid w:val="00981C7E"/>
    <w:rsid w:val="00981E75"/>
    <w:rsid w:val="0098204A"/>
    <w:rsid w:val="00982130"/>
    <w:rsid w:val="009821F9"/>
    <w:rsid w:val="00982221"/>
    <w:rsid w:val="00982435"/>
    <w:rsid w:val="00982559"/>
    <w:rsid w:val="00982627"/>
    <w:rsid w:val="00982719"/>
    <w:rsid w:val="00982745"/>
    <w:rsid w:val="0098282A"/>
    <w:rsid w:val="00982E97"/>
    <w:rsid w:val="0098307E"/>
    <w:rsid w:val="00983096"/>
    <w:rsid w:val="0098338D"/>
    <w:rsid w:val="009833A5"/>
    <w:rsid w:val="009837F9"/>
    <w:rsid w:val="00983923"/>
    <w:rsid w:val="0098395E"/>
    <w:rsid w:val="00983987"/>
    <w:rsid w:val="009839CC"/>
    <w:rsid w:val="00983A0F"/>
    <w:rsid w:val="00983B22"/>
    <w:rsid w:val="00983C31"/>
    <w:rsid w:val="00983DFB"/>
    <w:rsid w:val="00983E7E"/>
    <w:rsid w:val="00983EF1"/>
    <w:rsid w:val="0098401C"/>
    <w:rsid w:val="009841C1"/>
    <w:rsid w:val="0098461A"/>
    <w:rsid w:val="0098489B"/>
    <w:rsid w:val="00984A1E"/>
    <w:rsid w:val="00984A2C"/>
    <w:rsid w:val="00984A33"/>
    <w:rsid w:val="00984E8C"/>
    <w:rsid w:val="00985121"/>
    <w:rsid w:val="0098513A"/>
    <w:rsid w:val="00985E04"/>
    <w:rsid w:val="00985F27"/>
    <w:rsid w:val="0098621E"/>
    <w:rsid w:val="009862A5"/>
    <w:rsid w:val="009865DA"/>
    <w:rsid w:val="009866A4"/>
    <w:rsid w:val="0098676E"/>
    <w:rsid w:val="0098686A"/>
    <w:rsid w:val="009869C4"/>
    <w:rsid w:val="00986A30"/>
    <w:rsid w:val="00986A71"/>
    <w:rsid w:val="00986B2E"/>
    <w:rsid w:val="00986CEE"/>
    <w:rsid w:val="00986D26"/>
    <w:rsid w:val="00987008"/>
    <w:rsid w:val="0098715D"/>
    <w:rsid w:val="00987347"/>
    <w:rsid w:val="0098740D"/>
    <w:rsid w:val="0098742E"/>
    <w:rsid w:val="009874D7"/>
    <w:rsid w:val="00987546"/>
    <w:rsid w:val="0098765E"/>
    <w:rsid w:val="00987A6D"/>
    <w:rsid w:val="00987BAC"/>
    <w:rsid w:val="00987BB1"/>
    <w:rsid w:val="00987C50"/>
    <w:rsid w:val="009900FA"/>
    <w:rsid w:val="00990169"/>
    <w:rsid w:val="009902F9"/>
    <w:rsid w:val="009905FF"/>
    <w:rsid w:val="00990672"/>
    <w:rsid w:val="00990C5C"/>
    <w:rsid w:val="00990CF1"/>
    <w:rsid w:val="00990D2F"/>
    <w:rsid w:val="00990D40"/>
    <w:rsid w:val="00990E58"/>
    <w:rsid w:val="00990F98"/>
    <w:rsid w:val="00991614"/>
    <w:rsid w:val="00991675"/>
    <w:rsid w:val="009918A0"/>
    <w:rsid w:val="00991C4A"/>
    <w:rsid w:val="00991CC4"/>
    <w:rsid w:val="00991D05"/>
    <w:rsid w:val="00991DDA"/>
    <w:rsid w:val="00991E92"/>
    <w:rsid w:val="00992008"/>
    <w:rsid w:val="00992164"/>
    <w:rsid w:val="0099218C"/>
    <w:rsid w:val="0099224B"/>
    <w:rsid w:val="009927F9"/>
    <w:rsid w:val="0099280A"/>
    <w:rsid w:val="009928FE"/>
    <w:rsid w:val="00992A0D"/>
    <w:rsid w:val="00992B05"/>
    <w:rsid w:val="00992BBD"/>
    <w:rsid w:val="00992BC7"/>
    <w:rsid w:val="00992F40"/>
    <w:rsid w:val="00993034"/>
    <w:rsid w:val="0099333B"/>
    <w:rsid w:val="00993387"/>
    <w:rsid w:val="00993C0D"/>
    <w:rsid w:val="00993C8F"/>
    <w:rsid w:val="00993EC9"/>
    <w:rsid w:val="00993F6C"/>
    <w:rsid w:val="00993F9C"/>
    <w:rsid w:val="0099410F"/>
    <w:rsid w:val="00994317"/>
    <w:rsid w:val="00994318"/>
    <w:rsid w:val="0099432A"/>
    <w:rsid w:val="0099436C"/>
    <w:rsid w:val="00994540"/>
    <w:rsid w:val="00994556"/>
    <w:rsid w:val="0099478E"/>
    <w:rsid w:val="00994824"/>
    <w:rsid w:val="009948A2"/>
    <w:rsid w:val="0099499F"/>
    <w:rsid w:val="00994B8D"/>
    <w:rsid w:val="00994CEE"/>
    <w:rsid w:val="0099513F"/>
    <w:rsid w:val="009952E5"/>
    <w:rsid w:val="00995563"/>
    <w:rsid w:val="00995565"/>
    <w:rsid w:val="0099566F"/>
    <w:rsid w:val="0099575F"/>
    <w:rsid w:val="00995B6D"/>
    <w:rsid w:val="00995D23"/>
    <w:rsid w:val="00995D8B"/>
    <w:rsid w:val="00995F67"/>
    <w:rsid w:val="00995FF1"/>
    <w:rsid w:val="0099606C"/>
    <w:rsid w:val="00996409"/>
    <w:rsid w:val="0099642F"/>
    <w:rsid w:val="00996499"/>
    <w:rsid w:val="009964C8"/>
    <w:rsid w:val="009964FF"/>
    <w:rsid w:val="009965BC"/>
    <w:rsid w:val="00996627"/>
    <w:rsid w:val="00996750"/>
    <w:rsid w:val="0099684A"/>
    <w:rsid w:val="0099699D"/>
    <w:rsid w:val="009969D4"/>
    <w:rsid w:val="009969F0"/>
    <w:rsid w:val="00996ACD"/>
    <w:rsid w:val="00996BB0"/>
    <w:rsid w:val="00996D00"/>
    <w:rsid w:val="00996D57"/>
    <w:rsid w:val="00996E48"/>
    <w:rsid w:val="00997429"/>
    <w:rsid w:val="009974D2"/>
    <w:rsid w:val="0099752F"/>
    <w:rsid w:val="00997B00"/>
    <w:rsid w:val="00997B48"/>
    <w:rsid w:val="00997E67"/>
    <w:rsid w:val="009A00C8"/>
    <w:rsid w:val="009A0382"/>
    <w:rsid w:val="009A03DC"/>
    <w:rsid w:val="009A0456"/>
    <w:rsid w:val="009A0481"/>
    <w:rsid w:val="009A058D"/>
    <w:rsid w:val="009A07F4"/>
    <w:rsid w:val="009A0FD4"/>
    <w:rsid w:val="009A1683"/>
    <w:rsid w:val="009A16C3"/>
    <w:rsid w:val="009A184C"/>
    <w:rsid w:val="009A1A13"/>
    <w:rsid w:val="009A1E08"/>
    <w:rsid w:val="009A1E7C"/>
    <w:rsid w:val="009A1EC9"/>
    <w:rsid w:val="009A2217"/>
    <w:rsid w:val="009A228E"/>
    <w:rsid w:val="009A22F5"/>
    <w:rsid w:val="009A239A"/>
    <w:rsid w:val="009A24A9"/>
    <w:rsid w:val="009A2700"/>
    <w:rsid w:val="009A2BBA"/>
    <w:rsid w:val="009A2C30"/>
    <w:rsid w:val="009A2C92"/>
    <w:rsid w:val="009A3155"/>
    <w:rsid w:val="009A3215"/>
    <w:rsid w:val="009A33A9"/>
    <w:rsid w:val="009A3414"/>
    <w:rsid w:val="009A34D9"/>
    <w:rsid w:val="009A35F7"/>
    <w:rsid w:val="009A393E"/>
    <w:rsid w:val="009A3D6B"/>
    <w:rsid w:val="009A3DC1"/>
    <w:rsid w:val="009A4142"/>
    <w:rsid w:val="009A41A1"/>
    <w:rsid w:val="009A44CD"/>
    <w:rsid w:val="009A47F9"/>
    <w:rsid w:val="009A48BF"/>
    <w:rsid w:val="009A4BAE"/>
    <w:rsid w:val="009A4BB1"/>
    <w:rsid w:val="009A4DE9"/>
    <w:rsid w:val="009A5334"/>
    <w:rsid w:val="009A567A"/>
    <w:rsid w:val="009A569A"/>
    <w:rsid w:val="009A6256"/>
    <w:rsid w:val="009A62C0"/>
    <w:rsid w:val="009A674D"/>
    <w:rsid w:val="009A6B3F"/>
    <w:rsid w:val="009A6CD5"/>
    <w:rsid w:val="009A6CF3"/>
    <w:rsid w:val="009A7199"/>
    <w:rsid w:val="009A74E4"/>
    <w:rsid w:val="009A74FF"/>
    <w:rsid w:val="009A76F7"/>
    <w:rsid w:val="009A78D3"/>
    <w:rsid w:val="009A7999"/>
    <w:rsid w:val="009B0134"/>
    <w:rsid w:val="009B0185"/>
    <w:rsid w:val="009B04F4"/>
    <w:rsid w:val="009B05E9"/>
    <w:rsid w:val="009B0612"/>
    <w:rsid w:val="009B0655"/>
    <w:rsid w:val="009B06A2"/>
    <w:rsid w:val="009B08A0"/>
    <w:rsid w:val="009B0E88"/>
    <w:rsid w:val="009B16FF"/>
    <w:rsid w:val="009B1712"/>
    <w:rsid w:val="009B1A42"/>
    <w:rsid w:val="009B1A57"/>
    <w:rsid w:val="009B1E17"/>
    <w:rsid w:val="009B1FCE"/>
    <w:rsid w:val="009B2020"/>
    <w:rsid w:val="009B2308"/>
    <w:rsid w:val="009B24F2"/>
    <w:rsid w:val="009B252F"/>
    <w:rsid w:val="009B2584"/>
    <w:rsid w:val="009B26DB"/>
    <w:rsid w:val="009B2785"/>
    <w:rsid w:val="009B2891"/>
    <w:rsid w:val="009B29F1"/>
    <w:rsid w:val="009B2AE5"/>
    <w:rsid w:val="009B2DBA"/>
    <w:rsid w:val="009B3133"/>
    <w:rsid w:val="009B348C"/>
    <w:rsid w:val="009B3504"/>
    <w:rsid w:val="009B366F"/>
    <w:rsid w:val="009B3830"/>
    <w:rsid w:val="009B38BC"/>
    <w:rsid w:val="009B3CBA"/>
    <w:rsid w:val="009B3F95"/>
    <w:rsid w:val="009B42DD"/>
    <w:rsid w:val="009B43BF"/>
    <w:rsid w:val="009B43CB"/>
    <w:rsid w:val="009B449D"/>
    <w:rsid w:val="009B44AE"/>
    <w:rsid w:val="009B4564"/>
    <w:rsid w:val="009B4693"/>
    <w:rsid w:val="009B4A2D"/>
    <w:rsid w:val="009B4A90"/>
    <w:rsid w:val="009B5357"/>
    <w:rsid w:val="009B540B"/>
    <w:rsid w:val="009B54E0"/>
    <w:rsid w:val="009B5547"/>
    <w:rsid w:val="009B5562"/>
    <w:rsid w:val="009B56F9"/>
    <w:rsid w:val="009B591D"/>
    <w:rsid w:val="009B5A07"/>
    <w:rsid w:val="009B5CD6"/>
    <w:rsid w:val="009B6379"/>
    <w:rsid w:val="009B6412"/>
    <w:rsid w:val="009B64D1"/>
    <w:rsid w:val="009B655D"/>
    <w:rsid w:val="009B6884"/>
    <w:rsid w:val="009B6BC6"/>
    <w:rsid w:val="009B6CCA"/>
    <w:rsid w:val="009B6EAB"/>
    <w:rsid w:val="009B74D3"/>
    <w:rsid w:val="009B7532"/>
    <w:rsid w:val="009B757A"/>
    <w:rsid w:val="009B7A87"/>
    <w:rsid w:val="009B7B19"/>
    <w:rsid w:val="009C02E2"/>
    <w:rsid w:val="009C065D"/>
    <w:rsid w:val="009C069C"/>
    <w:rsid w:val="009C0734"/>
    <w:rsid w:val="009C09C4"/>
    <w:rsid w:val="009C0D78"/>
    <w:rsid w:val="009C1192"/>
    <w:rsid w:val="009C129A"/>
    <w:rsid w:val="009C1363"/>
    <w:rsid w:val="009C14A4"/>
    <w:rsid w:val="009C16B9"/>
    <w:rsid w:val="009C18AB"/>
    <w:rsid w:val="009C18B8"/>
    <w:rsid w:val="009C1B3C"/>
    <w:rsid w:val="009C1B59"/>
    <w:rsid w:val="009C1B99"/>
    <w:rsid w:val="009C1C8B"/>
    <w:rsid w:val="009C1E01"/>
    <w:rsid w:val="009C1E0B"/>
    <w:rsid w:val="009C205C"/>
    <w:rsid w:val="009C2259"/>
    <w:rsid w:val="009C24ED"/>
    <w:rsid w:val="009C26C9"/>
    <w:rsid w:val="009C2871"/>
    <w:rsid w:val="009C2EC7"/>
    <w:rsid w:val="009C2F02"/>
    <w:rsid w:val="009C2F8E"/>
    <w:rsid w:val="009C3082"/>
    <w:rsid w:val="009C3152"/>
    <w:rsid w:val="009C33BF"/>
    <w:rsid w:val="009C3740"/>
    <w:rsid w:val="009C3886"/>
    <w:rsid w:val="009C3A08"/>
    <w:rsid w:val="009C3AA5"/>
    <w:rsid w:val="009C3D47"/>
    <w:rsid w:val="009C4382"/>
    <w:rsid w:val="009C442C"/>
    <w:rsid w:val="009C448A"/>
    <w:rsid w:val="009C44F4"/>
    <w:rsid w:val="009C4851"/>
    <w:rsid w:val="009C4884"/>
    <w:rsid w:val="009C4A9D"/>
    <w:rsid w:val="009C4AD3"/>
    <w:rsid w:val="009C4C59"/>
    <w:rsid w:val="009C51F4"/>
    <w:rsid w:val="009C52A7"/>
    <w:rsid w:val="009C5421"/>
    <w:rsid w:val="009C54CA"/>
    <w:rsid w:val="009C56C2"/>
    <w:rsid w:val="009C578F"/>
    <w:rsid w:val="009C57A4"/>
    <w:rsid w:val="009C5AFF"/>
    <w:rsid w:val="009C5EBE"/>
    <w:rsid w:val="009C601F"/>
    <w:rsid w:val="009C62EA"/>
    <w:rsid w:val="009C62F8"/>
    <w:rsid w:val="009C6E56"/>
    <w:rsid w:val="009C6F9D"/>
    <w:rsid w:val="009C7012"/>
    <w:rsid w:val="009C701F"/>
    <w:rsid w:val="009C73CB"/>
    <w:rsid w:val="009C73EA"/>
    <w:rsid w:val="009C74A7"/>
    <w:rsid w:val="009C7951"/>
    <w:rsid w:val="009C7B7D"/>
    <w:rsid w:val="009C7F3D"/>
    <w:rsid w:val="009D0052"/>
    <w:rsid w:val="009D023D"/>
    <w:rsid w:val="009D03CE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027"/>
    <w:rsid w:val="009D1432"/>
    <w:rsid w:val="009D15C6"/>
    <w:rsid w:val="009D17B9"/>
    <w:rsid w:val="009D19E9"/>
    <w:rsid w:val="009D1A67"/>
    <w:rsid w:val="009D1A8B"/>
    <w:rsid w:val="009D1BB0"/>
    <w:rsid w:val="009D1C02"/>
    <w:rsid w:val="009D1E2F"/>
    <w:rsid w:val="009D1ED1"/>
    <w:rsid w:val="009D1F69"/>
    <w:rsid w:val="009D211F"/>
    <w:rsid w:val="009D2362"/>
    <w:rsid w:val="009D23DC"/>
    <w:rsid w:val="009D23F9"/>
    <w:rsid w:val="009D25E9"/>
    <w:rsid w:val="009D2788"/>
    <w:rsid w:val="009D2A68"/>
    <w:rsid w:val="009D2C43"/>
    <w:rsid w:val="009D335D"/>
    <w:rsid w:val="009D38D7"/>
    <w:rsid w:val="009D38F7"/>
    <w:rsid w:val="009D3D33"/>
    <w:rsid w:val="009D3D77"/>
    <w:rsid w:val="009D3DD0"/>
    <w:rsid w:val="009D406F"/>
    <w:rsid w:val="009D4735"/>
    <w:rsid w:val="009D5209"/>
    <w:rsid w:val="009D545A"/>
    <w:rsid w:val="009D558A"/>
    <w:rsid w:val="009D572A"/>
    <w:rsid w:val="009D5851"/>
    <w:rsid w:val="009D5BCD"/>
    <w:rsid w:val="009D5BF0"/>
    <w:rsid w:val="009D5E74"/>
    <w:rsid w:val="009D5E81"/>
    <w:rsid w:val="009D612A"/>
    <w:rsid w:val="009D6321"/>
    <w:rsid w:val="009D6606"/>
    <w:rsid w:val="009D669A"/>
    <w:rsid w:val="009D6877"/>
    <w:rsid w:val="009D6B83"/>
    <w:rsid w:val="009D6B9B"/>
    <w:rsid w:val="009D6CDA"/>
    <w:rsid w:val="009D6D44"/>
    <w:rsid w:val="009D6DC2"/>
    <w:rsid w:val="009D70D7"/>
    <w:rsid w:val="009D7225"/>
    <w:rsid w:val="009D7353"/>
    <w:rsid w:val="009D74BA"/>
    <w:rsid w:val="009D7981"/>
    <w:rsid w:val="009D7B1B"/>
    <w:rsid w:val="009D7B31"/>
    <w:rsid w:val="009D7BC9"/>
    <w:rsid w:val="009D7C0C"/>
    <w:rsid w:val="009D7D50"/>
    <w:rsid w:val="009D7DF5"/>
    <w:rsid w:val="009D7EB4"/>
    <w:rsid w:val="009D7ECF"/>
    <w:rsid w:val="009E00EA"/>
    <w:rsid w:val="009E01B1"/>
    <w:rsid w:val="009E01C1"/>
    <w:rsid w:val="009E01D7"/>
    <w:rsid w:val="009E0208"/>
    <w:rsid w:val="009E02E3"/>
    <w:rsid w:val="009E037D"/>
    <w:rsid w:val="009E0593"/>
    <w:rsid w:val="009E06D1"/>
    <w:rsid w:val="009E09FF"/>
    <w:rsid w:val="009E0AFD"/>
    <w:rsid w:val="009E0CC9"/>
    <w:rsid w:val="009E0F4D"/>
    <w:rsid w:val="009E0FF3"/>
    <w:rsid w:val="009E10D6"/>
    <w:rsid w:val="009E11DA"/>
    <w:rsid w:val="009E11F6"/>
    <w:rsid w:val="009E1377"/>
    <w:rsid w:val="009E1620"/>
    <w:rsid w:val="009E165F"/>
    <w:rsid w:val="009E171E"/>
    <w:rsid w:val="009E17BF"/>
    <w:rsid w:val="009E1835"/>
    <w:rsid w:val="009E1C60"/>
    <w:rsid w:val="009E1CCF"/>
    <w:rsid w:val="009E1F4C"/>
    <w:rsid w:val="009E1F85"/>
    <w:rsid w:val="009E22FA"/>
    <w:rsid w:val="009E2512"/>
    <w:rsid w:val="009E2701"/>
    <w:rsid w:val="009E29DA"/>
    <w:rsid w:val="009E2B6E"/>
    <w:rsid w:val="009E2D9C"/>
    <w:rsid w:val="009E2E6B"/>
    <w:rsid w:val="009E30FE"/>
    <w:rsid w:val="009E3167"/>
    <w:rsid w:val="009E3370"/>
    <w:rsid w:val="009E3389"/>
    <w:rsid w:val="009E3F46"/>
    <w:rsid w:val="009E3FA9"/>
    <w:rsid w:val="009E3FB0"/>
    <w:rsid w:val="009E44DA"/>
    <w:rsid w:val="009E4744"/>
    <w:rsid w:val="009E47A3"/>
    <w:rsid w:val="009E47E0"/>
    <w:rsid w:val="009E4878"/>
    <w:rsid w:val="009E4945"/>
    <w:rsid w:val="009E4CB5"/>
    <w:rsid w:val="009E4CBA"/>
    <w:rsid w:val="009E4EC9"/>
    <w:rsid w:val="009E4FA3"/>
    <w:rsid w:val="009E50B6"/>
    <w:rsid w:val="009E5116"/>
    <w:rsid w:val="009E51B4"/>
    <w:rsid w:val="009E5327"/>
    <w:rsid w:val="009E532D"/>
    <w:rsid w:val="009E5542"/>
    <w:rsid w:val="009E56DD"/>
    <w:rsid w:val="009E58B0"/>
    <w:rsid w:val="009E5D00"/>
    <w:rsid w:val="009E5D5A"/>
    <w:rsid w:val="009E60F8"/>
    <w:rsid w:val="009E62AB"/>
    <w:rsid w:val="009E658F"/>
    <w:rsid w:val="009E67F6"/>
    <w:rsid w:val="009E6876"/>
    <w:rsid w:val="009E6B29"/>
    <w:rsid w:val="009E6B3E"/>
    <w:rsid w:val="009E6B92"/>
    <w:rsid w:val="009E6D30"/>
    <w:rsid w:val="009E6DB6"/>
    <w:rsid w:val="009E6DFE"/>
    <w:rsid w:val="009E704A"/>
    <w:rsid w:val="009E75BC"/>
    <w:rsid w:val="009E75C9"/>
    <w:rsid w:val="009E784E"/>
    <w:rsid w:val="009E7F68"/>
    <w:rsid w:val="009F002C"/>
    <w:rsid w:val="009F031F"/>
    <w:rsid w:val="009F0505"/>
    <w:rsid w:val="009F0630"/>
    <w:rsid w:val="009F0763"/>
    <w:rsid w:val="009F0984"/>
    <w:rsid w:val="009F0B32"/>
    <w:rsid w:val="009F0B36"/>
    <w:rsid w:val="009F0FF1"/>
    <w:rsid w:val="009F1180"/>
    <w:rsid w:val="009F1758"/>
    <w:rsid w:val="009F1A35"/>
    <w:rsid w:val="009F1B71"/>
    <w:rsid w:val="009F1C61"/>
    <w:rsid w:val="009F1C84"/>
    <w:rsid w:val="009F2114"/>
    <w:rsid w:val="009F2262"/>
    <w:rsid w:val="009F25EC"/>
    <w:rsid w:val="009F2612"/>
    <w:rsid w:val="009F28E2"/>
    <w:rsid w:val="009F299F"/>
    <w:rsid w:val="009F2C2D"/>
    <w:rsid w:val="009F2C47"/>
    <w:rsid w:val="009F2E60"/>
    <w:rsid w:val="009F2FC5"/>
    <w:rsid w:val="009F323D"/>
    <w:rsid w:val="009F3315"/>
    <w:rsid w:val="009F3377"/>
    <w:rsid w:val="009F3910"/>
    <w:rsid w:val="009F3989"/>
    <w:rsid w:val="009F3B90"/>
    <w:rsid w:val="009F3BCC"/>
    <w:rsid w:val="009F3D86"/>
    <w:rsid w:val="009F4171"/>
    <w:rsid w:val="009F42E8"/>
    <w:rsid w:val="009F441E"/>
    <w:rsid w:val="009F4462"/>
    <w:rsid w:val="009F4563"/>
    <w:rsid w:val="009F4583"/>
    <w:rsid w:val="009F47AA"/>
    <w:rsid w:val="009F47CE"/>
    <w:rsid w:val="009F4896"/>
    <w:rsid w:val="009F4A66"/>
    <w:rsid w:val="009F4ADA"/>
    <w:rsid w:val="009F4BA8"/>
    <w:rsid w:val="009F4BE7"/>
    <w:rsid w:val="009F4CCC"/>
    <w:rsid w:val="009F5524"/>
    <w:rsid w:val="009F564C"/>
    <w:rsid w:val="009F5858"/>
    <w:rsid w:val="009F588E"/>
    <w:rsid w:val="009F596C"/>
    <w:rsid w:val="009F5A93"/>
    <w:rsid w:val="009F5DA3"/>
    <w:rsid w:val="009F5FE4"/>
    <w:rsid w:val="009F613A"/>
    <w:rsid w:val="009F6239"/>
    <w:rsid w:val="009F6658"/>
    <w:rsid w:val="009F6A0D"/>
    <w:rsid w:val="009F6BF2"/>
    <w:rsid w:val="009F6C05"/>
    <w:rsid w:val="009F7051"/>
    <w:rsid w:val="009F7100"/>
    <w:rsid w:val="009F7294"/>
    <w:rsid w:val="009F734C"/>
    <w:rsid w:val="009F746A"/>
    <w:rsid w:val="009F797D"/>
    <w:rsid w:val="009F79A4"/>
    <w:rsid w:val="009F7C9B"/>
    <w:rsid w:val="009F7E3B"/>
    <w:rsid w:val="009F7E63"/>
    <w:rsid w:val="009F7E88"/>
    <w:rsid w:val="009F7E8C"/>
    <w:rsid w:val="009F7FB3"/>
    <w:rsid w:val="00A00202"/>
    <w:rsid w:val="00A00652"/>
    <w:rsid w:val="00A0079A"/>
    <w:rsid w:val="00A00822"/>
    <w:rsid w:val="00A008E4"/>
    <w:rsid w:val="00A009C1"/>
    <w:rsid w:val="00A00BA5"/>
    <w:rsid w:val="00A00BC9"/>
    <w:rsid w:val="00A00CB1"/>
    <w:rsid w:val="00A010E5"/>
    <w:rsid w:val="00A011B8"/>
    <w:rsid w:val="00A01697"/>
    <w:rsid w:val="00A017A8"/>
    <w:rsid w:val="00A01A36"/>
    <w:rsid w:val="00A01A7E"/>
    <w:rsid w:val="00A01AAD"/>
    <w:rsid w:val="00A01B15"/>
    <w:rsid w:val="00A01B1A"/>
    <w:rsid w:val="00A01BA3"/>
    <w:rsid w:val="00A01BEC"/>
    <w:rsid w:val="00A01C8B"/>
    <w:rsid w:val="00A01EAA"/>
    <w:rsid w:val="00A01F85"/>
    <w:rsid w:val="00A02204"/>
    <w:rsid w:val="00A0251B"/>
    <w:rsid w:val="00A025AA"/>
    <w:rsid w:val="00A028E5"/>
    <w:rsid w:val="00A02B9D"/>
    <w:rsid w:val="00A02F04"/>
    <w:rsid w:val="00A02FD1"/>
    <w:rsid w:val="00A0313B"/>
    <w:rsid w:val="00A03333"/>
    <w:rsid w:val="00A038AC"/>
    <w:rsid w:val="00A03D76"/>
    <w:rsid w:val="00A03F67"/>
    <w:rsid w:val="00A040E3"/>
    <w:rsid w:val="00A041ED"/>
    <w:rsid w:val="00A0424A"/>
    <w:rsid w:val="00A04712"/>
    <w:rsid w:val="00A04BE5"/>
    <w:rsid w:val="00A04C56"/>
    <w:rsid w:val="00A04CFA"/>
    <w:rsid w:val="00A04D9F"/>
    <w:rsid w:val="00A05069"/>
    <w:rsid w:val="00A050D7"/>
    <w:rsid w:val="00A0534B"/>
    <w:rsid w:val="00A055A8"/>
    <w:rsid w:val="00A05C86"/>
    <w:rsid w:val="00A05FFE"/>
    <w:rsid w:val="00A0638A"/>
    <w:rsid w:val="00A069D1"/>
    <w:rsid w:val="00A06E2E"/>
    <w:rsid w:val="00A070B7"/>
    <w:rsid w:val="00A07326"/>
    <w:rsid w:val="00A074B7"/>
    <w:rsid w:val="00A07646"/>
    <w:rsid w:val="00A07848"/>
    <w:rsid w:val="00A07991"/>
    <w:rsid w:val="00A079A5"/>
    <w:rsid w:val="00A07ACD"/>
    <w:rsid w:val="00A07B27"/>
    <w:rsid w:val="00A07B41"/>
    <w:rsid w:val="00A07C77"/>
    <w:rsid w:val="00A07F1F"/>
    <w:rsid w:val="00A1008B"/>
    <w:rsid w:val="00A100AB"/>
    <w:rsid w:val="00A1046F"/>
    <w:rsid w:val="00A104CE"/>
    <w:rsid w:val="00A10657"/>
    <w:rsid w:val="00A106AC"/>
    <w:rsid w:val="00A1073B"/>
    <w:rsid w:val="00A10805"/>
    <w:rsid w:val="00A1092B"/>
    <w:rsid w:val="00A10A3F"/>
    <w:rsid w:val="00A10A4D"/>
    <w:rsid w:val="00A10AFA"/>
    <w:rsid w:val="00A10CDE"/>
    <w:rsid w:val="00A11266"/>
    <w:rsid w:val="00A11349"/>
    <w:rsid w:val="00A1135A"/>
    <w:rsid w:val="00A113BB"/>
    <w:rsid w:val="00A1146D"/>
    <w:rsid w:val="00A11545"/>
    <w:rsid w:val="00A115AB"/>
    <w:rsid w:val="00A11EAA"/>
    <w:rsid w:val="00A11FED"/>
    <w:rsid w:val="00A1219D"/>
    <w:rsid w:val="00A1223D"/>
    <w:rsid w:val="00A1288A"/>
    <w:rsid w:val="00A12BC3"/>
    <w:rsid w:val="00A12DE8"/>
    <w:rsid w:val="00A12F17"/>
    <w:rsid w:val="00A12F1D"/>
    <w:rsid w:val="00A12FE0"/>
    <w:rsid w:val="00A139FC"/>
    <w:rsid w:val="00A13A10"/>
    <w:rsid w:val="00A13A89"/>
    <w:rsid w:val="00A13AC8"/>
    <w:rsid w:val="00A13B34"/>
    <w:rsid w:val="00A13E76"/>
    <w:rsid w:val="00A13EBB"/>
    <w:rsid w:val="00A1405D"/>
    <w:rsid w:val="00A14374"/>
    <w:rsid w:val="00A143E1"/>
    <w:rsid w:val="00A143F0"/>
    <w:rsid w:val="00A14598"/>
    <w:rsid w:val="00A14748"/>
    <w:rsid w:val="00A14887"/>
    <w:rsid w:val="00A14DE8"/>
    <w:rsid w:val="00A14F5E"/>
    <w:rsid w:val="00A14FDD"/>
    <w:rsid w:val="00A150BE"/>
    <w:rsid w:val="00A152E5"/>
    <w:rsid w:val="00A156C7"/>
    <w:rsid w:val="00A1576B"/>
    <w:rsid w:val="00A15899"/>
    <w:rsid w:val="00A15BD1"/>
    <w:rsid w:val="00A15F04"/>
    <w:rsid w:val="00A15F2C"/>
    <w:rsid w:val="00A15F6E"/>
    <w:rsid w:val="00A160A9"/>
    <w:rsid w:val="00A16308"/>
    <w:rsid w:val="00A16596"/>
    <w:rsid w:val="00A1680D"/>
    <w:rsid w:val="00A168D9"/>
    <w:rsid w:val="00A16CA1"/>
    <w:rsid w:val="00A16EA7"/>
    <w:rsid w:val="00A17144"/>
    <w:rsid w:val="00A1716C"/>
    <w:rsid w:val="00A1718E"/>
    <w:rsid w:val="00A17213"/>
    <w:rsid w:val="00A172FA"/>
    <w:rsid w:val="00A1749D"/>
    <w:rsid w:val="00A176FF"/>
    <w:rsid w:val="00A17811"/>
    <w:rsid w:val="00A1799A"/>
    <w:rsid w:val="00A17B47"/>
    <w:rsid w:val="00A17CC1"/>
    <w:rsid w:val="00A2021F"/>
    <w:rsid w:val="00A2023A"/>
    <w:rsid w:val="00A2037A"/>
    <w:rsid w:val="00A2047F"/>
    <w:rsid w:val="00A20561"/>
    <w:rsid w:val="00A20EF9"/>
    <w:rsid w:val="00A211CD"/>
    <w:rsid w:val="00A2190F"/>
    <w:rsid w:val="00A21962"/>
    <w:rsid w:val="00A21B20"/>
    <w:rsid w:val="00A21D6F"/>
    <w:rsid w:val="00A21D8D"/>
    <w:rsid w:val="00A21DA9"/>
    <w:rsid w:val="00A21DDD"/>
    <w:rsid w:val="00A21EDD"/>
    <w:rsid w:val="00A22037"/>
    <w:rsid w:val="00A222CC"/>
    <w:rsid w:val="00A225EF"/>
    <w:rsid w:val="00A22BA1"/>
    <w:rsid w:val="00A2313C"/>
    <w:rsid w:val="00A23718"/>
    <w:rsid w:val="00A23741"/>
    <w:rsid w:val="00A23764"/>
    <w:rsid w:val="00A23799"/>
    <w:rsid w:val="00A23876"/>
    <w:rsid w:val="00A2388C"/>
    <w:rsid w:val="00A238F3"/>
    <w:rsid w:val="00A23A52"/>
    <w:rsid w:val="00A23AB0"/>
    <w:rsid w:val="00A23B4D"/>
    <w:rsid w:val="00A23D8B"/>
    <w:rsid w:val="00A23E01"/>
    <w:rsid w:val="00A241A2"/>
    <w:rsid w:val="00A24469"/>
    <w:rsid w:val="00A24949"/>
    <w:rsid w:val="00A24EFF"/>
    <w:rsid w:val="00A2507A"/>
    <w:rsid w:val="00A252E4"/>
    <w:rsid w:val="00A256D8"/>
    <w:rsid w:val="00A25D3B"/>
    <w:rsid w:val="00A25F0B"/>
    <w:rsid w:val="00A266C3"/>
    <w:rsid w:val="00A266C5"/>
    <w:rsid w:val="00A26704"/>
    <w:rsid w:val="00A269C4"/>
    <w:rsid w:val="00A26A85"/>
    <w:rsid w:val="00A26B02"/>
    <w:rsid w:val="00A26B03"/>
    <w:rsid w:val="00A26C2B"/>
    <w:rsid w:val="00A26C43"/>
    <w:rsid w:val="00A26D60"/>
    <w:rsid w:val="00A26E70"/>
    <w:rsid w:val="00A26EA1"/>
    <w:rsid w:val="00A2712F"/>
    <w:rsid w:val="00A271DD"/>
    <w:rsid w:val="00A27303"/>
    <w:rsid w:val="00A27448"/>
    <w:rsid w:val="00A275BF"/>
    <w:rsid w:val="00A278A8"/>
    <w:rsid w:val="00A278DB"/>
    <w:rsid w:val="00A27946"/>
    <w:rsid w:val="00A27BF1"/>
    <w:rsid w:val="00A27E50"/>
    <w:rsid w:val="00A30005"/>
    <w:rsid w:val="00A3020D"/>
    <w:rsid w:val="00A302EF"/>
    <w:rsid w:val="00A30302"/>
    <w:rsid w:val="00A303C2"/>
    <w:rsid w:val="00A303CF"/>
    <w:rsid w:val="00A3052D"/>
    <w:rsid w:val="00A30780"/>
    <w:rsid w:val="00A308B2"/>
    <w:rsid w:val="00A309C6"/>
    <w:rsid w:val="00A30BC0"/>
    <w:rsid w:val="00A30C55"/>
    <w:rsid w:val="00A30F6B"/>
    <w:rsid w:val="00A30F98"/>
    <w:rsid w:val="00A3115A"/>
    <w:rsid w:val="00A313F8"/>
    <w:rsid w:val="00A3147E"/>
    <w:rsid w:val="00A31657"/>
    <w:rsid w:val="00A31734"/>
    <w:rsid w:val="00A31778"/>
    <w:rsid w:val="00A317A3"/>
    <w:rsid w:val="00A3186A"/>
    <w:rsid w:val="00A3187D"/>
    <w:rsid w:val="00A319E8"/>
    <w:rsid w:val="00A31BA2"/>
    <w:rsid w:val="00A31C5F"/>
    <w:rsid w:val="00A31C8F"/>
    <w:rsid w:val="00A3208C"/>
    <w:rsid w:val="00A3219F"/>
    <w:rsid w:val="00A3227D"/>
    <w:rsid w:val="00A32606"/>
    <w:rsid w:val="00A326F2"/>
    <w:rsid w:val="00A3277F"/>
    <w:rsid w:val="00A328B2"/>
    <w:rsid w:val="00A32AFC"/>
    <w:rsid w:val="00A32CC3"/>
    <w:rsid w:val="00A32E4E"/>
    <w:rsid w:val="00A33019"/>
    <w:rsid w:val="00A3301F"/>
    <w:rsid w:val="00A330B1"/>
    <w:rsid w:val="00A33384"/>
    <w:rsid w:val="00A333F6"/>
    <w:rsid w:val="00A336E7"/>
    <w:rsid w:val="00A33720"/>
    <w:rsid w:val="00A33865"/>
    <w:rsid w:val="00A33BAE"/>
    <w:rsid w:val="00A33D3C"/>
    <w:rsid w:val="00A3430F"/>
    <w:rsid w:val="00A3443F"/>
    <w:rsid w:val="00A34538"/>
    <w:rsid w:val="00A347CC"/>
    <w:rsid w:val="00A34877"/>
    <w:rsid w:val="00A34882"/>
    <w:rsid w:val="00A349DD"/>
    <w:rsid w:val="00A34BA3"/>
    <w:rsid w:val="00A34C78"/>
    <w:rsid w:val="00A34D12"/>
    <w:rsid w:val="00A34D92"/>
    <w:rsid w:val="00A354E8"/>
    <w:rsid w:val="00A3553E"/>
    <w:rsid w:val="00A356E3"/>
    <w:rsid w:val="00A357C1"/>
    <w:rsid w:val="00A358C4"/>
    <w:rsid w:val="00A35ACA"/>
    <w:rsid w:val="00A35B65"/>
    <w:rsid w:val="00A35E89"/>
    <w:rsid w:val="00A35FA2"/>
    <w:rsid w:val="00A36400"/>
    <w:rsid w:val="00A3647F"/>
    <w:rsid w:val="00A36493"/>
    <w:rsid w:val="00A36842"/>
    <w:rsid w:val="00A36BAD"/>
    <w:rsid w:val="00A36C43"/>
    <w:rsid w:val="00A36C9C"/>
    <w:rsid w:val="00A36EF1"/>
    <w:rsid w:val="00A36EFF"/>
    <w:rsid w:val="00A36F23"/>
    <w:rsid w:val="00A37054"/>
    <w:rsid w:val="00A372A5"/>
    <w:rsid w:val="00A37380"/>
    <w:rsid w:val="00A37573"/>
    <w:rsid w:val="00A37574"/>
    <w:rsid w:val="00A37DC2"/>
    <w:rsid w:val="00A40325"/>
    <w:rsid w:val="00A4089E"/>
    <w:rsid w:val="00A408C0"/>
    <w:rsid w:val="00A40CC4"/>
    <w:rsid w:val="00A40FE5"/>
    <w:rsid w:val="00A4103C"/>
    <w:rsid w:val="00A4109C"/>
    <w:rsid w:val="00A4157B"/>
    <w:rsid w:val="00A415E6"/>
    <w:rsid w:val="00A41703"/>
    <w:rsid w:val="00A41726"/>
    <w:rsid w:val="00A41A79"/>
    <w:rsid w:val="00A41B00"/>
    <w:rsid w:val="00A41C82"/>
    <w:rsid w:val="00A41CF9"/>
    <w:rsid w:val="00A41D03"/>
    <w:rsid w:val="00A41DAE"/>
    <w:rsid w:val="00A41E7F"/>
    <w:rsid w:val="00A42026"/>
    <w:rsid w:val="00A427D6"/>
    <w:rsid w:val="00A42865"/>
    <w:rsid w:val="00A428F3"/>
    <w:rsid w:val="00A42AF7"/>
    <w:rsid w:val="00A42BED"/>
    <w:rsid w:val="00A42D88"/>
    <w:rsid w:val="00A42DD2"/>
    <w:rsid w:val="00A42EFE"/>
    <w:rsid w:val="00A42F64"/>
    <w:rsid w:val="00A4327B"/>
    <w:rsid w:val="00A4335E"/>
    <w:rsid w:val="00A43727"/>
    <w:rsid w:val="00A43728"/>
    <w:rsid w:val="00A438EC"/>
    <w:rsid w:val="00A43EF4"/>
    <w:rsid w:val="00A44066"/>
    <w:rsid w:val="00A441EB"/>
    <w:rsid w:val="00A445E5"/>
    <w:rsid w:val="00A44625"/>
    <w:rsid w:val="00A4472C"/>
    <w:rsid w:val="00A44B14"/>
    <w:rsid w:val="00A44C91"/>
    <w:rsid w:val="00A44EA7"/>
    <w:rsid w:val="00A45138"/>
    <w:rsid w:val="00A451A0"/>
    <w:rsid w:val="00A45368"/>
    <w:rsid w:val="00A4542B"/>
    <w:rsid w:val="00A45590"/>
    <w:rsid w:val="00A45D10"/>
    <w:rsid w:val="00A45F02"/>
    <w:rsid w:val="00A45FF3"/>
    <w:rsid w:val="00A464C8"/>
    <w:rsid w:val="00A46791"/>
    <w:rsid w:val="00A4681B"/>
    <w:rsid w:val="00A46965"/>
    <w:rsid w:val="00A4707A"/>
    <w:rsid w:val="00A47281"/>
    <w:rsid w:val="00A4765F"/>
    <w:rsid w:val="00A47868"/>
    <w:rsid w:val="00A47B26"/>
    <w:rsid w:val="00A47D63"/>
    <w:rsid w:val="00A47ECE"/>
    <w:rsid w:val="00A501B0"/>
    <w:rsid w:val="00A50328"/>
    <w:rsid w:val="00A504C0"/>
    <w:rsid w:val="00A505DE"/>
    <w:rsid w:val="00A507A4"/>
    <w:rsid w:val="00A5093B"/>
    <w:rsid w:val="00A5098C"/>
    <w:rsid w:val="00A50CDF"/>
    <w:rsid w:val="00A50D3F"/>
    <w:rsid w:val="00A50D65"/>
    <w:rsid w:val="00A50D81"/>
    <w:rsid w:val="00A50D87"/>
    <w:rsid w:val="00A50D97"/>
    <w:rsid w:val="00A50DBB"/>
    <w:rsid w:val="00A50FB4"/>
    <w:rsid w:val="00A5102B"/>
    <w:rsid w:val="00A51164"/>
    <w:rsid w:val="00A511EF"/>
    <w:rsid w:val="00A51818"/>
    <w:rsid w:val="00A518FD"/>
    <w:rsid w:val="00A51A3F"/>
    <w:rsid w:val="00A525F4"/>
    <w:rsid w:val="00A52857"/>
    <w:rsid w:val="00A529E8"/>
    <w:rsid w:val="00A52BF7"/>
    <w:rsid w:val="00A52F48"/>
    <w:rsid w:val="00A5307F"/>
    <w:rsid w:val="00A5314F"/>
    <w:rsid w:val="00A531BB"/>
    <w:rsid w:val="00A5327C"/>
    <w:rsid w:val="00A534F6"/>
    <w:rsid w:val="00A537D6"/>
    <w:rsid w:val="00A53A7F"/>
    <w:rsid w:val="00A53AE7"/>
    <w:rsid w:val="00A53F6A"/>
    <w:rsid w:val="00A54056"/>
    <w:rsid w:val="00A541A4"/>
    <w:rsid w:val="00A542E9"/>
    <w:rsid w:val="00A54439"/>
    <w:rsid w:val="00A545A0"/>
    <w:rsid w:val="00A54842"/>
    <w:rsid w:val="00A549DA"/>
    <w:rsid w:val="00A54AD0"/>
    <w:rsid w:val="00A54DD7"/>
    <w:rsid w:val="00A54F75"/>
    <w:rsid w:val="00A552C7"/>
    <w:rsid w:val="00A55871"/>
    <w:rsid w:val="00A558F9"/>
    <w:rsid w:val="00A5597C"/>
    <w:rsid w:val="00A55B2C"/>
    <w:rsid w:val="00A55B31"/>
    <w:rsid w:val="00A55CB3"/>
    <w:rsid w:val="00A55DCA"/>
    <w:rsid w:val="00A55DCD"/>
    <w:rsid w:val="00A55E54"/>
    <w:rsid w:val="00A56120"/>
    <w:rsid w:val="00A561DF"/>
    <w:rsid w:val="00A5653B"/>
    <w:rsid w:val="00A56641"/>
    <w:rsid w:val="00A567A2"/>
    <w:rsid w:val="00A56AC9"/>
    <w:rsid w:val="00A56C71"/>
    <w:rsid w:val="00A5721C"/>
    <w:rsid w:val="00A57434"/>
    <w:rsid w:val="00A574FA"/>
    <w:rsid w:val="00A5785E"/>
    <w:rsid w:val="00A57D2F"/>
    <w:rsid w:val="00A57D94"/>
    <w:rsid w:val="00A57EB4"/>
    <w:rsid w:val="00A60012"/>
    <w:rsid w:val="00A60287"/>
    <w:rsid w:val="00A604E4"/>
    <w:rsid w:val="00A60563"/>
    <w:rsid w:val="00A6096B"/>
    <w:rsid w:val="00A60A26"/>
    <w:rsid w:val="00A60BB9"/>
    <w:rsid w:val="00A60CF4"/>
    <w:rsid w:val="00A60D2F"/>
    <w:rsid w:val="00A611D9"/>
    <w:rsid w:val="00A61239"/>
    <w:rsid w:val="00A61446"/>
    <w:rsid w:val="00A61454"/>
    <w:rsid w:val="00A6146C"/>
    <w:rsid w:val="00A614EB"/>
    <w:rsid w:val="00A614EC"/>
    <w:rsid w:val="00A615F6"/>
    <w:rsid w:val="00A6165A"/>
    <w:rsid w:val="00A61705"/>
    <w:rsid w:val="00A61A78"/>
    <w:rsid w:val="00A61E6C"/>
    <w:rsid w:val="00A61F47"/>
    <w:rsid w:val="00A62190"/>
    <w:rsid w:val="00A62293"/>
    <w:rsid w:val="00A6244D"/>
    <w:rsid w:val="00A62650"/>
    <w:rsid w:val="00A62781"/>
    <w:rsid w:val="00A62D5D"/>
    <w:rsid w:val="00A62E3F"/>
    <w:rsid w:val="00A62FBA"/>
    <w:rsid w:val="00A62FC9"/>
    <w:rsid w:val="00A63029"/>
    <w:rsid w:val="00A6304E"/>
    <w:rsid w:val="00A63410"/>
    <w:rsid w:val="00A635F2"/>
    <w:rsid w:val="00A63886"/>
    <w:rsid w:val="00A63ABB"/>
    <w:rsid w:val="00A63D22"/>
    <w:rsid w:val="00A63F59"/>
    <w:rsid w:val="00A63F85"/>
    <w:rsid w:val="00A644C4"/>
    <w:rsid w:val="00A64769"/>
    <w:rsid w:val="00A650AA"/>
    <w:rsid w:val="00A65106"/>
    <w:rsid w:val="00A653DA"/>
    <w:rsid w:val="00A654E7"/>
    <w:rsid w:val="00A6578A"/>
    <w:rsid w:val="00A6591E"/>
    <w:rsid w:val="00A65B44"/>
    <w:rsid w:val="00A65C97"/>
    <w:rsid w:val="00A65DAD"/>
    <w:rsid w:val="00A65E23"/>
    <w:rsid w:val="00A65EE2"/>
    <w:rsid w:val="00A66085"/>
    <w:rsid w:val="00A6608F"/>
    <w:rsid w:val="00A660F7"/>
    <w:rsid w:val="00A661CC"/>
    <w:rsid w:val="00A66234"/>
    <w:rsid w:val="00A6633A"/>
    <w:rsid w:val="00A664BD"/>
    <w:rsid w:val="00A66944"/>
    <w:rsid w:val="00A66C65"/>
    <w:rsid w:val="00A66D34"/>
    <w:rsid w:val="00A66DB7"/>
    <w:rsid w:val="00A66DE4"/>
    <w:rsid w:val="00A67215"/>
    <w:rsid w:val="00A6741F"/>
    <w:rsid w:val="00A67913"/>
    <w:rsid w:val="00A67969"/>
    <w:rsid w:val="00A67A73"/>
    <w:rsid w:val="00A67B22"/>
    <w:rsid w:val="00A67DAB"/>
    <w:rsid w:val="00A701E5"/>
    <w:rsid w:val="00A70287"/>
    <w:rsid w:val="00A70324"/>
    <w:rsid w:val="00A70406"/>
    <w:rsid w:val="00A7056C"/>
    <w:rsid w:val="00A70663"/>
    <w:rsid w:val="00A70D18"/>
    <w:rsid w:val="00A70E95"/>
    <w:rsid w:val="00A70EF8"/>
    <w:rsid w:val="00A7113E"/>
    <w:rsid w:val="00A7128F"/>
    <w:rsid w:val="00A714FB"/>
    <w:rsid w:val="00A715AD"/>
    <w:rsid w:val="00A716BA"/>
    <w:rsid w:val="00A71A43"/>
    <w:rsid w:val="00A71A6C"/>
    <w:rsid w:val="00A71D50"/>
    <w:rsid w:val="00A71F83"/>
    <w:rsid w:val="00A722A2"/>
    <w:rsid w:val="00A72432"/>
    <w:rsid w:val="00A72456"/>
    <w:rsid w:val="00A72606"/>
    <w:rsid w:val="00A726E0"/>
    <w:rsid w:val="00A72B29"/>
    <w:rsid w:val="00A72C53"/>
    <w:rsid w:val="00A73252"/>
    <w:rsid w:val="00A732C6"/>
    <w:rsid w:val="00A73704"/>
    <w:rsid w:val="00A73797"/>
    <w:rsid w:val="00A7384B"/>
    <w:rsid w:val="00A73884"/>
    <w:rsid w:val="00A73929"/>
    <w:rsid w:val="00A739EC"/>
    <w:rsid w:val="00A73A22"/>
    <w:rsid w:val="00A73E86"/>
    <w:rsid w:val="00A74064"/>
    <w:rsid w:val="00A7406E"/>
    <w:rsid w:val="00A74260"/>
    <w:rsid w:val="00A743F8"/>
    <w:rsid w:val="00A74599"/>
    <w:rsid w:val="00A7483E"/>
    <w:rsid w:val="00A748F0"/>
    <w:rsid w:val="00A74934"/>
    <w:rsid w:val="00A749BF"/>
    <w:rsid w:val="00A749D2"/>
    <w:rsid w:val="00A74A6B"/>
    <w:rsid w:val="00A74B9B"/>
    <w:rsid w:val="00A74F50"/>
    <w:rsid w:val="00A75077"/>
    <w:rsid w:val="00A750EE"/>
    <w:rsid w:val="00A75892"/>
    <w:rsid w:val="00A759D5"/>
    <w:rsid w:val="00A75A1F"/>
    <w:rsid w:val="00A75CD1"/>
    <w:rsid w:val="00A76044"/>
    <w:rsid w:val="00A7621A"/>
    <w:rsid w:val="00A766E4"/>
    <w:rsid w:val="00A766FF"/>
    <w:rsid w:val="00A76917"/>
    <w:rsid w:val="00A76BFF"/>
    <w:rsid w:val="00A76DB3"/>
    <w:rsid w:val="00A76F02"/>
    <w:rsid w:val="00A771A3"/>
    <w:rsid w:val="00A77970"/>
    <w:rsid w:val="00A77C21"/>
    <w:rsid w:val="00A77D6D"/>
    <w:rsid w:val="00A77DB5"/>
    <w:rsid w:val="00A80106"/>
    <w:rsid w:val="00A8014C"/>
    <w:rsid w:val="00A808DB"/>
    <w:rsid w:val="00A8091E"/>
    <w:rsid w:val="00A80B2C"/>
    <w:rsid w:val="00A80B3C"/>
    <w:rsid w:val="00A80D74"/>
    <w:rsid w:val="00A80E89"/>
    <w:rsid w:val="00A80FF2"/>
    <w:rsid w:val="00A81252"/>
    <w:rsid w:val="00A812BE"/>
    <w:rsid w:val="00A813DC"/>
    <w:rsid w:val="00A815D5"/>
    <w:rsid w:val="00A81761"/>
    <w:rsid w:val="00A818C2"/>
    <w:rsid w:val="00A81A94"/>
    <w:rsid w:val="00A81AEB"/>
    <w:rsid w:val="00A81D28"/>
    <w:rsid w:val="00A81D45"/>
    <w:rsid w:val="00A81F9A"/>
    <w:rsid w:val="00A8223B"/>
    <w:rsid w:val="00A8224F"/>
    <w:rsid w:val="00A823AE"/>
    <w:rsid w:val="00A82534"/>
    <w:rsid w:val="00A826B2"/>
    <w:rsid w:val="00A82923"/>
    <w:rsid w:val="00A82948"/>
    <w:rsid w:val="00A82BA1"/>
    <w:rsid w:val="00A82C5B"/>
    <w:rsid w:val="00A82C9E"/>
    <w:rsid w:val="00A82E29"/>
    <w:rsid w:val="00A82F7B"/>
    <w:rsid w:val="00A8329D"/>
    <w:rsid w:val="00A8364E"/>
    <w:rsid w:val="00A838A8"/>
    <w:rsid w:val="00A83ACF"/>
    <w:rsid w:val="00A83C77"/>
    <w:rsid w:val="00A83EBB"/>
    <w:rsid w:val="00A83EEE"/>
    <w:rsid w:val="00A8422C"/>
    <w:rsid w:val="00A843C4"/>
    <w:rsid w:val="00A84522"/>
    <w:rsid w:val="00A845F6"/>
    <w:rsid w:val="00A848E5"/>
    <w:rsid w:val="00A84914"/>
    <w:rsid w:val="00A849A3"/>
    <w:rsid w:val="00A84D50"/>
    <w:rsid w:val="00A84E12"/>
    <w:rsid w:val="00A84EAD"/>
    <w:rsid w:val="00A85033"/>
    <w:rsid w:val="00A85163"/>
    <w:rsid w:val="00A85346"/>
    <w:rsid w:val="00A8596A"/>
    <w:rsid w:val="00A85D0F"/>
    <w:rsid w:val="00A85EDA"/>
    <w:rsid w:val="00A85EE3"/>
    <w:rsid w:val="00A85FBD"/>
    <w:rsid w:val="00A86039"/>
    <w:rsid w:val="00A860BF"/>
    <w:rsid w:val="00A860C3"/>
    <w:rsid w:val="00A860F3"/>
    <w:rsid w:val="00A86674"/>
    <w:rsid w:val="00A86A29"/>
    <w:rsid w:val="00A86B68"/>
    <w:rsid w:val="00A86C7B"/>
    <w:rsid w:val="00A86E2E"/>
    <w:rsid w:val="00A87104"/>
    <w:rsid w:val="00A87332"/>
    <w:rsid w:val="00A87459"/>
    <w:rsid w:val="00A878B9"/>
    <w:rsid w:val="00A87CE6"/>
    <w:rsid w:val="00A87DD8"/>
    <w:rsid w:val="00A87ECB"/>
    <w:rsid w:val="00A87F30"/>
    <w:rsid w:val="00A87FF6"/>
    <w:rsid w:val="00A90503"/>
    <w:rsid w:val="00A90541"/>
    <w:rsid w:val="00A9059A"/>
    <w:rsid w:val="00A906E9"/>
    <w:rsid w:val="00A90B83"/>
    <w:rsid w:val="00A90BEF"/>
    <w:rsid w:val="00A90E03"/>
    <w:rsid w:val="00A9108B"/>
    <w:rsid w:val="00A9119A"/>
    <w:rsid w:val="00A911F3"/>
    <w:rsid w:val="00A91841"/>
    <w:rsid w:val="00A919A8"/>
    <w:rsid w:val="00A92037"/>
    <w:rsid w:val="00A921B5"/>
    <w:rsid w:val="00A9234A"/>
    <w:rsid w:val="00A92467"/>
    <w:rsid w:val="00A9249E"/>
    <w:rsid w:val="00A9253C"/>
    <w:rsid w:val="00A92788"/>
    <w:rsid w:val="00A927C2"/>
    <w:rsid w:val="00A9289F"/>
    <w:rsid w:val="00A92A30"/>
    <w:rsid w:val="00A93036"/>
    <w:rsid w:val="00A93262"/>
    <w:rsid w:val="00A9349D"/>
    <w:rsid w:val="00A93636"/>
    <w:rsid w:val="00A93749"/>
    <w:rsid w:val="00A9396C"/>
    <w:rsid w:val="00A93DAA"/>
    <w:rsid w:val="00A93F7E"/>
    <w:rsid w:val="00A9453E"/>
    <w:rsid w:val="00A9485D"/>
    <w:rsid w:val="00A948A0"/>
    <w:rsid w:val="00A949AE"/>
    <w:rsid w:val="00A949FF"/>
    <w:rsid w:val="00A94C15"/>
    <w:rsid w:val="00A94D52"/>
    <w:rsid w:val="00A94F3E"/>
    <w:rsid w:val="00A94F59"/>
    <w:rsid w:val="00A9501B"/>
    <w:rsid w:val="00A951CD"/>
    <w:rsid w:val="00A9522D"/>
    <w:rsid w:val="00A95300"/>
    <w:rsid w:val="00A954C1"/>
    <w:rsid w:val="00A956B1"/>
    <w:rsid w:val="00A9579F"/>
    <w:rsid w:val="00A95932"/>
    <w:rsid w:val="00A95A12"/>
    <w:rsid w:val="00A95A19"/>
    <w:rsid w:val="00A95D13"/>
    <w:rsid w:val="00A95D2D"/>
    <w:rsid w:val="00A95DED"/>
    <w:rsid w:val="00A961DE"/>
    <w:rsid w:val="00A962F1"/>
    <w:rsid w:val="00A9663C"/>
    <w:rsid w:val="00A967DA"/>
    <w:rsid w:val="00A9681E"/>
    <w:rsid w:val="00A96A05"/>
    <w:rsid w:val="00A96A38"/>
    <w:rsid w:val="00A96B0C"/>
    <w:rsid w:val="00A96E4B"/>
    <w:rsid w:val="00A97254"/>
    <w:rsid w:val="00A97287"/>
    <w:rsid w:val="00A97670"/>
    <w:rsid w:val="00A97948"/>
    <w:rsid w:val="00A97A03"/>
    <w:rsid w:val="00A97B74"/>
    <w:rsid w:val="00A97E96"/>
    <w:rsid w:val="00AA007A"/>
    <w:rsid w:val="00AA0235"/>
    <w:rsid w:val="00AA02FE"/>
    <w:rsid w:val="00AA05CA"/>
    <w:rsid w:val="00AA0772"/>
    <w:rsid w:val="00AA09AD"/>
    <w:rsid w:val="00AA09CB"/>
    <w:rsid w:val="00AA0D4C"/>
    <w:rsid w:val="00AA0D6A"/>
    <w:rsid w:val="00AA0E8A"/>
    <w:rsid w:val="00AA12B3"/>
    <w:rsid w:val="00AA12C5"/>
    <w:rsid w:val="00AA1426"/>
    <w:rsid w:val="00AA156E"/>
    <w:rsid w:val="00AA182E"/>
    <w:rsid w:val="00AA1C89"/>
    <w:rsid w:val="00AA1DFC"/>
    <w:rsid w:val="00AA1E89"/>
    <w:rsid w:val="00AA2555"/>
    <w:rsid w:val="00AA255D"/>
    <w:rsid w:val="00AA25F3"/>
    <w:rsid w:val="00AA272F"/>
    <w:rsid w:val="00AA274B"/>
    <w:rsid w:val="00AA2755"/>
    <w:rsid w:val="00AA2B53"/>
    <w:rsid w:val="00AA3169"/>
    <w:rsid w:val="00AA353F"/>
    <w:rsid w:val="00AA35B4"/>
    <w:rsid w:val="00AA35F6"/>
    <w:rsid w:val="00AA3603"/>
    <w:rsid w:val="00AA3795"/>
    <w:rsid w:val="00AA39BC"/>
    <w:rsid w:val="00AA3B49"/>
    <w:rsid w:val="00AA3B57"/>
    <w:rsid w:val="00AA4179"/>
    <w:rsid w:val="00AA46F0"/>
    <w:rsid w:val="00AA4801"/>
    <w:rsid w:val="00AA4DB7"/>
    <w:rsid w:val="00AA4DD2"/>
    <w:rsid w:val="00AA4E64"/>
    <w:rsid w:val="00AA5069"/>
    <w:rsid w:val="00AA53D1"/>
    <w:rsid w:val="00AA5443"/>
    <w:rsid w:val="00AA5AD2"/>
    <w:rsid w:val="00AA5CF6"/>
    <w:rsid w:val="00AA5F1A"/>
    <w:rsid w:val="00AA607B"/>
    <w:rsid w:val="00AA607C"/>
    <w:rsid w:val="00AA61D8"/>
    <w:rsid w:val="00AA6586"/>
    <w:rsid w:val="00AA6826"/>
    <w:rsid w:val="00AA685A"/>
    <w:rsid w:val="00AA6AAA"/>
    <w:rsid w:val="00AA6C3C"/>
    <w:rsid w:val="00AA71F4"/>
    <w:rsid w:val="00AA7225"/>
    <w:rsid w:val="00AA73C3"/>
    <w:rsid w:val="00AA741F"/>
    <w:rsid w:val="00AA756E"/>
    <w:rsid w:val="00AA7586"/>
    <w:rsid w:val="00AA75F7"/>
    <w:rsid w:val="00AA7713"/>
    <w:rsid w:val="00AA7842"/>
    <w:rsid w:val="00AA79C6"/>
    <w:rsid w:val="00AA7D7B"/>
    <w:rsid w:val="00AA7DB5"/>
    <w:rsid w:val="00AA7DEE"/>
    <w:rsid w:val="00AA7E3A"/>
    <w:rsid w:val="00AA7EFE"/>
    <w:rsid w:val="00AB03D8"/>
    <w:rsid w:val="00AB067C"/>
    <w:rsid w:val="00AB073E"/>
    <w:rsid w:val="00AB0950"/>
    <w:rsid w:val="00AB097C"/>
    <w:rsid w:val="00AB0989"/>
    <w:rsid w:val="00AB0AAB"/>
    <w:rsid w:val="00AB100D"/>
    <w:rsid w:val="00AB13AF"/>
    <w:rsid w:val="00AB14AE"/>
    <w:rsid w:val="00AB14D7"/>
    <w:rsid w:val="00AB164D"/>
    <w:rsid w:val="00AB16B0"/>
    <w:rsid w:val="00AB1A13"/>
    <w:rsid w:val="00AB1D66"/>
    <w:rsid w:val="00AB208F"/>
    <w:rsid w:val="00AB240C"/>
    <w:rsid w:val="00AB24C5"/>
    <w:rsid w:val="00AB25A8"/>
    <w:rsid w:val="00AB25BF"/>
    <w:rsid w:val="00AB2662"/>
    <w:rsid w:val="00AB29E8"/>
    <w:rsid w:val="00AB2E4D"/>
    <w:rsid w:val="00AB2E87"/>
    <w:rsid w:val="00AB3173"/>
    <w:rsid w:val="00AB31BC"/>
    <w:rsid w:val="00AB3757"/>
    <w:rsid w:val="00AB3D7C"/>
    <w:rsid w:val="00AB3F82"/>
    <w:rsid w:val="00AB3FBA"/>
    <w:rsid w:val="00AB3FDE"/>
    <w:rsid w:val="00AB424B"/>
    <w:rsid w:val="00AB4563"/>
    <w:rsid w:val="00AB47DC"/>
    <w:rsid w:val="00AB4916"/>
    <w:rsid w:val="00AB4C5A"/>
    <w:rsid w:val="00AB4E79"/>
    <w:rsid w:val="00AB4E9F"/>
    <w:rsid w:val="00AB506E"/>
    <w:rsid w:val="00AB5272"/>
    <w:rsid w:val="00AB53F1"/>
    <w:rsid w:val="00AB5493"/>
    <w:rsid w:val="00AB54D6"/>
    <w:rsid w:val="00AB5666"/>
    <w:rsid w:val="00AB5A29"/>
    <w:rsid w:val="00AB5CDF"/>
    <w:rsid w:val="00AB6039"/>
    <w:rsid w:val="00AB60E2"/>
    <w:rsid w:val="00AB61B3"/>
    <w:rsid w:val="00AB6275"/>
    <w:rsid w:val="00AB63B3"/>
    <w:rsid w:val="00AB6738"/>
    <w:rsid w:val="00AB6B3F"/>
    <w:rsid w:val="00AB6D19"/>
    <w:rsid w:val="00AB6E87"/>
    <w:rsid w:val="00AB6FFE"/>
    <w:rsid w:val="00AB7A2F"/>
    <w:rsid w:val="00AB7C8D"/>
    <w:rsid w:val="00AC00C4"/>
    <w:rsid w:val="00AC014F"/>
    <w:rsid w:val="00AC0283"/>
    <w:rsid w:val="00AC04A8"/>
    <w:rsid w:val="00AC0529"/>
    <w:rsid w:val="00AC053C"/>
    <w:rsid w:val="00AC07DD"/>
    <w:rsid w:val="00AC0924"/>
    <w:rsid w:val="00AC0A1D"/>
    <w:rsid w:val="00AC0A35"/>
    <w:rsid w:val="00AC0B0B"/>
    <w:rsid w:val="00AC0CE2"/>
    <w:rsid w:val="00AC1096"/>
    <w:rsid w:val="00AC126F"/>
    <w:rsid w:val="00AC13F5"/>
    <w:rsid w:val="00AC15A5"/>
    <w:rsid w:val="00AC1736"/>
    <w:rsid w:val="00AC190C"/>
    <w:rsid w:val="00AC1C55"/>
    <w:rsid w:val="00AC1D2B"/>
    <w:rsid w:val="00AC1E50"/>
    <w:rsid w:val="00AC1F97"/>
    <w:rsid w:val="00AC210F"/>
    <w:rsid w:val="00AC2262"/>
    <w:rsid w:val="00AC23D0"/>
    <w:rsid w:val="00AC26D6"/>
    <w:rsid w:val="00AC27F1"/>
    <w:rsid w:val="00AC27FF"/>
    <w:rsid w:val="00AC2A31"/>
    <w:rsid w:val="00AC2AD1"/>
    <w:rsid w:val="00AC2F92"/>
    <w:rsid w:val="00AC2FD8"/>
    <w:rsid w:val="00AC3010"/>
    <w:rsid w:val="00AC315E"/>
    <w:rsid w:val="00AC319E"/>
    <w:rsid w:val="00AC31BA"/>
    <w:rsid w:val="00AC328F"/>
    <w:rsid w:val="00AC33D7"/>
    <w:rsid w:val="00AC35FD"/>
    <w:rsid w:val="00AC3685"/>
    <w:rsid w:val="00AC37B5"/>
    <w:rsid w:val="00AC3994"/>
    <w:rsid w:val="00AC3A38"/>
    <w:rsid w:val="00AC3D4D"/>
    <w:rsid w:val="00AC3D80"/>
    <w:rsid w:val="00AC3F70"/>
    <w:rsid w:val="00AC421F"/>
    <w:rsid w:val="00AC42E0"/>
    <w:rsid w:val="00AC42ED"/>
    <w:rsid w:val="00AC446F"/>
    <w:rsid w:val="00AC4659"/>
    <w:rsid w:val="00AC48B8"/>
    <w:rsid w:val="00AC4BB9"/>
    <w:rsid w:val="00AC4C21"/>
    <w:rsid w:val="00AC4CC2"/>
    <w:rsid w:val="00AC4DD1"/>
    <w:rsid w:val="00AC4F69"/>
    <w:rsid w:val="00AC5063"/>
    <w:rsid w:val="00AC5298"/>
    <w:rsid w:val="00AC5621"/>
    <w:rsid w:val="00AC562A"/>
    <w:rsid w:val="00AC58C6"/>
    <w:rsid w:val="00AC5A33"/>
    <w:rsid w:val="00AC5B1B"/>
    <w:rsid w:val="00AC5CA8"/>
    <w:rsid w:val="00AC5D5A"/>
    <w:rsid w:val="00AC5D6E"/>
    <w:rsid w:val="00AC624F"/>
    <w:rsid w:val="00AC6374"/>
    <w:rsid w:val="00AC640A"/>
    <w:rsid w:val="00AC6474"/>
    <w:rsid w:val="00AC6624"/>
    <w:rsid w:val="00AC6BCD"/>
    <w:rsid w:val="00AC6C7E"/>
    <w:rsid w:val="00AC6E73"/>
    <w:rsid w:val="00AC6F02"/>
    <w:rsid w:val="00AC6F7A"/>
    <w:rsid w:val="00AC71D8"/>
    <w:rsid w:val="00AC723A"/>
    <w:rsid w:val="00AC745C"/>
    <w:rsid w:val="00AC7568"/>
    <w:rsid w:val="00AC75A9"/>
    <w:rsid w:val="00AC7665"/>
    <w:rsid w:val="00AC7812"/>
    <w:rsid w:val="00AC79CC"/>
    <w:rsid w:val="00AC79DC"/>
    <w:rsid w:val="00AC7C15"/>
    <w:rsid w:val="00AC7D5E"/>
    <w:rsid w:val="00AC7D89"/>
    <w:rsid w:val="00AC7F2F"/>
    <w:rsid w:val="00AD010E"/>
    <w:rsid w:val="00AD0326"/>
    <w:rsid w:val="00AD069D"/>
    <w:rsid w:val="00AD06BC"/>
    <w:rsid w:val="00AD0740"/>
    <w:rsid w:val="00AD07A3"/>
    <w:rsid w:val="00AD083F"/>
    <w:rsid w:val="00AD09B3"/>
    <w:rsid w:val="00AD0CF7"/>
    <w:rsid w:val="00AD11AC"/>
    <w:rsid w:val="00AD129A"/>
    <w:rsid w:val="00AD12FC"/>
    <w:rsid w:val="00AD150B"/>
    <w:rsid w:val="00AD15F3"/>
    <w:rsid w:val="00AD1C47"/>
    <w:rsid w:val="00AD1D52"/>
    <w:rsid w:val="00AD21A1"/>
    <w:rsid w:val="00AD222C"/>
    <w:rsid w:val="00AD2294"/>
    <w:rsid w:val="00AD236D"/>
    <w:rsid w:val="00AD26A3"/>
    <w:rsid w:val="00AD273C"/>
    <w:rsid w:val="00AD2AC9"/>
    <w:rsid w:val="00AD30A0"/>
    <w:rsid w:val="00AD34E5"/>
    <w:rsid w:val="00AD34F4"/>
    <w:rsid w:val="00AD353F"/>
    <w:rsid w:val="00AD386C"/>
    <w:rsid w:val="00AD38A9"/>
    <w:rsid w:val="00AD3B10"/>
    <w:rsid w:val="00AD3B59"/>
    <w:rsid w:val="00AD3D41"/>
    <w:rsid w:val="00AD3D6A"/>
    <w:rsid w:val="00AD3F5E"/>
    <w:rsid w:val="00AD3FC6"/>
    <w:rsid w:val="00AD41B7"/>
    <w:rsid w:val="00AD47E6"/>
    <w:rsid w:val="00AD494E"/>
    <w:rsid w:val="00AD4BE5"/>
    <w:rsid w:val="00AD4ED4"/>
    <w:rsid w:val="00AD50AD"/>
    <w:rsid w:val="00AD51E1"/>
    <w:rsid w:val="00AD587E"/>
    <w:rsid w:val="00AD5A30"/>
    <w:rsid w:val="00AD5C38"/>
    <w:rsid w:val="00AD5EEC"/>
    <w:rsid w:val="00AD5F24"/>
    <w:rsid w:val="00AD5F98"/>
    <w:rsid w:val="00AD5FE2"/>
    <w:rsid w:val="00AD6131"/>
    <w:rsid w:val="00AD613A"/>
    <w:rsid w:val="00AD62F0"/>
    <w:rsid w:val="00AD6349"/>
    <w:rsid w:val="00AD65E3"/>
    <w:rsid w:val="00AD66BE"/>
    <w:rsid w:val="00AD675E"/>
    <w:rsid w:val="00AD69C0"/>
    <w:rsid w:val="00AD6A0B"/>
    <w:rsid w:val="00AD6AD3"/>
    <w:rsid w:val="00AD6B6D"/>
    <w:rsid w:val="00AD6BB8"/>
    <w:rsid w:val="00AD6D52"/>
    <w:rsid w:val="00AD6E42"/>
    <w:rsid w:val="00AD6E81"/>
    <w:rsid w:val="00AD722A"/>
    <w:rsid w:val="00AD7286"/>
    <w:rsid w:val="00AD7F4A"/>
    <w:rsid w:val="00AD7FE9"/>
    <w:rsid w:val="00AE00CF"/>
    <w:rsid w:val="00AE00F4"/>
    <w:rsid w:val="00AE0356"/>
    <w:rsid w:val="00AE04BC"/>
    <w:rsid w:val="00AE066D"/>
    <w:rsid w:val="00AE07E2"/>
    <w:rsid w:val="00AE0961"/>
    <w:rsid w:val="00AE09A6"/>
    <w:rsid w:val="00AE09FB"/>
    <w:rsid w:val="00AE0A2D"/>
    <w:rsid w:val="00AE0B2E"/>
    <w:rsid w:val="00AE0B90"/>
    <w:rsid w:val="00AE109F"/>
    <w:rsid w:val="00AE1529"/>
    <w:rsid w:val="00AE1569"/>
    <w:rsid w:val="00AE167A"/>
    <w:rsid w:val="00AE16C8"/>
    <w:rsid w:val="00AE1B01"/>
    <w:rsid w:val="00AE1D50"/>
    <w:rsid w:val="00AE1E3C"/>
    <w:rsid w:val="00AE28E4"/>
    <w:rsid w:val="00AE2AF7"/>
    <w:rsid w:val="00AE2B5B"/>
    <w:rsid w:val="00AE2DDC"/>
    <w:rsid w:val="00AE2F3D"/>
    <w:rsid w:val="00AE3016"/>
    <w:rsid w:val="00AE309D"/>
    <w:rsid w:val="00AE313D"/>
    <w:rsid w:val="00AE3455"/>
    <w:rsid w:val="00AE3739"/>
    <w:rsid w:val="00AE3909"/>
    <w:rsid w:val="00AE3982"/>
    <w:rsid w:val="00AE39E3"/>
    <w:rsid w:val="00AE3A1E"/>
    <w:rsid w:val="00AE3AA3"/>
    <w:rsid w:val="00AE3B1A"/>
    <w:rsid w:val="00AE3D11"/>
    <w:rsid w:val="00AE3D37"/>
    <w:rsid w:val="00AE3E4A"/>
    <w:rsid w:val="00AE4395"/>
    <w:rsid w:val="00AE4673"/>
    <w:rsid w:val="00AE4AC3"/>
    <w:rsid w:val="00AE4D1F"/>
    <w:rsid w:val="00AE5177"/>
    <w:rsid w:val="00AE578C"/>
    <w:rsid w:val="00AE5E3C"/>
    <w:rsid w:val="00AE5F32"/>
    <w:rsid w:val="00AE5F4E"/>
    <w:rsid w:val="00AE602E"/>
    <w:rsid w:val="00AE6113"/>
    <w:rsid w:val="00AE62DC"/>
    <w:rsid w:val="00AE6898"/>
    <w:rsid w:val="00AE68F7"/>
    <w:rsid w:val="00AE69A7"/>
    <w:rsid w:val="00AE69E3"/>
    <w:rsid w:val="00AE6B73"/>
    <w:rsid w:val="00AE6CD0"/>
    <w:rsid w:val="00AE6F1A"/>
    <w:rsid w:val="00AE734F"/>
    <w:rsid w:val="00AE7656"/>
    <w:rsid w:val="00AE7661"/>
    <w:rsid w:val="00AE7695"/>
    <w:rsid w:val="00AE76A4"/>
    <w:rsid w:val="00AE772C"/>
    <w:rsid w:val="00AE7AA9"/>
    <w:rsid w:val="00AE7C6E"/>
    <w:rsid w:val="00AE7F11"/>
    <w:rsid w:val="00AE7F49"/>
    <w:rsid w:val="00AE7F77"/>
    <w:rsid w:val="00AF0308"/>
    <w:rsid w:val="00AF03B8"/>
    <w:rsid w:val="00AF0417"/>
    <w:rsid w:val="00AF041F"/>
    <w:rsid w:val="00AF047D"/>
    <w:rsid w:val="00AF067A"/>
    <w:rsid w:val="00AF07B2"/>
    <w:rsid w:val="00AF0933"/>
    <w:rsid w:val="00AF093D"/>
    <w:rsid w:val="00AF0C83"/>
    <w:rsid w:val="00AF109E"/>
    <w:rsid w:val="00AF10C2"/>
    <w:rsid w:val="00AF12C6"/>
    <w:rsid w:val="00AF1333"/>
    <w:rsid w:val="00AF18AB"/>
    <w:rsid w:val="00AF1A2D"/>
    <w:rsid w:val="00AF1ADB"/>
    <w:rsid w:val="00AF1C72"/>
    <w:rsid w:val="00AF217E"/>
    <w:rsid w:val="00AF2656"/>
    <w:rsid w:val="00AF2676"/>
    <w:rsid w:val="00AF294A"/>
    <w:rsid w:val="00AF2AC3"/>
    <w:rsid w:val="00AF2C0B"/>
    <w:rsid w:val="00AF2D9C"/>
    <w:rsid w:val="00AF2DBC"/>
    <w:rsid w:val="00AF2FCC"/>
    <w:rsid w:val="00AF300E"/>
    <w:rsid w:val="00AF31B6"/>
    <w:rsid w:val="00AF37B4"/>
    <w:rsid w:val="00AF3824"/>
    <w:rsid w:val="00AF3BED"/>
    <w:rsid w:val="00AF3D60"/>
    <w:rsid w:val="00AF3DFE"/>
    <w:rsid w:val="00AF3E8F"/>
    <w:rsid w:val="00AF4019"/>
    <w:rsid w:val="00AF4170"/>
    <w:rsid w:val="00AF4428"/>
    <w:rsid w:val="00AF4D11"/>
    <w:rsid w:val="00AF4DBF"/>
    <w:rsid w:val="00AF4FD5"/>
    <w:rsid w:val="00AF57E0"/>
    <w:rsid w:val="00AF5901"/>
    <w:rsid w:val="00AF5A7E"/>
    <w:rsid w:val="00AF5ACD"/>
    <w:rsid w:val="00AF5AE4"/>
    <w:rsid w:val="00AF5CBB"/>
    <w:rsid w:val="00AF6110"/>
    <w:rsid w:val="00AF6226"/>
    <w:rsid w:val="00AF63E9"/>
    <w:rsid w:val="00AF6425"/>
    <w:rsid w:val="00AF646E"/>
    <w:rsid w:val="00AF685D"/>
    <w:rsid w:val="00AF68FA"/>
    <w:rsid w:val="00AF6933"/>
    <w:rsid w:val="00AF6AC6"/>
    <w:rsid w:val="00AF7095"/>
    <w:rsid w:val="00AF70D8"/>
    <w:rsid w:val="00AF719C"/>
    <w:rsid w:val="00AF71C9"/>
    <w:rsid w:val="00AF71DE"/>
    <w:rsid w:val="00AF72E9"/>
    <w:rsid w:val="00AF7A70"/>
    <w:rsid w:val="00AF7D99"/>
    <w:rsid w:val="00AF7E82"/>
    <w:rsid w:val="00AF7F4D"/>
    <w:rsid w:val="00AF7F4E"/>
    <w:rsid w:val="00AF7F9D"/>
    <w:rsid w:val="00B00014"/>
    <w:rsid w:val="00B00611"/>
    <w:rsid w:val="00B00C0F"/>
    <w:rsid w:val="00B013E3"/>
    <w:rsid w:val="00B0190C"/>
    <w:rsid w:val="00B01A9E"/>
    <w:rsid w:val="00B01D85"/>
    <w:rsid w:val="00B01F1F"/>
    <w:rsid w:val="00B02141"/>
    <w:rsid w:val="00B0235C"/>
    <w:rsid w:val="00B02B88"/>
    <w:rsid w:val="00B02CFD"/>
    <w:rsid w:val="00B02DD8"/>
    <w:rsid w:val="00B03037"/>
    <w:rsid w:val="00B030A5"/>
    <w:rsid w:val="00B03311"/>
    <w:rsid w:val="00B0334E"/>
    <w:rsid w:val="00B0337D"/>
    <w:rsid w:val="00B03484"/>
    <w:rsid w:val="00B03719"/>
    <w:rsid w:val="00B0372B"/>
    <w:rsid w:val="00B0388F"/>
    <w:rsid w:val="00B038E6"/>
    <w:rsid w:val="00B03991"/>
    <w:rsid w:val="00B03A5A"/>
    <w:rsid w:val="00B03A82"/>
    <w:rsid w:val="00B03CED"/>
    <w:rsid w:val="00B03DC5"/>
    <w:rsid w:val="00B04234"/>
    <w:rsid w:val="00B04354"/>
    <w:rsid w:val="00B0461C"/>
    <w:rsid w:val="00B04663"/>
    <w:rsid w:val="00B048DB"/>
    <w:rsid w:val="00B049C5"/>
    <w:rsid w:val="00B04ABB"/>
    <w:rsid w:val="00B04F15"/>
    <w:rsid w:val="00B04FD7"/>
    <w:rsid w:val="00B05316"/>
    <w:rsid w:val="00B05506"/>
    <w:rsid w:val="00B05686"/>
    <w:rsid w:val="00B05970"/>
    <w:rsid w:val="00B05E3D"/>
    <w:rsid w:val="00B06224"/>
    <w:rsid w:val="00B065B9"/>
    <w:rsid w:val="00B06743"/>
    <w:rsid w:val="00B0684A"/>
    <w:rsid w:val="00B06BA4"/>
    <w:rsid w:val="00B06BDC"/>
    <w:rsid w:val="00B06C9E"/>
    <w:rsid w:val="00B072AE"/>
    <w:rsid w:val="00B074FA"/>
    <w:rsid w:val="00B0752C"/>
    <w:rsid w:val="00B07650"/>
    <w:rsid w:val="00B0769E"/>
    <w:rsid w:val="00B0770C"/>
    <w:rsid w:val="00B07D14"/>
    <w:rsid w:val="00B07DB8"/>
    <w:rsid w:val="00B07DBB"/>
    <w:rsid w:val="00B10118"/>
    <w:rsid w:val="00B101C7"/>
    <w:rsid w:val="00B101E6"/>
    <w:rsid w:val="00B10367"/>
    <w:rsid w:val="00B10632"/>
    <w:rsid w:val="00B10737"/>
    <w:rsid w:val="00B107BA"/>
    <w:rsid w:val="00B10C17"/>
    <w:rsid w:val="00B10D0C"/>
    <w:rsid w:val="00B10D19"/>
    <w:rsid w:val="00B10D51"/>
    <w:rsid w:val="00B10D6B"/>
    <w:rsid w:val="00B10E92"/>
    <w:rsid w:val="00B11706"/>
    <w:rsid w:val="00B1193A"/>
    <w:rsid w:val="00B119B5"/>
    <w:rsid w:val="00B119BA"/>
    <w:rsid w:val="00B11B7E"/>
    <w:rsid w:val="00B11BAA"/>
    <w:rsid w:val="00B11BCB"/>
    <w:rsid w:val="00B11D09"/>
    <w:rsid w:val="00B11D8B"/>
    <w:rsid w:val="00B11DE9"/>
    <w:rsid w:val="00B11E11"/>
    <w:rsid w:val="00B11E5A"/>
    <w:rsid w:val="00B11FF7"/>
    <w:rsid w:val="00B1232A"/>
    <w:rsid w:val="00B12377"/>
    <w:rsid w:val="00B124C1"/>
    <w:rsid w:val="00B124D4"/>
    <w:rsid w:val="00B126E8"/>
    <w:rsid w:val="00B12C60"/>
    <w:rsid w:val="00B12D8B"/>
    <w:rsid w:val="00B12DDE"/>
    <w:rsid w:val="00B12DF0"/>
    <w:rsid w:val="00B12EAF"/>
    <w:rsid w:val="00B13013"/>
    <w:rsid w:val="00B130B7"/>
    <w:rsid w:val="00B130FC"/>
    <w:rsid w:val="00B1325A"/>
    <w:rsid w:val="00B13475"/>
    <w:rsid w:val="00B135FC"/>
    <w:rsid w:val="00B1372B"/>
    <w:rsid w:val="00B137F6"/>
    <w:rsid w:val="00B139D2"/>
    <w:rsid w:val="00B13C94"/>
    <w:rsid w:val="00B13DCB"/>
    <w:rsid w:val="00B143E0"/>
    <w:rsid w:val="00B1442D"/>
    <w:rsid w:val="00B144AA"/>
    <w:rsid w:val="00B14BB1"/>
    <w:rsid w:val="00B14C7F"/>
    <w:rsid w:val="00B14DB3"/>
    <w:rsid w:val="00B1522D"/>
    <w:rsid w:val="00B154F0"/>
    <w:rsid w:val="00B157A5"/>
    <w:rsid w:val="00B157B6"/>
    <w:rsid w:val="00B15B19"/>
    <w:rsid w:val="00B15B1B"/>
    <w:rsid w:val="00B15BA3"/>
    <w:rsid w:val="00B15BAF"/>
    <w:rsid w:val="00B15DBF"/>
    <w:rsid w:val="00B15DFC"/>
    <w:rsid w:val="00B15E0A"/>
    <w:rsid w:val="00B15ED6"/>
    <w:rsid w:val="00B160CA"/>
    <w:rsid w:val="00B16126"/>
    <w:rsid w:val="00B16420"/>
    <w:rsid w:val="00B164E0"/>
    <w:rsid w:val="00B16968"/>
    <w:rsid w:val="00B16BCB"/>
    <w:rsid w:val="00B16C2D"/>
    <w:rsid w:val="00B16D7F"/>
    <w:rsid w:val="00B16E01"/>
    <w:rsid w:val="00B1704F"/>
    <w:rsid w:val="00B172F6"/>
    <w:rsid w:val="00B1761D"/>
    <w:rsid w:val="00B17D28"/>
    <w:rsid w:val="00B17DDF"/>
    <w:rsid w:val="00B17F99"/>
    <w:rsid w:val="00B17FBC"/>
    <w:rsid w:val="00B20355"/>
    <w:rsid w:val="00B20550"/>
    <w:rsid w:val="00B206EF"/>
    <w:rsid w:val="00B208FF"/>
    <w:rsid w:val="00B20957"/>
    <w:rsid w:val="00B20B98"/>
    <w:rsid w:val="00B20C13"/>
    <w:rsid w:val="00B20C8E"/>
    <w:rsid w:val="00B20CCB"/>
    <w:rsid w:val="00B20D5A"/>
    <w:rsid w:val="00B20E7B"/>
    <w:rsid w:val="00B20EA8"/>
    <w:rsid w:val="00B2118D"/>
    <w:rsid w:val="00B2129D"/>
    <w:rsid w:val="00B21625"/>
    <w:rsid w:val="00B2180E"/>
    <w:rsid w:val="00B21A40"/>
    <w:rsid w:val="00B21E06"/>
    <w:rsid w:val="00B22173"/>
    <w:rsid w:val="00B221B5"/>
    <w:rsid w:val="00B2234B"/>
    <w:rsid w:val="00B223EF"/>
    <w:rsid w:val="00B227AC"/>
    <w:rsid w:val="00B2282A"/>
    <w:rsid w:val="00B2283A"/>
    <w:rsid w:val="00B2293B"/>
    <w:rsid w:val="00B22E31"/>
    <w:rsid w:val="00B23001"/>
    <w:rsid w:val="00B2324E"/>
    <w:rsid w:val="00B2366E"/>
    <w:rsid w:val="00B23785"/>
    <w:rsid w:val="00B2382E"/>
    <w:rsid w:val="00B238E4"/>
    <w:rsid w:val="00B2395C"/>
    <w:rsid w:val="00B23A4B"/>
    <w:rsid w:val="00B23A6B"/>
    <w:rsid w:val="00B23C92"/>
    <w:rsid w:val="00B243B0"/>
    <w:rsid w:val="00B243CA"/>
    <w:rsid w:val="00B2462E"/>
    <w:rsid w:val="00B24744"/>
    <w:rsid w:val="00B247CB"/>
    <w:rsid w:val="00B2484E"/>
    <w:rsid w:val="00B249FC"/>
    <w:rsid w:val="00B24CE9"/>
    <w:rsid w:val="00B24D8A"/>
    <w:rsid w:val="00B24EB5"/>
    <w:rsid w:val="00B25147"/>
    <w:rsid w:val="00B254B8"/>
    <w:rsid w:val="00B25537"/>
    <w:rsid w:val="00B25864"/>
    <w:rsid w:val="00B259DE"/>
    <w:rsid w:val="00B25A58"/>
    <w:rsid w:val="00B25AC0"/>
    <w:rsid w:val="00B25C8C"/>
    <w:rsid w:val="00B25D6F"/>
    <w:rsid w:val="00B25F23"/>
    <w:rsid w:val="00B263B7"/>
    <w:rsid w:val="00B26424"/>
    <w:rsid w:val="00B26429"/>
    <w:rsid w:val="00B26451"/>
    <w:rsid w:val="00B267F3"/>
    <w:rsid w:val="00B2680A"/>
    <w:rsid w:val="00B268A9"/>
    <w:rsid w:val="00B26BCB"/>
    <w:rsid w:val="00B26C21"/>
    <w:rsid w:val="00B26E6A"/>
    <w:rsid w:val="00B27212"/>
    <w:rsid w:val="00B2726F"/>
    <w:rsid w:val="00B272C0"/>
    <w:rsid w:val="00B27740"/>
    <w:rsid w:val="00B27975"/>
    <w:rsid w:val="00B27E0B"/>
    <w:rsid w:val="00B27FC2"/>
    <w:rsid w:val="00B30071"/>
    <w:rsid w:val="00B3044A"/>
    <w:rsid w:val="00B304AF"/>
    <w:rsid w:val="00B308CD"/>
    <w:rsid w:val="00B30CD5"/>
    <w:rsid w:val="00B30D50"/>
    <w:rsid w:val="00B30D79"/>
    <w:rsid w:val="00B30F41"/>
    <w:rsid w:val="00B31035"/>
    <w:rsid w:val="00B31081"/>
    <w:rsid w:val="00B312E9"/>
    <w:rsid w:val="00B31323"/>
    <w:rsid w:val="00B31347"/>
    <w:rsid w:val="00B31552"/>
    <w:rsid w:val="00B3166E"/>
    <w:rsid w:val="00B317E7"/>
    <w:rsid w:val="00B31A96"/>
    <w:rsid w:val="00B31C0F"/>
    <w:rsid w:val="00B31C9E"/>
    <w:rsid w:val="00B31FC7"/>
    <w:rsid w:val="00B328AA"/>
    <w:rsid w:val="00B32A05"/>
    <w:rsid w:val="00B32B64"/>
    <w:rsid w:val="00B32E4D"/>
    <w:rsid w:val="00B32F54"/>
    <w:rsid w:val="00B32FB1"/>
    <w:rsid w:val="00B330B5"/>
    <w:rsid w:val="00B33250"/>
    <w:rsid w:val="00B3351C"/>
    <w:rsid w:val="00B33623"/>
    <w:rsid w:val="00B338FB"/>
    <w:rsid w:val="00B33A0F"/>
    <w:rsid w:val="00B33A57"/>
    <w:rsid w:val="00B33A8C"/>
    <w:rsid w:val="00B33B19"/>
    <w:rsid w:val="00B33B4A"/>
    <w:rsid w:val="00B33D39"/>
    <w:rsid w:val="00B34083"/>
    <w:rsid w:val="00B34226"/>
    <w:rsid w:val="00B344F2"/>
    <w:rsid w:val="00B34744"/>
    <w:rsid w:val="00B34BD6"/>
    <w:rsid w:val="00B34C57"/>
    <w:rsid w:val="00B34F90"/>
    <w:rsid w:val="00B34FFF"/>
    <w:rsid w:val="00B35056"/>
    <w:rsid w:val="00B35105"/>
    <w:rsid w:val="00B3514C"/>
    <w:rsid w:val="00B35307"/>
    <w:rsid w:val="00B35392"/>
    <w:rsid w:val="00B357B3"/>
    <w:rsid w:val="00B35BC4"/>
    <w:rsid w:val="00B35D72"/>
    <w:rsid w:val="00B3623C"/>
    <w:rsid w:val="00B36282"/>
    <w:rsid w:val="00B3662E"/>
    <w:rsid w:val="00B36704"/>
    <w:rsid w:val="00B3678D"/>
    <w:rsid w:val="00B3693B"/>
    <w:rsid w:val="00B36998"/>
    <w:rsid w:val="00B36C36"/>
    <w:rsid w:val="00B36CE1"/>
    <w:rsid w:val="00B37514"/>
    <w:rsid w:val="00B37728"/>
    <w:rsid w:val="00B377C7"/>
    <w:rsid w:val="00B377F5"/>
    <w:rsid w:val="00B37935"/>
    <w:rsid w:val="00B37D0B"/>
    <w:rsid w:val="00B37E37"/>
    <w:rsid w:val="00B37E88"/>
    <w:rsid w:val="00B4020A"/>
    <w:rsid w:val="00B404C4"/>
    <w:rsid w:val="00B40526"/>
    <w:rsid w:val="00B4090F"/>
    <w:rsid w:val="00B40949"/>
    <w:rsid w:val="00B40D19"/>
    <w:rsid w:val="00B40D29"/>
    <w:rsid w:val="00B40DD6"/>
    <w:rsid w:val="00B40DE3"/>
    <w:rsid w:val="00B40FDA"/>
    <w:rsid w:val="00B410FF"/>
    <w:rsid w:val="00B41288"/>
    <w:rsid w:val="00B41383"/>
    <w:rsid w:val="00B41B52"/>
    <w:rsid w:val="00B41DAC"/>
    <w:rsid w:val="00B41E4A"/>
    <w:rsid w:val="00B41F45"/>
    <w:rsid w:val="00B4226F"/>
    <w:rsid w:val="00B4250C"/>
    <w:rsid w:val="00B4272E"/>
    <w:rsid w:val="00B4291E"/>
    <w:rsid w:val="00B42ADE"/>
    <w:rsid w:val="00B42E5B"/>
    <w:rsid w:val="00B42EA7"/>
    <w:rsid w:val="00B432C6"/>
    <w:rsid w:val="00B4338B"/>
    <w:rsid w:val="00B433D2"/>
    <w:rsid w:val="00B43495"/>
    <w:rsid w:val="00B435E3"/>
    <w:rsid w:val="00B4381D"/>
    <w:rsid w:val="00B43827"/>
    <w:rsid w:val="00B43C7F"/>
    <w:rsid w:val="00B43CE1"/>
    <w:rsid w:val="00B43E60"/>
    <w:rsid w:val="00B43EEA"/>
    <w:rsid w:val="00B44165"/>
    <w:rsid w:val="00B44205"/>
    <w:rsid w:val="00B444AF"/>
    <w:rsid w:val="00B44985"/>
    <w:rsid w:val="00B449E9"/>
    <w:rsid w:val="00B44F50"/>
    <w:rsid w:val="00B44F9C"/>
    <w:rsid w:val="00B450AB"/>
    <w:rsid w:val="00B45373"/>
    <w:rsid w:val="00B4541C"/>
    <w:rsid w:val="00B45702"/>
    <w:rsid w:val="00B4588F"/>
    <w:rsid w:val="00B458E7"/>
    <w:rsid w:val="00B45AFB"/>
    <w:rsid w:val="00B45C64"/>
    <w:rsid w:val="00B45D77"/>
    <w:rsid w:val="00B45DB8"/>
    <w:rsid w:val="00B46207"/>
    <w:rsid w:val="00B466F6"/>
    <w:rsid w:val="00B46720"/>
    <w:rsid w:val="00B4678F"/>
    <w:rsid w:val="00B46A32"/>
    <w:rsid w:val="00B46B29"/>
    <w:rsid w:val="00B46D00"/>
    <w:rsid w:val="00B46EF4"/>
    <w:rsid w:val="00B46F0F"/>
    <w:rsid w:val="00B46FE3"/>
    <w:rsid w:val="00B46FF4"/>
    <w:rsid w:val="00B471E7"/>
    <w:rsid w:val="00B47298"/>
    <w:rsid w:val="00B4747A"/>
    <w:rsid w:val="00B474A8"/>
    <w:rsid w:val="00B476A3"/>
    <w:rsid w:val="00B476E0"/>
    <w:rsid w:val="00B47896"/>
    <w:rsid w:val="00B47903"/>
    <w:rsid w:val="00B47954"/>
    <w:rsid w:val="00B4795C"/>
    <w:rsid w:val="00B47B0A"/>
    <w:rsid w:val="00B47BF7"/>
    <w:rsid w:val="00B47C01"/>
    <w:rsid w:val="00B47FD7"/>
    <w:rsid w:val="00B50708"/>
    <w:rsid w:val="00B50765"/>
    <w:rsid w:val="00B5082F"/>
    <w:rsid w:val="00B50A40"/>
    <w:rsid w:val="00B50CD0"/>
    <w:rsid w:val="00B50DF4"/>
    <w:rsid w:val="00B50E39"/>
    <w:rsid w:val="00B50E9E"/>
    <w:rsid w:val="00B51177"/>
    <w:rsid w:val="00B5120F"/>
    <w:rsid w:val="00B51ADB"/>
    <w:rsid w:val="00B51B18"/>
    <w:rsid w:val="00B51C2D"/>
    <w:rsid w:val="00B51D59"/>
    <w:rsid w:val="00B51F56"/>
    <w:rsid w:val="00B52121"/>
    <w:rsid w:val="00B52261"/>
    <w:rsid w:val="00B5230B"/>
    <w:rsid w:val="00B5251B"/>
    <w:rsid w:val="00B528DF"/>
    <w:rsid w:val="00B529FF"/>
    <w:rsid w:val="00B52ABC"/>
    <w:rsid w:val="00B52BE4"/>
    <w:rsid w:val="00B52E18"/>
    <w:rsid w:val="00B52ECE"/>
    <w:rsid w:val="00B531AB"/>
    <w:rsid w:val="00B53547"/>
    <w:rsid w:val="00B53597"/>
    <w:rsid w:val="00B535B3"/>
    <w:rsid w:val="00B535E9"/>
    <w:rsid w:val="00B53784"/>
    <w:rsid w:val="00B537EF"/>
    <w:rsid w:val="00B539BA"/>
    <w:rsid w:val="00B53B6B"/>
    <w:rsid w:val="00B53BBC"/>
    <w:rsid w:val="00B53E8C"/>
    <w:rsid w:val="00B54111"/>
    <w:rsid w:val="00B54268"/>
    <w:rsid w:val="00B5438D"/>
    <w:rsid w:val="00B54533"/>
    <w:rsid w:val="00B545CE"/>
    <w:rsid w:val="00B54690"/>
    <w:rsid w:val="00B5494B"/>
    <w:rsid w:val="00B54A2D"/>
    <w:rsid w:val="00B54C75"/>
    <w:rsid w:val="00B54EBE"/>
    <w:rsid w:val="00B550D8"/>
    <w:rsid w:val="00B550EA"/>
    <w:rsid w:val="00B55114"/>
    <w:rsid w:val="00B55158"/>
    <w:rsid w:val="00B5524F"/>
    <w:rsid w:val="00B55322"/>
    <w:rsid w:val="00B55B56"/>
    <w:rsid w:val="00B55BCD"/>
    <w:rsid w:val="00B55D3E"/>
    <w:rsid w:val="00B55DAF"/>
    <w:rsid w:val="00B56C52"/>
    <w:rsid w:val="00B56C7F"/>
    <w:rsid w:val="00B56D5F"/>
    <w:rsid w:val="00B56D81"/>
    <w:rsid w:val="00B56F38"/>
    <w:rsid w:val="00B5711C"/>
    <w:rsid w:val="00B5741A"/>
    <w:rsid w:val="00B57642"/>
    <w:rsid w:val="00B578C1"/>
    <w:rsid w:val="00B5791A"/>
    <w:rsid w:val="00B57921"/>
    <w:rsid w:val="00B57938"/>
    <w:rsid w:val="00B57B8D"/>
    <w:rsid w:val="00B57C09"/>
    <w:rsid w:val="00B60031"/>
    <w:rsid w:val="00B60122"/>
    <w:rsid w:val="00B601E0"/>
    <w:rsid w:val="00B60207"/>
    <w:rsid w:val="00B604B3"/>
    <w:rsid w:val="00B60BF9"/>
    <w:rsid w:val="00B60DE9"/>
    <w:rsid w:val="00B610F4"/>
    <w:rsid w:val="00B6141E"/>
    <w:rsid w:val="00B61512"/>
    <w:rsid w:val="00B6152F"/>
    <w:rsid w:val="00B615ED"/>
    <w:rsid w:val="00B6160D"/>
    <w:rsid w:val="00B61619"/>
    <w:rsid w:val="00B619F4"/>
    <w:rsid w:val="00B61A01"/>
    <w:rsid w:val="00B61D80"/>
    <w:rsid w:val="00B61E8E"/>
    <w:rsid w:val="00B61EC3"/>
    <w:rsid w:val="00B61F4E"/>
    <w:rsid w:val="00B62318"/>
    <w:rsid w:val="00B62590"/>
    <w:rsid w:val="00B6263B"/>
    <w:rsid w:val="00B626C0"/>
    <w:rsid w:val="00B62700"/>
    <w:rsid w:val="00B62814"/>
    <w:rsid w:val="00B62879"/>
    <w:rsid w:val="00B62DEF"/>
    <w:rsid w:val="00B62F20"/>
    <w:rsid w:val="00B63129"/>
    <w:rsid w:val="00B6327D"/>
    <w:rsid w:val="00B632FF"/>
    <w:rsid w:val="00B63380"/>
    <w:rsid w:val="00B63513"/>
    <w:rsid w:val="00B636E3"/>
    <w:rsid w:val="00B6374B"/>
    <w:rsid w:val="00B63754"/>
    <w:rsid w:val="00B6393A"/>
    <w:rsid w:val="00B63970"/>
    <w:rsid w:val="00B63B5A"/>
    <w:rsid w:val="00B63DBE"/>
    <w:rsid w:val="00B63F5B"/>
    <w:rsid w:val="00B64580"/>
    <w:rsid w:val="00B646A9"/>
    <w:rsid w:val="00B64AA0"/>
    <w:rsid w:val="00B64C7F"/>
    <w:rsid w:val="00B64D04"/>
    <w:rsid w:val="00B64E04"/>
    <w:rsid w:val="00B65194"/>
    <w:rsid w:val="00B651B5"/>
    <w:rsid w:val="00B6530F"/>
    <w:rsid w:val="00B65464"/>
    <w:rsid w:val="00B65665"/>
    <w:rsid w:val="00B65AF3"/>
    <w:rsid w:val="00B65DE2"/>
    <w:rsid w:val="00B65E7E"/>
    <w:rsid w:val="00B65EBE"/>
    <w:rsid w:val="00B65F69"/>
    <w:rsid w:val="00B65FCA"/>
    <w:rsid w:val="00B66142"/>
    <w:rsid w:val="00B66207"/>
    <w:rsid w:val="00B6634B"/>
    <w:rsid w:val="00B66381"/>
    <w:rsid w:val="00B663F1"/>
    <w:rsid w:val="00B666E3"/>
    <w:rsid w:val="00B6673E"/>
    <w:rsid w:val="00B66768"/>
    <w:rsid w:val="00B6684C"/>
    <w:rsid w:val="00B66C12"/>
    <w:rsid w:val="00B66FAE"/>
    <w:rsid w:val="00B670BA"/>
    <w:rsid w:val="00B67271"/>
    <w:rsid w:val="00B6729F"/>
    <w:rsid w:val="00B672E6"/>
    <w:rsid w:val="00B673A0"/>
    <w:rsid w:val="00B676E1"/>
    <w:rsid w:val="00B67845"/>
    <w:rsid w:val="00B67FD8"/>
    <w:rsid w:val="00B7006C"/>
    <w:rsid w:val="00B700A5"/>
    <w:rsid w:val="00B706E2"/>
    <w:rsid w:val="00B707D6"/>
    <w:rsid w:val="00B70A8C"/>
    <w:rsid w:val="00B70B25"/>
    <w:rsid w:val="00B70B6E"/>
    <w:rsid w:val="00B70E50"/>
    <w:rsid w:val="00B7129F"/>
    <w:rsid w:val="00B718D5"/>
    <w:rsid w:val="00B71B50"/>
    <w:rsid w:val="00B71BB4"/>
    <w:rsid w:val="00B72081"/>
    <w:rsid w:val="00B720D4"/>
    <w:rsid w:val="00B721B4"/>
    <w:rsid w:val="00B7222D"/>
    <w:rsid w:val="00B723D2"/>
    <w:rsid w:val="00B723FE"/>
    <w:rsid w:val="00B72490"/>
    <w:rsid w:val="00B7267A"/>
    <w:rsid w:val="00B72859"/>
    <w:rsid w:val="00B72988"/>
    <w:rsid w:val="00B72B57"/>
    <w:rsid w:val="00B72E23"/>
    <w:rsid w:val="00B72E67"/>
    <w:rsid w:val="00B730C2"/>
    <w:rsid w:val="00B732DE"/>
    <w:rsid w:val="00B7361F"/>
    <w:rsid w:val="00B73676"/>
    <w:rsid w:val="00B73788"/>
    <w:rsid w:val="00B73CF3"/>
    <w:rsid w:val="00B74173"/>
    <w:rsid w:val="00B742DF"/>
    <w:rsid w:val="00B7451F"/>
    <w:rsid w:val="00B74610"/>
    <w:rsid w:val="00B7489C"/>
    <w:rsid w:val="00B74B12"/>
    <w:rsid w:val="00B74BA0"/>
    <w:rsid w:val="00B74E63"/>
    <w:rsid w:val="00B74E9A"/>
    <w:rsid w:val="00B74FD2"/>
    <w:rsid w:val="00B75382"/>
    <w:rsid w:val="00B754A4"/>
    <w:rsid w:val="00B755ED"/>
    <w:rsid w:val="00B75608"/>
    <w:rsid w:val="00B75682"/>
    <w:rsid w:val="00B757F1"/>
    <w:rsid w:val="00B759AA"/>
    <w:rsid w:val="00B75B4F"/>
    <w:rsid w:val="00B75DB8"/>
    <w:rsid w:val="00B75E5A"/>
    <w:rsid w:val="00B760B4"/>
    <w:rsid w:val="00B76140"/>
    <w:rsid w:val="00B76292"/>
    <w:rsid w:val="00B76415"/>
    <w:rsid w:val="00B76692"/>
    <w:rsid w:val="00B768C2"/>
    <w:rsid w:val="00B768CB"/>
    <w:rsid w:val="00B769C0"/>
    <w:rsid w:val="00B76BDD"/>
    <w:rsid w:val="00B76C7B"/>
    <w:rsid w:val="00B76D3B"/>
    <w:rsid w:val="00B76DBB"/>
    <w:rsid w:val="00B76F86"/>
    <w:rsid w:val="00B770E9"/>
    <w:rsid w:val="00B7749A"/>
    <w:rsid w:val="00B777BF"/>
    <w:rsid w:val="00B7781C"/>
    <w:rsid w:val="00B77A33"/>
    <w:rsid w:val="00B77B49"/>
    <w:rsid w:val="00B77BBF"/>
    <w:rsid w:val="00B77D2C"/>
    <w:rsid w:val="00B77F1D"/>
    <w:rsid w:val="00B77F57"/>
    <w:rsid w:val="00B77FF1"/>
    <w:rsid w:val="00B801AD"/>
    <w:rsid w:val="00B80409"/>
    <w:rsid w:val="00B806E4"/>
    <w:rsid w:val="00B80772"/>
    <w:rsid w:val="00B80B50"/>
    <w:rsid w:val="00B80F0A"/>
    <w:rsid w:val="00B812BB"/>
    <w:rsid w:val="00B81389"/>
    <w:rsid w:val="00B81AA6"/>
    <w:rsid w:val="00B81C48"/>
    <w:rsid w:val="00B81F24"/>
    <w:rsid w:val="00B823A7"/>
    <w:rsid w:val="00B82567"/>
    <w:rsid w:val="00B82627"/>
    <w:rsid w:val="00B827CD"/>
    <w:rsid w:val="00B8282F"/>
    <w:rsid w:val="00B8289C"/>
    <w:rsid w:val="00B82909"/>
    <w:rsid w:val="00B82D02"/>
    <w:rsid w:val="00B83298"/>
    <w:rsid w:val="00B8330E"/>
    <w:rsid w:val="00B83403"/>
    <w:rsid w:val="00B83457"/>
    <w:rsid w:val="00B8358F"/>
    <w:rsid w:val="00B8393D"/>
    <w:rsid w:val="00B83A4B"/>
    <w:rsid w:val="00B83F6B"/>
    <w:rsid w:val="00B84331"/>
    <w:rsid w:val="00B847D4"/>
    <w:rsid w:val="00B84913"/>
    <w:rsid w:val="00B84A8E"/>
    <w:rsid w:val="00B84B30"/>
    <w:rsid w:val="00B84B6C"/>
    <w:rsid w:val="00B84DB6"/>
    <w:rsid w:val="00B84EAD"/>
    <w:rsid w:val="00B84EED"/>
    <w:rsid w:val="00B84F29"/>
    <w:rsid w:val="00B85271"/>
    <w:rsid w:val="00B8528E"/>
    <w:rsid w:val="00B85423"/>
    <w:rsid w:val="00B8545A"/>
    <w:rsid w:val="00B858DE"/>
    <w:rsid w:val="00B859D9"/>
    <w:rsid w:val="00B8624B"/>
    <w:rsid w:val="00B86804"/>
    <w:rsid w:val="00B8693B"/>
    <w:rsid w:val="00B86978"/>
    <w:rsid w:val="00B86AF9"/>
    <w:rsid w:val="00B86E2C"/>
    <w:rsid w:val="00B870AB"/>
    <w:rsid w:val="00B870DD"/>
    <w:rsid w:val="00B871F0"/>
    <w:rsid w:val="00B87403"/>
    <w:rsid w:val="00B8751C"/>
    <w:rsid w:val="00B87586"/>
    <w:rsid w:val="00B87654"/>
    <w:rsid w:val="00B876A7"/>
    <w:rsid w:val="00B877A0"/>
    <w:rsid w:val="00B87802"/>
    <w:rsid w:val="00B87811"/>
    <w:rsid w:val="00B87897"/>
    <w:rsid w:val="00B878BC"/>
    <w:rsid w:val="00B87951"/>
    <w:rsid w:val="00B879CE"/>
    <w:rsid w:val="00B87BCE"/>
    <w:rsid w:val="00B87D9F"/>
    <w:rsid w:val="00B87E7D"/>
    <w:rsid w:val="00B87FF8"/>
    <w:rsid w:val="00B9029C"/>
    <w:rsid w:val="00B90398"/>
    <w:rsid w:val="00B905B8"/>
    <w:rsid w:val="00B90A0B"/>
    <w:rsid w:val="00B90AA7"/>
    <w:rsid w:val="00B90ACA"/>
    <w:rsid w:val="00B90D03"/>
    <w:rsid w:val="00B9137B"/>
    <w:rsid w:val="00B91453"/>
    <w:rsid w:val="00B91570"/>
    <w:rsid w:val="00B91878"/>
    <w:rsid w:val="00B91992"/>
    <w:rsid w:val="00B91A26"/>
    <w:rsid w:val="00B91F38"/>
    <w:rsid w:val="00B9230F"/>
    <w:rsid w:val="00B923CA"/>
    <w:rsid w:val="00B925CD"/>
    <w:rsid w:val="00B92825"/>
    <w:rsid w:val="00B92B39"/>
    <w:rsid w:val="00B92B68"/>
    <w:rsid w:val="00B93311"/>
    <w:rsid w:val="00B93700"/>
    <w:rsid w:val="00B93788"/>
    <w:rsid w:val="00B93798"/>
    <w:rsid w:val="00B937BA"/>
    <w:rsid w:val="00B93809"/>
    <w:rsid w:val="00B938DC"/>
    <w:rsid w:val="00B93B72"/>
    <w:rsid w:val="00B93E9F"/>
    <w:rsid w:val="00B940D0"/>
    <w:rsid w:val="00B941ED"/>
    <w:rsid w:val="00B942BA"/>
    <w:rsid w:val="00B94335"/>
    <w:rsid w:val="00B944A0"/>
    <w:rsid w:val="00B944BE"/>
    <w:rsid w:val="00B94569"/>
    <w:rsid w:val="00B946E5"/>
    <w:rsid w:val="00B9473F"/>
    <w:rsid w:val="00B9483F"/>
    <w:rsid w:val="00B94879"/>
    <w:rsid w:val="00B94887"/>
    <w:rsid w:val="00B948C0"/>
    <w:rsid w:val="00B94993"/>
    <w:rsid w:val="00B94A64"/>
    <w:rsid w:val="00B94CD3"/>
    <w:rsid w:val="00B94D30"/>
    <w:rsid w:val="00B94D92"/>
    <w:rsid w:val="00B94E68"/>
    <w:rsid w:val="00B95273"/>
    <w:rsid w:val="00B95331"/>
    <w:rsid w:val="00B95782"/>
    <w:rsid w:val="00B957B9"/>
    <w:rsid w:val="00B95981"/>
    <w:rsid w:val="00B95ABD"/>
    <w:rsid w:val="00B95AD0"/>
    <w:rsid w:val="00B95C45"/>
    <w:rsid w:val="00B95FBC"/>
    <w:rsid w:val="00B9655A"/>
    <w:rsid w:val="00B96777"/>
    <w:rsid w:val="00B96A15"/>
    <w:rsid w:val="00B96CDE"/>
    <w:rsid w:val="00B96E12"/>
    <w:rsid w:val="00B9707F"/>
    <w:rsid w:val="00B97185"/>
    <w:rsid w:val="00B975A2"/>
    <w:rsid w:val="00B976A4"/>
    <w:rsid w:val="00B97943"/>
    <w:rsid w:val="00B979EE"/>
    <w:rsid w:val="00B97A8A"/>
    <w:rsid w:val="00B97ACA"/>
    <w:rsid w:val="00B97AD7"/>
    <w:rsid w:val="00B97F03"/>
    <w:rsid w:val="00BA0002"/>
    <w:rsid w:val="00BA0033"/>
    <w:rsid w:val="00BA00CD"/>
    <w:rsid w:val="00BA012A"/>
    <w:rsid w:val="00BA0152"/>
    <w:rsid w:val="00BA0310"/>
    <w:rsid w:val="00BA07B6"/>
    <w:rsid w:val="00BA0A25"/>
    <w:rsid w:val="00BA0B59"/>
    <w:rsid w:val="00BA0D13"/>
    <w:rsid w:val="00BA0F35"/>
    <w:rsid w:val="00BA0FC1"/>
    <w:rsid w:val="00BA0FC7"/>
    <w:rsid w:val="00BA12A2"/>
    <w:rsid w:val="00BA15A4"/>
    <w:rsid w:val="00BA15A7"/>
    <w:rsid w:val="00BA168B"/>
    <w:rsid w:val="00BA17DE"/>
    <w:rsid w:val="00BA17E4"/>
    <w:rsid w:val="00BA1810"/>
    <w:rsid w:val="00BA1872"/>
    <w:rsid w:val="00BA18C8"/>
    <w:rsid w:val="00BA1E44"/>
    <w:rsid w:val="00BA206B"/>
    <w:rsid w:val="00BA206E"/>
    <w:rsid w:val="00BA207A"/>
    <w:rsid w:val="00BA230D"/>
    <w:rsid w:val="00BA2360"/>
    <w:rsid w:val="00BA23CC"/>
    <w:rsid w:val="00BA24E0"/>
    <w:rsid w:val="00BA24EC"/>
    <w:rsid w:val="00BA277C"/>
    <w:rsid w:val="00BA2837"/>
    <w:rsid w:val="00BA2952"/>
    <w:rsid w:val="00BA2C95"/>
    <w:rsid w:val="00BA2CF8"/>
    <w:rsid w:val="00BA2F9B"/>
    <w:rsid w:val="00BA2F9E"/>
    <w:rsid w:val="00BA303A"/>
    <w:rsid w:val="00BA3193"/>
    <w:rsid w:val="00BA32B2"/>
    <w:rsid w:val="00BA3359"/>
    <w:rsid w:val="00BA358C"/>
    <w:rsid w:val="00BA35C7"/>
    <w:rsid w:val="00BA3717"/>
    <w:rsid w:val="00BA386D"/>
    <w:rsid w:val="00BA38F6"/>
    <w:rsid w:val="00BA3DA3"/>
    <w:rsid w:val="00BA40EA"/>
    <w:rsid w:val="00BA4249"/>
    <w:rsid w:val="00BA42DF"/>
    <w:rsid w:val="00BA472F"/>
    <w:rsid w:val="00BA48C0"/>
    <w:rsid w:val="00BA4BD1"/>
    <w:rsid w:val="00BA4C59"/>
    <w:rsid w:val="00BA4C9E"/>
    <w:rsid w:val="00BA4EC4"/>
    <w:rsid w:val="00BA5238"/>
    <w:rsid w:val="00BA55A6"/>
    <w:rsid w:val="00BA56C3"/>
    <w:rsid w:val="00BA572E"/>
    <w:rsid w:val="00BA5B1B"/>
    <w:rsid w:val="00BA5D83"/>
    <w:rsid w:val="00BA5EDB"/>
    <w:rsid w:val="00BA5FD5"/>
    <w:rsid w:val="00BA60C8"/>
    <w:rsid w:val="00BA659D"/>
    <w:rsid w:val="00BA65E5"/>
    <w:rsid w:val="00BA66F3"/>
    <w:rsid w:val="00BA68D1"/>
    <w:rsid w:val="00BA6AF7"/>
    <w:rsid w:val="00BA6CEE"/>
    <w:rsid w:val="00BA704F"/>
    <w:rsid w:val="00BA706B"/>
    <w:rsid w:val="00BA70B4"/>
    <w:rsid w:val="00BA70FE"/>
    <w:rsid w:val="00BA7222"/>
    <w:rsid w:val="00BA75E4"/>
    <w:rsid w:val="00BA761E"/>
    <w:rsid w:val="00BA7903"/>
    <w:rsid w:val="00BA7A62"/>
    <w:rsid w:val="00BA7AE0"/>
    <w:rsid w:val="00BA7D37"/>
    <w:rsid w:val="00BA7D60"/>
    <w:rsid w:val="00BA7DB3"/>
    <w:rsid w:val="00BA7E1E"/>
    <w:rsid w:val="00BA7FDF"/>
    <w:rsid w:val="00BB0386"/>
    <w:rsid w:val="00BB0507"/>
    <w:rsid w:val="00BB08DD"/>
    <w:rsid w:val="00BB09DF"/>
    <w:rsid w:val="00BB0D58"/>
    <w:rsid w:val="00BB0F75"/>
    <w:rsid w:val="00BB0F91"/>
    <w:rsid w:val="00BB110A"/>
    <w:rsid w:val="00BB128A"/>
    <w:rsid w:val="00BB13D3"/>
    <w:rsid w:val="00BB1B43"/>
    <w:rsid w:val="00BB1B4C"/>
    <w:rsid w:val="00BB1C5B"/>
    <w:rsid w:val="00BB1C80"/>
    <w:rsid w:val="00BB2028"/>
    <w:rsid w:val="00BB210A"/>
    <w:rsid w:val="00BB225A"/>
    <w:rsid w:val="00BB2427"/>
    <w:rsid w:val="00BB2508"/>
    <w:rsid w:val="00BB2ACB"/>
    <w:rsid w:val="00BB2B29"/>
    <w:rsid w:val="00BB2BBC"/>
    <w:rsid w:val="00BB2D79"/>
    <w:rsid w:val="00BB2F5B"/>
    <w:rsid w:val="00BB35B9"/>
    <w:rsid w:val="00BB3633"/>
    <w:rsid w:val="00BB36E3"/>
    <w:rsid w:val="00BB3D91"/>
    <w:rsid w:val="00BB3F0F"/>
    <w:rsid w:val="00BB3F31"/>
    <w:rsid w:val="00BB3FC5"/>
    <w:rsid w:val="00BB4226"/>
    <w:rsid w:val="00BB437D"/>
    <w:rsid w:val="00BB4456"/>
    <w:rsid w:val="00BB4627"/>
    <w:rsid w:val="00BB467D"/>
    <w:rsid w:val="00BB47CC"/>
    <w:rsid w:val="00BB48D2"/>
    <w:rsid w:val="00BB4A61"/>
    <w:rsid w:val="00BB4BCA"/>
    <w:rsid w:val="00BB4C11"/>
    <w:rsid w:val="00BB527D"/>
    <w:rsid w:val="00BB551D"/>
    <w:rsid w:val="00BB58A5"/>
    <w:rsid w:val="00BB597B"/>
    <w:rsid w:val="00BB5B4B"/>
    <w:rsid w:val="00BB5D8E"/>
    <w:rsid w:val="00BB60A2"/>
    <w:rsid w:val="00BB61ED"/>
    <w:rsid w:val="00BB6281"/>
    <w:rsid w:val="00BB64D6"/>
    <w:rsid w:val="00BB6B54"/>
    <w:rsid w:val="00BB702E"/>
    <w:rsid w:val="00BB7504"/>
    <w:rsid w:val="00BB7561"/>
    <w:rsid w:val="00BB7723"/>
    <w:rsid w:val="00BB7751"/>
    <w:rsid w:val="00BB7B9C"/>
    <w:rsid w:val="00BC03BB"/>
    <w:rsid w:val="00BC0593"/>
    <w:rsid w:val="00BC0871"/>
    <w:rsid w:val="00BC08AB"/>
    <w:rsid w:val="00BC09FB"/>
    <w:rsid w:val="00BC0A2C"/>
    <w:rsid w:val="00BC0A61"/>
    <w:rsid w:val="00BC0FE4"/>
    <w:rsid w:val="00BC11AD"/>
    <w:rsid w:val="00BC1AD6"/>
    <w:rsid w:val="00BC1B16"/>
    <w:rsid w:val="00BC1DE0"/>
    <w:rsid w:val="00BC1E27"/>
    <w:rsid w:val="00BC2098"/>
    <w:rsid w:val="00BC20C8"/>
    <w:rsid w:val="00BC228B"/>
    <w:rsid w:val="00BC24D8"/>
    <w:rsid w:val="00BC25ED"/>
    <w:rsid w:val="00BC2605"/>
    <w:rsid w:val="00BC265A"/>
    <w:rsid w:val="00BC2761"/>
    <w:rsid w:val="00BC2790"/>
    <w:rsid w:val="00BC28D1"/>
    <w:rsid w:val="00BC2B3B"/>
    <w:rsid w:val="00BC2B7D"/>
    <w:rsid w:val="00BC2EFC"/>
    <w:rsid w:val="00BC3070"/>
    <w:rsid w:val="00BC31AA"/>
    <w:rsid w:val="00BC31B8"/>
    <w:rsid w:val="00BC3232"/>
    <w:rsid w:val="00BC34C9"/>
    <w:rsid w:val="00BC36A7"/>
    <w:rsid w:val="00BC39FC"/>
    <w:rsid w:val="00BC3A6A"/>
    <w:rsid w:val="00BC3D42"/>
    <w:rsid w:val="00BC3E63"/>
    <w:rsid w:val="00BC4008"/>
    <w:rsid w:val="00BC404D"/>
    <w:rsid w:val="00BC4117"/>
    <w:rsid w:val="00BC4198"/>
    <w:rsid w:val="00BC4579"/>
    <w:rsid w:val="00BC463D"/>
    <w:rsid w:val="00BC4661"/>
    <w:rsid w:val="00BC47AE"/>
    <w:rsid w:val="00BC49B1"/>
    <w:rsid w:val="00BC4ACA"/>
    <w:rsid w:val="00BC4B37"/>
    <w:rsid w:val="00BC4F8B"/>
    <w:rsid w:val="00BC52DB"/>
    <w:rsid w:val="00BC543C"/>
    <w:rsid w:val="00BC5799"/>
    <w:rsid w:val="00BC5836"/>
    <w:rsid w:val="00BC5A0C"/>
    <w:rsid w:val="00BC5B2E"/>
    <w:rsid w:val="00BC5BA2"/>
    <w:rsid w:val="00BC5FAD"/>
    <w:rsid w:val="00BC60D6"/>
    <w:rsid w:val="00BC6226"/>
    <w:rsid w:val="00BC6254"/>
    <w:rsid w:val="00BC65C6"/>
    <w:rsid w:val="00BC68E3"/>
    <w:rsid w:val="00BC695E"/>
    <w:rsid w:val="00BC6DE9"/>
    <w:rsid w:val="00BC6E8B"/>
    <w:rsid w:val="00BC6EBC"/>
    <w:rsid w:val="00BC6F11"/>
    <w:rsid w:val="00BC6F87"/>
    <w:rsid w:val="00BC72DD"/>
    <w:rsid w:val="00BC7606"/>
    <w:rsid w:val="00BC78F7"/>
    <w:rsid w:val="00BC79D1"/>
    <w:rsid w:val="00BC7D28"/>
    <w:rsid w:val="00BC7D96"/>
    <w:rsid w:val="00BC7F43"/>
    <w:rsid w:val="00BD01BF"/>
    <w:rsid w:val="00BD06D1"/>
    <w:rsid w:val="00BD09D9"/>
    <w:rsid w:val="00BD0B1B"/>
    <w:rsid w:val="00BD0B1F"/>
    <w:rsid w:val="00BD0B34"/>
    <w:rsid w:val="00BD0B63"/>
    <w:rsid w:val="00BD0BB6"/>
    <w:rsid w:val="00BD0F4B"/>
    <w:rsid w:val="00BD11D4"/>
    <w:rsid w:val="00BD13E7"/>
    <w:rsid w:val="00BD1464"/>
    <w:rsid w:val="00BD1557"/>
    <w:rsid w:val="00BD165F"/>
    <w:rsid w:val="00BD193B"/>
    <w:rsid w:val="00BD1940"/>
    <w:rsid w:val="00BD19E9"/>
    <w:rsid w:val="00BD1BDE"/>
    <w:rsid w:val="00BD21B0"/>
    <w:rsid w:val="00BD2453"/>
    <w:rsid w:val="00BD24F8"/>
    <w:rsid w:val="00BD252E"/>
    <w:rsid w:val="00BD2604"/>
    <w:rsid w:val="00BD265D"/>
    <w:rsid w:val="00BD282F"/>
    <w:rsid w:val="00BD2853"/>
    <w:rsid w:val="00BD291A"/>
    <w:rsid w:val="00BD2B46"/>
    <w:rsid w:val="00BD2ED9"/>
    <w:rsid w:val="00BD2F79"/>
    <w:rsid w:val="00BD2FB6"/>
    <w:rsid w:val="00BD301D"/>
    <w:rsid w:val="00BD3396"/>
    <w:rsid w:val="00BD374C"/>
    <w:rsid w:val="00BD390A"/>
    <w:rsid w:val="00BD3C0A"/>
    <w:rsid w:val="00BD3D24"/>
    <w:rsid w:val="00BD3E05"/>
    <w:rsid w:val="00BD3F67"/>
    <w:rsid w:val="00BD40B0"/>
    <w:rsid w:val="00BD4256"/>
    <w:rsid w:val="00BD4484"/>
    <w:rsid w:val="00BD469D"/>
    <w:rsid w:val="00BD4803"/>
    <w:rsid w:val="00BD48B3"/>
    <w:rsid w:val="00BD49FD"/>
    <w:rsid w:val="00BD4A85"/>
    <w:rsid w:val="00BD4AAF"/>
    <w:rsid w:val="00BD4B1A"/>
    <w:rsid w:val="00BD4BED"/>
    <w:rsid w:val="00BD4E64"/>
    <w:rsid w:val="00BD50CB"/>
    <w:rsid w:val="00BD5C5C"/>
    <w:rsid w:val="00BD5FB1"/>
    <w:rsid w:val="00BD6048"/>
    <w:rsid w:val="00BD62E0"/>
    <w:rsid w:val="00BD640F"/>
    <w:rsid w:val="00BD6414"/>
    <w:rsid w:val="00BD6466"/>
    <w:rsid w:val="00BD6551"/>
    <w:rsid w:val="00BD66BF"/>
    <w:rsid w:val="00BD67C1"/>
    <w:rsid w:val="00BD67C4"/>
    <w:rsid w:val="00BD67FF"/>
    <w:rsid w:val="00BD6868"/>
    <w:rsid w:val="00BD686B"/>
    <w:rsid w:val="00BD68E9"/>
    <w:rsid w:val="00BD6A77"/>
    <w:rsid w:val="00BD6C77"/>
    <w:rsid w:val="00BD6C86"/>
    <w:rsid w:val="00BD6EEE"/>
    <w:rsid w:val="00BD6F53"/>
    <w:rsid w:val="00BD70E0"/>
    <w:rsid w:val="00BD7585"/>
    <w:rsid w:val="00BD76C2"/>
    <w:rsid w:val="00BD7A29"/>
    <w:rsid w:val="00BD7B2F"/>
    <w:rsid w:val="00BD7B3E"/>
    <w:rsid w:val="00BD7C26"/>
    <w:rsid w:val="00BD7DD8"/>
    <w:rsid w:val="00BE0271"/>
    <w:rsid w:val="00BE0486"/>
    <w:rsid w:val="00BE0854"/>
    <w:rsid w:val="00BE0C60"/>
    <w:rsid w:val="00BE0CA9"/>
    <w:rsid w:val="00BE0E0F"/>
    <w:rsid w:val="00BE120F"/>
    <w:rsid w:val="00BE1650"/>
    <w:rsid w:val="00BE1FDD"/>
    <w:rsid w:val="00BE206D"/>
    <w:rsid w:val="00BE24E5"/>
    <w:rsid w:val="00BE27F2"/>
    <w:rsid w:val="00BE2855"/>
    <w:rsid w:val="00BE286F"/>
    <w:rsid w:val="00BE289D"/>
    <w:rsid w:val="00BE2ACF"/>
    <w:rsid w:val="00BE2AF4"/>
    <w:rsid w:val="00BE2B64"/>
    <w:rsid w:val="00BE2FE9"/>
    <w:rsid w:val="00BE31B5"/>
    <w:rsid w:val="00BE33A7"/>
    <w:rsid w:val="00BE36E0"/>
    <w:rsid w:val="00BE37F3"/>
    <w:rsid w:val="00BE386C"/>
    <w:rsid w:val="00BE3CCE"/>
    <w:rsid w:val="00BE3E6B"/>
    <w:rsid w:val="00BE409A"/>
    <w:rsid w:val="00BE424A"/>
    <w:rsid w:val="00BE4489"/>
    <w:rsid w:val="00BE4768"/>
    <w:rsid w:val="00BE48AD"/>
    <w:rsid w:val="00BE4902"/>
    <w:rsid w:val="00BE491C"/>
    <w:rsid w:val="00BE4D48"/>
    <w:rsid w:val="00BE4DD5"/>
    <w:rsid w:val="00BE5362"/>
    <w:rsid w:val="00BE5447"/>
    <w:rsid w:val="00BE55AE"/>
    <w:rsid w:val="00BE5622"/>
    <w:rsid w:val="00BE5917"/>
    <w:rsid w:val="00BE5960"/>
    <w:rsid w:val="00BE59A1"/>
    <w:rsid w:val="00BE5A5F"/>
    <w:rsid w:val="00BE5A95"/>
    <w:rsid w:val="00BE5C26"/>
    <w:rsid w:val="00BE6000"/>
    <w:rsid w:val="00BE63AF"/>
    <w:rsid w:val="00BE64E7"/>
    <w:rsid w:val="00BE6EC8"/>
    <w:rsid w:val="00BE6F7A"/>
    <w:rsid w:val="00BE6FA7"/>
    <w:rsid w:val="00BE71AE"/>
    <w:rsid w:val="00BE7238"/>
    <w:rsid w:val="00BE7398"/>
    <w:rsid w:val="00BE7465"/>
    <w:rsid w:val="00BE751D"/>
    <w:rsid w:val="00BE769B"/>
    <w:rsid w:val="00BE7BE8"/>
    <w:rsid w:val="00BE7C29"/>
    <w:rsid w:val="00BE7C40"/>
    <w:rsid w:val="00BF0073"/>
    <w:rsid w:val="00BF01CB"/>
    <w:rsid w:val="00BF02A3"/>
    <w:rsid w:val="00BF07AA"/>
    <w:rsid w:val="00BF0BA7"/>
    <w:rsid w:val="00BF0BD7"/>
    <w:rsid w:val="00BF0C46"/>
    <w:rsid w:val="00BF0CD1"/>
    <w:rsid w:val="00BF0D8C"/>
    <w:rsid w:val="00BF0D9D"/>
    <w:rsid w:val="00BF1554"/>
    <w:rsid w:val="00BF176A"/>
    <w:rsid w:val="00BF18A1"/>
    <w:rsid w:val="00BF18DC"/>
    <w:rsid w:val="00BF1AF1"/>
    <w:rsid w:val="00BF1AF8"/>
    <w:rsid w:val="00BF1CBD"/>
    <w:rsid w:val="00BF1D4A"/>
    <w:rsid w:val="00BF1FC9"/>
    <w:rsid w:val="00BF1FD8"/>
    <w:rsid w:val="00BF20E8"/>
    <w:rsid w:val="00BF227D"/>
    <w:rsid w:val="00BF25AD"/>
    <w:rsid w:val="00BF2B5F"/>
    <w:rsid w:val="00BF2C44"/>
    <w:rsid w:val="00BF2D81"/>
    <w:rsid w:val="00BF305F"/>
    <w:rsid w:val="00BF330D"/>
    <w:rsid w:val="00BF346A"/>
    <w:rsid w:val="00BF36BC"/>
    <w:rsid w:val="00BF3782"/>
    <w:rsid w:val="00BF384D"/>
    <w:rsid w:val="00BF38CD"/>
    <w:rsid w:val="00BF38DC"/>
    <w:rsid w:val="00BF3BCA"/>
    <w:rsid w:val="00BF3D51"/>
    <w:rsid w:val="00BF4596"/>
    <w:rsid w:val="00BF4A62"/>
    <w:rsid w:val="00BF4A76"/>
    <w:rsid w:val="00BF4BA3"/>
    <w:rsid w:val="00BF4CF8"/>
    <w:rsid w:val="00BF50A1"/>
    <w:rsid w:val="00BF5997"/>
    <w:rsid w:val="00BF59CA"/>
    <w:rsid w:val="00BF5A5A"/>
    <w:rsid w:val="00BF5BDD"/>
    <w:rsid w:val="00BF5C35"/>
    <w:rsid w:val="00BF5C66"/>
    <w:rsid w:val="00BF5C7E"/>
    <w:rsid w:val="00BF5DAB"/>
    <w:rsid w:val="00BF6050"/>
    <w:rsid w:val="00BF63B6"/>
    <w:rsid w:val="00BF63D0"/>
    <w:rsid w:val="00BF66EE"/>
    <w:rsid w:val="00BF6791"/>
    <w:rsid w:val="00BF681F"/>
    <w:rsid w:val="00BF6FF4"/>
    <w:rsid w:val="00BF71A3"/>
    <w:rsid w:val="00BF75A1"/>
    <w:rsid w:val="00BF7680"/>
    <w:rsid w:val="00BF7955"/>
    <w:rsid w:val="00BF796C"/>
    <w:rsid w:val="00BF798E"/>
    <w:rsid w:val="00BF7A2C"/>
    <w:rsid w:val="00BF7A2E"/>
    <w:rsid w:val="00BF7A78"/>
    <w:rsid w:val="00BF7A7F"/>
    <w:rsid w:val="00BF7D04"/>
    <w:rsid w:val="00BF7DE1"/>
    <w:rsid w:val="00BF7E8C"/>
    <w:rsid w:val="00C0018A"/>
    <w:rsid w:val="00C0029D"/>
    <w:rsid w:val="00C0034C"/>
    <w:rsid w:val="00C0037D"/>
    <w:rsid w:val="00C003B9"/>
    <w:rsid w:val="00C007D7"/>
    <w:rsid w:val="00C00905"/>
    <w:rsid w:val="00C00A7C"/>
    <w:rsid w:val="00C00A9D"/>
    <w:rsid w:val="00C00B6E"/>
    <w:rsid w:val="00C00DB3"/>
    <w:rsid w:val="00C0104C"/>
    <w:rsid w:val="00C0105C"/>
    <w:rsid w:val="00C0107A"/>
    <w:rsid w:val="00C01170"/>
    <w:rsid w:val="00C0156D"/>
    <w:rsid w:val="00C017DF"/>
    <w:rsid w:val="00C01892"/>
    <w:rsid w:val="00C01BBB"/>
    <w:rsid w:val="00C01D22"/>
    <w:rsid w:val="00C01F6F"/>
    <w:rsid w:val="00C01FD1"/>
    <w:rsid w:val="00C024A5"/>
    <w:rsid w:val="00C025C3"/>
    <w:rsid w:val="00C02608"/>
    <w:rsid w:val="00C02820"/>
    <w:rsid w:val="00C02CDD"/>
    <w:rsid w:val="00C02CE1"/>
    <w:rsid w:val="00C02D1E"/>
    <w:rsid w:val="00C02F14"/>
    <w:rsid w:val="00C03144"/>
    <w:rsid w:val="00C0314D"/>
    <w:rsid w:val="00C0331F"/>
    <w:rsid w:val="00C03501"/>
    <w:rsid w:val="00C035B5"/>
    <w:rsid w:val="00C036AC"/>
    <w:rsid w:val="00C03865"/>
    <w:rsid w:val="00C03D5A"/>
    <w:rsid w:val="00C03F13"/>
    <w:rsid w:val="00C04104"/>
    <w:rsid w:val="00C043B1"/>
    <w:rsid w:val="00C047F6"/>
    <w:rsid w:val="00C047F8"/>
    <w:rsid w:val="00C048E3"/>
    <w:rsid w:val="00C049D7"/>
    <w:rsid w:val="00C04A19"/>
    <w:rsid w:val="00C04D3C"/>
    <w:rsid w:val="00C05276"/>
    <w:rsid w:val="00C054A3"/>
    <w:rsid w:val="00C05622"/>
    <w:rsid w:val="00C05851"/>
    <w:rsid w:val="00C059CB"/>
    <w:rsid w:val="00C05C29"/>
    <w:rsid w:val="00C05CE2"/>
    <w:rsid w:val="00C05ECD"/>
    <w:rsid w:val="00C05FB6"/>
    <w:rsid w:val="00C0607B"/>
    <w:rsid w:val="00C063A4"/>
    <w:rsid w:val="00C065DB"/>
    <w:rsid w:val="00C06887"/>
    <w:rsid w:val="00C06B67"/>
    <w:rsid w:val="00C06BE8"/>
    <w:rsid w:val="00C06BEC"/>
    <w:rsid w:val="00C06C44"/>
    <w:rsid w:val="00C06F7C"/>
    <w:rsid w:val="00C070F7"/>
    <w:rsid w:val="00C07620"/>
    <w:rsid w:val="00C0775F"/>
    <w:rsid w:val="00C07AB6"/>
    <w:rsid w:val="00C07ACB"/>
    <w:rsid w:val="00C102F3"/>
    <w:rsid w:val="00C106B8"/>
    <w:rsid w:val="00C10AFD"/>
    <w:rsid w:val="00C10B22"/>
    <w:rsid w:val="00C10BDB"/>
    <w:rsid w:val="00C10C3F"/>
    <w:rsid w:val="00C10C52"/>
    <w:rsid w:val="00C10C5D"/>
    <w:rsid w:val="00C10C5E"/>
    <w:rsid w:val="00C10D5C"/>
    <w:rsid w:val="00C10E30"/>
    <w:rsid w:val="00C110B2"/>
    <w:rsid w:val="00C110BD"/>
    <w:rsid w:val="00C11442"/>
    <w:rsid w:val="00C11623"/>
    <w:rsid w:val="00C1172F"/>
    <w:rsid w:val="00C119A0"/>
    <w:rsid w:val="00C11A92"/>
    <w:rsid w:val="00C11ABD"/>
    <w:rsid w:val="00C11AE9"/>
    <w:rsid w:val="00C11B04"/>
    <w:rsid w:val="00C11E60"/>
    <w:rsid w:val="00C1238E"/>
    <w:rsid w:val="00C129D9"/>
    <w:rsid w:val="00C12E00"/>
    <w:rsid w:val="00C13089"/>
    <w:rsid w:val="00C134DA"/>
    <w:rsid w:val="00C136D5"/>
    <w:rsid w:val="00C13797"/>
    <w:rsid w:val="00C13C06"/>
    <w:rsid w:val="00C13C90"/>
    <w:rsid w:val="00C13CF2"/>
    <w:rsid w:val="00C13EAA"/>
    <w:rsid w:val="00C14174"/>
    <w:rsid w:val="00C14500"/>
    <w:rsid w:val="00C1476C"/>
    <w:rsid w:val="00C14873"/>
    <w:rsid w:val="00C14A15"/>
    <w:rsid w:val="00C14F19"/>
    <w:rsid w:val="00C14F7C"/>
    <w:rsid w:val="00C14FB2"/>
    <w:rsid w:val="00C15147"/>
    <w:rsid w:val="00C15205"/>
    <w:rsid w:val="00C1575F"/>
    <w:rsid w:val="00C15B0C"/>
    <w:rsid w:val="00C15C25"/>
    <w:rsid w:val="00C15DE5"/>
    <w:rsid w:val="00C16260"/>
    <w:rsid w:val="00C1636D"/>
    <w:rsid w:val="00C16621"/>
    <w:rsid w:val="00C168CF"/>
    <w:rsid w:val="00C16912"/>
    <w:rsid w:val="00C17007"/>
    <w:rsid w:val="00C1712D"/>
    <w:rsid w:val="00C17204"/>
    <w:rsid w:val="00C17304"/>
    <w:rsid w:val="00C1748F"/>
    <w:rsid w:val="00C1756B"/>
    <w:rsid w:val="00C175FD"/>
    <w:rsid w:val="00C176AC"/>
    <w:rsid w:val="00C17CE1"/>
    <w:rsid w:val="00C17D7E"/>
    <w:rsid w:val="00C20311"/>
    <w:rsid w:val="00C2058B"/>
    <w:rsid w:val="00C205A1"/>
    <w:rsid w:val="00C205AF"/>
    <w:rsid w:val="00C20668"/>
    <w:rsid w:val="00C208B8"/>
    <w:rsid w:val="00C209AD"/>
    <w:rsid w:val="00C20B13"/>
    <w:rsid w:val="00C20D48"/>
    <w:rsid w:val="00C2103A"/>
    <w:rsid w:val="00C212F7"/>
    <w:rsid w:val="00C2164B"/>
    <w:rsid w:val="00C21CC3"/>
    <w:rsid w:val="00C21CC5"/>
    <w:rsid w:val="00C21DA3"/>
    <w:rsid w:val="00C21EF9"/>
    <w:rsid w:val="00C21FD2"/>
    <w:rsid w:val="00C21FE6"/>
    <w:rsid w:val="00C2208C"/>
    <w:rsid w:val="00C221C0"/>
    <w:rsid w:val="00C222A1"/>
    <w:rsid w:val="00C222F7"/>
    <w:rsid w:val="00C2230D"/>
    <w:rsid w:val="00C22397"/>
    <w:rsid w:val="00C224E3"/>
    <w:rsid w:val="00C22633"/>
    <w:rsid w:val="00C229A4"/>
    <w:rsid w:val="00C229D8"/>
    <w:rsid w:val="00C229E4"/>
    <w:rsid w:val="00C22A12"/>
    <w:rsid w:val="00C22AAB"/>
    <w:rsid w:val="00C22ECB"/>
    <w:rsid w:val="00C23853"/>
    <w:rsid w:val="00C23B78"/>
    <w:rsid w:val="00C23BB4"/>
    <w:rsid w:val="00C23DA9"/>
    <w:rsid w:val="00C23EE4"/>
    <w:rsid w:val="00C23F47"/>
    <w:rsid w:val="00C242C1"/>
    <w:rsid w:val="00C24589"/>
    <w:rsid w:val="00C24707"/>
    <w:rsid w:val="00C2474B"/>
    <w:rsid w:val="00C24792"/>
    <w:rsid w:val="00C24839"/>
    <w:rsid w:val="00C24930"/>
    <w:rsid w:val="00C24A5B"/>
    <w:rsid w:val="00C24B1F"/>
    <w:rsid w:val="00C24D35"/>
    <w:rsid w:val="00C25170"/>
    <w:rsid w:val="00C2525E"/>
    <w:rsid w:val="00C2584D"/>
    <w:rsid w:val="00C25E11"/>
    <w:rsid w:val="00C25F77"/>
    <w:rsid w:val="00C25F7A"/>
    <w:rsid w:val="00C25FBC"/>
    <w:rsid w:val="00C260BA"/>
    <w:rsid w:val="00C260CE"/>
    <w:rsid w:val="00C26159"/>
    <w:rsid w:val="00C26181"/>
    <w:rsid w:val="00C261D8"/>
    <w:rsid w:val="00C26245"/>
    <w:rsid w:val="00C26273"/>
    <w:rsid w:val="00C2629C"/>
    <w:rsid w:val="00C262ED"/>
    <w:rsid w:val="00C265C9"/>
    <w:rsid w:val="00C26968"/>
    <w:rsid w:val="00C26A69"/>
    <w:rsid w:val="00C26B1C"/>
    <w:rsid w:val="00C26BF6"/>
    <w:rsid w:val="00C26C03"/>
    <w:rsid w:val="00C26FB8"/>
    <w:rsid w:val="00C27037"/>
    <w:rsid w:val="00C27231"/>
    <w:rsid w:val="00C27C23"/>
    <w:rsid w:val="00C27F3E"/>
    <w:rsid w:val="00C30019"/>
    <w:rsid w:val="00C301CF"/>
    <w:rsid w:val="00C305E8"/>
    <w:rsid w:val="00C30603"/>
    <w:rsid w:val="00C309E6"/>
    <w:rsid w:val="00C30B6D"/>
    <w:rsid w:val="00C30C46"/>
    <w:rsid w:val="00C30F0C"/>
    <w:rsid w:val="00C311E2"/>
    <w:rsid w:val="00C312D7"/>
    <w:rsid w:val="00C31439"/>
    <w:rsid w:val="00C31460"/>
    <w:rsid w:val="00C314C8"/>
    <w:rsid w:val="00C3167F"/>
    <w:rsid w:val="00C31722"/>
    <w:rsid w:val="00C31808"/>
    <w:rsid w:val="00C31ACA"/>
    <w:rsid w:val="00C31D03"/>
    <w:rsid w:val="00C31D26"/>
    <w:rsid w:val="00C31E1D"/>
    <w:rsid w:val="00C31ED3"/>
    <w:rsid w:val="00C31F78"/>
    <w:rsid w:val="00C32064"/>
    <w:rsid w:val="00C32194"/>
    <w:rsid w:val="00C3223A"/>
    <w:rsid w:val="00C323E3"/>
    <w:rsid w:val="00C32849"/>
    <w:rsid w:val="00C32CA7"/>
    <w:rsid w:val="00C32CB6"/>
    <w:rsid w:val="00C32E58"/>
    <w:rsid w:val="00C330B7"/>
    <w:rsid w:val="00C33183"/>
    <w:rsid w:val="00C33706"/>
    <w:rsid w:val="00C3370A"/>
    <w:rsid w:val="00C33A05"/>
    <w:rsid w:val="00C33B39"/>
    <w:rsid w:val="00C33F14"/>
    <w:rsid w:val="00C33FE7"/>
    <w:rsid w:val="00C343F4"/>
    <w:rsid w:val="00C34760"/>
    <w:rsid w:val="00C347B8"/>
    <w:rsid w:val="00C34D0A"/>
    <w:rsid w:val="00C35028"/>
    <w:rsid w:val="00C357EA"/>
    <w:rsid w:val="00C3588F"/>
    <w:rsid w:val="00C35941"/>
    <w:rsid w:val="00C35A3D"/>
    <w:rsid w:val="00C35BCA"/>
    <w:rsid w:val="00C35C99"/>
    <w:rsid w:val="00C3611B"/>
    <w:rsid w:val="00C3616F"/>
    <w:rsid w:val="00C36402"/>
    <w:rsid w:val="00C36691"/>
    <w:rsid w:val="00C366C6"/>
    <w:rsid w:val="00C3679D"/>
    <w:rsid w:val="00C36A9F"/>
    <w:rsid w:val="00C36DBA"/>
    <w:rsid w:val="00C370C9"/>
    <w:rsid w:val="00C37162"/>
    <w:rsid w:val="00C374C1"/>
    <w:rsid w:val="00C37611"/>
    <w:rsid w:val="00C37666"/>
    <w:rsid w:val="00C3792F"/>
    <w:rsid w:val="00C37B9E"/>
    <w:rsid w:val="00C37CF3"/>
    <w:rsid w:val="00C37D49"/>
    <w:rsid w:val="00C40013"/>
    <w:rsid w:val="00C40749"/>
    <w:rsid w:val="00C40968"/>
    <w:rsid w:val="00C40BC8"/>
    <w:rsid w:val="00C40C28"/>
    <w:rsid w:val="00C40E72"/>
    <w:rsid w:val="00C411E9"/>
    <w:rsid w:val="00C41369"/>
    <w:rsid w:val="00C416FD"/>
    <w:rsid w:val="00C417CC"/>
    <w:rsid w:val="00C417F5"/>
    <w:rsid w:val="00C41AFB"/>
    <w:rsid w:val="00C41C84"/>
    <w:rsid w:val="00C41D39"/>
    <w:rsid w:val="00C41DBD"/>
    <w:rsid w:val="00C41DF7"/>
    <w:rsid w:val="00C41E33"/>
    <w:rsid w:val="00C41EA7"/>
    <w:rsid w:val="00C41F79"/>
    <w:rsid w:val="00C4227B"/>
    <w:rsid w:val="00C424DF"/>
    <w:rsid w:val="00C4266B"/>
    <w:rsid w:val="00C426CE"/>
    <w:rsid w:val="00C428FF"/>
    <w:rsid w:val="00C42C57"/>
    <w:rsid w:val="00C42C84"/>
    <w:rsid w:val="00C42C89"/>
    <w:rsid w:val="00C42E80"/>
    <w:rsid w:val="00C42ED7"/>
    <w:rsid w:val="00C42F3E"/>
    <w:rsid w:val="00C42FAA"/>
    <w:rsid w:val="00C43034"/>
    <w:rsid w:val="00C43051"/>
    <w:rsid w:val="00C43111"/>
    <w:rsid w:val="00C43314"/>
    <w:rsid w:val="00C433AA"/>
    <w:rsid w:val="00C434B4"/>
    <w:rsid w:val="00C43580"/>
    <w:rsid w:val="00C43EA9"/>
    <w:rsid w:val="00C43EC5"/>
    <w:rsid w:val="00C43FB2"/>
    <w:rsid w:val="00C44068"/>
    <w:rsid w:val="00C444CD"/>
    <w:rsid w:val="00C4473A"/>
    <w:rsid w:val="00C448DE"/>
    <w:rsid w:val="00C44937"/>
    <w:rsid w:val="00C449B9"/>
    <w:rsid w:val="00C44D46"/>
    <w:rsid w:val="00C44DED"/>
    <w:rsid w:val="00C44E75"/>
    <w:rsid w:val="00C45289"/>
    <w:rsid w:val="00C45490"/>
    <w:rsid w:val="00C454D9"/>
    <w:rsid w:val="00C45525"/>
    <w:rsid w:val="00C45537"/>
    <w:rsid w:val="00C4563F"/>
    <w:rsid w:val="00C45779"/>
    <w:rsid w:val="00C45C60"/>
    <w:rsid w:val="00C45D94"/>
    <w:rsid w:val="00C45DC9"/>
    <w:rsid w:val="00C45F1E"/>
    <w:rsid w:val="00C4615A"/>
    <w:rsid w:val="00C46782"/>
    <w:rsid w:val="00C4684C"/>
    <w:rsid w:val="00C469F2"/>
    <w:rsid w:val="00C46BAE"/>
    <w:rsid w:val="00C46CD9"/>
    <w:rsid w:val="00C46D29"/>
    <w:rsid w:val="00C46E19"/>
    <w:rsid w:val="00C46E5B"/>
    <w:rsid w:val="00C47541"/>
    <w:rsid w:val="00C475C7"/>
    <w:rsid w:val="00C47601"/>
    <w:rsid w:val="00C47DB8"/>
    <w:rsid w:val="00C47DF2"/>
    <w:rsid w:val="00C47E86"/>
    <w:rsid w:val="00C47F30"/>
    <w:rsid w:val="00C50AAE"/>
    <w:rsid w:val="00C50FD2"/>
    <w:rsid w:val="00C51191"/>
    <w:rsid w:val="00C5119C"/>
    <w:rsid w:val="00C51591"/>
    <w:rsid w:val="00C515B0"/>
    <w:rsid w:val="00C51638"/>
    <w:rsid w:val="00C51702"/>
    <w:rsid w:val="00C5171D"/>
    <w:rsid w:val="00C517ED"/>
    <w:rsid w:val="00C518DD"/>
    <w:rsid w:val="00C5192B"/>
    <w:rsid w:val="00C51AC6"/>
    <w:rsid w:val="00C51B08"/>
    <w:rsid w:val="00C51BA8"/>
    <w:rsid w:val="00C51BFC"/>
    <w:rsid w:val="00C51C23"/>
    <w:rsid w:val="00C51C57"/>
    <w:rsid w:val="00C51DB8"/>
    <w:rsid w:val="00C51E7A"/>
    <w:rsid w:val="00C51FF9"/>
    <w:rsid w:val="00C5298A"/>
    <w:rsid w:val="00C52A16"/>
    <w:rsid w:val="00C52C0B"/>
    <w:rsid w:val="00C52C4B"/>
    <w:rsid w:val="00C5304F"/>
    <w:rsid w:val="00C53271"/>
    <w:rsid w:val="00C53513"/>
    <w:rsid w:val="00C535FF"/>
    <w:rsid w:val="00C53730"/>
    <w:rsid w:val="00C538BC"/>
    <w:rsid w:val="00C539B3"/>
    <w:rsid w:val="00C53E49"/>
    <w:rsid w:val="00C53F38"/>
    <w:rsid w:val="00C540B9"/>
    <w:rsid w:val="00C54398"/>
    <w:rsid w:val="00C543A2"/>
    <w:rsid w:val="00C54411"/>
    <w:rsid w:val="00C54CC3"/>
    <w:rsid w:val="00C54D6E"/>
    <w:rsid w:val="00C54D9D"/>
    <w:rsid w:val="00C54E52"/>
    <w:rsid w:val="00C54EBE"/>
    <w:rsid w:val="00C54EE3"/>
    <w:rsid w:val="00C55131"/>
    <w:rsid w:val="00C552F9"/>
    <w:rsid w:val="00C554D4"/>
    <w:rsid w:val="00C554D9"/>
    <w:rsid w:val="00C555F3"/>
    <w:rsid w:val="00C55860"/>
    <w:rsid w:val="00C55A1C"/>
    <w:rsid w:val="00C560DB"/>
    <w:rsid w:val="00C563F3"/>
    <w:rsid w:val="00C5642F"/>
    <w:rsid w:val="00C56526"/>
    <w:rsid w:val="00C56532"/>
    <w:rsid w:val="00C5670C"/>
    <w:rsid w:val="00C567DB"/>
    <w:rsid w:val="00C56988"/>
    <w:rsid w:val="00C56D39"/>
    <w:rsid w:val="00C57155"/>
    <w:rsid w:val="00C5715C"/>
    <w:rsid w:val="00C572B3"/>
    <w:rsid w:val="00C57A92"/>
    <w:rsid w:val="00C57C0D"/>
    <w:rsid w:val="00C57E63"/>
    <w:rsid w:val="00C57E84"/>
    <w:rsid w:val="00C57F57"/>
    <w:rsid w:val="00C6040D"/>
    <w:rsid w:val="00C60559"/>
    <w:rsid w:val="00C6069B"/>
    <w:rsid w:val="00C607D1"/>
    <w:rsid w:val="00C6090C"/>
    <w:rsid w:val="00C60A86"/>
    <w:rsid w:val="00C60CB5"/>
    <w:rsid w:val="00C60D11"/>
    <w:rsid w:val="00C60E16"/>
    <w:rsid w:val="00C60FBF"/>
    <w:rsid w:val="00C610D6"/>
    <w:rsid w:val="00C61109"/>
    <w:rsid w:val="00C61241"/>
    <w:rsid w:val="00C612ED"/>
    <w:rsid w:val="00C61324"/>
    <w:rsid w:val="00C61557"/>
    <w:rsid w:val="00C6183D"/>
    <w:rsid w:val="00C619B5"/>
    <w:rsid w:val="00C61AB2"/>
    <w:rsid w:val="00C61B02"/>
    <w:rsid w:val="00C61E90"/>
    <w:rsid w:val="00C61F1C"/>
    <w:rsid w:val="00C61FD2"/>
    <w:rsid w:val="00C620D4"/>
    <w:rsid w:val="00C6222B"/>
    <w:rsid w:val="00C6276A"/>
    <w:rsid w:val="00C62798"/>
    <w:rsid w:val="00C6296B"/>
    <w:rsid w:val="00C6297B"/>
    <w:rsid w:val="00C62A8F"/>
    <w:rsid w:val="00C62AB4"/>
    <w:rsid w:val="00C62F18"/>
    <w:rsid w:val="00C63088"/>
    <w:rsid w:val="00C6361A"/>
    <w:rsid w:val="00C63768"/>
    <w:rsid w:val="00C63BFA"/>
    <w:rsid w:val="00C63E0F"/>
    <w:rsid w:val="00C64044"/>
    <w:rsid w:val="00C64208"/>
    <w:rsid w:val="00C643EB"/>
    <w:rsid w:val="00C644C4"/>
    <w:rsid w:val="00C644F2"/>
    <w:rsid w:val="00C64544"/>
    <w:rsid w:val="00C645FD"/>
    <w:rsid w:val="00C6467F"/>
    <w:rsid w:val="00C64868"/>
    <w:rsid w:val="00C64CF8"/>
    <w:rsid w:val="00C64DA3"/>
    <w:rsid w:val="00C64DC4"/>
    <w:rsid w:val="00C64E8C"/>
    <w:rsid w:val="00C64EFC"/>
    <w:rsid w:val="00C6539B"/>
    <w:rsid w:val="00C6540F"/>
    <w:rsid w:val="00C65840"/>
    <w:rsid w:val="00C65C09"/>
    <w:rsid w:val="00C65D6D"/>
    <w:rsid w:val="00C65DF0"/>
    <w:rsid w:val="00C65FF3"/>
    <w:rsid w:val="00C66085"/>
    <w:rsid w:val="00C660AE"/>
    <w:rsid w:val="00C6624C"/>
    <w:rsid w:val="00C662FA"/>
    <w:rsid w:val="00C66338"/>
    <w:rsid w:val="00C6642E"/>
    <w:rsid w:val="00C66494"/>
    <w:rsid w:val="00C66676"/>
    <w:rsid w:val="00C666B9"/>
    <w:rsid w:val="00C66892"/>
    <w:rsid w:val="00C66CB7"/>
    <w:rsid w:val="00C66E7F"/>
    <w:rsid w:val="00C66E98"/>
    <w:rsid w:val="00C670FC"/>
    <w:rsid w:val="00C67395"/>
    <w:rsid w:val="00C6743E"/>
    <w:rsid w:val="00C67E68"/>
    <w:rsid w:val="00C70072"/>
    <w:rsid w:val="00C7012E"/>
    <w:rsid w:val="00C702A2"/>
    <w:rsid w:val="00C70370"/>
    <w:rsid w:val="00C70585"/>
    <w:rsid w:val="00C707A9"/>
    <w:rsid w:val="00C70845"/>
    <w:rsid w:val="00C708DF"/>
    <w:rsid w:val="00C70975"/>
    <w:rsid w:val="00C709F0"/>
    <w:rsid w:val="00C70B31"/>
    <w:rsid w:val="00C7101E"/>
    <w:rsid w:val="00C71490"/>
    <w:rsid w:val="00C71783"/>
    <w:rsid w:val="00C719A2"/>
    <w:rsid w:val="00C719E0"/>
    <w:rsid w:val="00C71DC7"/>
    <w:rsid w:val="00C71F6D"/>
    <w:rsid w:val="00C72104"/>
    <w:rsid w:val="00C72165"/>
    <w:rsid w:val="00C72184"/>
    <w:rsid w:val="00C72773"/>
    <w:rsid w:val="00C7290D"/>
    <w:rsid w:val="00C72A19"/>
    <w:rsid w:val="00C72B1E"/>
    <w:rsid w:val="00C72B8E"/>
    <w:rsid w:val="00C72D7B"/>
    <w:rsid w:val="00C730E9"/>
    <w:rsid w:val="00C73317"/>
    <w:rsid w:val="00C73777"/>
    <w:rsid w:val="00C73AB0"/>
    <w:rsid w:val="00C73CCE"/>
    <w:rsid w:val="00C73D66"/>
    <w:rsid w:val="00C74167"/>
    <w:rsid w:val="00C741D2"/>
    <w:rsid w:val="00C742E3"/>
    <w:rsid w:val="00C7486E"/>
    <w:rsid w:val="00C74929"/>
    <w:rsid w:val="00C74980"/>
    <w:rsid w:val="00C74D98"/>
    <w:rsid w:val="00C74ECB"/>
    <w:rsid w:val="00C75357"/>
    <w:rsid w:val="00C756A6"/>
    <w:rsid w:val="00C7574B"/>
    <w:rsid w:val="00C75793"/>
    <w:rsid w:val="00C757AE"/>
    <w:rsid w:val="00C758BD"/>
    <w:rsid w:val="00C75A6D"/>
    <w:rsid w:val="00C75CEB"/>
    <w:rsid w:val="00C75D08"/>
    <w:rsid w:val="00C75FAF"/>
    <w:rsid w:val="00C7604A"/>
    <w:rsid w:val="00C76127"/>
    <w:rsid w:val="00C76268"/>
    <w:rsid w:val="00C76624"/>
    <w:rsid w:val="00C76661"/>
    <w:rsid w:val="00C7692D"/>
    <w:rsid w:val="00C76AAF"/>
    <w:rsid w:val="00C76C46"/>
    <w:rsid w:val="00C76E15"/>
    <w:rsid w:val="00C76E35"/>
    <w:rsid w:val="00C7730F"/>
    <w:rsid w:val="00C77478"/>
    <w:rsid w:val="00C774A1"/>
    <w:rsid w:val="00C775A0"/>
    <w:rsid w:val="00C77AC2"/>
    <w:rsid w:val="00C80426"/>
    <w:rsid w:val="00C80743"/>
    <w:rsid w:val="00C80A99"/>
    <w:rsid w:val="00C80C41"/>
    <w:rsid w:val="00C80C81"/>
    <w:rsid w:val="00C80CEF"/>
    <w:rsid w:val="00C80DDE"/>
    <w:rsid w:val="00C80E40"/>
    <w:rsid w:val="00C81120"/>
    <w:rsid w:val="00C81432"/>
    <w:rsid w:val="00C815EA"/>
    <w:rsid w:val="00C821DC"/>
    <w:rsid w:val="00C823EC"/>
    <w:rsid w:val="00C824BE"/>
    <w:rsid w:val="00C825DA"/>
    <w:rsid w:val="00C82652"/>
    <w:rsid w:val="00C8287D"/>
    <w:rsid w:val="00C828B8"/>
    <w:rsid w:val="00C82994"/>
    <w:rsid w:val="00C82B4F"/>
    <w:rsid w:val="00C82E07"/>
    <w:rsid w:val="00C82EC5"/>
    <w:rsid w:val="00C83041"/>
    <w:rsid w:val="00C838C3"/>
    <w:rsid w:val="00C83BFA"/>
    <w:rsid w:val="00C83DA2"/>
    <w:rsid w:val="00C83DE6"/>
    <w:rsid w:val="00C8452A"/>
    <w:rsid w:val="00C848A7"/>
    <w:rsid w:val="00C849C0"/>
    <w:rsid w:val="00C84E0B"/>
    <w:rsid w:val="00C84E9E"/>
    <w:rsid w:val="00C84F2E"/>
    <w:rsid w:val="00C85035"/>
    <w:rsid w:val="00C85183"/>
    <w:rsid w:val="00C851F6"/>
    <w:rsid w:val="00C85664"/>
    <w:rsid w:val="00C85674"/>
    <w:rsid w:val="00C858FF"/>
    <w:rsid w:val="00C85AE0"/>
    <w:rsid w:val="00C85E30"/>
    <w:rsid w:val="00C8615E"/>
    <w:rsid w:val="00C86BFA"/>
    <w:rsid w:val="00C86C8D"/>
    <w:rsid w:val="00C86CB4"/>
    <w:rsid w:val="00C86E8E"/>
    <w:rsid w:val="00C8712F"/>
    <w:rsid w:val="00C8737A"/>
    <w:rsid w:val="00C876A0"/>
    <w:rsid w:val="00C878CA"/>
    <w:rsid w:val="00C87AF2"/>
    <w:rsid w:val="00C87B57"/>
    <w:rsid w:val="00C87E4D"/>
    <w:rsid w:val="00C87FC6"/>
    <w:rsid w:val="00C901FE"/>
    <w:rsid w:val="00C90258"/>
    <w:rsid w:val="00C908C6"/>
    <w:rsid w:val="00C90B42"/>
    <w:rsid w:val="00C90BA4"/>
    <w:rsid w:val="00C90D55"/>
    <w:rsid w:val="00C90F25"/>
    <w:rsid w:val="00C90F6F"/>
    <w:rsid w:val="00C90F83"/>
    <w:rsid w:val="00C91074"/>
    <w:rsid w:val="00C91529"/>
    <w:rsid w:val="00C9182B"/>
    <w:rsid w:val="00C9188C"/>
    <w:rsid w:val="00C91913"/>
    <w:rsid w:val="00C91B8A"/>
    <w:rsid w:val="00C91C5F"/>
    <w:rsid w:val="00C91C63"/>
    <w:rsid w:val="00C9213E"/>
    <w:rsid w:val="00C9255D"/>
    <w:rsid w:val="00C92588"/>
    <w:rsid w:val="00C9292D"/>
    <w:rsid w:val="00C9296C"/>
    <w:rsid w:val="00C92A01"/>
    <w:rsid w:val="00C92DFF"/>
    <w:rsid w:val="00C93384"/>
    <w:rsid w:val="00C93734"/>
    <w:rsid w:val="00C93B13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428"/>
    <w:rsid w:val="00C95623"/>
    <w:rsid w:val="00C95A15"/>
    <w:rsid w:val="00C95A37"/>
    <w:rsid w:val="00C95B14"/>
    <w:rsid w:val="00C95B68"/>
    <w:rsid w:val="00C95D21"/>
    <w:rsid w:val="00C961DD"/>
    <w:rsid w:val="00C962F3"/>
    <w:rsid w:val="00C963BF"/>
    <w:rsid w:val="00C964F4"/>
    <w:rsid w:val="00C96516"/>
    <w:rsid w:val="00C96912"/>
    <w:rsid w:val="00C96C65"/>
    <w:rsid w:val="00C96F4C"/>
    <w:rsid w:val="00C970A1"/>
    <w:rsid w:val="00C97397"/>
    <w:rsid w:val="00C975E6"/>
    <w:rsid w:val="00C978FE"/>
    <w:rsid w:val="00C979C5"/>
    <w:rsid w:val="00C97CF5"/>
    <w:rsid w:val="00C97D40"/>
    <w:rsid w:val="00C97D48"/>
    <w:rsid w:val="00C97E1A"/>
    <w:rsid w:val="00C97EAC"/>
    <w:rsid w:val="00CA0372"/>
    <w:rsid w:val="00CA0481"/>
    <w:rsid w:val="00CA0555"/>
    <w:rsid w:val="00CA056F"/>
    <w:rsid w:val="00CA068F"/>
    <w:rsid w:val="00CA0B97"/>
    <w:rsid w:val="00CA0C2D"/>
    <w:rsid w:val="00CA0E9B"/>
    <w:rsid w:val="00CA10D0"/>
    <w:rsid w:val="00CA11C0"/>
    <w:rsid w:val="00CA1333"/>
    <w:rsid w:val="00CA1343"/>
    <w:rsid w:val="00CA13DE"/>
    <w:rsid w:val="00CA1458"/>
    <w:rsid w:val="00CA15AC"/>
    <w:rsid w:val="00CA15C1"/>
    <w:rsid w:val="00CA1672"/>
    <w:rsid w:val="00CA175E"/>
    <w:rsid w:val="00CA19A9"/>
    <w:rsid w:val="00CA1B16"/>
    <w:rsid w:val="00CA1E51"/>
    <w:rsid w:val="00CA21A9"/>
    <w:rsid w:val="00CA24FA"/>
    <w:rsid w:val="00CA28A8"/>
    <w:rsid w:val="00CA2A3D"/>
    <w:rsid w:val="00CA2AE1"/>
    <w:rsid w:val="00CA3355"/>
    <w:rsid w:val="00CA3427"/>
    <w:rsid w:val="00CA34C3"/>
    <w:rsid w:val="00CA38B0"/>
    <w:rsid w:val="00CA3E59"/>
    <w:rsid w:val="00CA3EF8"/>
    <w:rsid w:val="00CA3F35"/>
    <w:rsid w:val="00CA40F3"/>
    <w:rsid w:val="00CA43F9"/>
    <w:rsid w:val="00CA4458"/>
    <w:rsid w:val="00CA44A7"/>
    <w:rsid w:val="00CA45FC"/>
    <w:rsid w:val="00CA46B8"/>
    <w:rsid w:val="00CA481F"/>
    <w:rsid w:val="00CA4835"/>
    <w:rsid w:val="00CA486E"/>
    <w:rsid w:val="00CA487E"/>
    <w:rsid w:val="00CA492C"/>
    <w:rsid w:val="00CA4C41"/>
    <w:rsid w:val="00CA4DC9"/>
    <w:rsid w:val="00CA4EF3"/>
    <w:rsid w:val="00CA516C"/>
    <w:rsid w:val="00CA52B2"/>
    <w:rsid w:val="00CA56C5"/>
    <w:rsid w:val="00CA59C2"/>
    <w:rsid w:val="00CA5A25"/>
    <w:rsid w:val="00CA5C47"/>
    <w:rsid w:val="00CA5C82"/>
    <w:rsid w:val="00CA5D86"/>
    <w:rsid w:val="00CA61A5"/>
    <w:rsid w:val="00CA6228"/>
    <w:rsid w:val="00CA62EE"/>
    <w:rsid w:val="00CA64F4"/>
    <w:rsid w:val="00CA65EF"/>
    <w:rsid w:val="00CA6647"/>
    <w:rsid w:val="00CA6657"/>
    <w:rsid w:val="00CA679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A"/>
    <w:rsid w:val="00CB0125"/>
    <w:rsid w:val="00CB01EF"/>
    <w:rsid w:val="00CB01F6"/>
    <w:rsid w:val="00CB020B"/>
    <w:rsid w:val="00CB0273"/>
    <w:rsid w:val="00CB029E"/>
    <w:rsid w:val="00CB074F"/>
    <w:rsid w:val="00CB0768"/>
    <w:rsid w:val="00CB0914"/>
    <w:rsid w:val="00CB0A1F"/>
    <w:rsid w:val="00CB0B2C"/>
    <w:rsid w:val="00CB0CE9"/>
    <w:rsid w:val="00CB0F10"/>
    <w:rsid w:val="00CB131F"/>
    <w:rsid w:val="00CB1320"/>
    <w:rsid w:val="00CB16C4"/>
    <w:rsid w:val="00CB1A00"/>
    <w:rsid w:val="00CB1C51"/>
    <w:rsid w:val="00CB1FC0"/>
    <w:rsid w:val="00CB2121"/>
    <w:rsid w:val="00CB2187"/>
    <w:rsid w:val="00CB21AF"/>
    <w:rsid w:val="00CB221C"/>
    <w:rsid w:val="00CB2476"/>
    <w:rsid w:val="00CB24DB"/>
    <w:rsid w:val="00CB28F3"/>
    <w:rsid w:val="00CB2CE8"/>
    <w:rsid w:val="00CB2E15"/>
    <w:rsid w:val="00CB2E2C"/>
    <w:rsid w:val="00CB2EEF"/>
    <w:rsid w:val="00CB31CC"/>
    <w:rsid w:val="00CB328E"/>
    <w:rsid w:val="00CB33D0"/>
    <w:rsid w:val="00CB3539"/>
    <w:rsid w:val="00CB3540"/>
    <w:rsid w:val="00CB3555"/>
    <w:rsid w:val="00CB3693"/>
    <w:rsid w:val="00CB36F7"/>
    <w:rsid w:val="00CB372C"/>
    <w:rsid w:val="00CB3967"/>
    <w:rsid w:val="00CB3E69"/>
    <w:rsid w:val="00CB407A"/>
    <w:rsid w:val="00CB4298"/>
    <w:rsid w:val="00CB434C"/>
    <w:rsid w:val="00CB439C"/>
    <w:rsid w:val="00CB452B"/>
    <w:rsid w:val="00CB45E2"/>
    <w:rsid w:val="00CB4702"/>
    <w:rsid w:val="00CB4900"/>
    <w:rsid w:val="00CB496F"/>
    <w:rsid w:val="00CB4BA0"/>
    <w:rsid w:val="00CB4DC2"/>
    <w:rsid w:val="00CB4DCD"/>
    <w:rsid w:val="00CB4E4B"/>
    <w:rsid w:val="00CB4F2D"/>
    <w:rsid w:val="00CB5068"/>
    <w:rsid w:val="00CB53E8"/>
    <w:rsid w:val="00CB53F8"/>
    <w:rsid w:val="00CB544A"/>
    <w:rsid w:val="00CB5930"/>
    <w:rsid w:val="00CB5954"/>
    <w:rsid w:val="00CB5BDD"/>
    <w:rsid w:val="00CB5CDC"/>
    <w:rsid w:val="00CB5E59"/>
    <w:rsid w:val="00CB5FF4"/>
    <w:rsid w:val="00CB603C"/>
    <w:rsid w:val="00CB6097"/>
    <w:rsid w:val="00CB6272"/>
    <w:rsid w:val="00CB6742"/>
    <w:rsid w:val="00CB686C"/>
    <w:rsid w:val="00CB68EA"/>
    <w:rsid w:val="00CB6B3F"/>
    <w:rsid w:val="00CB6C9D"/>
    <w:rsid w:val="00CB6E8E"/>
    <w:rsid w:val="00CB722F"/>
    <w:rsid w:val="00CB7418"/>
    <w:rsid w:val="00CB741E"/>
    <w:rsid w:val="00CB76D7"/>
    <w:rsid w:val="00CB7A7D"/>
    <w:rsid w:val="00CB7C49"/>
    <w:rsid w:val="00CB7D7A"/>
    <w:rsid w:val="00CB7EC4"/>
    <w:rsid w:val="00CC0075"/>
    <w:rsid w:val="00CC01EB"/>
    <w:rsid w:val="00CC0670"/>
    <w:rsid w:val="00CC0743"/>
    <w:rsid w:val="00CC0B35"/>
    <w:rsid w:val="00CC0BBE"/>
    <w:rsid w:val="00CC0BDC"/>
    <w:rsid w:val="00CC100B"/>
    <w:rsid w:val="00CC1311"/>
    <w:rsid w:val="00CC1690"/>
    <w:rsid w:val="00CC16EC"/>
    <w:rsid w:val="00CC1969"/>
    <w:rsid w:val="00CC19DE"/>
    <w:rsid w:val="00CC1AB5"/>
    <w:rsid w:val="00CC2213"/>
    <w:rsid w:val="00CC2221"/>
    <w:rsid w:val="00CC23B3"/>
    <w:rsid w:val="00CC279A"/>
    <w:rsid w:val="00CC27FE"/>
    <w:rsid w:val="00CC2A6F"/>
    <w:rsid w:val="00CC2A78"/>
    <w:rsid w:val="00CC2D03"/>
    <w:rsid w:val="00CC2D98"/>
    <w:rsid w:val="00CC2DCA"/>
    <w:rsid w:val="00CC2E06"/>
    <w:rsid w:val="00CC2F9A"/>
    <w:rsid w:val="00CC305E"/>
    <w:rsid w:val="00CC3066"/>
    <w:rsid w:val="00CC3536"/>
    <w:rsid w:val="00CC367D"/>
    <w:rsid w:val="00CC3A33"/>
    <w:rsid w:val="00CC3C18"/>
    <w:rsid w:val="00CC3D23"/>
    <w:rsid w:val="00CC4035"/>
    <w:rsid w:val="00CC4210"/>
    <w:rsid w:val="00CC4238"/>
    <w:rsid w:val="00CC423B"/>
    <w:rsid w:val="00CC44F1"/>
    <w:rsid w:val="00CC44FE"/>
    <w:rsid w:val="00CC4537"/>
    <w:rsid w:val="00CC4921"/>
    <w:rsid w:val="00CC4A47"/>
    <w:rsid w:val="00CC50AA"/>
    <w:rsid w:val="00CC52D7"/>
    <w:rsid w:val="00CC53BA"/>
    <w:rsid w:val="00CC5431"/>
    <w:rsid w:val="00CC54CE"/>
    <w:rsid w:val="00CC576D"/>
    <w:rsid w:val="00CC5B6D"/>
    <w:rsid w:val="00CC5FB5"/>
    <w:rsid w:val="00CC644D"/>
    <w:rsid w:val="00CC658D"/>
    <w:rsid w:val="00CC6657"/>
    <w:rsid w:val="00CC665A"/>
    <w:rsid w:val="00CC67A0"/>
    <w:rsid w:val="00CC67EC"/>
    <w:rsid w:val="00CC6C8F"/>
    <w:rsid w:val="00CC6E10"/>
    <w:rsid w:val="00CC6E8E"/>
    <w:rsid w:val="00CC6FB8"/>
    <w:rsid w:val="00CC702F"/>
    <w:rsid w:val="00CC718D"/>
    <w:rsid w:val="00CC71F4"/>
    <w:rsid w:val="00CC7210"/>
    <w:rsid w:val="00CC74A2"/>
    <w:rsid w:val="00CC779C"/>
    <w:rsid w:val="00CC7B51"/>
    <w:rsid w:val="00CC7F36"/>
    <w:rsid w:val="00CD0096"/>
    <w:rsid w:val="00CD0492"/>
    <w:rsid w:val="00CD04D8"/>
    <w:rsid w:val="00CD0518"/>
    <w:rsid w:val="00CD0593"/>
    <w:rsid w:val="00CD06E5"/>
    <w:rsid w:val="00CD07CA"/>
    <w:rsid w:val="00CD07DE"/>
    <w:rsid w:val="00CD0916"/>
    <w:rsid w:val="00CD09B0"/>
    <w:rsid w:val="00CD0B41"/>
    <w:rsid w:val="00CD0DB4"/>
    <w:rsid w:val="00CD0E7F"/>
    <w:rsid w:val="00CD107A"/>
    <w:rsid w:val="00CD1184"/>
    <w:rsid w:val="00CD126F"/>
    <w:rsid w:val="00CD1311"/>
    <w:rsid w:val="00CD146B"/>
    <w:rsid w:val="00CD155B"/>
    <w:rsid w:val="00CD178A"/>
    <w:rsid w:val="00CD182B"/>
    <w:rsid w:val="00CD18B8"/>
    <w:rsid w:val="00CD1A3E"/>
    <w:rsid w:val="00CD1C1F"/>
    <w:rsid w:val="00CD1F85"/>
    <w:rsid w:val="00CD1FD1"/>
    <w:rsid w:val="00CD200E"/>
    <w:rsid w:val="00CD20D4"/>
    <w:rsid w:val="00CD2187"/>
    <w:rsid w:val="00CD246B"/>
    <w:rsid w:val="00CD2519"/>
    <w:rsid w:val="00CD251C"/>
    <w:rsid w:val="00CD2653"/>
    <w:rsid w:val="00CD2C94"/>
    <w:rsid w:val="00CD2CDC"/>
    <w:rsid w:val="00CD2F34"/>
    <w:rsid w:val="00CD30BC"/>
    <w:rsid w:val="00CD3208"/>
    <w:rsid w:val="00CD3338"/>
    <w:rsid w:val="00CD34A3"/>
    <w:rsid w:val="00CD34E0"/>
    <w:rsid w:val="00CD3723"/>
    <w:rsid w:val="00CD39C7"/>
    <w:rsid w:val="00CD3B66"/>
    <w:rsid w:val="00CD3C14"/>
    <w:rsid w:val="00CD418E"/>
    <w:rsid w:val="00CD41E0"/>
    <w:rsid w:val="00CD43D7"/>
    <w:rsid w:val="00CD43E6"/>
    <w:rsid w:val="00CD4817"/>
    <w:rsid w:val="00CD4837"/>
    <w:rsid w:val="00CD4ADB"/>
    <w:rsid w:val="00CD4CB3"/>
    <w:rsid w:val="00CD4F23"/>
    <w:rsid w:val="00CD4FC6"/>
    <w:rsid w:val="00CD520E"/>
    <w:rsid w:val="00CD5217"/>
    <w:rsid w:val="00CD5562"/>
    <w:rsid w:val="00CD558B"/>
    <w:rsid w:val="00CD55B3"/>
    <w:rsid w:val="00CD585B"/>
    <w:rsid w:val="00CD59D9"/>
    <w:rsid w:val="00CD5A05"/>
    <w:rsid w:val="00CD5B00"/>
    <w:rsid w:val="00CD5B7D"/>
    <w:rsid w:val="00CD5D9A"/>
    <w:rsid w:val="00CD5F3B"/>
    <w:rsid w:val="00CD61B0"/>
    <w:rsid w:val="00CD6ABC"/>
    <w:rsid w:val="00CD6BB2"/>
    <w:rsid w:val="00CD750A"/>
    <w:rsid w:val="00CD7A7B"/>
    <w:rsid w:val="00CD7AAD"/>
    <w:rsid w:val="00CD7BC3"/>
    <w:rsid w:val="00CD7CD0"/>
    <w:rsid w:val="00CD7E16"/>
    <w:rsid w:val="00CD7E96"/>
    <w:rsid w:val="00CD7EE5"/>
    <w:rsid w:val="00CD7FD7"/>
    <w:rsid w:val="00CE0097"/>
    <w:rsid w:val="00CE04A0"/>
    <w:rsid w:val="00CE04BA"/>
    <w:rsid w:val="00CE06BD"/>
    <w:rsid w:val="00CE07A2"/>
    <w:rsid w:val="00CE0855"/>
    <w:rsid w:val="00CE0AA1"/>
    <w:rsid w:val="00CE10E3"/>
    <w:rsid w:val="00CE1245"/>
    <w:rsid w:val="00CE17F4"/>
    <w:rsid w:val="00CE1AAD"/>
    <w:rsid w:val="00CE1B34"/>
    <w:rsid w:val="00CE1BCD"/>
    <w:rsid w:val="00CE1CE9"/>
    <w:rsid w:val="00CE23B9"/>
    <w:rsid w:val="00CE24E0"/>
    <w:rsid w:val="00CE25AC"/>
    <w:rsid w:val="00CE29C5"/>
    <w:rsid w:val="00CE2BAD"/>
    <w:rsid w:val="00CE3042"/>
    <w:rsid w:val="00CE30A7"/>
    <w:rsid w:val="00CE30B0"/>
    <w:rsid w:val="00CE30E6"/>
    <w:rsid w:val="00CE32A4"/>
    <w:rsid w:val="00CE333D"/>
    <w:rsid w:val="00CE341F"/>
    <w:rsid w:val="00CE344C"/>
    <w:rsid w:val="00CE345F"/>
    <w:rsid w:val="00CE34DC"/>
    <w:rsid w:val="00CE368B"/>
    <w:rsid w:val="00CE36DD"/>
    <w:rsid w:val="00CE38FE"/>
    <w:rsid w:val="00CE3BF2"/>
    <w:rsid w:val="00CE3F11"/>
    <w:rsid w:val="00CE3F74"/>
    <w:rsid w:val="00CE402F"/>
    <w:rsid w:val="00CE43A9"/>
    <w:rsid w:val="00CE474B"/>
    <w:rsid w:val="00CE4A2C"/>
    <w:rsid w:val="00CE4BBB"/>
    <w:rsid w:val="00CE4C75"/>
    <w:rsid w:val="00CE4D3C"/>
    <w:rsid w:val="00CE56EE"/>
    <w:rsid w:val="00CE5728"/>
    <w:rsid w:val="00CE5899"/>
    <w:rsid w:val="00CE593C"/>
    <w:rsid w:val="00CE5E95"/>
    <w:rsid w:val="00CE5E98"/>
    <w:rsid w:val="00CE5F30"/>
    <w:rsid w:val="00CE60CD"/>
    <w:rsid w:val="00CE679A"/>
    <w:rsid w:val="00CE69FC"/>
    <w:rsid w:val="00CE6CC6"/>
    <w:rsid w:val="00CE6CE1"/>
    <w:rsid w:val="00CE6E7E"/>
    <w:rsid w:val="00CE6E81"/>
    <w:rsid w:val="00CE6FA2"/>
    <w:rsid w:val="00CE7067"/>
    <w:rsid w:val="00CE721F"/>
    <w:rsid w:val="00CE738C"/>
    <w:rsid w:val="00CF016E"/>
    <w:rsid w:val="00CF0219"/>
    <w:rsid w:val="00CF02AE"/>
    <w:rsid w:val="00CF04B4"/>
    <w:rsid w:val="00CF05DB"/>
    <w:rsid w:val="00CF0A72"/>
    <w:rsid w:val="00CF0B33"/>
    <w:rsid w:val="00CF0B74"/>
    <w:rsid w:val="00CF0B8C"/>
    <w:rsid w:val="00CF0BCF"/>
    <w:rsid w:val="00CF0D30"/>
    <w:rsid w:val="00CF0DD4"/>
    <w:rsid w:val="00CF0FC4"/>
    <w:rsid w:val="00CF103E"/>
    <w:rsid w:val="00CF1089"/>
    <w:rsid w:val="00CF152B"/>
    <w:rsid w:val="00CF1563"/>
    <w:rsid w:val="00CF15D7"/>
    <w:rsid w:val="00CF17DB"/>
    <w:rsid w:val="00CF1AC5"/>
    <w:rsid w:val="00CF1B83"/>
    <w:rsid w:val="00CF1C79"/>
    <w:rsid w:val="00CF1D89"/>
    <w:rsid w:val="00CF1F98"/>
    <w:rsid w:val="00CF2157"/>
    <w:rsid w:val="00CF26C2"/>
    <w:rsid w:val="00CF2708"/>
    <w:rsid w:val="00CF2C08"/>
    <w:rsid w:val="00CF2C97"/>
    <w:rsid w:val="00CF2C9E"/>
    <w:rsid w:val="00CF2D35"/>
    <w:rsid w:val="00CF2F64"/>
    <w:rsid w:val="00CF311A"/>
    <w:rsid w:val="00CF3359"/>
    <w:rsid w:val="00CF3400"/>
    <w:rsid w:val="00CF379F"/>
    <w:rsid w:val="00CF3AB1"/>
    <w:rsid w:val="00CF3E8B"/>
    <w:rsid w:val="00CF4216"/>
    <w:rsid w:val="00CF42DF"/>
    <w:rsid w:val="00CF4307"/>
    <w:rsid w:val="00CF44DB"/>
    <w:rsid w:val="00CF46A7"/>
    <w:rsid w:val="00CF47EC"/>
    <w:rsid w:val="00CF498C"/>
    <w:rsid w:val="00CF4AD2"/>
    <w:rsid w:val="00CF4E03"/>
    <w:rsid w:val="00CF5040"/>
    <w:rsid w:val="00CF570D"/>
    <w:rsid w:val="00CF59A1"/>
    <w:rsid w:val="00CF59C2"/>
    <w:rsid w:val="00CF5A0F"/>
    <w:rsid w:val="00CF5C41"/>
    <w:rsid w:val="00CF5CCF"/>
    <w:rsid w:val="00CF5DC5"/>
    <w:rsid w:val="00CF625B"/>
    <w:rsid w:val="00CF681C"/>
    <w:rsid w:val="00CF6A14"/>
    <w:rsid w:val="00CF6DB2"/>
    <w:rsid w:val="00CF717A"/>
    <w:rsid w:val="00CF77BA"/>
    <w:rsid w:val="00CF78E9"/>
    <w:rsid w:val="00CF7D62"/>
    <w:rsid w:val="00CF7F26"/>
    <w:rsid w:val="00CF7FAF"/>
    <w:rsid w:val="00D0008E"/>
    <w:rsid w:val="00D0064F"/>
    <w:rsid w:val="00D007CD"/>
    <w:rsid w:val="00D0086F"/>
    <w:rsid w:val="00D009E6"/>
    <w:rsid w:val="00D00EDE"/>
    <w:rsid w:val="00D00EEC"/>
    <w:rsid w:val="00D00F11"/>
    <w:rsid w:val="00D01352"/>
    <w:rsid w:val="00D01453"/>
    <w:rsid w:val="00D01553"/>
    <w:rsid w:val="00D015F2"/>
    <w:rsid w:val="00D018FE"/>
    <w:rsid w:val="00D01954"/>
    <w:rsid w:val="00D01ACE"/>
    <w:rsid w:val="00D01E05"/>
    <w:rsid w:val="00D01ED5"/>
    <w:rsid w:val="00D021F0"/>
    <w:rsid w:val="00D02271"/>
    <w:rsid w:val="00D02456"/>
    <w:rsid w:val="00D026BC"/>
    <w:rsid w:val="00D0299F"/>
    <w:rsid w:val="00D02AD7"/>
    <w:rsid w:val="00D02C47"/>
    <w:rsid w:val="00D02E68"/>
    <w:rsid w:val="00D02F7D"/>
    <w:rsid w:val="00D03458"/>
    <w:rsid w:val="00D0361B"/>
    <w:rsid w:val="00D03D2B"/>
    <w:rsid w:val="00D03E7A"/>
    <w:rsid w:val="00D03EFB"/>
    <w:rsid w:val="00D04056"/>
    <w:rsid w:val="00D04268"/>
    <w:rsid w:val="00D042BD"/>
    <w:rsid w:val="00D04827"/>
    <w:rsid w:val="00D04857"/>
    <w:rsid w:val="00D049B5"/>
    <w:rsid w:val="00D04EFF"/>
    <w:rsid w:val="00D04F02"/>
    <w:rsid w:val="00D051A6"/>
    <w:rsid w:val="00D051E5"/>
    <w:rsid w:val="00D05245"/>
    <w:rsid w:val="00D05289"/>
    <w:rsid w:val="00D05307"/>
    <w:rsid w:val="00D0557D"/>
    <w:rsid w:val="00D05669"/>
    <w:rsid w:val="00D0570A"/>
    <w:rsid w:val="00D05923"/>
    <w:rsid w:val="00D061F8"/>
    <w:rsid w:val="00D0650A"/>
    <w:rsid w:val="00D06649"/>
    <w:rsid w:val="00D06878"/>
    <w:rsid w:val="00D06A55"/>
    <w:rsid w:val="00D06CBF"/>
    <w:rsid w:val="00D0713C"/>
    <w:rsid w:val="00D07268"/>
    <w:rsid w:val="00D078C6"/>
    <w:rsid w:val="00D07A2C"/>
    <w:rsid w:val="00D07D12"/>
    <w:rsid w:val="00D07D72"/>
    <w:rsid w:val="00D07D82"/>
    <w:rsid w:val="00D07FB4"/>
    <w:rsid w:val="00D07FEE"/>
    <w:rsid w:val="00D1036E"/>
    <w:rsid w:val="00D10506"/>
    <w:rsid w:val="00D105AB"/>
    <w:rsid w:val="00D1060A"/>
    <w:rsid w:val="00D107E7"/>
    <w:rsid w:val="00D10A93"/>
    <w:rsid w:val="00D10D0E"/>
    <w:rsid w:val="00D10DEE"/>
    <w:rsid w:val="00D10E7B"/>
    <w:rsid w:val="00D10E88"/>
    <w:rsid w:val="00D10E91"/>
    <w:rsid w:val="00D1105A"/>
    <w:rsid w:val="00D1137B"/>
    <w:rsid w:val="00D11517"/>
    <w:rsid w:val="00D1163C"/>
    <w:rsid w:val="00D11943"/>
    <w:rsid w:val="00D1199F"/>
    <w:rsid w:val="00D11A69"/>
    <w:rsid w:val="00D11DB6"/>
    <w:rsid w:val="00D11ED0"/>
    <w:rsid w:val="00D121D3"/>
    <w:rsid w:val="00D12482"/>
    <w:rsid w:val="00D126CA"/>
    <w:rsid w:val="00D12700"/>
    <w:rsid w:val="00D12790"/>
    <w:rsid w:val="00D128D7"/>
    <w:rsid w:val="00D1298F"/>
    <w:rsid w:val="00D12B8A"/>
    <w:rsid w:val="00D12BAC"/>
    <w:rsid w:val="00D12BB7"/>
    <w:rsid w:val="00D12C1A"/>
    <w:rsid w:val="00D12C43"/>
    <w:rsid w:val="00D13059"/>
    <w:rsid w:val="00D132D5"/>
    <w:rsid w:val="00D13558"/>
    <w:rsid w:val="00D13593"/>
    <w:rsid w:val="00D13621"/>
    <w:rsid w:val="00D13631"/>
    <w:rsid w:val="00D13869"/>
    <w:rsid w:val="00D139FA"/>
    <w:rsid w:val="00D13E53"/>
    <w:rsid w:val="00D14108"/>
    <w:rsid w:val="00D147BC"/>
    <w:rsid w:val="00D14DFC"/>
    <w:rsid w:val="00D15185"/>
    <w:rsid w:val="00D151EA"/>
    <w:rsid w:val="00D15303"/>
    <w:rsid w:val="00D155CF"/>
    <w:rsid w:val="00D1564C"/>
    <w:rsid w:val="00D1596F"/>
    <w:rsid w:val="00D15D1D"/>
    <w:rsid w:val="00D16051"/>
    <w:rsid w:val="00D160F7"/>
    <w:rsid w:val="00D16297"/>
    <w:rsid w:val="00D162A1"/>
    <w:rsid w:val="00D16372"/>
    <w:rsid w:val="00D163DC"/>
    <w:rsid w:val="00D1657B"/>
    <w:rsid w:val="00D166E3"/>
    <w:rsid w:val="00D168DB"/>
    <w:rsid w:val="00D16AF2"/>
    <w:rsid w:val="00D16EF2"/>
    <w:rsid w:val="00D17428"/>
    <w:rsid w:val="00D174FF"/>
    <w:rsid w:val="00D175D0"/>
    <w:rsid w:val="00D176FB"/>
    <w:rsid w:val="00D17788"/>
    <w:rsid w:val="00D17A2A"/>
    <w:rsid w:val="00D17C04"/>
    <w:rsid w:val="00D17E5B"/>
    <w:rsid w:val="00D20039"/>
    <w:rsid w:val="00D20461"/>
    <w:rsid w:val="00D204B4"/>
    <w:rsid w:val="00D2061C"/>
    <w:rsid w:val="00D20A89"/>
    <w:rsid w:val="00D20B75"/>
    <w:rsid w:val="00D20DAE"/>
    <w:rsid w:val="00D20EB0"/>
    <w:rsid w:val="00D20FD0"/>
    <w:rsid w:val="00D21163"/>
    <w:rsid w:val="00D21341"/>
    <w:rsid w:val="00D2148E"/>
    <w:rsid w:val="00D218BB"/>
    <w:rsid w:val="00D21A6E"/>
    <w:rsid w:val="00D21FA8"/>
    <w:rsid w:val="00D220EF"/>
    <w:rsid w:val="00D22166"/>
    <w:rsid w:val="00D22675"/>
    <w:rsid w:val="00D227EC"/>
    <w:rsid w:val="00D229F1"/>
    <w:rsid w:val="00D22B80"/>
    <w:rsid w:val="00D22B8A"/>
    <w:rsid w:val="00D22CE5"/>
    <w:rsid w:val="00D230FE"/>
    <w:rsid w:val="00D23299"/>
    <w:rsid w:val="00D233DF"/>
    <w:rsid w:val="00D23529"/>
    <w:rsid w:val="00D236B7"/>
    <w:rsid w:val="00D23724"/>
    <w:rsid w:val="00D239D9"/>
    <w:rsid w:val="00D23A46"/>
    <w:rsid w:val="00D23BC8"/>
    <w:rsid w:val="00D23BE3"/>
    <w:rsid w:val="00D23E17"/>
    <w:rsid w:val="00D23E48"/>
    <w:rsid w:val="00D2404D"/>
    <w:rsid w:val="00D244BE"/>
    <w:rsid w:val="00D244CE"/>
    <w:rsid w:val="00D24537"/>
    <w:rsid w:val="00D24640"/>
    <w:rsid w:val="00D2482B"/>
    <w:rsid w:val="00D2482F"/>
    <w:rsid w:val="00D2489E"/>
    <w:rsid w:val="00D24B50"/>
    <w:rsid w:val="00D24B54"/>
    <w:rsid w:val="00D24BB6"/>
    <w:rsid w:val="00D24F83"/>
    <w:rsid w:val="00D252A3"/>
    <w:rsid w:val="00D25324"/>
    <w:rsid w:val="00D25352"/>
    <w:rsid w:val="00D25386"/>
    <w:rsid w:val="00D25410"/>
    <w:rsid w:val="00D257F1"/>
    <w:rsid w:val="00D2584D"/>
    <w:rsid w:val="00D25964"/>
    <w:rsid w:val="00D25B88"/>
    <w:rsid w:val="00D25EC9"/>
    <w:rsid w:val="00D25FED"/>
    <w:rsid w:val="00D263FE"/>
    <w:rsid w:val="00D2670B"/>
    <w:rsid w:val="00D268D9"/>
    <w:rsid w:val="00D2692A"/>
    <w:rsid w:val="00D26A54"/>
    <w:rsid w:val="00D26A83"/>
    <w:rsid w:val="00D26D2F"/>
    <w:rsid w:val="00D26F36"/>
    <w:rsid w:val="00D27232"/>
    <w:rsid w:val="00D2730E"/>
    <w:rsid w:val="00D27432"/>
    <w:rsid w:val="00D278E5"/>
    <w:rsid w:val="00D278F4"/>
    <w:rsid w:val="00D27B83"/>
    <w:rsid w:val="00D27F2D"/>
    <w:rsid w:val="00D300E9"/>
    <w:rsid w:val="00D30118"/>
    <w:rsid w:val="00D30334"/>
    <w:rsid w:val="00D3040C"/>
    <w:rsid w:val="00D304CF"/>
    <w:rsid w:val="00D305E1"/>
    <w:rsid w:val="00D3090A"/>
    <w:rsid w:val="00D309AC"/>
    <w:rsid w:val="00D30C22"/>
    <w:rsid w:val="00D30E1B"/>
    <w:rsid w:val="00D310F3"/>
    <w:rsid w:val="00D3111E"/>
    <w:rsid w:val="00D31221"/>
    <w:rsid w:val="00D31318"/>
    <w:rsid w:val="00D315F2"/>
    <w:rsid w:val="00D31697"/>
    <w:rsid w:val="00D316DF"/>
    <w:rsid w:val="00D31700"/>
    <w:rsid w:val="00D31733"/>
    <w:rsid w:val="00D31851"/>
    <w:rsid w:val="00D318EC"/>
    <w:rsid w:val="00D319EB"/>
    <w:rsid w:val="00D31CD6"/>
    <w:rsid w:val="00D31F8D"/>
    <w:rsid w:val="00D32361"/>
    <w:rsid w:val="00D323F9"/>
    <w:rsid w:val="00D32449"/>
    <w:rsid w:val="00D32664"/>
    <w:rsid w:val="00D326D0"/>
    <w:rsid w:val="00D3277B"/>
    <w:rsid w:val="00D3291E"/>
    <w:rsid w:val="00D32A68"/>
    <w:rsid w:val="00D32B87"/>
    <w:rsid w:val="00D32BFC"/>
    <w:rsid w:val="00D32D36"/>
    <w:rsid w:val="00D32FA5"/>
    <w:rsid w:val="00D3300B"/>
    <w:rsid w:val="00D33470"/>
    <w:rsid w:val="00D33515"/>
    <w:rsid w:val="00D336AD"/>
    <w:rsid w:val="00D3399A"/>
    <w:rsid w:val="00D33BCB"/>
    <w:rsid w:val="00D33C32"/>
    <w:rsid w:val="00D33E44"/>
    <w:rsid w:val="00D33E55"/>
    <w:rsid w:val="00D33EBE"/>
    <w:rsid w:val="00D34058"/>
    <w:rsid w:val="00D34113"/>
    <w:rsid w:val="00D342E8"/>
    <w:rsid w:val="00D3434F"/>
    <w:rsid w:val="00D34372"/>
    <w:rsid w:val="00D34376"/>
    <w:rsid w:val="00D34442"/>
    <w:rsid w:val="00D34615"/>
    <w:rsid w:val="00D34B57"/>
    <w:rsid w:val="00D34EB6"/>
    <w:rsid w:val="00D3530B"/>
    <w:rsid w:val="00D35357"/>
    <w:rsid w:val="00D353B4"/>
    <w:rsid w:val="00D3569C"/>
    <w:rsid w:val="00D356AF"/>
    <w:rsid w:val="00D35718"/>
    <w:rsid w:val="00D35755"/>
    <w:rsid w:val="00D358E8"/>
    <w:rsid w:val="00D35AF7"/>
    <w:rsid w:val="00D35E91"/>
    <w:rsid w:val="00D35FE9"/>
    <w:rsid w:val="00D361D9"/>
    <w:rsid w:val="00D364EF"/>
    <w:rsid w:val="00D36621"/>
    <w:rsid w:val="00D368AD"/>
    <w:rsid w:val="00D36AA7"/>
    <w:rsid w:val="00D36CB6"/>
    <w:rsid w:val="00D36CFB"/>
    <w:rsid w:val="00D36F4C"/>
    <w:rsid w:val="00D37289"/>
    <w:rsid w:val="00D373FF"/>
    <w:rsid w:val="00D375EF"/>
    <w:rsid w:val="00D37807"/>
    <w:rsid w:val="00D37ECC"/>
    <w:rsid w:val="00D40136"/>
    <w:rsid w:val="00D401AB"/>
    <w:rsid w:val="00D401C6"/>
    <w:rsid w:val="00D4025E"/>
    <w:rsid w:val="00D4049E"/>
    <w:rsid w:val="00D40508"/>
    <w:rsid w:val="00D406B2"/>
    <w:rsid w:val="00D4098C"/>
    <w:rsid w:val="00D40B82"/>
    <w:rsid w:val="00D40B95"/>
    <w:rsid w:val="00D40EAE"/>
    <w:rsid w:val="00D4111E"/>
    <w:rsid w:val="00D41207"/>
    <w:rsid w:val="00D41294"/>
    <w:rsid w:val="00D412BC"/>
    <w:rsid w:val="00D414C5"/>
    <w:rsid w:val="00D414C7"/>
    <w:rsid w:val="00D415E8"/>
    <w:rsid w:val="00D41778"/>
    <w:rsid w:val="00D41A59"/>
    <w:rsid w:val="00D41CF9"/>
    <w:rsid w:val="00D41E77"/>
    <w:rsid w:val="00D4281E"/>
    <w:rsid w:val="00D428CD"/>
    <w:rsid w:val="00D42B97"/>
    <w:rsid w:val="00D42C54"/>
    <w:rsid w:val="00D42C70"/>
    <w:rsid w:val="00D42F04"/>
    <w:rsid w:val="00D4306E"/>
    <w:rsid w:val="00D43096"/>
    <w:rsid w:val="00D430A1"/>
    <w:rsid w:val="00D43B5E"/>
    <w:rsid w:val="00D43BC4"/>
    <w:rsid w:val="00D43D89"/>
    <w:rsid w:val="00D43DE4"/>
    <w:rsid w:val="00D43E97"/>
    <w:rsid w:val="00D43F83"/>
    <w:rsid w:val="00D44178"/>
    <w:rsid w:val="00D446B8"/>
    <w:rsid w:val="00D44715"/>
    <w:rsid w:val="00D44DEF"/>
    <w:rsid w:val="00D44FC7"/>
    <w:rsid w:val="00D44FE1"/>
    <w:rsid w:val="00D45001"/>
    <w:rsid w:val="00D45034"/>
    <w:rsid w:val="00D450A7"/>
    <w:rsid w:val="00D45555"/>
    <w:rsid w:val="00D4583F"/>
    <w:rsid w:val="00D458E5"/>
    <w:rsid w:val="00D45A7A"/>
    <w:rsid w:val="00D45DA9"/>
    <w:rsid w:val="00D45DEB"/>
    <w:rsid w:val="00D4610D"/>
    <w:rsid w:val="00D463A2"/>
    <w:rsid w:val="00D46552"/>
    <w:rsid w:val="00D46593"/>
    <w:rsid w:val="00D46852"/>
    <w:rsid w:val="00D469D9"/>
    <w:rsid w:val="00D46AB2"/>
    <w:rsid w:val="00D46C90"/>
    <w:rsid w:val="00D46D50"/>
    <w:rsid w:val="00D46ECA"/>
    <w:rsid w:val="00D46F7C"/>
    <w:rsid w:val="00D46FD8"/>
    <w:rsid w:val="00D471ED"/>
    <w:rsid w:val="00D47218"/>
    <w:rsid w:val="00D472D9"/>
    <w:rsid w:val="00D47331"/>
    <w:rsid w:val="00D47815"/>
    <w:rsid w:val="00D47A4F"/>
    <w:rsid w:val="00D47A54"/>
    <w:rsid w:val="00D47D2C"/>
    <w:rsid w:val="00D47F5C"/>
    <w:rsid w:val="00D500D3"/>
    <w:rsid w:val="00D5010C"/>
    <w:rsid w:val="00D501AA"/>
    <w:rsid w:val="00D501FA"/>
    <w:rsid w:val="00D50344"/>
    <w:rsid w:val="00D503A5"/>
    <w:rsid w:val="00D5050B"/>
    <w:rsid w:val="00D5069A"/>
    <w:rsid w:val="00D50E31"/>
    <w:rsid w:val="00D50F0A"/>
    <w:rsid w:val="00D51160"/>
    <w:rsid w:val="00D511DE"/>
    <w:rsid w:val="00D51228"/>
    <w:rsid w:val="00D51477"/>
    <w:rsid w:val="00D515F2"/>
    <w:rsid w:val="00D51647"/>
    <w:rsid w:val="00D516BD"/>
    <w:rsid w:val="00D517F0"/>
    <w:rsid w:val="00D518A7"/>
    <w:rsid w:val="00D518B4"/>
    <w:rsid w:val="00D518C2"/>
    <w:rsid w:val="00D51D57"/>
    <w:rsid w:val="00D51EBC"/>
    <w:rsid w:val="00D51F0F"/>
    <w:rsid w:val="00D52283"/>
    <w:rsid w:val="00D523C2"/>
    <w:rsid w:val="00D526F8"/>
    <w:rsid w:val="00D5276E"/>
    <w:rsid w:val="00D527C8"/>
    <w:rsid w:val="00D5287C"/>
    <w:rsid w:val="00D52B7E"/>
    <w:rsid w:val="00D52BBB"/>
    <w:rsid w:val="00D52C17"/>
    <w:rsid w:val="00D52E18"/>
    <w:rsid w:val="00D52E6A"/>
    <w:rsid w:val="00D533B0"/>
    <w:rsid w:val="00D53509"/>
    <w:rsid w:val="00D53607"/>
    <w:rsid w:val="00D53637"/>
    <w:rsid w:val="00D5376F"/>
    <w:rsid w:val="00D5392D"/>
    <w:rsid w:val="00D53953"/>
    <w:rsid w:val="00D5396D"/>
    <w:rsid w:val="00D53BC0"/>
    <w:rsid w:val="00D53CE6"/>
    <w:rsid w:val="00D53E73"/>
    <w:rsid w:val="00D53F13"/>
    <w:rsid w:val="00D53F59"/>
    <w:rsid w:val="00D54205"/>
    <w:rsid w:val="00D54587"/>
    <w:rsid w:val="00D54840"/>
    <w:rsid w:val="00D54B50"/>
    <w:rsid w:val="00D54BFB"/>
    <w:rsid w:val="00D54EE9"/>
    <w:rsid w:val="00D55094"/>
    <w:rsid w:val="00D552EE"/>
    <w:rsid w:val="00D5567E"/>
    <w:rsid w:val="00D557F0"/>
    <w:rsid w:val="00D55928"/>
    <w:rsid w:val="00D55AF0"/>
    <w:rsid w:val="00D55CB9"/>
    <w:rsid w:val="00D55F0F"/>
    <w:rsid w:val="00D5611B"/>
    <w:rsid w:val="00D56220"/>
    <w:rsid w:val="00D5648E"/>
    <w:rsid w:val="00D565D4"/>
    <w:rsid w:val="00D567A6"/>
    <w:rsid w:val="00D56AFE"/>
    <w:rsid w:val="00D56B70"/>
    <w:rsid w:val="00D56E7A"/>
    <w:rsid w:val="00D56F15"/>
    <w:rsid w:val="00D5713D"/>
    <w:rsid w:val="00D57180"/>
    <w:rsid w:val="00D573EC"/>
    <w:rsid w:val="00D5755B"/>
    <w:rsid w:val="00D5758E"/>
    <w:rsid w:val="00D575E6"/>
    <w:rsid w:val="00D577B7"/>
    <w:rsid w:val="00D578F0"/>
    <w:rsid w:val="00D57AB1"/>
    <w:rsid w:val="00D57B11"/>
    <w:rsid w:val="00D57CD7"/>
    <w:rsid w:val="00D57D93"/>
    <w:rsid w:val="00D57FAD"/>
    <w:rsid w:val="00D60076"/>
    <w:rsid w:val="00D60157"/>
    <w:rsid w:val="00D602FB"/>
    <w:rsid w:val="00D60388"/>
    <w:rsid w:val="00D603CA"/>
    <w:rsid w:val="00D604B9"/>
    <w:rsid w:val="00D60805"/>
    <w:rsid w:val="00D6097E"/>
    <w:rsid w:val="00D60A87"/>
    <w:rsid w:val="00D611AA"/>
    <w:rsid w:val="00D61217"/>
    <w:rsid w:val="00D614B7"/>
    <w:rsid w:val="00D6173B"/>
    <w:rsid w:val="00D61981"/>
    <w:rsid w:val="00D619FD"/>
    <w:rsid w:val="00D6243F"/>
    <w:rsid w:val="00D624B5"/>
    <w:rsid w:val="00D629B2"/>
    <w:rsid w:val="00D62BA3"/>
    <w:rsid w:val="00D62DB6"/>
    <w:rsid w:val="00D62E55"/>
    <w:rsid w:val="00D62F7C"/>
    <w:rsid w:val="00D62FF3"/>
    <w:rsid w:val="00D63447"/>
    <w:rsid w:val="00D6347A"/>
    <w:rsid w:val="00D6356D"/>
    <w:rsid w:val="00D635CE"/>
    <w:rsid w:val="00D636D3"/>
    <w:rsid w:val="00D63934"/>
    <w:rsid w:val="00D63AC0"/>
    <w:rsid w:val="00D63B61"/>
    <w:rsid w:val="00D63B98"/>
    <w:rsid w:val="00D63E85"/>
    <w:rsid w:val="00D64059"/>
    <w:rsid w:val="00D6428D"/>
    <w:rsid w:val="00D6437F"/>
    <w:rsid w:val="00D644C2"/>
    <w:rsid w:val="00D644F1"/>
    <w:rsid w:val="00D64561"/>
    <w:rsid w:val="00D64667"/>
    <w:rsid w:val="00D64833"/>
    <w:rsid w:val="00D64A56"/>
    <w:rsid w:val="00D64CFB"/>
    <w:rsid w:val="00D65319"/>
    <w:rsid w:val="00D65425"/>
    <w:rsid w:val="00D65434"/>
    <w:rsid w:val="00D654C4"/>
    <w:rsid w:val="00D654DD"/>
    <w:rsid w:val="00D6553D"/>
    <w:rsid w:val="00D655E5"/>
    <w:rsid w:val="00D656EB"/>
    <w:rsid w:val="00D65862"/>
    <w:rsid w:val="00D658AB"/>
    <w:rsid w:val="00D65C6C"/>
    <w:rsid w:val="00D65D96"/>
    <w:rsid w:val="00D65DA8"/>
    <w:rsid w:val="00D65F20"/>
    <w:rsid w:val="00D66181"/>
    <w:rsid w:val="00D6619D"/>
    <w:rsid w:val="00D6686E"/>
    <w:rsid w:val="00D6694E"/>
    <w:rsid w:val="00D66BA4"/>
    <w:rsid w:val="00D66CFF"/>
    <w:rsid w:val="00D676C2"/>
    <w:rsid w:val="00D679FD"/>
    <w:rsid w:val="00D67AA9"/>
    <w:rsid w:val="00D67AB5"/>
    <w:rsid w:val="00D67E04"/>
    <w:rsid w:val="00D701E8"/>
    <w:rsid w:val="00D70222"/>
    <w:rsid w:val="00D703B9"/>
    <w:rsid w:val="00D70440"/>
    <w:rsid w:val="00D707A9"/>
    <w:rsid w:val="00D7085B"/>
    <w:rsid w:val="00D708E9"/>
    <w:rsid w:val="00D70CD8"/>
    <w:rsid w:val="00D71026"/>
    <w:rsid w:val="00D71050"/>
    <w:rsid w:val="00D711CC"/>
    <w:rsid w:val="00D71345"/>
    <w:rsid w:val="00D7149A"/>
    <w:rsid w:val="00D71528"/>
    <w:rsid w:val="00D715B2"/>
    <w:rsid w:val="00D71802"/>
    <w:rsid w:val="00D71A9A"/>
    <w:rsid w:val="00D71E44"/>
    <w:rsid w:val="00D720DF"/>
    <w:rsid w:val="00D721E0"/>
    <w:rsid w:val="00D7250F"/>
    <w:rsid w:val="00D72544"/>
    <w:rsid w:val="00D7296A"/>
    <w:rsid w:val="00D72A05"/>
    <w:rsid w:val="00D72A83"/>
    <w:rsid w:val="00D72BF1"/>
    <w:rsid w:val="00D72CBF"/>
    <w:rsid w:val="00D72FDC"/>
    <w:rsid w:val="00D730B0"/>
    <w:rsid w:val="00D73385"/>
    <w:rsid w:val="00D73652"/>
    <w:rsid w:val="00D73691"/>
    <w:rsid w:val="00D73744"/>
    <w:rsid w:val="00D73C16"/>
    <w:rsid w:val="00D73EA3"/>
    <w:rsid w:val="00D741B9"/>
    <w:rsid w:val="00D7470C"/>
    <w:rsid w:val="00D749C1"/>
    <w:rsid w:val="00D74D67"/>
    <w:rsid w:val="00D74EA4"/>
    <w:rsid w:val="00D7506D"/>
    <w:rsid w:val="00D75317"/>
    <w:rsid w:val="00D7563F"/>
    <w:rsid w:val="00D758AC"/>
    <w:rsid w:val="00D758C7"/>
    <w:rsid w:val="00D75B12"/>
    <w:rsid w:val="00D75B70"/>
    <w:rsid w:val="00D75DEA"/>
    <w:rsid w:val="00D76269"/>
    <w:rsid w:val="00D765A0"/>
    <w:rsid w:val="00D76684"/>
    <w:rsid w:val="00D766AA"/>
    <w:rsid w:val="00D7681E"/>
    <w:rsid w:val="00D76850"/>
    <w:rsid w:val="00D76998"/>
    <w:rsid w:val="00D76AB5"/>
    <w:rsid w:val="00D771FD"/>
    <w:rsid w:val="00D772CB"/>
    <w:rsid w:val="00D77406"/>
    <w:rsid w:val="00D7796D"/>
    <w:rsid w:val="00D77FDB"/>
    <w:rsid w:val="00D800F7"/>
    <w:rsid w:val="00D80567"/>
    <w:rsid w:val="00D80604"/>
    <w:rsid w:val="00D80855"/>
    <w:rsid w:val="00D809EA"/>
    <w:rsid w:val="00D80B1A"/>
    <w:rsid w:val="00D80C06"/>
    <w:rsid w:val="00D80E4B"/>
    <w:rsid w:val="00D8111F"/>
    <w:rsid w:val="00D81158"/>
    <w:rsid w:val="00D812C7"/>
    <w:rsid w:val="00D812DB"/>
    <w:rsid w:val="00D8158D"/>
    <w:rsid w:val="00D816C6"/>
    <w:rsid w:val="00D81727"/>
    <w:rsid w:val="00D81B18"/>
    <w:rsid w:val="00D82253"/>
    <w:rsid w:val="00D823A1"/>
    <w:rsid w:val="00D82666"/>
    <w:rsid w:val="00D82836"/>
    <w:rsid w:val="00D82A99"/>
    <w:rsid w:val="00D82E52"/>
    <w:rsid w:val="00D83076"/>
    <w:rsid w:val="00D831DB"/>
    <w:rsid w:val="00D8327F"/>
    <w:rsid w:val="00D832F3"/>
    <w:rsid w:val="00D83541"/>
    <w:rsid w:val="00D836EA"/>
    <w:rsid w:val="00D836F8"/>
    <w:rsid w:val="00D83768"/>
    <w:rsid w:val="00D8435E"/>
    <w:rsid w:val="00D8466B"/>
    <w:rsid w:val="00D8487E"/>
    <w:rsid w:val="00D84B4D"/>
    <w:rsid w:val="00D84CA9"/>
    <w:rsid w:val="00D84CD1"/>
    <w:rsid w:val="00D84D05"/>
    <w:rsid w:val="00D84E55"/>
    <w:rsid w:val="00D8501A"/>
    <w:rsid w:val="00D8515E"/>
    <w:rsid w:val="00D85166"/>
    <w:rsid w:val="00D8522E"/>
    <w:rsid w:val="00D856AF"/>
    <w:rsid w:val="00D857E5"/>
    <w:rsid w:val="00D85853"/>
    <w:rsid w:val="00D85E2A"/>
    <w:rsid w:val="00D85F1D"/>
    <w:rsid w:val="00D86281"/>
    <w:rsid w:val="00D86421"/>
    <w:rsid w:val="00D86582"/>
    <w:rsid w:val="00D865AF"/>
    <w:rsid w:val="00D865F5"/>
    <w:rsid w:val="00D866A4"/>
    <w:rsid w:val="00D866ED"/>
    <w:rsid w:val="00D86753"/>
    <w:rsid w:val="00D86757"/>
    <w:rsid w:val="00D86A8C"/>
    <w:rsid w:val="00D86BED"/>
    <w:rsid w:val="00D86CC4"/>
    <w:rsid w:val="00D86CCB"/>
    <w:rsid w:val="00D86F9B"/>
    <w:rsid w:val="00D873DC"/>
    <w:rsid w:val="00D87453"/>
    <w:rsid w:val="00D876C8"/>
    <w:rsid w:val="00D877C3"/>
    <w:rsid w:val="00D8794E"/>
    <w:rsid w:val="00D87BAE"/>
    <w:rsid w:val="00D87C14"/>
    <w:rsid w:val="00D900DB"/>
    <w:rsid w:val="00D90151"/>
    <w:rsid w:val="00D901AD"/>
    <w:rsid w:val="00D903DE"/>
    <w:rsid w:val="00D906D9"/>
    <w:rsid w:val="00D908B8"/>
    <w:rsid w:val="00D908EB"/>
    <w:rsid w:val="00D9113A"/>
    <w:rsid w:val="00D91390"/>
    <w:rsid w:val="00D914BA"/>
    <w:rsid w:val="00D91540"/>
    <w:rsid w:val="00D91696"/>
    <w:rsid w:val="00D917F9"/>
    <w:rsid w:val="00D91B3E"/>
    <w:rsid w:val="00D91C9B"/>
    <w:rsid w:val="00D91F6E"/>
    <w:rsid w:val="00D91F70"/>
    <w:rsid w:val="00D92069"/>
    <w:rsid w:val="00D92148"/>
    <w:rsid w:val="00D9223B"/>
    <w:rsid w:val="00D922E4"/>
    <w:rsid w:val="00D923DB"/>
    <w:rsid w:val="00D927AC"/>
    <w:rsid w:val="00D92832"/>
    <w:rsid w:val="00D928F7"/>
    <w:rsid w:val="00D92A3A"/>
    <w:rsid w:val="00D92E6B"/>
    <w:rsid w:val="00D9304E"/>
    <w:rsid w:val="00D931AF"/>
    <w:rsid w:val="00D931D7"/>
    <w:rsid w:val="00D93204"/>
    <w:rsid w:val="00D9339A"/>
    <w:rsid w:val="00D934B5"/>
    <w:rsid w:val="00D9355C"/>
    <w:rsid w:val="00D939A2"/>
    <w:rsid w:val="00D93A16"/>
    <w:rsid w:val="00D93B28"/>
    <w:rsid w:val="00D93B89"/>
    <w:rsid w:val="00D93C1B"/>
    <w:rsid w:val="00D93CD5"/>
    <w:rsid w:val="00D93D55"/>
    <w:rsid w:val="00D93E03"/>
    <w:rsid w:val="00D93E19"/>
    <w:rsid w:val="00D940CE"/>
    <w:rsid w:val="00D94187"/>
    <w:rsid w:val="00D945AB"/>
    <w:rsid w:val="00D9496D"/>
    <w:rsid w:val="00D94E49"/>
    <w:rsid w:val="00D9500A"/>
    <w:rsid w:val="00D95459"/>
    <w:rsid w:val="00D95493"/>
    <w:rsid w:val="00D956D3"/>
    <w:rsid w:val="00D95777"/>
    <w:rsid w:val="00D957B8"/>
    <w:rsid w:val="00D960EC"/>
    <w:rsid w:val="00D96288"/>
    <w:rsid w:val="00D962E5"/>
    <w:rsid w:val="00D96356"/>
    <w:rsid w:val="00D96699"/>
    <w:rsid w:val="00D9671F"/>
    <w:rsid w:val="00D967AF"/>
    <w:rsid w:val="00D96976"/>
    <w:rsid w:val="00D96C32"/>
    <w:rsid w:val="00D96C63"/>
    <w:rsid w:val="00D96C9D"/>
    <w:rsid w:val="00D96CF8"/>
    <w:rsid w:val="00D96DBC"/>
    <w:rsid w:val="00D96DCC"/>
    <w:rsid w:val="00D96DD1"/>
    <w:rsid w:val="00D96E5F"/>
    <w:rsid w:val="00D96ED8"/>
    <w:rsid w:val="00D97252"/>
    <w:rsid w:val="00D975AB"/>
    <w:rsid w:val="00D97BEF"/>
    <w:rsid w:val="00D97CAF"/>
    <w:rsid w:val="00D97F9A"/>
    <w:rsid w:val="00DA004C"/>
    <w:rsid w:val="00DA0456"/>
    <w:rsid w:val="00DA05D8"/>
    <w:rsid w:val="00DA0629"/>
    <w:rsid w:val="00DA0768"/>
    <w:rsid w:val="00DA076C"/>
    <w:rsid w:val="00DA0E3B"/>
    <w:rsid w:val="00DA0E91"/>
    <w:rsid w:val="00DA0FBC"/>
    <w:rsid w:val="00DA1398"/>
    <w:rsid w:val="00DA161A"/>
    <w:rsid w:val="00DA18A4"/>
    <w:rsid w:val="00DA1A2A"/>
    <w:rsid w:val="00DA1B62"/>
    <w:rsid w:val="00DA1CD0"/>
    <w:rsid w:val="00DA20A3"/>
    <w:rsid w:val="00DA2220"/>
    <w:rsid w:val="00DA2792"/>
    <w:rsid w:val="00DA2886"/>
    <w:rsid w:val="00DA2972"/>
    <w:rsid w:val="00DA2C18"/>
    <w:rsid w:val="00DA2F4F"/>
    <w:rsid w:val="00DA2F55"/>
    <w:rsid w:val="00DA2FC2"/>
    <w:rsid w:val="00DA32A5"/>
    <w:rsid w:val="00DA3494"/>
    <w:rsid w:val="00DA3633"/>
    <w:rsid w:val="00DA3A39"/>
    <w:rsid w:val="00DA3E2F"/>
    <w:rsid w:val="00DA3EB7"/>
    <w:rsid w:val="00DA3EEE"/>
    <w:rsid w:val="00DA4039"/>
    <w:rsid w:val="00DA40E5"/>
    <w:rsid w:val="00DA4258"/>
    <w:rsid w:val="00DA4375"/>
    <w:rsid w:val="00DA43A0"/>
    <w:rsid w:val="00DA4626"/>
    <w:rsid w:val="00DA46CD"/>
    <w:rsid w:val="00DA475F"/>
    <w:rsid w:val="00DA4850"/>
    <w:rsid w:val="00DA4968"/>
    <w:rsid w:val="00DA4B07"/>
    <w:rsid w:val="00DA4C70"/>
    <w:rsid w:val="00DA4F64"/>
    <w:rsid w:val="00DA4F7F"/>
    <w:rsid w:val="00DA5142"/>
    <w:rsid w:val="00DA52E8"/>
    <w:rsid w:val="00DA5311"/>
    <w:rsid w:val="00DA5538"/>
    <w:rsid w:val="00DA56D1"/>
    <w:rsid w:val="00DA5A94"/>
    <w:rsid w:val="00DA5BD7"/>
    <w:rsid w:val="00DA5DBC"/>
    <w:rsid w:val="00DA6514"/>
    <w:rsid w:val="00DA6632"/>
    <w:rsid w:val="00DA66E2"/>
    <w:rsid w:val="00DA6824"/>
    <w:rsid w:val="00DA68D7"/>
    <w:rsid w:val="00DA6A04"/>
    <w:rsid w:val="00DA6C16"/>
    <w:rsid w:val="00DA7191"/>
    <w:rsid w:val="00DA72E7"/>
    <w:rsid w:val="00DA752A"/>
    <w:rsid w:val="00DA7597"/>
    <w:rsid w:val="00DA7634"/>
    <w:rsid w:val="00DA767A"/>
    <w:rsid w:val="00DA7727"/>
    <w:rsid w:val="00DA77B2"/>
    <w:rsid w:val="00DA7863"/>
    <w:rsid w:val="00DA7953"/>
    <w:rsid w:val="00DA7A46"/>
    <w:rsid w:val="00DA7A60"/>
    <w:rsid w:val="00DA7C81"/>
    <w:rsid w:val="00DA7EFD"/>
    <w:rsid w:val="00DA7F1B"/>
    <w:rsid w:val="00DA7F60"/>
    <w:rsid w:val="00DB006B"/>
    <w:rsid w:val="00DB012F"/>
    <w:rsid w:val="00DB031B"/>
    <w:rsid w:val="00DB0324"/>
    <w:rsid w:val="00DB05B7"/>
    <w:rsid w:val="00DB05BD"/>
    <w:rsid w:val="00DB061A"/>
    <w:rsid w:val="00DB0867"/>
    <w:rsid w:val="00DB1044"/>
    <w:rsid w:val="00DB1144"/>
    <w:rsid w:val="00DB11EC"/>
    <w:rsid w:val="00DB1385"/>
    <w:rsid w:val="00DB1473"/>
    <w:rsid w:val="00DB14EB"/>
    <w:rsid w:val="00DB190B"/>
    <w:rsid w:val="00DB1B4A"/>
    <w:rsid w:val="00DB1B5D"/>
    <w:rsid w:val="00DB1C04"/>
    <w:rsid w:val="00DB1C73"/>
    <w:rsid w:val="00DB1CA0"/>
    <w:rsid w:val="00DB1DC4"/>
    <w:rsid w:val="00DB1E32"/>
    <w:rsid w:val="00DB1F26"/>
    <w:rsid w:val="00DB1F6E"/>
    <w:rsid w:val="00DB1FCF"/>
    <w:rsid w:val="00DB227A"/>
    <w:rsid w:val="00DB2355"/>
    <w:rsid w:val="00DB2588"/>
    <w:rsid w:val="00DB2775"/>
    <w:rsid w:val="00DB27E1"/>
    <w:rsid w:val="00DB28AC"/>
    <w:rsid w:val="00DB2914"/>
    <w:rsid w:val="00DB2CF9"/>
    <w:rsid w:val="00DB2E1A"/>
    <w:rsid w:val="00DB2E7C"/>
    <w:rsid w:val="00DB316D"/>
    <w:rsid w:val="00DB3336"/>
    <w:rsid w:val="00DB3488"/>
    <w:rsid w:val="00DB348C"/>
    <w:rsid w:val="00DB35FF"/>
    <w:rsid w:val="00DB3614"/>
    <w:rsid w:val="00DB3651"/>
    <w:rsid w:val="00DB36C8"/>
    <w:rsid w:val="00DB3751"/>
    <w:rsid w:val="00DB38DC"/>
    <w:rsid w:val="00DB396C"/>
    <w:rsid w:val="00DB3BB4"/>
    <w:rsid w:val="00DB3C71"/>
    <w:rsid w:val="00DB3EA6"/>
    <w:rsid w:val="00DB40E4"/>
    <w:rsid w:val="00DB43B7"/>
    <w:rsid w:val="00DB4403"/>
    <w:rsid w:val="00DB45AB"/>
    <w:rsid w:val="00DB4717"/>
    <w:rsid w:val="00DB485B"/>
    <w:rsid w:val="00DB4DD2"/>
    <w:rsid w:val="00DB50AC"/>
    <w:rsid w:val="00DB5415"/>
    <w:rsid w:val="00DB541B"/>
    <w:rsid w:val="00DB5451"/>
    <w:rsid w:val="00DB5620"/>
    <w:rsid w:val="00DB5713"/>
    <w:rsid w:val="00DB5777"/>
    <w:rsid w:val="00DB5889"/>
    <w:rsid w:val="00DB5B8E"/>
    <w:rsid w:val="00DB5F6C"/>
    <w:rsid w:val="00DB639B"/>
    <w:rsid w:val="00DB6699"/>
    <w:rsid w:val="00DB675A"/>
    <w:rsid w:val="00DB6906"/>
    <w:rsid w:val="00DB6A34"/>
    <w:rsid w:val="00DB6AF0"/>
    <w:rsid w:val="00DB6ECF"/>
    <w:rsid w:val="00DB6F15"/>
    <w:rsid w:val="00DB74B3"/>
    <w:rsid w:val="00DB7597"/>
    <w:rsid w:val="00DB762B"/>
    <w:rsid w:val="00DB7A2E"/>
    <w:rsid w:val="00DB7A7C"/>
    <w:rsid w:val="00DB7CF1"/>
    <w:rsid w:val="00DB7ED7"/>
    <w:rsid w:val="00DB7FDD"/>
    <w:rsid w:val="00DC0015"/>
    <w:rsid w:val="00DC0226"/>
    <w:rsid w:val="00DC023A"/>
    <w:rsid w:val="00DC07A1"/>
    <w:rsid w:val="00DC0A56"/>
    <w:rsid w:val="00DC0BFE"/>
    <w:rsid w:val="00DC0DB1"/>
    <w:rsid w:val="00DC0F02"/>
    <w:rsid w:val="00DC0F63"/>
    <w:rsid w:val="00DC0F8D"/>
    <w:rsid w:val="00DC1325"/>
    <w:rsid w:val="00DC19A7"/>
    <w:rsid w:val="00DC1D7F"/>
    <w:rsid w:val="00DC1EAA"/>
    <w:rsid w:val="00DC1F10"/>
    <w:rsid w:val="00DC1FBF"/>
    <w:rsid w:val="00DC20EE"/>
    <w:rsid w:val="00DC2132"/>
    <w:rsid w:val="00DC2284"/>
    <w:rsid w:val="00DC2483"/>
    <w:rsid w:val="00DC24F1"/>
    <w:rsid w:val="00DC2724"/>
    <w:rsid w:val="00DC2956"/>
    <w:rsid w:val="00DC2B6D"/>
    <w:rsid w:val="00DC2D04"/>
    <w:rsid w:val="00DC2DED"/>
    <w:rsid w:val="00DC2E98"/>
    <w:rsid w:val="00DC2EB4"/>
    <w:rsid w:val="00DC3474"/>
    <w:rsid w:val="00DC34DA"/>
    <w:rsid w:val="00DC34F2"/>
    <w:rsid w:val="00DC363D"/>
    <w:rsid w:val="00DC3718"/>
    <w:rsid w:val="00DC38AC"/>
    <w:rsid w:val="00DC38DA"/>
    <w:rsid w:val="00DC3914"/>
    <w:rsid w:val="00DC3959"/>
    <w:rsid w:val="00DC3B8B"/>
    <w:rsid w:val="00DC3CA4"/>
    <w:rsid w:val="00DC3E76"/>
    <w:rsid w:val="00DC40D2"/>
    <w:rsid w:val="00DC410B"/>
    <w:rsid w:val="00DC420E"/>
    <w:rsid w:val="00DC4304"/>
    <w:rsid w:val="00DC456C"/>
    <w:rsid w:val="00DC463E"/>
    <w:rsid w:val="00DC491D"/>
    <w:rsid w:val="00DC49CF"/>
    <w:rsid w:val="00DC49F5"/>
    <w:rsid w:val="00DC4FAF"/>
    <w:rsid w:val="00DC5201"/>
    <w:rsid w:val="00DC53B8"/>
    <w:rsid w:val="00DC550F"/>
    <w:rsid w:val="00DC556C"/>
    <w:rsid w:val="00DC5AD1"/>
    <w:rsid w:val="00DC5B95"/>
    <w:rsid w:val="00DC5B96"/>
    <w:rsid w:val="00DC5C0D"/>
    <w:rsid w:val="00DC6158"/>
    <w:rsid w:val="00DC672A"/>
    <w:rsid w:val="00DC6854"/>
    <w:rsid w:val="00DC6BBA"/>
    <w:rsid w:val="00DC7032"/>
    <w:rsid w:val="00DC72A4"/>
    <w:rsid w:val="00DC72D1"/>
    <w:rsid w:val="00DC7319"/>
    <w:rsid w:val="00DC73B5"/>
    <w:rsid w:val="00DC746E"/>
    <w:rsid w:val="00DC7698"/>
    <w:rsid w:val="00DC76EE"/>
    <w:rsid w:val="00DC7D95"/>
    <w:rsid w:val="00DC7D97"/>
    <w:rsid w:val="00DD01CA"/>
    <w:rsid w:val="00DD02F4"/>
    <w:rsid w:val="00DD03CB"/>
    <w:rsid w:val="00DD043A"/>
    <w:rsid w:val="00DD04FA"/>
    <w:rsid w:val="00DD069E"/>
    <w:rsid w:val="00DD0C96"/>
    <w:rsid w:val="00DD1176"/>
    <w:rsid w:val="00DD1306"/>
    <w:rsid w:val="00DD133C"/>
    <w:rsid w:val="00DD1775"/>
    <w:rsid w:val="00DD1919"/>
    <w:rsid w:val="00DD1A7E"/>
    <w:rsid w:val="00DD1B4E"/>
    <w:rsid w:val="00DD1BE2"/>
    <w:rsid w:val="00DD1D23"/>
    <w:rsid w:val="00DD1E5B"/>
    <w:rsid w:val="00DD2331"/>
    <w:rsid w:val="00DD245C"/>
    <w:rsid w:val="00DD2484"/>
    <w:rsid w:val="00DD2638"/>
    <w:rsid w:val="00DD295D"/>
    <w:rsid w:val="00DD2D9C"/>
    <w:rsid w:val="00DD2E0D"/>
    <w:rsid w:val="00DD304A"/>
    <w:rsid w:val="00DD3219"/>
    <w:rsid w:val="00DD3684"/>
    <w:rsid w:val="00DD36DD"/>
    <w:rsid w:val="00DD37D1"/>
    <w:rsid w:val="00DD399A"/>
    <w:rsid w:val="00DD3A13"/>
    <w:rsid w:val="00DD3A9A"/>
    <w:rsid w:val="00DD3B1A"/>
    <w:rsid w:val="00DD3B6E"/>
    <w:rsid w:val="00DD3BDC"/>
    <w:rsid w:val="00DD3CA5"/>
    <w:rsid w:val="00DD4301"/>
    <w:rsid w:val="00DD47F0"/>
    <w:rsid w:val="00DD4D92"/>
    <w:rsid w:val="00DD4DF6"/>
    <w:rsid w:val="00DD552F"/>
    <w:rsid w:val="00DD55D0"/>
    <w:rsid w:val="00DD5880"/>
    <w:rsid w:val="00DD5881"/>
    <w:rsid w:val="00DD5A48"/>
    <w:rsid w:val="00DD5A72"/>
    <w:rsid w:val="00DD5BF3"/>
    <w:rsid w:val="00DD5C4F"/>
    <w:rsid w:val="00DD6621"/>
    <w:rsid w:val="00DD66C6"/>
    <w:rsid w:val="00DD6705"/>
    <w:rsid w:val="00DD68A6"/>
    <w:rsid w:val="00DD6986"/>
    <w:rsid w:val="00DD69E9"/>
    <w:rsid w:val="00DD6B1E"/>
    <w:rsid w:val="00DD6D0B"/>
    <w:rsid w:val="00DD6D1F"/>
    <w:rsid w:val="00DD6D21"/>
    <w:rsid w:val="00DD6D45"/>
    <w:rsid w:val="00DD6E06"/>
    <w:rsid w:val="00DD6E9C"/>
    <w:rsid w:val="00DD742C"/>
    <w:rsid w:val="00DD75C0"/>
    <w:rsid w:val="00DD75EF"/>
    <w:rsid w:val="00DD7772"/>
    <w:rsid w:val="00DD77E9"/>
    <w:rsid w:val="00DD7B3F"/>
    <w:rsid w:val="00DD7CB3"/>
    <w:rsid w:val="00DD7E9E"/>
    <w:rsid w:val="00DD7F67"/>
    <w:rsid w:val="00DE0023"/>
    <w:rsid w:val="00DE00D6"/>
    <w:rsid w:val="00DE03A0"/>
    <w:rsid w:val="00DE077F"/>
    <w:rsid w:val="00DE0808"/>
    <w:rsid w:val="00DE0897"/>
    <w:rsid w:val="00DE0B17"/>
    <w:rsid w:val="00DE1255"/>
    <w:rsid w:val="00DE1376"/>
    <w:rsid w:val="00DE1697"/>
    <w:rsid w:val="00DE16E3"/>
    <w:rsid w:val="00DE1C0E"/>
    <w:rsid w:val="00DE1CF4"/>
    <w:rsid w:val="00DE1E36"/>
    <w:rsid w:val="00DE1E7B"/>
    <w:rsid w:val="00DE1FAF"/>
    <w:rsid w:val="00DE2193"/>
    <w:rsid w:val="00DE228D"/>
    <w:rsid w:val="00DE2293"/>
    <w:rsid w:val="00DE2417"/>
    <w:rsid w:val="00DE246B"/>
    <w:rsid w:val="00DE2527"/>
    <w:rsid w:val="00DE2953"/>
    <w:rsid w:val="00DE2D56"/>
    <w:rsid w:val="00DE2DB1"/>
    <w:rsid w:val="00DE2E9D"/>
    <w:rsid w:val="00DE2F4A"/>
    <w:rsid w:val="00DE3073"/>
    <w:rsid w:val="00DE30A4"/>
    <w:rsid w:val="00DE3440"/>
    <w:rsid w:val="00DE36A9"/>
    <w:rsid w:val="00DE374E"/>
    <w:rsid w:val="00DE37BE"/>
    <w:rsid w:val="00DE3A83"/>
    <w:rsid w:val="00DE3C60"/>
    <w:rsid w:val="00DE3EA6"/>
    <w:rsid w:val="00DE3EC4"/>
    <w:rsid w:val="00DE3FC0"/>
    <w:rsid w:val="00DE4103"/>
    <w:rsid w:val="00DE4210"/>
    <w:rsid w:val="00DE42F6"/>
    <w:rsid w:val="00DE4568"/>
    <w:rsid w:val="00DE4578"/>
    <w:rsid w:val="00DE4812"/>
    <w:rsid w:val="00DE4C5E"/>
    <w:rsid w:val="00DE4CD1"/>
    <w:rsid w:val="00DE4D74"/>
    <w:rsid w:val="00DE4DA8"/>
    <w:rsid w:val="00DE5104"/>
    <w:rsid w:val="00DE51B4"/>
    <w:rsid w:val="00DE5403"/>
    <w:rsid w:val="00DE55CB"/>
    <w:rsid w:val="00DE57C5"/>
    <w:rsid w:val="00DE58E6"/>
    <w:rsid w:val="00DE58EF"/>
    <w:rsid w:val="00DE591A"/>
    <w:rsid w:val="00DE591E"/>
    <w:rsid w:val="00DE5D79"/>
    <w:rsid w:val="00DE5E6A"/>
    <w:rsid w:val="00DE6367"/>
    <w:rsid w:val="00DE65AD"/>
    <w:rsid w:val="00DE6CC8"/>
    <w:rsid w:val="00DE70FC"/>
    <w:rsid w:val="00DE718D"/>
    <w:rsid w:val="00DE729F"/>
    <w:rsid w:val="00DE79CA"/>
    <w:rsid w:val="00DE7B41"/>
    <w:rsid w:val="00DF005A"/>
    <w:rsid w:val="00DF010F"/>
    <w:rsid w:val="00DF0155"/>
    <w:rsid w:val="00DF0412"/>
    <w:rsid w:val="00DF04EE"/>
    <w:rsid w:val="00DF08AE"/>
    <w:rsid w:val="00DF0A34"/>
    <w:rsid w:val="00DF0D8B"/>
    <w:rsid w:val="00DF0ED9"/>
    <w:rsid w:val="00DF113F"/>
    <w:rsid w:val="00DF1423"/>
    <w:rsid w:val="00DF144C"/>
    <w:rsid w:val="00DF16CE"/>
    <w:rsid w:val="00DF1879"/>
    <w:rsid w:val="00DF198F"/>
    <w:rsid w:val="00DF1D95"/>
    <w:rsid w:val="00DF1E48"/>
    <w:rsid w:val="00DF1E89"/>
    <w:rsid w:val="00DF1F1E"/>
    <w:rsid w:val="00DF22C4"/>
    <w:rsid w:val="00DF2549"/>
    <w:rsid w:val="00DF26FF"/>
    <w:rsid w:val="00DF2741"/>
    <w:rsid w:val="00DF2BD1"/>
    <w:rsid w:val="00DF2C63"/>
    <w:rsid w:val="00DF3038"/>
    <w:rsid w:val="00DF3223"/>
    <w:rsid w:val="00DF32E7"/>
    <w:rsid w:val="00DF33DD"/>
    <w:rsid w:val="00DF3467"/>
    <w:rsid w:val="00DF34EF"/>
    <w:rsid w:val="00DF3743"/>
    <w:rsid w:val="00DF3757"/>
    <w:rsid w:val="00DF3887"/>
    <w:rsid w:val="00DF3E35"/>
    <w:rsid w:val="00DF3E7F"/>
    <w:rsid w:val="00DF40FE"/>
    <w:rsid w:val="00DF42E0"/>
    <w:rsid w:val="00DF441A"/>
    <w:rsid w:val="00DF4742"/>
    <w:rsid w:val="00DF4943"/>
    <w:rsid w:val="00DF4F6D"/>
    <w:rsid w:val="00DF5174"/>
    <w:rsid w:val="00DF53A0"/>
    <w:rsid w:val="00DF59EB"/>
    <w:rsid w:val="00DF5B56"/>
    <w:rsid w:val="00DF5F60"/>
    <w:rsid w:val="00DF6076"/>
    <w:rsid w:val="00DF61EF"/>
    <w:rsid w:val="00DF620E"/>
    <w:rsid w:val="00DF6326"/>
    <w:rsid w:val="00DF66E4"/>
    <w:rsid w:val="00DF672D"/>
    <w:rsid w:val="00DF6842"/>
    <w:rsid w:val="00DF687A"/>
    <w:rsid w:val="00DF6C13"/>
    <w:rsid w:val="00DF7124"/>
    <w:rsid w:val="00DF718E"/>
    <w:rsid w:val="00DF7249"/>
    <w:rsid w:val="00DF772E"/>
    <w:rsid w:val="00DF784C"/>
    <w:rsid w:val="00DF7941"/>
    <w:rsid w:val="00DF7D84"/>
    <w:rsid w:val="00DF7FC3"/>
    <w:rsid w:val="00E00460"/>
    <w:rsid w:val="00E004BA"/>
    <w:rsid w:val="00E006E9"/>
    <w:rsid w:val="00E00844"/>
    <w:rsid w:val="00E00ADC"/>
    <w:rsid w:val="00E00B52"/>
    <w:rsid w:val="00E00C71"/>
    <w:rsid w:val="00E00CA4"/>
    <w:rsid w:val="00E00EAA"/>
    <w:rsid w:val="00E00F6A"/>
    <w:rsid w:val="00E00FA1"/>
    <w:rsid w:val="00E01034"/>
    <w:rsid w:val="00E0103C"/>
    <w:rsid w:val="00E011F5"/>
    <w:rsid w:val="00E014F1"/>
    <w:rsid w:val="00E017A2"/>
    <w:rsid w:val="00E01934"/>
    <w:rsid w:val="00E01B15"/>
    <w:rsid w:val="00E01ECD"/>
    <w:rsid w:val="00E01FE6"/>
    <w:rsid w:val="00E0220F"/>
    <w:rsid w:val="00E022B6"/>
    <w:rsid w:val="00E02399"/>
    <w:rsid w:val="00E0240A"/>
    <w:rsid w:val="00E0274F"/>
    <w:rsid w:val="00E02794"/>
    <w:rsid w:val="00E02814"/>
    <w:rsid w:val="00E02927"/>
    <w:rsid w:val="00E029C0"/>
    <w:rsid w:val="00E02D97"/>
    <w:rsid w:val="00E02EB0"/>
    <w:rsid w:val="00E02FD4"/>
    <w:rsid w:val="00E0338D"/>
    <w:rsid w:val="00E0339C"/>
    <w:rsid w:val="00E038DC"/>
    <w:rsid w:val="00E03DD0"/>
    <w:rsid w:val="00E03ED5"/>
    <w:rsid w:val="00E03F68"/>
    <w:rsid w:val="00E04119"/>
    <w:rsid w:val="00E0443B"/>
    <w:rsid w:val="00E04491"/>
    <w:rsid w:val="00E044AB"/>
    <w:rsid w:val="00E047E5"/>
    <w:rsid w:val="00E048EB"/>
    <w:rsid w:val="00E04AC6"/>
    <w:rsid w:val="00E04AE7"/>
    <w:rsid w:val="00E04C96"/>
    <w:rsid w:val="00E04C97"/>
    <w:rsid w:val="00E050B8"/>
    <w:rsid w:val="00E05241"/>
    <w:rsid w:val="00E05508"/>
    <w:rsid w:val="00E05A10"/>
    <w:rsid w:val="00E05C35"/>
    <w:rsid w:val="00E05E75"/>
    <w:rsid w:val="00E06142"/>
    <w:rsid w:val="00E06197"/>
    <w:rsid w:val="00E0623D"/>
    <w:rsid w:val="00E06243"/>
    <w:rsid w:val="00E062B6"/>
    <w:rsid w:val="00E0632A"/>
    <w:rsid w:val="00E065DF"/>
    <w:rsid w:val="00E067CF"/>
    <w:rsid w:val="00E06853"/>
    <w:rsid w:val="00E068B7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8B9"/>
    <w:rsid w:val="00E07ABA"/>
    <w:rsid w:val="00E07C64"/>
    <w:rsid w:val="00E07E45"/>
    <w:rsid w:val="00E07E67"/>
    <w:rsid w:val="00E07EC1"/>
    <w:rsid w:val="00E1011C"/>
    <w:rsid w:val="00E10421"/>
    <w:rsid w:val="00E109C1"/>
    <w:rsid w:val="00E10DE4"/>
    <w:rsid w:val="00E10ED0"/>
    <w:rsid w:val="00E10F9C"/>
    <w:rsid w:val="00E10FD9"/>
    <w:rsid w:val="00E1114D"/>
    <w:rsid w:val="00E11277"/>
    <w:rsid w:val="00E11282"/>
    <w:rsid w:val="00E1144B"/>
    <w:rsid w:val="00E11807"/>
    <w:rsid w:val="00E11863"/>
    <w:rsid w:val="00E11BA4"/>
    <w:rsid w:val="00E11D0F"/>
    <w:rsid w:val="00E11D60"/>
    <w:rsid w:val="00E11DF4"/>
    <w:rsid w:val="00E11F1E"/>
    <w:rsid w:val="00E12185"/>
    <w:rsid w:val="00E12229"/>
    <w:rsid w:val="00E12378"/>
    <w:rsid w:val="00E124AF"/>
    <w:rsid w:val="00E12768"/>
    <w:rsid w:val="00E128C5"/>
    <w:rsid w:val="00E128FF"/>
    <w:rsid w:val="00E12974"/>
    <w:rsid w:val="00E12AE2"/>
    <w:rsid w:val="00E12BDF"/>
    <w:rsid w:val="00E12BFF"/>
    <w:rsid w:val="00E12F0C"/>
    <w:rsid w:val="00E1300E"/>
    <w:rsid w:val="00E130AD"/>
    <w:rsid w:val="00E13601"/>
    <w:rsid w:val="00E136BF"/>
    <w:rsid w:val="00E139FD"/>
    <w:rsid w:val="00E13A66"/>
    <w:rsid w:val="00E13BFC"/>
    <w:rsid w:val="00E13C52"/>
    <w:rsid w:val="00E13F63"/>
    <w:rsid w:val="00E13FCA"/>
    <w:rsid w:val="00E148A7"/>
    <w:rsid w:val="00E14E5F"/>
    <w:rsid w:val="00E15026"/>
    <w:rsid w:val="00E1507C"/>
    <w:rsid w:val="00E1568D"/>
    <w:rsid w:val="00E157D3"/>
    <w:rsid w:val="00E15A4F"/>
    <w:rsid w:val="00E15D2A"/>
    <w:rsid w:val="00E15D54"/>
    <w:rsid w:val="00E15DA5"/>
    <w:rsid w:val="00E15E7A"/>
    <w:rsid w:val="00E15FCB"/>
    <w:rsid w:val="00E16120"/>
    <w:rsid w:val="00E162A4"/>
    <w:rsid w:val="00E162D7"/>
    <w:rsid w:val="00E163E8"/>
    <w:rsid w:val="00E16569"/>
    <w:rsid w:val="00E16717"/>
    <w:rsid w:val="00E16869"/>
    <w:rsid w:val="00E16888"/>
    <w:rsid w:val="00E1688C"/>
    <w:rsid w:val="00E16C1E"/>
    <w:rsid w:val="00E1725C"/>
    <w:rsid w:val="00E172C5"/>
    <w:rsid w:val="00E17493"/>
    <w:rsid w:val="00E17554"/>
    <w:rsid w:val="00E17843"/>
    <w:rsid w:val="00E17B7C"/>
    <w:rsid w:val="00E17CFF"/>
    <w:rsid w:val="00E17E8E"/>
    <w:rsid w:val="00E2006F"/>
    <w:rsid w:val="00E200F1"/>
    <w:rsid w:val="00E206A6"/>
    <w:rsid w:val="00E20955"/>
    <w:rsid w:val="00E20995"/>
    <w:rsid w:val="00E20A27"/>
    <w:rsid w:val="00E20AD3"/>
    <w:rsid w:val="00E20D24"/>
    <w:rsid w:val="00E20DCA"/>
    <w:rsid w:val="00E20E33"/>
    <w:rsid w:val="00E20EE0"/>
    <w:rsid w:val="00E20FC3"/>
    <w:rsid w:val="00E211A5"/>
    <w:rsid w:val="00E21650"/>
    <w:rsid w:val="00E21877"/>
    <w:rsid w:val="00E219B4"/>
    <w:rsid w:val="00E219CC"/>
    <w:rsid w:val="00E21AD0"/>
    <w:rsid w:val="00E21B0B"/>
    <w:rsid w:val="00E21F91"/>
    <w:rsid w:val="00E220C6"/>
    <w:rsid w:val="00E22658"/>
    <w:rsid w:val="00E22665"/>
    <w:rsid w:val="00E227AE"/>
    <w:rsid w:val="00E22E01"/>
    <w:rsid w:val="00E22E0D"/>
    <w:rsid w:val="00E22ED5"/>
    <w:rsid w:val="00E22F85"/>
    <w:rsid w:val="00E23185"/>
    <w:rsid w:val="00E233E7"/>
    <w:rsid w:val="00E2349D"/>
    <w:rsid w:val="00E23526"/>
    <w:rsid w:val="00E23624"/>
    <w:rsid w:val="00E23675"/>
    <w:rsid w:val="00E23845"/>
    <w:rsid w:val="00E23A0C"/>
    <w:rsid w:val="00E23D56"/>
    <w:rsid w:val="00E23E77"/>
    <w:rsid w:val="00E23F4E"/>
    <w:rsid w:val="00E24055"/>
    <w:rsid w:val="00E2420F"/>
    <w:rsid w:val="00E24469"/>
    <w:rsid w:val="00E24662"/>
    <w:rsid w:val="00E24799"/>
    <w:rsid w:val="00E2482D"/>
    <w:rsid w:val="00E2486C"/>
    <w:rsid w:val="00E24906"/>
    <w:rsid w:val="00E24AF1"/>
    <w:rsid w:val="00E24B28"/>
    <w:rsid w:val="00E24C10"/>
    <w:rsid w:val="00E24C6A"/>
    <w:rsid w:val="00E24F35"/>
    <w:rsid w:val="00E24FB5"/>
    <w:rsid w:val="00E251AE"/>
    <w:rsid w:val="00E25365"/>
    <w:rsid w:val="00E25580"/>
    <w:rsid w:val="00E25616"/>
    <w:rsid w:val="00E25801"/>
    <w:rsid w:val="00E2584D"/>
    <w:rsid w:val="00E25910"/>
    <w:rsid w:val="00E25E05"/>
    <w:rsid w:val="00E25F40"/>
    <w:rsid w:val="00E26565"/>
    <w:rsid w:val="00E26810"/>
    <w:rsid w:val="00E2682C"/>
    <w:rsid w:val="00E269D9"/>
    <w:rsid w:val="00E26F6A"/>
    <w:rsid w:val="00E26FDA"/>
    <w:rsid w:val="00E275CB"/>
    <w:rsid w:val="00E276A9"/>
    <w:rsid w:val="00E2797E"/>
    <w:rsid w:val="00E27B98"/>
    <w:rsid w:val="00E27BB1"/>
    <w:rsid w:val="00E30029"/>
    <w:rsid w:val="00E30037"/>
    <w:rsid w:val="00E30499"/>
    <w:rsid w:val="00E30875"/>
    <w:rsid w:val="00E30926"/>
    <w:rsid w:val="00E30B51"/>
    <w:rsid w:val="00E30B8E"/>
    <w:rsid w:val="00E30C03"/>
    <w:rsid w:val="00E30C8B"/>
    <w:rsid w:val="00E30DB1"/>
    <w:rsid w:val="00E3102A"/>
    <w:rsid w:val="00E31116"/>
    <w:rsid w:val="00E31290"/>
    <w:rsid w:val="00E31714"/>
    <w:rsid w:val="00E31767"/>
    <w:rsid w:val="00E319F6"/>
    <w:rsid w:val="00E31BF4"/>
    <w:rsid w:val="00E32122"/>
    <w:rsid w:val="00E32339"/>
    <w:rsid w:val="00E324BB"/>
    <w:rsid w:val="00E324FC"/>
    <w:rsid w:val="00E3251E"/>
    <w:rsid w:val="00E32A7A"/>
    <w:rsid w:val="00E32B10"/>
    <w:rsid w:val="00E32BBD"/>
    <w:rsid w:val="00E32ECD"/>
    <w:rsid w:val="00E332AD"/>
    <w:rsid w:val="00E338C4"/>
    <w:rsid w:val="00E339F0"/>
    <w:rsid w:val="00E34086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4E23"/>
    <w:rsid w:val="00E34FC0"/>
    <w:rsid w:val="00E35427"/>
    <w:rsid w:val="00E356B9"/>
    <w:rsid w:val="00E35718"/>
    <w:rsid w:val="00E357B8"/>
    <w:rsid w:val="00E35981"/>
    <w:rsid w:val="00E35B0B"/>
    <w:rsid w:val="00E35C0F"/>
    <w:rsid w:val="00E35E41"/>
    <w:rsid w:val="00E35E8B"/>
    <w:rsid w:val="00E3601C"/>
    <w:rsid w:val="00E36202"/>
    <w:rsid w:val="00E3639D"/>
    <w:rsid w:val="00E363B6"/>
    <w:rsid w:val="00E364EC"/>
    <w:rsid w:val="00E36824"/>
    <w:rsid w:val="00E36A65"/>
    <w:rsid w:val="00E36CE6"/>
    <w:rsid w:val="00E36F5C"/>
    <w:rsid w:val="00E37017"/>
    <w:rsid w:val="00E373AC"/>
    <w:rsid w:val="00E37424"/>
    <w:rsid w:val="00E375C1"/>
    <w:rsid w:val="00E377E8"/>
    <w:rsid w:val="00E37821"/>
    <w:rsid w:val="00E37943"/>
    <w:rsid w:val="00E37B7F"/>
    <w:rsid w:val="00E37C98"/>
    <w:rsid w:val="00E37E42"/>
    <w:rsid w:val="00E37E88"/>
    <w:rsid w:val="00E40189"/>
    <w:rsid w:val="00E40283"/>
    <w:rsid w:val="00E40444"/>
    <w:rsid w:val="00E405B3"/>
    <w:rsid w:val="00E408AD"/>
    <w:rsid w:val="00E40921"/>
    <w:rsid w:val="00E40986"/>
    <w:rsid w:val="00E40D6B"/>
    <w:rsid w:val="00E40F22"/>
    <w:rsid w:val="00E41252"/>
    <w:rsid w:val="00E415B1"/>
    <w:rsid w:val="00E416FC"/>
    <w:rsid w:val="00E41711"/>
    <w:rsid w:val="00E41B44"/>
    <w:rsid w:val="00E41B49"/>
    <w:rsid w:val="00E41C77"/>
    <w:rsid w:val="00E41CA3"/>
    <w:rsid w:val="00E41E0A"/>
    <w:rsid w:val="00E41E96"/>
    <w:rsid w:val="00E41FB9"/>
    <w:rsid w:val="00E4220A"/>
    <w:rsid w:val="00E4239E"/>
    <w:rsid w:val="00E427F0"/>
    <w:rsid w:val="00E42BE9"/>
    <w:rsid w:val="00E42C72"/>
    <w:rsid w:val="00E42EDF"/>
    <w:rsid w:val="00E43055"/>
    <w:rsid w:val="00E4323E"/>
    <w:rsid w:val="00E43289"/>
    <w:rsid w:val="00E43464"/>
    <w:rsid w:val="00E43542"/>
    <w:rsid w:val="00E4394A"/>
    <w:rsid w:val="00E43A9B"/>
    <w:rsid w:val="00E43AED"/>
    <w:rsid w:val="00E43C11"/>
    <w:rsid w:val="00E43D44"/>
    <w:rsid w:val="00E43E4C"/>
    <w:rsid w:val="00E43ECB"/>
    <w:rsid w:val="00E43F8B"/>
    <w:rsid w:val="00E44115"/>
    <w:rsid w:val="00E44269"/>
    <w:rsid w:val="00E44270"/>
    <w:rsid w:val="00E44414"/>
    <w:rsid w:val="00E44472"/>
    <w:rsid w:val="00E44659"/>
    <w:rsid w:val="00E44AD2"/>
    <w:rsid w:val="00E44B87"/>
    <w:rsid w:val="00E451BE"/>
    <w:rsid w:val="00E4564D"/>
    <w:rsid w:val="00E456B4"/>
    <w:rsid w:val="00E45BA0"/>
    <w:rsid w:val="00E45D80"/>
    <w:rsid w:val="00E45EF9"/>
    <w:rsid w:val="00E46181"/>
    <w:rsid w:val="00E4646C"/>
    <w:rsid w:val="00E47015"/>
    <w:rsid w:val="00E471D4"/>
    <w:rsid w:val="00E4725F"/>
    <w:rsid w:val="00E4764D"/>
    <w:rsid w:val="00E4767B"/>
    <w:rsid w:val="00E4770F"/>
    <w:rsid w:val="00E477EE"/>
    <w:rsid w:val="00E47969"/>
    <w:rsid w:val="00E47A4B"/>
    <w:rsid w:val="00E47A69"/>
    <w:rsid w:val="00E47C85"/>
    <w:rsid w:val="00E47D46"/>
    <w:rsid w:val="00E501F9"/>
    <w:rsid w:val="00E505E6"/>
    <w:rsid w:val="00E50A52"/>
    <w:rsid w:val="00E50B87"/>
    <w:rsid w:val="00E50BE7"/>
    <w:rsid w:val="00E50C35"/>
    <w:rsid w:val="00E51472"/>
    <w:rsid w:val="00E518D2"/>
    <w:rsid w:val="00E51919"/>
    <w:rsid w:val="00E51959"/>
    <w:rsid w:val="00E51A2A"/>
    <w:rsid w:val="00E51AB6"/>
    <w:rsid w:val="00E51E3A"/>
    <w:rsid w:val="00E51EAD"/>
    <w:rsid w:val="00E51F40"/>
    <w:rsid w:val="00E521A6"/>
    <w:rsid w:val="00E52325"/>
    <w:rsid w:val="00E523E2"/>
    <w:rsid w:val="00E5247E"/>
    <w:rsid w:val="00E524ED"/>
    <w:rsid w:val="00E5268B"/>
    <w:rsid w:val="00E52AB5"/>
    <w:rsid w:val="00E52C36"/>
    <w:rsid w:val="00E52CF0"/>
    <w:rsid w:val="00E52E1B"/>
    <w:rsid w:val="00E532C7"/>
    <w:rsid w:val="00E5330C"/>
    <w:rsid w:val="00E534C6"/>
    <w:rsid w:val="00E53967"/>
    <w:rsid w:val="00E53BE5"/>
    <w:rsid w:val="00E53F73"/>
    <w:rsid w:val="00E540F3"/>
    <w:rsid w:val="00E5462B"/>
    <w:rsid w:val="00E546DA"/>
    <w:rsid w:val="00E54A57"/>
    <w:rsid w:val="00E54CF4"/>
    <w:rsid w:val="00E54FDA"/>
    <w:rsid w:val="00E5545A"/>
    <w:rsid w:val="00E55696"/>
    <w:rsid w:val="00E556F7"/>
    <w:rsid w:val="00E5578F"/>
    <w:rsid w:val="00E559DC"/>
    <w:rsid w:val="00E55A55"/>
    <w:rsid w:val="00E55D5A"/>
    <w:rsid w:val="00E561DE"/>
    <w:rsid w:val="00E56267"/>
    <w:rsid w:val="00E56347"/>
    <w:rsid w:val="00E56410"/>
    <w:rsid w:val="00E564DD"/>
    <w:rsid w:val="00E5650C"/>
    <w:rsid w:val="00E566FF"/>
    <w:rsid w:val="00E568DA"/>
    <w:rsid w:val="00E56DAC"/>
    <w:rsid w:val="00E56FBC"/>
    <w:rsid w:val="00E57128"/>
    <w:rsid w:val="00E571BB"/>
    <w:rsid w:val="00E572F9"/>
    <w:rsid w:val="00E5733A"/>
    <w:rsid w:val="00E57345"/>
    <w:rsid w:val="00E573AC"/>
    <w:rsid w:val="00E575FB"/>
    <w:rsid w:val="00E577C9"/>
    <w:rsid w:val="00E578FF"/>
    <w:rsid w:val="00E60147"/>
    <w:rsid w:val="00E60323"/>
    <w:rsid w:val="00E603B9"/>
    <w:rsid w:val="00E60430"/>
    <w:rsid w:val="00E60774"/>
    <w:rsid w:val="00E60821"/>
    <w:rsid w:val="00E6086D"/>
    <w:rsid w:val="00E6092E"/>
    <w:rsid w:val="00E60A84"/>
    <w:rsid w:val="00E60B92"/>
    <w:rsid w:val="00E610E2"/>
    <w:rsid w:val="00E613DE"/>
    <w:rsid w:val="00E61404"/>
    <w:rsid w:val="00E615A5"/>
    <w:rsid w:val="00E615CB"/>
    <w:rsid w:val="00E61990"/>
    <w:rsid w:val="00E61B27"/>
    <w:rsid w:val="00E61F08"/>
    <w:rsid w:val="00E61F72"/>
    <w:rsid w:val="00E61F92"/>
    <w:rsid w:val="00E620F9"/>
    <w:rsid w:val="00E62740"/>
    <w:rsid w:val="00E629AB"/>
    <w:rsid w:val="00E62C15"/>
    <w:rsid w:val="00E62DFB"/>
    <w:rsid w:val="00E631AB"/>
    <w:rsid w:val="00E63287"/>
    <w:rsid w:val="00E63511"/>
    <w:rsid w:val="00E635F2"/>
    <w:rsid w:val="00E6365B"/>
    <w:rsid w:val="00E63760"/>
    <w:rsid w:val="00E637D7"/>
    <w:rsid w:val="00E6383D"/>
    <w:rsid w:val="00E638A3"/>
    <w:rsid w:val="00E63E3D"/>
    <w:rsid w:val="00E63E86"/>
    <w:rsid w:val="00E63FED"/>
    <w:rsid w:val="00E64207"/>
    <w:rsid w:val="00E6435E"/>
    <w:rsid w:val="00E6436A"/>
    <w:rsid w:val="00E643C6"/>
    <w:rsid w:val="00E644AF"/>
    <w:rsid w:val="00E64B24"/>
    <w:rsid w:val="00E64D19"/>
    <w:rsid w:val="00E64DF4"/>
    <w:rsid w:val="00E64EC3"/>
    <w:rsid w:val="00E64FDE"/>
    <w:rsid w:val="00E650F5"/>
    <w:rsid w:val="00E65145"/>
    <w:rsid w:val="00E651BA"/>
    <w:rsid w:val="00E652D3"/>
    <w:rsid w:val="00E65370"/>
    <w:rsid w:val="00E6552F"/>
    <w:rsid w:val="00E655E8"/>
    <w:rsid w:val="00E65856"/>
    <w:rsid w:val="00E6620A"/>
    <w:rsid w:val="00E6657E"/>
    <w:rsid w:val="00E665AC"/>
    <w:rsid w:val="00E665F9"/>
    <w:rsid w:val="00E666B9"/>
    <w:rsid w:val="00E6695B"/>
    <w:rsid w:val="00E6697E"/>
    <w:rsid w:val="00E66E44"/>
    <w:rsid w:val="00E66F79"/>
    <w:rsid w:val="00E670C0"/>
    <w:rsid w:val="00E67128"/>
    <w:rsid w:val="00E671A2"/>
    <w:rsid w:val="00E67259"/>
    <w:rsid w:val="00E675E0"/>
    <w:rsid w:val="00E6778B"/>
    <w:rsid w:val="00E67878"/>
    <w:rsid w:val="00E67A21"/>
    <w:rsid w:val="00E67AC1"/>
    <w:rsid w:val="00E67B26"/>
    <w:rsid w:val="00E7014C"/>
    <w:rsid w:val="00E706CF"/>
    <w:rsid w:val="00E70957"/>
    <w:rsid w:val="00E70A69"/>
    <w:rsid w:val="00E70B77"/>
    <w:rsid w:val="00E70BF2"/>
    <w:rsid w:val="00E70D19"/>
    <w:rsid w:val="00E70ED0"/>
    <w:rsid w:val="00E71092"/>
    <w:rsid w:val="00E71401"/>
    <w:rsid w:val="00E714E4"/>
    <w:rsid w:val="00E715E1"/>
    <w:rsid w:val="00E71A20"/>
    <w:rsid w:val="00E71C50"/>
    <w:rsid w:val="00E71DDF"/>
    <w:rsid w:val="00E7216F"/>
    <w:rsid w:val="00E7229E"/>
    <w:rsid w:val="00E725B3"/>
    <w:rsid w:val="00E72938"/>
    <w:rsid w:val="00E729C8"/>
    <w:rsid w:val="00E72A82"/>
    <w:rsid w:val="00E72A89"/>
    <w:rsid w:val="00E72AA8"/>
    <w:rsid w:val="00E72BC3"/>
    <w:rsid w:val="00E73434"/>
    <w:rsid w:val="00E73552"/>
    <w:rsid w:val="00E73AFB"/>
    <w:rsid w:val="00E73B2C"/>
    <w:rsid w:val="00E73B44"/>
    <w:rsid w:val="00E73B65"/>
    <w:rsid w:val="00E73BE1"/>
    <w:rsid w:val="00E73E60"/>
    <w:rsid w:val="00E73EA2"/>
    <w:rsid w:val="00E73F92"/>
    <w:rsid w:val="00E742D4"/>
    <w:rsid w:val="00E742F5"/>
    <w:rsid w:val="00E74435"/>
    <w:rsid w:val="00E7444B"/>
    <w:rsid w:val="00E745B2"/>
    <w:rsid w:val="00E74817"/>
    <w:rsid w:val="00E74860"/>
    <w:rsid w:val="00E74A0E"/>
    <w:rsid w:val="00E74B21"/>
    <w:rsid w:val="00E74B5D"/>
    <w:rsid w:val="00E74C92"/>
    <w:rsid w:val="00E74E72"/>
    <w:rsid w:val="00E74F46"/>
    <w:rsid w:val="00E74F92"/>
    <w:rsid w:val="00E75236"/>
    <w:rsid w:val="00E7566E"/>
    <w:rsid w:val="00E75866"/>
    <w:rsid w:val="00E758AD"/>
    <w:rsid w:val="00E75ABF"/>
    <w:rsid w:val="00E75BED"/>
    <w:rsid w:val="00E75F53"/>
    <w:rsid w:val="00E75F75"/>
    <w:rsid w:val="00E76093"/>
    <w:rsid w:val="00E762B1"/>
    <w:rsid w:val="00E762DA"/>
    <w:rsid w:val="00E7637F"/>
    <w:rsid w:val="00E76430"/>
    <w:rsid w:val="00E764F2"/>
    <w:rsid w:val="00E765D4"/>
    <w:rsid w:val="00E7691E"/>
    <w:rsid w:val="00E76A19"/>
    <w:rsid w:val="00E76A86"/>
    <w:rsid w:val="00E76DAC"/>
    <w:rsid w:val="00E76E17"/>
    <w:rsid w:val="00E76EE1"/>
    <w:rsid w:val="00E77033"/>
    <w:rsid w:val="00E773A8"/>
    <w:rsid w:val="00E774A2"/>
    <w:rsid w:val="00E7751C"/>
    <w:rsid w:val="00E77A79"/>
    <w:rsid w:val="00E77D4E"/>
    <w:rsid w:val="00E77DF4"/>
    <w:rsid w:val="00E800DC"/>
    <w:rsid w:val="00E800FD"/>
    <w:rsid w:val="00E801BC"/>
    <w:rsid w:val="00E80562"/>
    <w:rsid w:val="00E80864"/>
    <w:rsid w:val="00E80898"/>
    <w:rsid w:val="00E80AF8"/>
    <w:rsid w:val="00E80CD8"/>
    <w:rsid w:val="00E80FE6"/>
    <w:rsid w:val="00E81119"/>
    <w:rsid w:val="00E816B3"/>
    <w:rsid w:val="00E81703"/>
    <w:rsid w:val="00E817E4"/>
    <w:rsid w:val="00E81912"/>
    <w:rsid w:val="00E81B1A"/>
    <w:rsid w:val="00E81DAC"/>
    <w:rsid w:val="00E81DFF"/>
    <w:rsid w:val="00E82880"/>
    <w:rsid w:val="00E82958"/>
    <w:rsid w:val="00E829CA"/>
    <w:rsid w:val="00E82B73"/>
    <w:rsid w:val="00E830FB"/>
    <w:rsid w:val="00E831E5"/>
    <w:rsid w:val="00E832A4"/>
    <w:rsid w:val="00E83650"/>
    <w:rsid w:val="00E83732"/>
    <w:rsid w:val="00E848B0"/>
    <w:rsid w:val="00E848C5"/>
    <w:rsid w:val="00E849D1"/>
    <w:rsid w:val="00E84B9A"/>
    <w:rsid w:val="00E84BA8"/>
    <w:rsid w:val="00E84DC8"/>
    <w:rsid w:val="00E84ECC"/>
    <w:rsid w:val="00E84EED"/>
    <w:rsid w:val="00E8509A"/>
    <w:rsid w:val="00E8529E"/>
    <w:rsid w:val="00E85305"/>
    <w:rsid w:val="00E85A5D"/>
    <w:rsid w:val="00E85B9D"/>
    <w:rsid w:val="00E85C0A"/>
    <w:rsid w:val="00E85E32"/>
    <w:rsid w:val="00E85EF5"/>
    <w:rsid w:val="00E860BF"/>
    <w:rsid w:val="00E864A7"/>
    <w:rsid w:val="00E86B7B"/>
    <w:rsid w:val="00E86C1B"/>
    <w:rsid w:val="00E86C6A"/>
    <w:rsid w:val="00E86C97"/>
    <w:rsid w:val="00E86DF8"/>
    <w:rsid w:val="00E86EC8"/>
    <w:rsid w:val="00E874B0"/>
    <w:rsid w:val="00E874FA"/>
    <w:rsid w:val="00E87664"/>
    <w:rsid w:val="00E87908"/>
    <w:rsid w:val="00E87E2A"/>
    <w:rsid w:val="00E900F1"/>
    <w:rsid w:val="00E90457"/>
    <w:rsid w:val="00E90533"/>
    <w:rsid w:val="00E90685"/>
    <w:rsid w:val="00E907B5"/>
    <w:rsid w:val="00E909BD"/>
    <w:rsid w:val="00E90B49"/>
    <w:rsid w:val="00E90B9C"/>
    <w:rsid w:val="00E90D4C"/>
    <w:rsid w:val="00E91860"/>
    <w:rsid w:val="00E91984"/>
    <w:rsid w:val="00E919D0"/>
    <w:rsid w:val="00E91C12"/>
    <w:rsid w:val="00E91E5B"/>
    <w:rsid w:val="00E91F2D"/>
    <w:rsid w:val="00E92395"/>
    <w:rsid w:val="00E9256D"/>
    <w:rsid w:val="00E9283C"/>
    <w:rsid w:val="00E92AC9"/>
    <w:rsid w:val="00E92B67"/>
    <w:rsid w:val="00E92C15"/>
    <w:rsid w:val="00E9306C"/>
    <w:rsid w:val="00E931DD"/>
    <w:rsid w:val="00E932AE"/>
    <w:rsid w:val="00E932F9"/>
    <w:rsid w:val="00E937DD"/>
    <w:rsid w:val="00E93D55"/>
    <w:rsid w:val="00E93D81"/>
    <w:rsid w:val="00E941B7"/>
    <w:rsid w:val="00E942B6"/>
    <w:rsid w:val="00E9431A"/>
    <w:rsid w:val="00E94466"/>
    <w:rsid w:val="00E9460B"/>
    <w:rsid w:val="00E94627"/>
    <w:rsid w:val="00E9498C"/>
    <w:rsid w:val="00E94CF6"/>
    <w:rsid w:val="00E94E9E"/>
    <w:rsid w:val="00E9505D"/>
    <w:rsid w:val="00E9506E"/>
    <w:rsid w:val="00E954B7"/>
    <w:rsid w:val="00E955DC"/>
    <w:rsid w:val="00E957B6"/>
    <w:rsid w:val="00E95CCD"/>
    <w:rsid w:val="00E95CEB"/>
    <w:rsid w:val="00E961B0"/>
    <w:rsid w:val="00E9627C"/>
    <w:rsid w:val="00E96768"/>
    <w:rsid w:val="00E9691D"/>
    <w:rsid w:val="00E96C03"/>
    <w:rsid w:val="00E96CCA"/>
    <w:rsid w:val="00E96E58"/>
    <w:rsid w:val="00E96FDB"/>
    <w:rsid w:val="00E97176"/>
    <w:rsid w:val="00E972FD"/>
    <w:rsid w:val="00E976AC"/>
    <w:rsid w:val="00E9794E"/>
    <w:rsid w:val="00E97A02"/>
    <w:rsid w:val="00E97C3D"/>
    <w:rsid w:val="00E97CF8"/>
    <w:rsid w:val="00E97DFF"/>
    <w:rsid w:val="00E97E43"/>
    <w:rsid w:val="00EA0075"/>
    <w:rsid w:val="00EA00F9"/>
    <w:rsid w:val="00EA031F"/>
    <w:rsid w:val="00EA032A"/>
    <w:rsid w:val="00EA0598"/>
    <w:rsid w:val="00EA059C"/>
    <w:rsid w:val="00EA05BE"/>
    <w:rsid w:val="00EA074A"/>
    <w:rsid w:val="00EA0D29"/>
    <w:rsid w:val="00EA107B"/>
    <w:rsid w:val="00EA1186"/>
    <w:rsid w:val="00EA119B"/>
    <w:rsid w:val="00EA1902"/>
    <w:rsid w:val="00EA199B"/>
    <w:rsid w:val="00EA1A58"/>
    <w:rsid w:val="00EA1AAF"/>
    <w:rsid w:val="00EA2328"/>
    <w:rsid w:val="00EA23F6"/>
    <w:rsid w:val="00EA25CB"/>
    <w:rsid w:val="00EA26FE"/>
    <w:rsid w:val="00EA2A7D"/>
    <w:rsid w:val="00EA2A96"/>
    <w:rsid w:val="00EA2B7A"/>
    <w:rsid w:val="00EA2E80"/>
    <w:rsid w:val="00EA33DE"/>
    <w:rsid w:val="00EA341A"/>
    <w:rsid w:val="00EA344C"/>
    <w:rsid w:val="00EA34D0"/>
    <w:rsid w:val="00EA3575"/>
    <w:rsid w:val="00EA35A4"/>
    <w:rsid w:val="00EA35DE"/>
    <w:rsid w:val="00EA39E8"/>
    <w:rsid w:val="00EA3A30"/>
    <w:rsid w:val="00EA3CF7"/>
    <w:rsid w:val="00EA3DEA"/>
    <w:rsid w:val="00EA3ED8"/>
    <w:rsid w:val="00EA3F11"/>
    <w:rsid w:val="00EA40A6"/>
    <w:rsid w:val="00EA4232"/>
    <w:rsid w:val="00EA43AA"/>
    <w:rsid w:val="00EA43EE"/>
    <w:rsid w:val="00EA44D4"/>
    <w:rsid w:val="00EA4645"/>
    <w:rsid w:val="00EA478E"/>
    <w:rsid w:val="00EA4875"/>
    <w:rsid w:val="00EA4D40"/>
    <w:rsid w:val="00EA4E56"/>
    <w:rsid w:val="00EA5262"/>
    <w:rsid w:val="00EA52FF"/>
    <w:rsid w:val="00EA5830"/>
    <w:rsid w:val="00EA5854"/>
    <w:rsid w:val="00EA59C6"/>
    <w:rsid w:val="00EA5A84"/>
    <w:rsid w:val="00EA5B1D"/>
    <w:rsid w:val="00EA5D1C"/>
    <w:rsid w:val="00EA5FC1"/>
    <w:rsid w:val="00EA63C3"/>
    <w:rsid w:val="00EA64A8"/>
    <w:rsid w:val="00EA64AE"/>
    <w:rsid w:val="00EA6BA8"/>
    <w:rsid w:val="00EA6D62"/>
    <w:rsid w:val="00EA6DAD"/>
    <w:rsid w:val="00EA705B"/>
    <w:rsid w:val="00EA75E0"/>
    <w:rsid w:val="00EA76E4"/>
    <w:rsid w:val="00EA76EE"/>
    <w:rsid w:val="00EA78F9"/>
    <w:rsid w:val="00EA79F7"/>
    <w:rsid w:val="00EA7AD0"/>
    <w:rsid w:val="00EA7AEE"/>
    <w:rsid w:val="00EA7BAF"/>
    <w:rsid w:val="00EA7F09"/>
    <w:rsid w:val="00EA7F4C"/>
    <w:rsid w:val="00EB0AD8"/>
    <w:rsid w:val="00EB0BE2"/>
    <w:rsid w:val="00EB0C08"/>
    <w:rsid w:val="00EB0E5A"/>
    <w:rsid w:val="00EB0F7C"/>
    <w:rsid w:val="00EB0FA0"/>
    <w:rsid w:val="00EB1029"/>
    <w:rsid w:val="00EB106C"/>
    <w:rsid w:val="00EB1098"/>
    <w:rsid w:val="00EB10AC"/>
    <w:rsid w:val="00EB1169"/>
    <w:rsid w:val="00EB11C8"/>
    <w:rsid w:val="00EB1369"/>
    <w:rsid w:val="00EB13D5"/>
    <w:rsid w:val="00EB196D"/>
    <w:rsid w:val="00EB196F"/>
    <w:rsid w:val="00EB19D1"/>
    <w:rsid w:val="00EB1B83"/>
    <w:rsid w:val="00EB1C84"/>
    <w:rsid w:val="00EB1CC0"/>
    <w:rsid w:val="00EB1E9A"/>
    <w:rsid w:val="00EB206F"/>
    <w:rsid w:val="00EB2084"/>
    <w:rsid w:val="00EB20F3"/>
    <w:rsid w:val="00EB2100"/>
    <w:rsid w:val="00EB2469"/>
    <w:rsid w:val="00EB264D"/>
    <w:rsid w:val="00EB2652"/>
    <w:rsid w:val="00EB27EA"/>
    <w:rsid w:val="00EB27EE"/>
    <w:rsid w:val="00EB28D8"/>
    <w:rsid w:val="00EB2A88"/>
    <w:rsid w:val="00EB2BC6"/>
    <w:rsid w:val="00EB2D81"/>
    <w:rsid w:val="00EB2DA1"/>
    <w:rsid w:val="00EB2E97"/>
    <w:rsid w:val="00EB3295"/>
    <w:rsid w:val="00EB356D"/>
    <w:rsid w:val="00EB363B"/>
    <w:rsid w:val="00EB37A4"/>
    <w:rsid w:val="00EB3897"/>
    <w:rsid w:val="00EB3C32"/>
    <w:rsid w:val="00EB3CE5"/>
    <w:rsid w:val="00EB3D5C"/>
    <w:rsid w:val="00EB3F40"/>
    <w:rsid w:val="00EB41D7"/>
    <w:rsid w:val="00EB462F"/>
    <w:rsid w:val="00EB47C0"/>
    <w:rsid w:val="00EB4A21"/>
    <w:rsid w:val="00EB4A93"/>
    <w:rsid w:val="00EB4C29"/>
    <w:rsid w:val="00EB4E15"/>
    <w:rsid w:val="00EB506B"/>
    <w:rsid w:val="00EB50A1"/>
    <w:rsid w:val="00EB5384"/>
    <w:rsid w:val="00EB5648"/>
    <w:rsid w:val="00EB588C"/>
    <w:rsid w:val="00EB58BC"/>
    <w:rsid w:val="00EB5A97"/>
    <w:rsid w:val="00EB5C8A"/>
    <w:rsid w:val="00EB5DF5"/>
    <w:rsid w:val="00EB5F6B"/>
    <w:rsid w:val="00EB60A2"/>
    <w:rsid w:val="00EB6109"/>
    <w:rsid w:val="00EB641F"/>
    <w:rsid w:val="00EB647C"/>
    <w:rsid w:val="00EB6750"/>
    <w:rsid w:val="00EB67A9"/>
    <w:rsid w:val="00EB686C"/>
    <w:rsid w:val="00EB6889"/>
    <w:rsid w:val="00EB69A1"/>
    <w:rsid w:val="00EB6AB9"/>
    <w:rsid w:val="00EB6C18"/>
    <w:rsid w:val="00EB6D31"/>
    <w:rsid w:val="00EB72BD"/>
    <w:rsid w:val="00EB7437"/>
    <w:rsid w:val="00EB745E"/>
    <w:rsid w:val="00EB7517"/>
    <w:rsid w:val="00EB7678"/>
    <w:rsid w:val="00EB77FC"/>
    <w:rsid w:val="00EB784E"/>
    <w:rsid w:val="00EB7876"/>
    <w:rsid w:val="00EB795F"/>
    <w:rsid w:val="00EB7A93"/>
    <w:rsid w:val="00EC0103"/>
    <w:rsid w:val="00EC029C"/>
    <w:rsid w:val="00EC06CC"/>
    <w:rsid w:val="00EC07A2"/>
    <w:rsid w:val="00EC0A5E"/>
    <w:rsid w:val="00EC0B17"/>
    <w:rsid w:val="00EC0DFD"/>
    <w:rsid w:val="00EC0FEF"/>
    <w:rsid w:val="00EC10A0"/>
    <w:rsid w:val="00EC1195"/>
    <w:rsid w:val="00EC1383"/>
    <w:rsid w:val="00EC13D0"/>
    <w:rsid w:val="00EC13D5"/>
    <w:rsid w:val="00EC1591"/>
    <w:rsid w:val="00EC16A5"/>
    <w:rsid w:val="00EC16C6"/>
    <w:rsid w:val="00EC16F1"/>
    <w:rsid w:val="00EC1A74"/>
    <w:rsid w:val="00EC1AC9"/>
    <w:rsid w:val="00EC1C8A"/>
    <w:rsid w:val="00EC1DFD"/>
    <w:rsid w:val="00EC1F4F"/>
    <w:rsid w:val="00EC1FE0"/>
    <w:rsid w:val="00EC20D8"/>
    <w:rsid w:val="00EC226F"/>
    <w:rsid w:val="00EC244E"/>
    <w:rsid w:val="00EC282D"/>
    <w:rsid w:val="00EC2840"/>
    <w:rsid w:val="00EC294E"/>
    <w:rsid w:val="00EC29D4"/>
    <w:rsid w:val="00EC2B0D"/>
    <w:rsid w:val="00EC2BBF"/>
    <w:rsid w:val="00EC3573"/>
    <w:rsid w:val="00EC36FA"/>
    <w:rsid w:val="00EC3798"/>
    <w:rsid w:val="00EC3E08"/>
    <w:rsid w:val="00EC419F"/>
    <w:rsid w:val="00EC41F9"/>
    <w:rsid w:val="00EC44B9"/>
    <w:rsid w:val="00EC4CF0"/>
    <w:rsid w:val="00EC4D18"/>
    <w:rsid w:val="00EC5054"/>
    <w:rsid w:val="00EC50A2"/>
    <w:rsid w:val="00EC518D"/>
    <w:rsid w:val="00EC52B8"/>
    <w:rsid w:val="00EC54F8"/>
    <w:rsid w:val="00EC5791"/>
    <w:rsid w:val="00EC57C6"/>
    <w:rsid w:val="00EC585C"/>
    <w:rsid w:val="00EC5BA0"/>
    <w:rsid w:val="00EC5FB8"/>
    <w:rsid w:val="00EC628D"/>
    <w:rsid w:val="00EC62DB"/>
    <w:rsid w:val="00EC648E"/>
    <w:rsid w:val="00EC6617"/>
    <w:rsid w:val="00EC6642"/>
    <w:rsid w:val="00EC6763"/>
    <w:rsid w:val="00EC6C28"/>
    <w:rsid w:val="00EC6C73"/>
    <w:rsid w:val="00EC6D0E"/>
    <w:rsid w:val="00EC6DFD"/>
    <w:rsid w:val="00EC6DFE"/>
    <w:rsid w:val="00EC6EF3"/>
    <w:rsid w:val="00EC7048"/>
    <w:rsid w:val="00EC71CB"/>
    <w:rsid w:val="00EC71D1"/>
    <w:rsid w:val="00EC7261"/>
    <w:rsid w:val="00EC737F"/>
    <w:rsid w:val="00EC73CC"/>
    <w:rsid w:val="00EC769C"/>
    <w:rsid w:val="00EC76D2"/>
    <w:rsid w:val="00EC76F3"/>
    <w:rsid w:val="00EC7797"/>
    <w:rsid w:val="00EC78BC"/>
    <w:rsid w:val="00EC7B56"/>
    <w:rsid w:val="00EC7D87"/>
    <w:rsid w:val="00EC7E17"/>
    <w:rsid w:val="00ED0210"/>
    <w:rsid w:val="00ED022E"/>
    <w:rsid w:val="00ED05D6"/>
    <w:rsid w:val="00ED060E"/>
    <w:rsid w:val="00ED0B53"/>
    <w:rsid w:val="00ED0C6F"/>
    <w:rsid w:val="00ED0D88"/>
    <w:rsid w:val="00ED0E97"/>
    <w:rsid w:val="00ED13D1"/>
    <w:rsid w:val="00ED1AA8"/>
    <w:rsid w:val="00ED1CCB"/>
    <w:rsid w:val="00ED221F"/>
    <w:rsid w:val="00ED233E"/>
    <w:rsid w:val="00ED2358"/>
    <w:rsid w:val="00ED23E0"/>
    <w:rsid w:val="00ED26EC"/>
    <w:rsid w:val="00ED27AC"/>
    <w:rsid w:val="00ED29F2"/>
    <w:rsid w:val="00ED2BBC"/>
    <w:rsid w:val="00ED2D3B"/>
    <w:rsid w:val="00ED2FB5"/>
    <w:rsid w:val="00ED2FCC"/>
    <w:rsid w:val="00ED3028"/>
    <w:rsid w:val="00ED3599"/>
    <w:rsid w:val="00ED37B1"/>
    <w:rsid w:val="00ED3A11"/>
    <w:rsid w:val="00ED3A81"/>
    <w:rsid w:val="00ED3B61"/>
    <w:rsid w:val="00ED3CD5"/>
    <w:rsid w:val="00ED3F32"/>
    <w:rsid w:val="00ED4104"/>
    <w:rsid w:val="00ED4424"/>
    <w:rsid w:val="00ED4651"/>
    <w:rsid w:val="00ED48B2"/>
    <w:rsid w:val="00ED4967"/>
    <w:rsid w:val="00ED4AD7"/>
    <w:rsid w:val="00ED4BD8"/>
    <w:rsid w:val="00ED4C12"/>
    <w:rsid w:val="00ED4DFA"/>
    <w:rsid w:val="00ED4E12"/>
    <w:rsid w:val="00ED4EFA"/>
    <w:rsid w:val="00ED5046"/>
    <w:rsid w:val="00ED50C8"/>
    <w:rsid w:val="00ED50D8"/>
    <w:rsid w:val="00ED52A7"/>
    <w:rsid w:val="00ED53B0"/>
    <w:rsid w:val="00ED5646"/>
    <w:rsid w:val="00ED5996"/>
    <w:rsid w:val="00ED5A2B"/>
    <w:rsid w:val="00ED5FE3"/>
    <w:rsid w:val="00ED62B0"/>
    <w:rsid w:val="00ED67CE"/>
    <w:rsid w:val="00ED692E"/>
    <w:rsid w:val="00ED6AD0"/>
    <w:rsid w:val="00ED7559"/>
    <w:rsid w:val="00ED7637"/>
    <w:rsid w:val="00ED7700"/>
    <w:rsid w:val="00ED79B9"/>
    <w:rsid w:val="00ED7A84"/>
    <w:rsid w:val="00ED7E11"/>
    <w:rsid w:val="00EE0279"/>
    <w:rsid w:val="00EE0538"/>
    <w:rsid w:val="00EE05EC"/>
    <w:rsid w:val="00EE0625"/>
    <w:rsid w:val="00EE0A2E"/>
    <w:rsid w:val="00EE0A4C"/>
    <w:rsid w:val="00EE0B27"/>
    <w:rsid w:val="00EE0B6E"/>
    <w:rsid w:val="00EE0EA2"/>
    <w:rsid w:val="00EE0F57"/>
    <w:rsid w:val="00EE0F97"/>
    <w:rsid w:val="00EE1046"/>
    <w:rsid w:val="00EE11EA"/>
    <w:rsid w:val="00EE1636"/>
    <w:rsid w:val="00EE1B10"/>
    <w:rsid w:val="00EE1B19"/>
    <w:rsid w:val="00EE1F65"/>
    <w:rsid w:val="00EE226D"/>
    <w:rsid w:val="00EE2371"/>
    <w:rsid w:val="00EE26C8"/>
    <w:rsid w:val="00EE28A4"/>
    <w:rsid w:val="00EE28CC"/>
    <w:rsid w:val="00EE28CE"/>
    <w:rsid w:val="00EE28F4"/>
    <w:rsid w:val="00EE2AC5"/>
    <w:rsid w:val="00EE2D19"/>
    <w:rsid w:val="00EE32F7"/>
    <w:rsid w:val="00EE3422"/>
    <w:rsid w:val="00EE35E3"/>
    <w:rsid w:val="00EE3728"/>
    <w:rsid w:val="00EE38B6"/>
    <w:rsid w:val="00EE3A2B"/>
    <w:rsid w:val="00EE3A44"/>
    <w:rsid w:val="00EE3B70"/>
    <w:rsid w:val="00EE3E7B"/>
    <w:rsid w:val="00EE3E83"/>
    <w:rsid w:val="00EE4261"/>
    <w:rsid w:val="00EE4493"/>
    <w:rsid w:val="00EE449A"/>
    <w:rsid w:val="00EE45C5"/>
    <w:rsid w:val="00EE46B3"/>
    <w:rsid w:val="00EE4845"/>
    <w:rsid w:val="00EE4ADF"/>
    <w:rsid w:val="00EE4B3E"/>
    <w:rsid w:val="00EE4CEA"/>
    <w:rsid w:val="00EE5377"/>
    <w:rsid w:val="00EE5523"/>
    <w:rsid w:val="00EE5A6B"/>
    <w:rsid w:val="00EE5B3C"/>
    <w:rsid w:val="00EE5CB5"/>
    <w:rsid w:val="00EE5D07"/>
    <w:rsid w:val="00EE5F75"/>
    <w:rsid w:val="00EE63BE"/>
    <w:rsid w:val="00EE65F8"/>
    <w:rsid w:val="00EE6757"/>
    <w:rsid w:val="00EE6972"/>
    <w:rsid w:val="00EE6A2B"/>
    <w:rsid w:val="00EE6B04"/>
    <w:rsid w:val="00EE6B89"/>
    <w:rsid w:val="00EE6E58"/>
    <w:rsid w:val="00EE703D"/>
    <w:rsid w:val="00EE712F"/>
    <w:rsid w:val="00EE73B5"/>
    <w:rsid w:val="00EE79AF"/>
    <w:rsid w:val="00EF0024"/>
    <w:rsid w:val="00EF0243"/>
    <w:rsid w:val="00EF0799"/>
    <w:rsid w:val="00EF0940"/>
    <w:rsid w:val="00EF09CD"/>
    <w:rsid w:val="00EF0AD1"/>
    <w:rsid w:val="00EF10CC"/>
    <w:rsid w:val="00EF12C5"/>
    <w:rsid w:val="00EF1413"/>
    <w:rsid w:val="00EF15C4"/>
    <w:rsid w:val="00EF15F5"/>
    <w:rsid w:val="00EF17BC"/>
    <w:rsid w:val="00EF1936"/>
    <w:rsid w:val="00EF1A0C"/>
    <w:rsid w:val="00EF1BD2"/>
    <w:rsid w:val="00EF1C75"/>
    <w:rsid w:val="00EF1C92"/>
    <w:rsid w:val="00EF1E54"/>
    <w:rsid w:val="00EF1EB2"/>
    <w:rsid w:val="00EF2006"/>
    <w:rsid w:val="00EF21AF"/>
    <w:rsid w:val="00EF2438"/>
    <w:rsid w:val="00EF24F7"/>
    <w:rsid w:val="00EF26DD"/>
    <w:rsid w:val="00EF2722"/>
    <w:rsid w:val="00EF286D"/>
    <w:rsid w:val="00EF2A35"/>
    <w:rsid w:val="00EF2A8E"/>
    <w:rsid w:val="00EF2B93"/>
    <w:rsid w:val="00EF2DB3"/>
    <w:rsid w:val="00EF2E8D"/>
    <w:rsid w:val="00EF2EFB"/>
    <w:rsid w:val="00EF341A"/>
    <w:rsid w:val="00EF363D"/>
    <w:rsid w:val="00EF37D9"/>
    <w:rsid w:val="00EF3850"/>
    <w:rsid w:val="00EF38C8"/>
    <w:rsid w:val="00EF395E"/>
    <w:rsid w:val="00EF40A5"/>
    <w:rsid w:val="00EF40BE"/>
    <w:rsid w:val="00EF4163"/>
    <w:rsid w:val="00EF416B"/>
    <w:rsid w:val="00EF41D3"/>
    <w:rsid w:val="00EF4225"/>
    <w:rsid w:val="00EF4469"/>
    <w:rsid w:val="00EF45FF"/>
    <w:rsid w:val="00EF4A56"/>
    <w:rsid w:val="00EF4AE4"/>
    <w:rsid w:val="00EF4BA3"/>
    <w:rsid w:val="00EF4ED8"/>
    <w:rsid w:val="00EF5107"/>
    <w:rsid w:val="00EF559C"/>
    <w:rsid w:val="00EF5705"/>
    <w:rsid w:val="00EF5A7F"/>
    <w:rsid w:val="00EF5B55"/>
    <w:rsid w:val="00EF5CE4"/>
    <w:rsid w:val="00EF5E9A"/>
    <w:rsid w:val="00EF5EEA"/>
    <w:rsid w:val="00EF625D"/>
    <w:rsid w:val="00EF6294"/>
    <w:rsid w:val="00EF6375"/>
    <w:rsid w:val="00EF63EC"/>
    <w:rsid w:val="00EF6601"/>
    <w:rsid w:val="00EF6805"/>
    <w:rsid w:val="00EF696D"/>
    <w:rsid w:val="00EF6AC7"/>
    <w:rsid w:val="00EF6AED"/>
    <w:rsid w:val="00EF6D9B"/>
    <w:rsid w:val="00EF6EAE"/>
    <w:rsid w:val="00EF6FFE"/>
    <w:rsid w:val="00EF711F"/>
    <w:rsid w:val="00EF730B"/>
    <w:rsid w:val="00EF768F"/>
    <w:rsid w:val="00EF78A0"/>
    <w:rsid w:val="00EF7BD7"/>
    <w:rsid w:val="00EF7CF2"/>
    <w:rsid w:val="00EF7D85"/>
    <w:rsid w:val="00EF7F31"/>
    <w:rsid w:val="00F00445"/>
    <w:rsid w:val="00F00508"/>
    <w:rsid w:val="00F00784"/>
    <w:rsid w:val="00F00B2E"/>
    <w:rsid w:val="00F010B2"/>
    <w:rsid w:val="00F012C9"/>
    <w:rsid w:val="00F01466"/>
    <w:rsid w:val="00F01490"/>
    <w:rsid w:val="00F015C8"/>
    <w:rsid w:val="00F01820"/>
    <w:rsid w:val="00F0187C"/>
    <w:rsid w:val="00F018FE"/>
    <w:rsid w:val="00F0193F"/>
    <w:rsid w:val="00F01AA0"/>
    <w:rsid w:val="00F01C5B"/>
    <w:rsid w:val="00F01E52"/>
    <w:rsid w:val="00F02136"/>
    <w:rsid w:val="00F022B2"/>
    <w:rsid w:val="00F02473"/>
    <w:rsid w:val="00F0256E"/>
    <w:rsid w:val="00F0271B"/>
    <w:rsid w:val="00F02DCB"/>
    <w:rsid w:val="00F02E0D"/>
    <w:rsid w:val="00F0319D"/>
    <w:rsid w:val="00F0389E"/>
    <w:rsid w:val="00F03B08"/>
    <w:rsid w:val="00F03B75"/>
    <w:rsid w:val="00F04286"/>
    <w:rsid w:val="00F042DC"/>
    <w:rsid w:val="00F04309"/>
    <w:rsid w:val="00F0448B"/>
    <w:rsid w:val="00F0463B"/>
    <w:rsid w:val="00F046BD"/>
    <w:rsid w:val="00F0485B"/>
    <w:rsid w:val="00F04D63"/>
    <w:rsid w:val="00F04E25"/>
    <w:rsid w:val="00F04E40"/>
    <w:rsid w:val="00F04E72"/>
    <w:rsid w:val="00F04EA2"/>
    <w:rsid w:val="00F04F79"/>
    <w:rsid w:val="00F05127"/>
    <w:rsid w:val="00F0526B"/>
    <w:rsid w:val="00F05626"/>
    <w:rsid w:val="00F05699"/>
    <w:rsid w:val="00F0576E"/>
    <w:rsid w:val="00F057C2"/>
    <w:rsid w:val="00F0584D"/>
    <w:rsid w:val="00F05999"/>
    <w:rsid w:val="00F059AB"/>
    <w:rsid w:val="00F05B05"/>
    <w:rsid w:val="00F05F05"/>
    <w:rsid w:val="00F06322"/>
    <w:rsid w:val="00F0654D"/>
    <w:rsid w:val="00F06894"/>
    <w:rsid w:val="00F06906"/>
    <w:rsid w:val="00F069A4"/>
    <w:rsid w:val="00F06C35"/>
    <w:rsid w:val="00F06DDD"/>
    <w:rsid w:val="00F07099"/>
    <w:rsid w:val="00F074FA"/>
    <w:rsid w:val="00F079C2"/>
    <w:rsid w:val="00F07A90"/>
    <w:rsid w:val="00F07B75"/>
    <w:rsid w:val="00F07CE4"/>
    <w:rsid w:val="00F10066"/>
    <w:rsid w:val="00F101C5"/>
    <w:rsid w:val="00F101F6"/>
    <w:rsid w:val="00F1023D"/>
    <w:rsid w:val="00F102A7"/>
    <w:rsid w:val="00F105C4"/>
    <w:rsid w:val="00F105C5"/>
    <w:rsid w:val="00F105EA"/>
    <w:rsid w:val="00F10721"/>
    <w:rsid w:val="00F107E1"/>
    <w:rsid w:val="00F10B8A"/>
    <w:rsid w:val="00F10F10"/>
    <w:rsid w:val="00F1106A"/>
    <w:rsid w:val="00F1109A"/>
    <w:rsid w:val="00F11117"/>
    <w:rsid w:val="00F111B8"/>
    <w:rsid w:val="00F112B0"/>
    <w:rsid w:val="00F11304"/>
    <w:rsid w:val="00F11768"/>
    <w:rsid w:val="00F11D55"/>
    <w:rsid w:val="00F11DC7"/>
    <w:rsid w:val="00F11E18"/>
    <w:rsid w:val="00F11FA7"/>
    <w:rsid w:val="00F123A9"/>
    <w:rsid w:val="00F12410"/>
    <w:rsid w:val="00F1249A"/>
    <w:rsid w:val="00F124D3"/>
    <w:rsid w:val="00F12541"/>
    <w:rsid w:val="00F125D3"/>
    <w:rsid w:val="00F1267D"/>
    <w:rsid w:val="00F12AB3"/>
    <w:rsid w:val="00F12C14"/>
    <w:rsid w:val="00F12F4C"/>
    <w:rsid w:val="00F13411"/>
    <w:rsid w:val="00F13580"/>
    <w:rsid w:val="00F13586"/>
    <w:rsid w:val="00F135D9"/>
    <w:rsid w:val="00F1376D"/>
    <w:rsid w:val="00F13ABB"/>
    <w:rsid w:val="00F13C63"/>
    <w:rsid w:val="00F13D34"/>
    <w:rsid w:val="00F14177"/>
    <w:rsid w:val="00F143EE"/>
    <w:rsid w:val="00F14435"/>
    <w:rsid w:val="00F14515"/>
    <w:rsid w:val="00F1451E"/>
    <w:rsid w:val="00F14718"/>
    <w:rsid w:val="00F14822"/>
    <w:rsid w:val="00F14AAF"/>
    <w:rsid w:val="00F14C45"/>
    <w:rsid w:val="00F1510D"/>
    <w:rsid w:val="00F1514B"/>
    <w:rsid w:val="00F15233"/>
    <w:rsid w:val="00F15461"/>
    <w:rsid w:val="00F15618"/>
    <w:rsid w:val="00F15BA0"/>
    <w:rsid w:val="00F15E91"/>
    <w:rsid w:val="00F16281"/>
    <w:rsid w:val="00F162DE"/>
    <w:rsid w:val="00F1645E"/>
    <w:rsid w:val="00F164D2"/>
    <w:rsid w:val="00F16BE7"/>
    <w:rsid w:val="00F16BFD"/>
    <w:rsid w:val="00F16E0E"/>
    <w:rsid w:val="00F16E72"/>
    <w:rsid w:val="00F16F98"/>
    <w:rsid w:val="00F170F3"/>
    <w:rsid w:val="00F1735C"/>
    <w:rsid w:val="00F17473"/>
    <w:rsid w:val="00F176CA"/>
    <w:rsid w:val="00F176FD"/>
    <w:rsid w:val="00F17786"/>
    <w:rsid w:val="00F17863"/>
    <w:rsid w:val="00F178FF"/>
    <w:rsid w:val="00F1792A"/>
    <w:rsid w:val="00F17C40"/>
    <w:rsid w:val="00F17C97"/>
    <w:rsid w:val="00F17F93"/>
    <w:rsid w:val="00F20044"/>
    <w:rsid w:val="00F20479"/>
    <w:rsid w:val="00F204EA"/>
    <w:rsid w:val="00F2064C"/>
    <w:rsid w:val="00F20831"/>
    <w:rsid w:val="00F20833"/>
    <w:rsid w:val="00F20943"/>
    <w:rsid w:val="00F20B53"/>
    <w:rsid w:val="00F20B5F"/>
    <w:rsid w:val="00F20F94"/>
    <w:rsid w:val="00F21056"/>
    <w:rsid w:val="00F2148C"/>
    <w:rsid w:val="00F21961"/>
    <w:rsid w:val="00F21A18"/>
    <w:rsid w:val="00F21A42"/>
    <w:rsid w:val="00F21BA6"/>
    <w:rsid w:val="00F21C71"/>
    <w:rsid w:val="00F21D12"/>
    <w:rsid w:val="00F21DC1"/>
    <w:rsid w:val="00F21ED1"/>
    <w:rsid w:val="00F21FB3"/>
    <w:rsid w:val="00F22035"/>
    <w:rsid w:val="00F22084"/>
    <w:rsid w:val="00F22211"/>
    <w:rsid w:val="00F22461"/>
    <w:rsid w:val="00F22725"/>
    <w:rsid w:val="00F2291C"/>
    <w:rsid w:val="00F229B4"/>
    <w:rsid w:val="00F22A18"/>
    <w:rsid w:val="00F22C19"/>
    <w:rsid w:val="00F22D18"/>
    <w:rsid w:val="00F22FD6"/>
    <w:rsid w:val="00F2300F"/>
    <w:rsid w:val="00F23350"/>
    <w:rsid w:val="00F233C7"/>
    <w:rsid w:val="00F23434"/>
    <w:rsid w:val="00F235FB"/>
    <w:rsid w:val="00F23664"/>
    <w:rsid w:val="00F2367A"/>
    <w:rsid w:val="00F23702"/>
    <w:rsid w:val="00F23880"/>
    <w:rsid w:val="00F23904"/>
    <w:rsid w:val="00F2397A"/>
    <w:rsid w:val="00F23E0B"/>
    <w:rsid w:val="00F23F3C"/>
    <w:rsid w:val="00F23F6F"/>
    <w:rsid w:val="00F240F8"/>
    <w:rsid w:val="00F24347"/>
    <w:rsid w:val="00F24450"/>
    <w:rsid w:val="00F24B44"/>
    <w:rsid w:val="00F24E98"/>
    <w:rsid w:val="00F25154"/>
    <w:rsid w:val="00F2521E"/>
    <w:rsid w:val="00F2546C"/>
    <w:rsid w:val="00F2564A"/>
    <w:rsid w:val="00F257AB"/>
    <w:rsid w:val="00F25B50"/>
    <w:rsid w:val="00F25CF8"/>
    <w:rsid w:val="00F25D28"/>
    <w:rsid w:val="00F26025"/>
    <w:rsid w:val="00F26073"/>
    <w:rsid w:val="00F26137"/>
    <w:rsid w:val="00F26270"/>
    <w:rsid w:val="00F26385"/>
    <w:rsid w:val="00F2678A"/>
    <w:rsid w:val="00F267AE"/>
    <w:rsid w:val="00F26824"/>
    <w:rsid w:val="00F26AA8"/>
    <w:rsid w:val="00F26AF2"/>
    <w:rsid w:val="00F26B6B"/>
    <w:rsid w:val="00F2707E"/>
    <w:rsid w:val="00F270F3"/>
    <w:rsid w:val="00F271FB"/>
    <w:rsid w:val="00F27526"/>
    <w:rsid w:val="00F27B89"/>
    <w:rsid w:val="00F27D48"/>
    <w:rsid w:val="00F30053"/>
    <w:rsid w:val="00F3026A"/>
    <w:rsid w:val="00F3039A"/>
    <w:rsid w:val="00F30770"/>
    <w:rsid w:val="00F307B3"/>
    <w:rsid w:val="00F30A58"/>
    <w:rsid w:val="00F30A91"/>
    <w:rsid w:val="00F30BB4"/>
    <w:rsid w:val="00F30DCA"/>
    <w:rsid w:val="00F30F8A"/>
    <w:rsid w:val="00F30FB6"/>
    <w:rsid w:val="00F30FDF"/>
    <w:rsid w:val="00F310C3"/>
    <w:rsid w:val="00F312B5"/>
    <w:rsid w:val="00F313A6"/>
    <w:rsid w:val="00F313C9"/>
    <w:rsid w:val="00F31419"/>
    <w:rsid w:val="00F315EE"/>
    <w:rsid w:val="00F3174C"/>
    <w:rsid w:val="00F31837"/>
    <w:rsid w:val="00F31CB9"/>
    <w:rsid w:val="00F31DD9"/>
    <w:rsid w:val="00F31E7F"/>
    <w:rsid w:val="00F31EC4"/>
    <w:rsid w:val="00F326A4"/>
    <w:rsid w:val="00F327CC"/>
    <w:rsid w:val="00F327E2"/>
    <w:rsid w:val="00F32A31"/>
    <w:rsid w:val="00F32A89"/>
    <w:rsid w:val="00F32CAB"/>
    <w:rsid w:val="00F32D5A"/>
    <w:rsid w:val="00F32F13"/>
    <w:rsid w:val="00F33460"/>
    <w:rsid w:val="00F33628"/>
    <w:rsid w:val="00F33F9F"/>
    <w:rsid w:val="00F34042"/>
    <w:rsid w:val="00F34429"/>
    <w:rsid w:val="00F346E2"/>
    <w:rsid w:val="00F34D65"/>
    <w:rsid w:val="00F34FC3"/>
    <w:rsid w:val="00F3503C"/>
    <w:rsid w:val="00F350FD"/>
    <w:rsid w:val="00F35795"/>
    <w:rsid w:val="00F357A6"/>
    <w:rsid w:val="00F357BC"/>
    <w:rsid w:val="00F35870"/>
    <w:rsid w:val="00F35B9F"/>
    <w:rsid w:val="00F35C76"/>
    <w:rsid w:val="00F360EE"/>
    <w:rsid w:val="00F361D0"/>
    <w:rsid w:val="00F361D9"/>
    <w:rsid w:val="00F368E6"/>
    <w:rsid w:val="00F369C2"/>
    <w:rsid w:val="00F36C87"/>
    <w:rsid w:val="00F36E5C"/>
    <w:rsid w:val="00F376F4"/>
    <w:rsid w:val="00F37AAC"/>
    <w:rsid w:val="00F37C04"/>
    <w:rsid w:val="00F37D1B"/>
    <w:rsid w:val="00F37D6F"/>
    <w:rsid w:val="00F40264"/>
    <w:rsid w:val="00F40460"/>
    <w:rsid w:val="00F40485"/>
    <w:rsid w:val="00F4060C"/>
    <w:rsid w:val="00F40696"/>
    <w:rsid w:val="00F4069D"/>
    <w:rsid w:val="00F40A8E"/>
    <w:rsid w:val="00F40EE9"/>
    <w:rsid w:val="00F411EF"/>
    <w:rsid w:val="00F4165C"/>
    <w:rsid w:val="00F417B0"/>
    <w:rsid w:val="00F41869"/>
    <w:rsid w:val="00F41A52"/>
    <w:rsid w:val="00F41DBA"/>
    <w:rsid w:val="00F41E2A"/>
    <w:rsid w:val="00F420C8"/>
    <w:rsid w:val="00F4210E"/>
    <w:rsid w:val="00F4256F"/>
    <w:rsid w:val="00F426A6"/>
    <w:rsid w:val="00F427F0"/>
    <w:rsid w:val="00F42C4B"/>
    <w:rsid w:val="00F4325B"/>
    <w:rsid w:val="00F433CE"/>
    <w:rsid w:val="00F43485"/>
    <w:rsid w:val="00F4348E"/>
    <w:rsid w:val="00F4359B"/>
    <w:rsid w:val="00F439C9"/>
    <w:rsid w:val="00F43DC8"/>
    <w:rsid w:val="00F43DE0"/>
    <w:rsid w:val="00F442E9"/>
    <w:rsid w:val="00F44339"/>
    <w:rsid w:val="00F4433B"/>
    <w:rsid w:val="00F449BF"/>
    <w:rsid w:val="00F44A07"/>
    <w:rsid w:val="00F44B2F"/>
    <w:rsid w:val="00F44EC9"/>
    <w:rsid w:val="00F45218"/>
    <w:rsid w:val="00F453A1"/>
    <w:rsid w:val="00F45513"/>
    <w:rsid w:val="00F45602"/>
    <w:rsid w:val="00F458AE"/>
    <w:rsid w:val="00F45F6D"/>
    <w:rsid w:val="00F46404"/>
    <w:rsid w:val="00F465CA"/>
    <w:rsid w:val="00F4671F"/>
    <w:rsid w:val="00F468D3"/>
    <w:rsid w:val="00F46927"/>
    <w:rsid w:val="00F46F21"/>
    <w:rsid w:val="00F47062"/>
    <w:rsid w:val="00F475F6"/>
    <w:rsid w:val="00F4771A"/>
    <w:rsid w:val="00F478E5"/>
    <w:rsid w:val="00F47A43"/>
    <w:rsid w:val="00F47DC7"/>
    <w:rsid w:val="00F504F3"/>
    <w:rsid w:val="00F50999"/>
    <w:rsid w:val="00F50ADA"/>
    <w:rsid w:val="00F51129"/>
    <w:rsid w:val="00F5124C"/>
    <w:rsid w:val="00F51302"/>
    <w:rsid w:val="00F51396"/>
    <w:rsid w:val="00F516DA"/>
    <w:rsid w:val="00F51AA5"/>
    <w:rsid w:val="00F51C6A"/>
    <w:rsid w:val="00F51C8A"/>
    <w:rsid w:val="00F51C95"/>
    <w:rsid w:val="00F51D13"/>
    <w:rsid w:val="00F51F0D"/>
    <w:rsid w:val="00F5222F"/>
    <w:rsid w:val="00F52406"/>
    <w:rsid w:val="00F52D84"/>
    <w:rsid w:val="00F53237"/>
    <w:rsid w:val="00F5385F"/>
    <w:rsid w:val="00F538BE"/>
    <w:rsid w:val="00F53C30"/>
    <w:rsid w:val="00F53CC4"/>
    <w:rsid w:val="00F53EF8"/>
    <w:rsid w:val="00F54342"/>
    <w:rsid w:val="00F543CC"/>
    <w:rsid w:val="00F54498"/>
    <w:rsid w:val="00F5467F"/>
    <w:rsid w:val="00F547D8"/>
    <w:rsid w:val="00F5486A"/>
    <w:rsid w:val="00F5493B"/>
    <w:rsid w:val="00F549BD"/>
    <w:rsid w:val="00F54A4D"/>
    <w:rsid w:val="00F54D8D"/>
    <w:rsid w:val="00F54DEF"/>
    <w:rsid w:val="00F55075"/>
    <w:rsid w:val="00F55097"/>
    <w:rsid w:val="00F551D6"/>
    <w:rsid w:val="00F55854"/>
    <w:rsid w:val="00F55A50"/>
    <w:rsid w:val="00F55A97"/>
    <w:rsid w:val="00F55CEC"/>
    <w:rsid w:val="00F5608A"/>
    <w:rsid w:val="00F5609A"/>
    <w:rsid w:val="00F5634E"/>
    <w:rsid w:val="00F56813"/>
    <w:rsid w:val="00F5686F"/>
    <w:rsid w:val="00F568AA"/>
    <w:rsid w:val="00F56CF1"/>
    <w:rsid w:val="00F56E4D"/>
    <w:rsid w:val="00F56FAE"/>
    <w:rsid w:val="00F5702A"/>
    <w:rsid w:val="00F572F1"/>
    <w:rsid w:val="00F5749B"/>
    <w:rsid w:val="00F57639"/>
    <w:rsid w:val="00F57A7B"/>
    <w:rsid w:val="00F57BEC"/>
    <w:rsid w:val="00F57F4B"/>
    <w:rsid w:val="00F60038"/>
    <w:rsid w:val="00F600BC"/>
    <w:rsid w:val="00F60257"/>
    <w:rsid w:val="00F604E0"/>
    <w:rsid w:val="00F60524"/>
    <w:rsid w:val="00F60B8D"/>
    <w:rsid w:val="00F60CA1"/>
    <w:rsid w:val="00F60F15"/>
    <w:rsid w:val="00F61664"/>
    <w:rsid w:val="00F6180A"/>
    <w:rsid w:val="00F6186D"/>
    <w:rsid w:val="00F61878"/>
    <w:rsid w:val="00F61BEB"/>
    <w:rsid w:val="00F61EF6"/>
    <w:rsid w:val="00F62083"/>
    <w:rsid w:val="00F6208E"/>
    <w:rsid w:val="00F62191"/>
    <w:rsid w:val="00F6258C"/>
    <w:rsid w:val="00F627EF"/>
    <w:rsid w:val="00F628AA"/>
    <w:rsid w:val="00F628CB"/>
    <w:rsid w:val="00F62D42"/>
    <w:rsid w:val="00F62DDB"/>
    <w:rsid w:val="00F62E09"/>
    <w:rsid w:val="00F62EDF"/>
    <w:rsid w:val="00F63229"/>
    <w:rsid w:val="00F63515"/>
    <w:rsid w:val="00F63522"/>
    <w:rsid w:val="00F63565"/>
    <w:rsid w:val="00F636AC"/>
    <w:rsid w:val="00F63A73"/>
    <w:rsid w:val="00F63B8F"/>
    <w:rsid w:val="00F63D76"/>
    <w:rsid w:val="00F63DC4"/>
    <w:rsid w:val="00F63F59"/>
    <w:rsid w:val="00F641BD"/>
    <w:rsid w:val="00F64222"/>
    <w:rsid w:val="00F6422C"/>
    <w:rsid w:val="00F64584"/>
    <w:rsid w:val="00F64826"/>
    <w:rsid w:val="00F6492A"/>
    <w:rsid w:val="00F64A79"/>
    <w:rsid w:val="00F64B3B"/>
    <w:rsid w:val="00F64C10"/>
    <w:rsid w:val="00F64CD0"/>
    <w:rsid w:val="00F64CF5"/>
    <w:rsid w:val="00F64FA9"/>
    <w:rsid w:val="00F6532E"/>
    <w:rsid w:val="00F6534F"/>
    <w:rsid w:val="00F65413"/>
    <w:rsid w:val="00F656A6"/>
    <w:rsid w:val="00F656E3"/>
    <w:rsid w:val="00F65850"/>
    <w:rsid w:val="00F65985"/>
    <w:rsid w:val="00F65A32"/>
    <w:rsid w:val="00F65CD9"/>
    <w:rsid w:val="00F65CFF"/>
    <w:rsid w:val="00F65D8D"/>
    <w:rsid w:val="00F66298"/>
    <w:rsid w:val="00F66312"/>
    <w:rsid w:val="00F663EB"/>
    <w:rsid w:val="00F66617"/>
    <w:rsid w:val="00F6687D"/>
    <w:rsid w:val="00F66A0C"/>
    <w:rsid w:val="00F66CCB"/>
    <w:rsid w:val="00F67039"/>
    <w:rsid w:val="00F67053"/>
    <w:rsid w:val="00F674ED"/>
    <w:rsid w:val="00F67C6F"/>
    <w:rsid w:val="00F67EF6"/>
    <w:rsid w:val="00F67F77"/>
    <w:rsid w:val="00F70110"/>
    <w:rsid w:val="00F7011F"/>
    <w:rsid w:val="00F702A3"/>
    <w:rsid w:val="00F702B8"/>
    <w:rsid w:val="00F707C2"/>
    <w:rsid w:val="00F70A05"/>
    <w:rsid w:val="00F70E89"/>
    <w:rsid w:val="00F71073"/>
    <w:rsid w:val="00F710F3"/>
    <w:rsid w:val="00F711DA"/>
    <w:rsid w:val="00F71439"/>
    <w:rsid w:val="00F716B5"/>
    <w:rsid w:val="00F718A1"/>
    <w:rsid w:val="00F71A2D"/>
    <w:rsid w:val="00F71B9E"/>
    <w:rsid w:val="00F71E9A"/>
    <w:rsid w:val="00F721A0"/>
    <w:rsid w:val="00F72366"/>
    <w:rsid w:val="00F72587"/>
    <w:rsid w:val="00F726DA"/>
    <w:rsid w:val="00F72A80"/>
    <w:rsid w:val="00F72C93"/>
    <w:rsid w:val="00F72F3D"/>
    <w:rsid w:val="00F730C5"/>
    <w:rsid w:val="00F73131"/>
    <w:rsid w:val="00F731F4"/>
    <w:rsid w:val="00F732F8"/>
    <w:rsid w:val="00F733EB"/>
    <w:rsid w:val="00F733F7"/>
    <w:rsid w:val="00F7363F"/>
    <w:rsid w:val="00F73671"/>
    <w:rsid w:val="00F736F7"/>
    <w:rsid w:val="00F738A3"/>
    <w:rsid w:val="00F73AAB"/>
    <w:rsid w:val="00F73B75"/>
    <w:rsid w:val="00F73C4D"/>
    <w:rsid w:val="00F73D40"/>
    <w:rsid w:val="00F73F83"/>
    <w:rsid w:val="00F74288"/>
    <w:rsid w:val="00F746B3"/>
    <w:rsid w:val="00F746DF"/>
    <w:rsid w:val="00F74753"/>
    <w:rsid w:val="00F74A58"/>
    <w:rsid w:val="00F74A83"/>
    <w:rsid w:val="00F74B4B"/>
    <w:rsid w:val="00F74CB4"/>
    <w:rsid w:val="00F74D18"/>
    <w:rsid w:val="00F74F13"/>
    <w:rsid w:val="00F75156"/>
    <w:rsid w:val="00F75368"/>
    <w:rsid w:val="00F75426"/>
    <w:rsid w:val="00F754C2"/>
    <w:rsid w:val="00F756F1"/>
    <w:rsid w:val="00F75809"/>
    <w:rsid w:val="00F75843"/>
    <w:rsid w:val="00F7590A"/>
    <w:rsid w:val="00F75A5A"/>
    <w:rsid w:val="00F75ABD"/>
    <w:rsid w:val="00F75CAE"/>
    <w:rsid w:val="00F75E8F"/>
    <w:rsid w:val="00F762CF"/>
    <w:rsid w:val="00F76584"/>
    <w:rsid w:val="00F76754"/>
    <w:rsid w:val="00F7686A"/>
    <w:rsid w:val="00F768BE"/>
    <w:rsid w:val="00F76B34"/>
    <w:rsid w:val="00F76C21"/>
    <w:rsid w:val="00F76DD8"/>
    <w:rsid w:val="00F76EA1"/>
    <w:rsid w:val="00F77498"/>
    <w:rsid w:val="00F77550"/>
    <w:rsid w:val="00F77A86"/>
    <w:rsid w:val="00F77C39"/>
    <w:rsid w:val="00F77E20"/>
    <w:rsid w:val="00F77F17"/>
    <w:rsid w:val="00F80038"/>
    <w:rsid w:val="00F800B8"/>
    <w:rsid w:val="00F80131"/>
    <w:rsid w:val="00F80207"/>
    <w:rsid w:val="00F8031E"/>
    <w:rsid w:val="00F8035E"/>
    <w:rsid w:val="00F80496"/>
    <w:rsid w:val="00F80662"/>
    <w:rsid w:val="00F806EE"/>
    <w:rsid w:val="00F80866"/>
    <w:rsid w:val="00F80A73"/>
    <w:rsid w:val="00F80A88"/>
    <w:rsid w:val="00F80B4E"/>
    <w:rsid w:val="00F80F5A"/>
    <w:rsid w:val="00F80F6B"/>
    <w:rsid w:val="00F8113D"/>
    <w:rsid w:val="00F8131A"/>
    <w:rsid w:val="00F81498"/>
    <w:rsid w:val="00F816DE"/>
    <w:rsid w:val="00F81858"/>
    <w:rsid w:val="00F81DCC"/>
    <w:rsid w:val="00F81F72"/>
    <w:rsid w:val="00F823F5"/>
    <w:rsid w:val="00F824BE"/>
    <w:rsid w:val="00F826A2"/>
    <w:rsid w:val="00F82724"/>
    <w:rsid w:val="00F82D98"/>
    <w:rsid w:val="00F82EE9"/>
    <w:rsid w:val="00F8346E"/>
    <w:rsid w:val="00F8371C"/>
    <w:rsid w:val="00F837A3"/>
    <w:rsid w:val="00F8386F"/>
    <w:rsid w:val="00F8399B"/>
    <w:rsid w:val="00F83B09"/>
    <w:rsid w:val="00F83B2A"/>
    <w:rsid w:val="00F83D29"/>
    <w:rsid w:val="00F83D92"/>
    <w:rsid w:val="00F83EB1"/>
    <w:rsid w:val="00F83EFF"/>
    <w:rsid w:val="00F83FB5"/>
    <w:rsid w:val="00F840E9"/>
    <w:rsid w:val="00F84207"/>
    <w:rsid w:val="00F84666"/>
    <w:rsid w:val="00F848F9"/>
    <w:rsid w:val="00F852F8"/>
    <w:rsid w:val="00F85516"/>
    <w:rsid w:val="00F85588"/>
    <w:rsid w:val="00F85683"/>
    <w:rsid w:val="00F85721"/>
    <w:rsid w:val="00F8591E"/>
    <w:rsid w:val="00F8599D"/>
    <w:rsid w:val="00F85B10"/>
    <w:rsid w:val="00F85B1B"/>
    <w:rsid w:val="00F85B1C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7E4"/>
    <w:rsid w:val="00F86903"/>
    <w:rsid w:val="00F86B66"/>
    <w:rsid w:val="00F86F78"/>
    <w:rsid w:val="00F86FD3"/>
    <w:rsid w:val="00F870DD"/>
    <w:rsid w:val="00F87240"/>
    <w:rsid w:val="00F87319"/>
    <w:rsid w:val="00F8761C"/>
    <w:rsid w:val="00F877FF"/>
    <w:rsid w:val="00F879DA"/>
    <w:rsid w:val="00F87CCC"/>
    <w:rsid w:val="00F87F66"/>
    <w:rsid w:val="00F90011"/>
    <w:rsid w:val="00F90183"/>
    <w:rsid w:val="00F901DE"/>
    <w:rsid w:val="00F902DB"/>
    <w:rsid w:val="00F90311"/>
    <w:rsid w:val="00F903D3"/>
    <w:rsid w:val="00F905A3"/>
    <w:rsid w:val="00F909CB"/>
    <w:rsid w:val="00F91011"/>
    <w:rsid w:val="00F9103D"/>
    <w:rsid w:val="00F91083"/>
    <w:rsid w:val="00F9113B"/>
    <w:rsid w:val="00F91339"/>
    <w:rsid w:val="00F91359"/>
    <w:rsid w:val="00F914A2"/>
    <w:rsid w:val="00F9170D"/>
    <w:rsid w:val="00F91AD1"/>
    <w:rsid w:val="00F91EDC"/>
    <w:rsid w:val="00F91F15"/>
    <w:rsid w:val="00F92004"/>
    <w:rsid w:val="00F920C9"/>
    <w:rsid w:val="00F92534"/>
    <w:rsid w:val="00F925E8"/>
    <w:rsid w:val="00F926E2"/>
    <w:rsid w:val="00F92734"/>
    <w:rsid w:val="00F92750"/>
    <w:rsid w:val="00F92760"/>
    <w:rsid w:val="00F92D33"/>
    <w:rsid w:val="00F92E0A"/>
    <w:rsid w:val="00F92E63"/>
    <w:rsid w:val="00F93121"/>
    <w:rsid w:val="00F932D3"/>
    <w:rsid w:val="00F9351C"/>
    <w:rsid w:val="00F935A7"/>
    <w:rsid w:val="00F937F9"/>
    <w:rsid w:val="00F93824"/>
    <w:rsid w:val="00F93881"/>
    <w:rsid w:val="00F93B52"/>
    <w:rsid w:val="00F93B64"/>
    <w:rsid w:val="00F93D18"/>
    <w:rsid w:val="00F93D8D"/>
    <w:rsid w:val="00F93E67"/>
    <w:rsid w:val="00F93F47"/>
    <w:rsid w:val="00F94368"/>
    <w:rsid w:val="00F94423"/>
    <w:rsid w:val="00F945EB"/>
    <w:rsid w:val="00F9472E"/>
    <w:rsid w:val="00F9474E"/>
    <w:rsid w:val="00F94807"/>
    <w:rsid w:val="00F9494C"/>
    <w:rsid w:val="00F94A0E"/>
    <w:rsid w:val="00F94C8B"/>
    <w:rsid w:val="00F94D95"/>
    <w:rsid w:val="00F94E87"/>
    <w:rsid w:val="00F94EC4"/>
    <w:rsid w:val="00F9516A"/>
    <w:rsid w:val="00F952B6"/>
    <w:rsid w:val="00F958C8"/>
    <w:rsid w:val="00F958D7"/>
    <w:rsid w:val="00F95A03"/>
    <w:rsid w:val="00F95BBD"/>
    <w:rsid w:val="00F95C0D"/>
    <w:rsid w:val="00F95D51"/>
    <w:rsid w:val="00F960A4"/>
    <w:rsid w:val="00F96107"/>
    <w:rsid w:val="00F962B0"/>
    <w:rsid w:val="00F962C0"/>
    <w:rsid w:val="00F965D3"/>
    <w:rsid w:val="00F9683C"/>
    <w:rsid w:val="00F968AE"/>
    <w:rsid w:val="00F96E89"/>
    <w:rsid w:val="00F97086"/>
    <w:rsid w:val="00F971B0"/>
    <w:rsid w:val="00F9733D"/>
    <w:rsid w:val="00F9753B"/>
    <w:rsid w:val="00F97691"/>
    <w:rsid w:val="00F97A46"/>
    <w:rsid w:val="00F97A61"/>
    <w:rsid w:val="00F97CB8"/>
    <w:rsid w:val="00F97D79"/>
    <w:rsid w:val="00FA0597"/>
    <w:rsid w:val="00FA06D1"/>
    <w:rsid w:val="00FA0840"/>
    <w:rsid w:val="00FA10D2"/>
    <w:rsid w:val="00FA10F0"/>
    <w:rsid w:val="00FA12AD"/>
    <w:rsid w:val="00FA15C8"/>
    <w:rsid w:val="00FA1640"/>
    <w:rsid w:val="00FA1958"/>
    <w:rsid w:val="00FA1CF0"/>
    <w:rsid w:val="00FA1ECD"/>
    <w:rsid w:val="00FA213D"/>
    <w:rsid w:val="00FA21D5"/>
    <w:rsid w:val="00FA255A"/>
    <w:rsid w:val="00FA259A"/>
    <w:rsid w:val="00FA2B04"/>
    <w:rsid w:val="00FA2C5D"/>
    <w:rsid w:val="00FA2D86"/>
    <w:rsid w:val="00FA2FFC"/>
    <w:rsid w:val="00FA3054"/>
    <w:rsid w:val="00FA31E8"/>
    <w:rsid w:val="00FA31F4"/>
    <w:rsid w:val="00FA3398"/>
    <w:rsid w:val="00FA348C"/>
    <w:rsid w:val="00FA34B5"/>
    <w:rsid w:val="00FA35E0"/>
    <w:rsid w:val="00FA39D5"/>
    <w:rsid w:val="00FA3A4C"/>
    <w:rsid w:val="00FA3D87"/>
    <w:rsid w:val="00FA3EBD"/>
    <w:rsid w:val="00FA43EC"/>
    <w:rsid w:val="00FA463F"/>
    <w:rsid w:val="00FA4AED"/>
    <w:rsid w:val="00FA4BAD"/>
    <w:rsid w:val="00FA4C57"/>
    <w:rsid w:val="00FA4D7E"/>
    <w:rsid w:val="00FA4F25"/>
    <w:rsid w:val="00FA4FA4"/>
    <w:rsid w:val="00FA5113"/>
    <w:rsid w:val="00FA515B"/>
    <w:rsid w:val="00FA53CB"/>
    <w:rsid w:val="00FA53D8"/>
    <w:rsid w:val="00FA54D9"/>
    <w:rsid w:val="00FA56EF"/>
    <w:rsid w:val="00FA5721"/>
    <w:rsid w:val="00FA5768"/>
    <w:rsid w:val="00FA5A4E"/>
    <w:rsid w:val="00FA5C20"/>
    <w:rsid w:val="00FA5FE4"/>
    <w:rsid w:val="00FA60B7"/>
    <w:rsid w:val="00FA61D7"/>
    <w:rsid w:val="00FA6201"/>
    <w:rsid w:val="00FA645E"/>
    <w:rsid w:val="00FA6674"/>
    <w:rsid w:val="00FA676A"/>
    <w:rsid w:val="00FA6792"/>
    <w:rsid w:val="00FA679E"/>
    <w:rsid w:val="00FA6961"/>
    <w:rsid w:val="00FA6A7C"/>
    <w:rsid w:val="00FA6AE2"/>
    <w:rsid w:val="00FA6B38"/>
    <w:rsid w:val="00FA7126"/>
    <w:rsid w:val="00FA76C0"/>
    <w:rsid w:val="00FA772E"/>
    <w:rsid w:val="00FA77B9"/>
    <w:rsid w:val="00FA78D4"/>
    <w:rsid w:val="00FA7B20"/>
    <w:rsid w:val="00FA7EB1"/>
    <w:rsid w:val="00FB0185"/>
    <w:rsid w:val="00FB0210"/>
    <w:rsid w:val="00FB027A"/>
    <w:rsid w:val="00FB045F"/>
    <w:rsid w:val="00FB0692"/>
    <w:rsid w:val="00FB0A85"/>
    <w:rsid w:val="00FB0AD8"/>
    <w:rsid w:val="00FB0B9B"/>
    <w:rsid w:val="00FB0C38"/>
    <w:rsid w:val="00FB0E05"/>
    <w:rsid w:val="00FB0FB5"/>
    <w:rsid w:val="00FB1057"/>
    <w:rsid w:val="00FB12DE"/>
    <w:rsid w:val="00FB13B5"/>
    <w:rsid w:val="00FB16A9"/>
    <w:rsid w:val="00FB1A3B"/>
    <w:rsid w:val="00FB20E7"/>
    <w:rsid w:val="00FB21B4"/>
    <w:rsid w:val="00FB2244"/>
    <w:rsid w:val="00FB24D9"/>
    <w:rsid w:val="00FB26BF"/>
    <w:rsid w:val="00FB28AF"/>
    <w:rsid w:val="00FB29D6"/>
    <w:rsid w:val="00FB2AA5"/>
    <w:rsid w:val="00FB2AC3"/>
    <w:rsid w:val="00FB2E17"/>
    <w:rsid w:val="00FB2E47"/>
    <w:rsid w:val="00FB3223"/>
    <w:rsid w:val="00FB352A"/>
    <w:rsid w:val="00FB3570"/>
    <w:rsid w:val="00FB363C"/>
    <w:rsid w:val="00FB3683"/>
    <w:rsid w:val="00FB3685"/>
    <w:rsid w:val="00FB3802"/>
    <w:rsid w:val="00FB3945"/>
    <w:rsid w:val="00FB39F1"/>
    <w:rsid w:val="00FB3D62"/>
    <w:rsid w:val="00FB3D71"/>
    <w:rsid w:val="00FB3FBC"/>
    <w:rsid w:val="00FB404B"/>
    <w:rsid w:val="00FB4082"/>
    <w:rsid w:val="00FB45E7"/>
    <w:rsid w:val="00FB4A29"/>
    <w:rsid w:val="00FB4A69"/>
    <w:rsid w:val="00FB4AA4"/>
    <w:rsid w:val="00FB4C1F"/>
    <w:rsid w:val="00FB4C99"/>
    <w:rsid w:val="00FB4D6C"/>
    <w:rsid w:val="00FB4DBB"/>
    <w:rsid w:val="00FB5026"/>
    <w:rsid w:val="00FB5249"/>
    <w:rsid w:val="00FB5526"/>
    <w:rsid w:val="00FB552F"/>
    <w:rsid w:val="00FB55DE"/>
    <w:rsid w:val="00FB5753"/>
    <w:rsid w:val="00FB579A"/>
    <w:rsid w:val="00FB586C"/>
    <w:rsid w:val="00FB58C0"/>
    <w:rsid w:val="00FB59C2"/>
    <w:rsid w:val="00FB5D4F"/>
    <w:rsid w:val="00FB5E1E"/>
    <w:rsid w:val="00FB5F97"/>
    <w:rsid w:val="00FB64FC"/>
    <w:rsid w:val="00FB66E4"/>
    <w:rsid w:val="00FB6C21"/>
    <w:rsid w:val="00FB6C5B"/>
    <w:rsid w:val="00FB6E68"/>
    <w:rsid w:val="00FB7007"/>
    <w:rsid w:val="00FB7084"/>
    <w:rsid w:val="00FB7267"/>
    <w:rsid w:val="00FB7337"/>
    <w:rsid w:val="00FB733F"/>
    <w:rsid w:val="00FB748F"/>
    <w:rsid w:val="00FB74B9"/>
    <w:rsid w:val="00FB74D9"/>
    <w:rsid w:val="00FB7622"/>
    <w:rsid w:val="00FB7687"/>
    <w:rsid w:val="00FB773B"/>
    <w:rsid w:val="00FB7875"/>
    <w:rsid w:val="00FB792A"/>
    <w:rsid w:val="00FB7A57"/>
    <w:rsid w:val="00FB7B0F"/>
    <w:rsid w:val="00FB7D1F"/>
    <w:rsid w:val="00FB7D3F"/>
    <w:rsid w:val="00FB7E30"/>
    <w:rsid w:val="00FB7EA9"/>
    <w:rsid w:val="00FC01C0"/>
    <w:rsid w:val="00FC023D"/>
    <w:rsid w:val="00FC070C"/>
    <w:rsid w:val="00FC0916"/>
    <w:rsid w:val="00FC0A1E"/>
    <w:rsid w:val="00FC0B35"/>
    <w:rsid w:val="00FC0B66"/>
    <w:rsid w:val="00FC0BFA"/>
    <w:rsid w:val="00FC1090"/>
    <w:rsid w:val="00FC13AD"/>
    <w:rsid w:val="00FC13BC"/>
    <w:rsid w:val="00FC13E5"/>
    <w:rsid w:val="00FC1510"/>
    <w:rsid w:val="00FC155B"/>
    <w:rsid w:val="00FC1717"/>
    <w:rsid w:val="00FC195C"/>
    <w:rsid w:val="00FC19D8"/>
    <w:rsid w:val="00FC1A06"/>
    <w:rsid w:val="00FC1B68"/>
    <w:rsid w:val="00FC1B86"/>
    <w:rsid w:val="00FC1D33"/>
    <w:rsid w:val="00FC1FFE"/>
    <w:rsid w:val="00FC2007"/>
    <w:rsid w:val="00FC20DE"/>
    <w:rsid w:val="00FC21E3"/>
    <w:rsid w:val="00FC244B"/>
    <w:rsid w:val="00FC28A1"/>
    <w:rsid w:val="00FC28B1"/>
    <w:rsid w:val="00FC2923"/>
    <w:rsid w:val="00FC2974"/>
    <w:rsid w:val="00FC2B8F"/>
    <w:rsid w:val="00FC2C8D"/>
    <w:rsid w:val="00FC3086"/>
    <w:rsid w:val="00FC33E6"/>
    <w:rsid w:val="00FC34A3"/>
    <w:rsid w:val="00FC34E7"/>
    <w:rsid w:val="00FC3557"/>
    <w:rsid w:val="00FC367A"/>
    <w:rsid w:val="00FC36B9"/>
    <w:rsid w:val="00FC36EE"/>
    <w:rsid w:val="00FC375A"/>
    <w:rsid w:val="00FC3A39"/>
    <w:rsid w:val="00FC3B89"/>
    <w:rsid w:val="00FC3BED"/>
    <w:rsid w:val="00FC43D1"/>
    <w:rsid w:val="00FC45A5"/>
    <w:rsid w:val="00FC46CA"/>
    <w:rsid w:val="00FC48C5"/>
    <w:rsid w:val="00FC4B28"/>
    <w:rsid w:val="00FC4B4D"/>
    <w:rsid w:val="00FC4C24"/>
    <w:rsid w:val="00FC4C94"/>
    <w:rsid w:val="00FC4CB2"/>
    <w:rsid w:val="00FC4CF8"/>
    <w:rsid w:val="00FC4D15"/>
    <w:rsid w:val="00FC4E4B"/>
    <w:rsid w:val="00FC531B"/>
    <w:rsid w:val="00FC555E"/>
    <w:rsid w:val="00FC5701"/>
    <w:rsid w:val="00FC5722"/>
    <w:rsid w:val="00FC5757"/>
    <w:rsid w:val="00FC59AD"/>
    <w:rsid w:val="00FC60D6"/>
    <w:rsid w:val="00FC6138"/>
    <w:rsid w:val="00FC63C6"/>
    <w:rsid w:val="00FC6A2C"/>
    <w:rsid w:val="00FC6EC4"/>
    <w:rsid w:val="00FC7206"/>
    <w:rsid w:val="00FC7356"/>
    <w:rsid w:val="00FC751F"/>
    <w:rsid w:val="00FC7740"/>
    <w:rsid w:val="00FC7AF8"/>
    <w:rsid w:val="00FC7C41"/>
    <w:rsid w:val="00FC7C5D"/>
    <w:rsid w:val="00FC7D7A"/>
    <w:rsid w:val="00FC7D88"/>
    <w:rsid w:val="00FC7FB2"/>
    <w:rsid w:val="00FD00AA"/>
    <w:rsid w:val="00FD0147"/>
    <w:rsid w:val="00FD019D"/>
    <w:rsid w:val="00FD01E0"/>
    <w:rsid w:val="00FD0423"/>
    <w:rsid w:val="00FD05BA"/>
    <w:rsid w:val="00FD07B3"/>
    <w:rsid w:val="00FD08D4"/>
    <w:rsid w:val="00FD0C68"/>
    <w:rsid w:val="00FD0D7B"/>
    <w:rsid w:val="00FD1065"/>
    <w:rsid w:val="00FD10FE"/>
    <w:rsid w:val="00FD14B5"/>
    <w:rsid w:val="00FD16E8"/>
    <w:rsid w:val="00FD1749"/>
    <w:rsid w:val="00FD1835"/>
    <w:rsid w:val="00FD1954"/>
    <w:rsid w:val="00FD1C2B"/>
    <w:rsid w:val="00FD2050"/>
    <w:rsid w:val="00FD20E5"/>
    <w:rsid w:val="00FD2393"/>
    <w:rsid w:val="00FD244D"/>
    <w:rsid w:val="00FD24DE"/>
    <w:rsid w:val="00FD25BE"/>
    <w:rsid w:val="00FD260F"/>
    <w:rsid w:val="00FD2612"/>
    <w:rsid w:val="00FD2C48"/>
    <w:rsid w:val="00FD2C7B"/>
    <w:rsid w:val="00FD356D"/>
    <w:rsid w:val="00FD35AA"/>
    <w:rsid w:val="00FD3A64"/>
    <w:rsid w:val="00FD3AED"/>
    <w:rsid w:val="00FD3DB4"/>
    <w:rsid w:val="00FD3FC1"/>
    <w:rsid w:val="00FD40C5"/>
    <w:rsid w:val="00FD411C"/>
    <w:rsid w:val="00FD45BD"/>
    <w:rsid w:val="00FD46B1"/>
    <w:rsid w:val="00FD48C8"/>
    <w:rsid w:val="00FD4B73"/>
    <w:rsid w:val="00FD4CAE"/>
    <w:rsid w:val="00FD4E2E"/>
    <w:rsid w:val="00FD4F96"/>
    <w:rsid w:val="00FD50D9"/>
    <w:rsid w:val="00FD510D"/>
    <w:rsid w:val="00FD51D4"/>
    <w:rsid w:val="00FD51F3"/>
    <w:rsid w:val="00FD54A0"/>
    <w:rsid w:val="00FD5510"/>
    <w:rsid w:val="00FD5907"/>
    <w:rsid w:val="00FD592E"/>
    <w:rsid w:val="00FD5ADD"/>
    <w:rsid w:val="00FD5DB4"/>
    <w:rsid w:val="00FD6545"/>
    <w:rsid w:val="00FD6973"/>
    <w:rsid w:val="00FD6AEB"/>
    <w:rsid w:val="00FD6B8A"/>
    <w:rsid w:val="00FD6C12"/>
    <w:rsid w:val="00FD6EA8"/>
    <w:rsid w:val="00FD6F47"/>
    <w:rsid w:val="00FD717A"/>
    <w:rsid w:val="00FD7374"/>
    <w:rsid w:val="00FD74B9"/>
    <w:rsid w:val="00FD7546"/>
    <w:rsid w:val="00FD764B"/>
    <w:rsid w:val="00FD795A"/>
    <w:rsid w:val="00FD79E4"/>
    <w:rsid w:val="00FD7DA3"/>
    <w:rsid w:val="00FD7DAB"/>
    <w:rsid w:val="00FD7E45"/>
    <w:rsid w:val="00FE0020"/>
    <w:rsid w:val="00FE0249"/>
    <w:rsid w:val="00FE030E"/>
    <w:rsid w:val="00FE032C"/>
    <w:rsid w:val="00FE040A"/>
    <w:rsid w:val="00FE0471"/>
    <w:rsid w:val="00FE0615"/>
    <w:rsid w:val="00FE0A07"/>
    <w:rsid w:val="00FE0C3F"/>
    <w:rsid w:val="00FE0C45"/>
    <w:rsid w:val="00FE0C87"/>
    <w:rsid w:val="00FE0D40"/>
    <w:rsid w:val="00FE0DAB"/>
    <w:rsid w:val="00FE136B"/>
    <w:rsid w:val="00FE136C"/>
    <w:rsid w:val="00FE1406"/>
    <w:rsid w:val="00FE151E"/>
    <w:rsid w:val="00FE1539"/>
    <w:rsid w:val="00FE15F0"/>
    <w:rsid w:val="00FE1AC3"/>
    <w:rsid w:val="00FE1CB7"/>
    <w:rsid w:val="00FE1EC3"/>
    <w:rsid w:val="00FE2089"/>
    <w:rsid w:val="00FE20C8"/>
    <w:rsid w:val="00FE21B4"/>
    <w:rsid w:val="00FE22C5"/>
    <w:rsid w:val="00FE23DB"/>
    <w:rsid w:val="00FE23E4"/>
    <w:rsid w:val="00FE23FD"/>
    <w:rsid w:val="00FE2459"/>
    <w:rsid w:val="00FE24FF"/>
    <w:rsid w:val="00FE253B"/>
    <w:rsid w:val="00FE25FC"/>
    <w:rsid w:val="00FE27C4"/>
    <w:rsid w:val="00FE27FC"/>
    <w:rsid w:val="00FE28B4"/>
    <w:rsid w:val="00FE2C17"/>
    <w:rsid w:val="00FE2D70"/>
    <w:rsid w:val="00FE3496"/>
    <w:rsid w:val="00FE387D"/>
    <w:rsid w:val="00FE39C8"/>
    <w:rsid w:val="00FE3A19"/>
    <w:rsid w:val="00FE3A92"/>
    <w:rsid w:val="00FE3E6C"/>
    <w:rsid w:val="00FE434D"/>
    <w:rsid w:val="00FE47AE"/>
    <w:rsid w:val="00FE48E8"/>
    <w:rsid w:val="00FE494C"/>
    <w:rsid w:val="00FE4977"/>
    <w:rsid w:val="00FE4A83"/>
    <w:rsid w:val="00FE4B98"/>
    <w:rsid w:val="00FE4D0B"/>
    <w:rsid w:val="00FE5131"/>
    <w:rsid w:val="00FE518B"/>
    <w:rsid w:val="00FE585B"/>
    <w:rsid w:val="00FE58B5"/>
    <w:rsid w:val="00FE5B7C"/>
    <w:rsid w:val="00FE5C60"/>
    <w:rsid w:val="00FE5DC6"/>
    <w:rsid w:val="00FE699F"/>
    <w:rsid w:val="00FE69B9"/>
    <w:rsid w:val="00FE6CA1"/>
    <w:rsid w:val="00FE6DFE"/>
    <w:rsid w:val="00FE7063"/>
    <w:rsid w:val="00FE70F8"/>
    <w:rsid w:val="00FE71D5"/>
    <w:rsid w:val="00FE7292"/>
    <w:rsid w:val="00FE736A"/>
    <w:rsid w:val="00FE7446"/>
    <w:rsid w:val="00FE79CF"/>
    <w:rsid w:val="00FE7B78"/>
    <w:rsid w:val="00FE7E05"/>
    <w:rsid w:val="00FE7E4E"/>
    <w:rsid w:val="00FE7FAF"/>
    <w:rsid w:val="00FF00EE"/>
    <w:rsid w:val="00FF01D7"/>
    <w:rsid w:val="00FF02CF"/>
    <w:rsid w:val="00FF031C"/>
    <w:rsid w:val="00FF0402"/>
    <w:rsid w:val="00FF0406"/>
    <w:rsid w:val="00FF0498"/>
    <w:rsid w:val="00FF050E"/>
    <w:rsid w:val="00FF072F"/>
    <w:rsid w:val="00FF0841"/>
    <w:rsid w:val="00FF09C7"/>
    <w:rsid w:val="00FF0A81"/>
    <w:rsid w:val="00FF0B1A"/>
    <w:rsid w:val="00FF0CC6"/>
    <w:rsid w:val="00FF0DA3"/>
    <w:rsid w:val="00FF0DF0"/>
    <w:rsid w:val="00FF0E98"/>
    <w:rsid w:val="00FF1014"/>
    <w:rsid w:val="00FF101F"/>
    <w:rsid w:val="00FF1027"/>
    <w:rsid w:val="00FF1589"/>
    <w:rsid w:val="00FF15AE"/>
    <w:rsid w:val="00FF15B5"/>
    <w:rsid w:val="00FF1A4E"/>
    <w:rsid w:val="00FF1B94"/>
    <w:rsid w:val="00FF1CBE"/>
    <w:rsid w:val="00FF1D48"/>
    <w:rsid w:val="00FF1F04"/>
    <w:rsid w:val="00FF20D7"/>
    <w:rsid w:val="00FF2320"/>
    <w:rsid w:val="00FF246E"/>
    <w:rsid w:val="00FF2810"/>
    <w:rsid w:val="00FF293C"/>
    <w:rsid w:val="00FF2A15"/>
    <w:rsid w:val="00FF2A82"/>
    <w:rsid w:val="00FF2B14"/>
    <w:rsid w:val="00FF2C97"/>
    <w:rsid w:val="00FF2D85"/>
    <w:rsid w:val="00FF2F5D"/>
    <w:rsid w:val="00FF30E2"/>
    <w:rsid w:val="00FF33FC"/>
    <w:rsid w:val="00FF35B8"/>
    <w:rsid w:val="00FF3733"/>
    <w:rsid w:val="00FF37D6"/>
    <w:rsid w:val="00FF37E8"/>
    <w:rsid w:val="00FF3ED1"/>
    <w:rsid w:val="00FF3FF2"/>
    <w:rsid w:val="00FF4532"/>
    <w:rsid w:val="00FF4613"/>
    <w:rsid w:val="00FF4776"/>
    <w:rsid w:val="00FF477B"/>
    <w:rsid w:val="00FF489E"/>
    <w:rsid w:val="00FF4964"/>
    <w:rsid w:val="00FF49CD"/>
    <w:rsid w:val="00FF4F9D"/>
    <w:rsid w:val="00FF5169"/>
    <w:rsid w:val="00FF52F6"/>
    <w:rsid w:val="00FF5333"/>
    <w:rsid w:val="00FF534A"/>
    <w:rsid w:val="00FF5373"/>
    <w:rsid w:val="00FF55B1"/>
    <w:rsid w:val="00FF5634"/>
    <w:rsid w:val="00FF591A"/>
    <w:rsid w:val="00FF5937"/>
    <w:rsid w:val="00FF5B63"/>
    <w:rsid w:val="00FF6201"/>
    <w:rsid w:val="00FF6254"/>
    <w:rsid w:val="00FF6658"/>
    <w:rsid w:val="00FF6BD8"/>
    <w:rsid w:val="00FF6D46"/>
    <w:rsid w:val="00FF72EB"/>
    <w:rsid w:val="00FF72FB"/>
    <w:rsid w:val="00FF7707"/>
    <w:rsid w:val="00FF780C"/>
    <w:rsid w:val="00FF7CF5"/>
    <w:rsid w:val="00FF7EF1"/>
    <w:rsid w:val="00FF7F17"/>
    <w:rsid w:val="00FF7F6A"/>
    <w:rsid w:val="01006EB3"/>
    <w:rsid w:val="01042E10"/>
    <w:rsid w:val="010C0B87"/>
    <w:rsid w:val="014D63F5"/>
    <w:rsid w:val="014EF3E9"/>
    <w:rsid w:val="016BBBC0"/>
    <w:rsid w:val="02D16A7D"/>
    <w:rsid w:val="0382087F"/>
    <w:rsid w:val="0471D56B"/>
    <w:rsid w:val="0483617E"/>
    <w:rsid w:val="04B0FD7B"/>
    <w:rsid w:val="0561A0A7"/>
    <w:rsid w:val="06395CC3"/>
    <w:rsid w:val="0691C28D"/>
    <w:rsid w:val="07900FFC"/>
    <w:rsid w:val="07999C3A"/>
    <w:rsid w:val="07DB1807"/>
    <w:rsid w:val="08B2A826"/>
    <w:rsid w:val="08FC794F"/>
    <w:rsid w:val="09B8C5CE"/>
    <w:rsid w:val="0ABB79E3"/>
    <w:rsid w:val="0ABE8805"/>
    <w:rsid w:val="0B9E3955"/>
    <w:rsid w:val="0BB5F2B8"/>
    <w:rsid w:val="0BBC2BBF"/>
    <w:rsid w:val="0C91CAA9"/>
    <w:rsid w:val="0CA3AE72"/>
    <w:rsid w:val="0CB2B5FD"/>
    <w:rsid w:val="0CE72DD4"/>
    <w:rsid w:val="0CFD5769"/>
    <w:rsid w:val="0DE2B118"/>
    <w:rsid w:val="0E1E69B8"/>
    <w:rsid w:val="0E8038F4"/>
    <w:rsid w:val="0E991A39"/>
    <w:rsid w:val="0ECCF4FB"/>
    <w:rsid w:val="0F2B4FE2"/>
    <w:rsid w:val="0F31A8FB"/>
    <w:rsid w:val="0FA56FE7"/>
    <w:rsid w:val="1003E5EA"/>
    <w:rsid w:val="10265C19"/>
    <w:rsid w:val="1059B564"/>
    <w:rsid w:val="1090386D"/>
    <w:rsid w:val="1096B2BE"/>
    <w:rsid w:val="10E68B97"/>
    <w:rsid w:val="12970B67"/>
    <w:rsid w:val="12B6223B"/>
    <w:rsid w:val="12FAF8D5"/>
    <w:rsid w:val="137E3EE1"/>
    <w:rsid w:val="147DFC17"/>
    <w:rsid w:val="154E14BA"/>
    <w:rsid w:val="15778504"/>
    <w:rsid w:val="1584BE81"/>
    <w:rsid w:val="15DA4C4A"/>
    <w:rsid w:val="16E185F0"/>
    <w:rsid w:val="18B9C39F"/>
    <w:rsid w:val="18C0EC29"/>
    <w:rsid w:val="18D3C216"/>
    <w:rsid w:val="19DF3E62"/>
    <w:rsid w:val="19F46EA7"/>
    <w:rsid w:val="1A10DA79"/>
    <w:rsid w:val="1A4EEFEA"/>
    <w:rsid w:val="1A6CA6CD"/>
    <w:rsid w:val="1AEA0E00"/>
    <w:rsid w:val="1C57A3E2"/>
    <w:rsid w:val="1C6CFA43"/>
    <w:rsid w:val="1CF9C448"/>
    <w:rsid w:val="1E5BA687"/>
    <w:rsid w:val="1EF2BC56"/>
    <w:rsid w:val="1F08E6D7"/>
    <w:rsid w:val="1F998C0C"/>
    <w:rsid w:val="1FB989DD"/>
    <w:rsid w:val="1FC3A625"/>
    <w:rsid w:val="203BD3AE"/>
    <w:rsid w:val="221C6DA3"/>
    <w:rsid w:val="228AD72F"/>
    <w:rsid w:val="22A687F9"/>
    <w:rsid w:val="22DFF752"/>
    <w:rsid w:val="232BE6E2"/>
    <w:rsid w:val="23B22024"/>
    <w:rsid w:val="241308D2"/>
    <w:rsid w:val="242EB999"/>
    <w:rsid w:val="249CEAEC"/>
    <w:rsid w:val="24AFA053"/>
    <w:rsid w:val="24F0A1AC"/>
    <w:rsid w:val="24F50054"/>
    <w:rsid w:val="24FE7138"/>
    <w:rsid w:val="2528E505"/>
    <w:rsid w:val="25336822"/>
    <w:rsid w:val="2553D99C"/>
    <w:rsid w:val="25ABE344"/>
    <w:rsid w:val="2641580C"/>
    <w:rsid w:val="269A933F"/>
    <w:rsid w:val="26BB1FF9"/>
    <w:rsid w:val="26D162FB"/>
    <w:rsid w:val="26DF4EDC"/>
    <w:rsid w:val="26EF3CD4"/>
    <w:rsid w:val="2761E495"/>
    <w:rsid w:val="27A4D61D"/>
    <w:rsid w:val="27C1BF5C"/>
    <w:rsid w:val="27ED091F"/>
    <w:rsid w:val="281863A1"/>
    <w:rsid w:val="2847A626"/>
    <w:rsid w:val="29BA66B2"/>
    <w:rsid w:val="29CFEC61"/>
    <w:rsid w:val="29E53FEA"/>
    <w:rsid w:val="2A06F768"/>
    <w:rsid w:val="2A6DE07B"/>
    <w:rsid w:val="2AC61D13"/>
    <w:rsid w:val="2AE8C50C"/>
    <w:rsid w:val="2B30DFEC"/>
    <w:rsid w:val="2BF4E909"/>
    <w:rsid w:val="2C2D8B93"/>
    <w:rsid w:val="2C6F047D"/>
    <w:rsid w:val="2C8CF271"/>
    <w:rsid w:val="2CFC9453"/>
    <w:rsid w:val="2D1DF6EC"/>
    <w:rsid w:val="2D48C25B"/>
    <w:rsid w:val="2D9F06A0"/>
    <w:rsid w:val="2E4C6761"/>
    <w:rsid w:val="2E5645E7"/>
    <w:rsid w:val="2EBA490A"/>
    <w:rsid w:val="2EDE4BD2"/>
    <w:rsid w:val="30F5A2A9"/>
    <w:rsid w:val="311A522A"/>
    <w:rsid w:val="31AAF01D"/>
    <w:rsid w:val="31AFD0BF"/>
    <w:rsid w:val="31BA9522"/>
    <w:rsid w:val="31E5DAD5"/>
    <w:rsid w:val="32082CDF"/>
    <w:rsid w:val="320C10A5"/>
    <w:rsid w:val="321C20A5"/>
    <w:rsid w:val="32552F30"/>
    <w:rsid w:val="32768711"/>
    <w:rsid w:val="32CFBBB9"/>
    <w:rsid w:val="345EAF48"/>
    <w:rsid w:val="3495AE98"/>
    <w:rsid w:val="34A83632"/>
    <w:rsid w:val="34EC707B"/>
    <w:rsid w:val="350C03F4"/>
    <w:rsid w:val="3590694A"/>
    <w:rsid w:val="35A2B5B6"/>
    <w:rsid w:val="35C3ED68"/>
    <w:rsid w:val="35F9F9D2"/>
    <w:rsid w:val="362590B2"/>
    <w:rsid w:val="36649DE0"/>
    <w:rsid w:val="394FBE13"/>
    <w:rsid w:val="396B101E"/>
    <w:rsid w:val="39C863D7"/>
    <w:rsid w:val="3A438E8F"/>
    <w:rsid w:val="3AC74232"/>
    <w:rsid w:val="3ACBC685"/>
    <w:rsid w:val="3ACF0982"/>
    <w:rsid w:val="3B441840"/>
    <w:rsid w:val="3B9FA6A8"/>
    <w:rsid w:val="3BCF5DB9"/>
    <w:rsid w:val="3C69F681"/>
    <w:rsid w:val="3C6D0085"/>
    <w:rsid w:val="3C9EC27F"/>
    <w:rsid w:val="3CE6ABB0"/>
    <w:rsid w:val="3D205222"/>
    <w:rsid w:val="3D52ABD4"/>
    <w:rsid w:val="3D941756"/>
    <w:rsid w:val="3E07F151"/>
    <w:rsid w:val="3E85600D"/>
    <w:rsid w:val="3EDB754B"/>
    <w:rsid w:val="3EEEC718"/>
    <w:rsid w:val="3F09AB86"/>
    <w:rsid w:val="3F0F954C"/>
    <w:rsid w:val="3F7E27C5"/>
    <w:rsid w:val="4014876F"/>
    <w:rsid w:val="407B9927"/>
    <w:rsid w:val="4111813D"/>
    <w:rsid w:val="4160FF7E"/>
    <w:rsid w:val="4175B754"/>
    <w:rsid w:val="418C2159"/>
    <w:rsid w:val="41AAD6F6"/>
    <w:rsid w:val="42EBB25A"/>
    <w:rsid w:val="4311F264"/>
    <w:rsid w:val="4337BFAE"/>
    <w:rsid w:val="437C44C5"/>
    <w:rsid w:val="43E3A343"/>
    <w:rsid w:val="43F19CC5"/>
    <w:rsid w:val="4453A376"/>
    <w:rsid w:val="44CFBA5A"/>
    <w:rsid w:val="451D0F68"/>
    <w:rsid w:val="456E2746"/>
    <w:rsid w:val="45BD6051"/>
    <w:rsid w:val="460D8C84"/>
    <w:rsid w:val="463D530D"/>
    <w:rsid w:val="46F24B80"/>
    <w:rsid w:val="46F25864"/>
    <w:rsid w:val="4705D9A7"/>
    <w:rsid w:val="475E76FC"/>
    <w:rsid w:val="4768AE99"/>
    <w:rsid w:val="477760C9"/>
    <w:rsid w:val="477855AB"/>
    <w:rsid w:val="47BC1BCA"/>
    <w:rsid w:val="47E7E926"/>
    <w:rsid w:val="4917E216"/>
    <w:rsid w:val="492235AF"/>
    <w:rsid w:val="4989216E"/>
    <w:rsid w:val="498CF4FF"/>
    <w:rsid w:val="4994DB28"/>
    <w:rsid w:val="4998AA02"/>
    <w:rsid w:val="49BC46E6"/>
    <w:rsid w:val="49FDAF56"/>
    <w:rsid w:val="4A041A79"/>
    <w:rsid w:val="4A81146C"/>
    <w:rsid w:val="4BEBBF6E"/>
    <w:rsid w:val="4C3C0B8E"/>
    <w:rsid w:val="4CB7A06D"/>
    <w:rsid w:val="4CC0C230"/>
    <w:rsid w:val="4D2ED6E2"/>
    <w:rsid w:val="4D625E2B"/>
    <w:rsid w:val="4E1F7393"/>
    <w:rsid w:val="4E2E9CE5"/>
    <w:rsid w:val="4E940D90"/>
    <w:rsid w:val="4F48E11B"/>
    <w:rsid w:val="4F49CC1D"/>
    <w:rsid w:val="4FA0265A"/>
    <w:rsid w:val="4FDF3A95"/>
    <w:rsid w:val="50274945"/>
    <w:rsid w:val="5074E797"/>
    <w:rsid w:val="50FC4089"/>
    <w:rsid w:val="512A003F"/>
    <w:rsid w:val="517B0AF6"/>
    <w:rsid w:val="520DD2C8"/>
    <w:rsid w:val="521B9EC4"/>
    <w:rsid w:val="5280316E"/>
    <w:rsid w:val="528E4083"/>
    <w:rsid w:val="52AEEF30"/>
    <w:rsid w:val="52B99184"/>
    <w:rsid w:val="53A7A6C3"/>
    <w:rsid w:val="53C8A984"/>
    <w:rsid w:val="546CAC19"/>
    <w:rsid w:val="54D63F83"/>
    <w:rsid w:val="552F12AF"/>
    <w:rsid w:val="55666A98"/>
    <w:rsid w:val="556E9A0B"/>
    <w:rsid w:val="55972A96"/>
    <w:rsid w:val="55DC0D9B"/>
    <w:rsid w:val="56D85927"/>
    <w:rsid w:val="5787E906"/>
    <w:rsid w:val="57EAF9D1"/>
    <w:rsid w:val="58353FC6"/>
    <w:rsid w:val="584E61DC"/>
    <w:rsid w:val="58C3F5CC"/>
    <w:rsid w:val="590B4D12"/>
    <w:rsid w:val="59614758"/>
    <w:rsid w:val="59F36E5D"/>
    <w:rsid w:val="59F70394"/>
    <w:rsid w:val="59FE78D3"/>
    <w:rsid w:val="5A445E7E"/>
    <w:rsid w:val="5A4D5003"/>
    <w:rsid w:val="5A5C25A3"/>
    <w:rsid w:val="5A65BB3C"/>
    <w:rsid w:val="5B4D8D16"/>
    <w:rsid w:val="5B5760B0"/>
    <w:rsid w:val="5B620D76"/>
    <w:rsid w:val="5B788B4C"/>
    <w:rsid w:val="5B94927D"/>
    <w:rsid w:val="5CF4B7A6"/>
    <w:rsid w:val="5D3C852E"/>
    <w:rsid w:val="5D606701"/>
    <w:rsid w:val="5E0836E3"/>
    <w:rsid w:val="5E4DB190"/>
    <w:rsid w:val="5E519D27"/>
    <w:rsid w:val="5E9E76DF"/>
    <w:rsid w:val="5EE87D97"/>
    <w:rsid w:val="5F3295EC"/>
    <w:rsid w:val="5FC75FF8"/>
    <w:rsid w:val="5FEF995C"/>
    <w:rsid w:val="6018BAA5"/>
    <w:rsid w:val="606D4A85"/>
    <w:rsid w:val="607D348B"/>
    <w:rsid w:val="609331BB"/>
    <w:rsid w:val="60E38C43"/>
    <w:rsid w:val="613918E8"/>
    <w:rsid w:val="61C8270A"/>
    <w:rsid w:val="625682DF"/>
    <w:rsid w:val="628BA5F3"/>
    <w:rsid w:val="62993DC3"/>
    <w:rsid w:val="62A47A44"/>
    <w:rsid w:val="62D77222"/>
    <w:rsid w:val="630A9626"/>
    <w:rsid w:val="63365415"/>
    <w:rsid w:val="636E4BC9"/>
    <w:rsid w:val="63F84288"/>
    <w:rsid w:val="6400CEB1"/>
    <w:rsid w:val="647F7910"/>
    <w:rsid w:val="649854E9"/>
    <w:rsid w:val="64DAAA80"/>
    <w:rsid w:val="6578165C"/>
    <w:rsid w:val="659ABB6F"/>
    <w:rsid w:val="662B6E59"/>
    <w:rsid w:val="667F3355"/>
    <w:rsid w:val="66AACE82"/>
    <w:rsid w:val="66AFCFA2"/>
    <w:rsid w:val="66D59C0E"/>
    <w:rsid w:val="66F8D6FA"/>
    <w:rsid w:val="67A6B628"/>
    <w:rsid w:val="67E7F962"/>
    <w:rsid w:val="6805A8FD"/>
    <w:rsid w:val="6865CE46"/>
    <w:rsid w:val="68A3BFF6"/>
    <w:rsid w:val="68E82633"/>
    <w:rsid w:val="69076BB6"/>
    <w:rsid w:val="6965F0E2"/>
    <w:rsid w:val="69B667FE"/>
    <w:rsid w:val="6A54BFBE"/>
    <w:rsid w:val="6A9700B8"/>
    <w:rsid w:val="6AC301E3"/>
    <w:rsid w:val="6B23A496"/>
    <w:rsid w:val="6B31D7A2"/>
    <w:rsid w:val="6B582556"/>
    <w:rsid w:val="6B5D2C8D"/>
    <w:rsid w:val="6C064D8C"/>
    <w:rsid w:val="6C2A7269"/>
    <w:rsid w:val="6C52C026"/>
    <w:rsid w:val="6CD0E2A9"/>
    <w:rsid w:val="6D4F9914"/>
    <w:rsid w:val="6D757224"/>
    <w:rsid w:val="6D9C9475"/>
    <w:rsid w:val="6DC1CE53"/>
    <w:rsid w:val="6F090D9E"/>
    <w:rsid w:val="6F3366AA"/>
    <w:rsid w:val="6F6C700B"/>
    <w:rsid w:val="6F71FABF"/>
    <w:rsid w:val="6F763252"/>
    <w:rsid w:val="6F7C1037"/>
    <w:rsid w:val="6F9A081C"/>
    <w:rsid w:val="6FAFBA1E"/>
    <w:rsid w:val="6FEFE424"/>
    <w:rsid w:val="701CBEBC"/>
    <w:rsid w:val="707E9E70"/>
    <w:rsid w:val="70F11980"/>
    <w:rsid w:val="7116F4E9"/>
    <w:rsid w:val="71981FB9"/>
    <w:rsid w:val="71D8AE7D"/>
    <w:rsid w:val="7249CE57"/>
    <w:rsid w:val="72501D4E"/>
    <w:rsid w:val="729BDE97"/>
    <w:rsid w:val="72AB9BFE"/>
    <w:rsid w:val="72B7C64E"/>
    <w:rsid w:val="731B4110"/>
    <w:rsid w:val="7337E0DD"/>
    <w:rsid w:val="734B1071"/>
    <w:rsid w:val="73B22ADA"/>
    <w:rsid w:val="73DFC561"/>
    <w:rsid w:val="748DD71B"/>
    <w:rsid w:val="74EFF6AF"/>
    <w:rsid w:val="7573482D"/>
    <w:rsid w:val="7581E93B"/>
    <w:rsid w:val="75A40CB8"/>
    <w:rsid w:val="75D948AC"/>
    <w:rsid w:val="7618AB34"/>
    <w:rsid w:val="7682B133"/>
    <w:rsid w:val="7691881E"/>
    <w:rsid w:val="76D81C30"/>
    <w:rsid w:val="7703362F"/>
    <w:rsid w:val="774B2B45"/>
    <w:rsid w:val="775468AF"/>
    <w:rsid w:val="78394C23"/>
    <w:rsid w:val="785809D0"/>
    <w:rsid w:val="78AD3451"/>
    <w:rsid w:val="78E088B9"/>
    <w:rsid w:val="78EDF2C5"/>
    <w:rsid w:val="79BCD79F"/>
    <w:rsid w:val="7A009CDC"/>
    <w:rsid w:val="7AA71CB5"/>
    <w:rsid w:val="7B709B71"/>
    <w:rsid w:val="7B77BFA1"/>
    <w:rsid w:val="7BD7AB13"/>
    <w:rsid w:val="7BEE0A92"/>
    <w:rsid w:val="7C10B64D"/>
    <w:rsid w:val="7C258C33"/>
    <w:rsid w:val="7C889417"/>
    <w:rsid w:val="7CB0B9D3"/>
    <w:rsid w:val="7D020493"/>
    <w:rsid w:val="7D060459"/>
    <w:rsid w:val="7DE5F48B"/>
    <w:rsid w:val="7DF983CD"/>
    <w:rsid w:val="7E11FA28"/>
    <w:rsid w:val="7E7DB750"/>
    <w:rsid w:val="7EF3624C"/>
    <w:rsid w:val="7F028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610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num" w:pos="360"/>
        <w:tab w:val="left" w:pos="1701"/>
      </w:tabs>
      <w:spacing w:line="300" w:lineRule="atLeast"/>
      <w:ind w:left="0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B7461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B7461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A61454"/>
    <w:pPr>
      <w:numPr>
        <w:numId w:val="3"/>
      </w:numPr>
      <w:ind w:left="924" w:hanging="357"/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link w:val="CGCNumberedParaChar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0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5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1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2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paragraph" w:customStyle="1" w:styleId="Bullet">
    <w:name w:val="Bullet"/>
    <w:basedOn w:val="Normal"/>
    <w:link w:val="BulletChar"/>
    <w:rsid w:val="00CA24FA"/>
    <w:pPr>
      <w:numPr>
        <w:numId w:val="13"/>
      </w:numPr>
    </w:pPr>
    <w:rPr>
      <w:szCs w:val="24"/>
    </w:rPr>
  </w:style>
  <w:style w:type="character" w:customStyle="1" w:styleId="CGCNumberedParaChar">
    <w:name w:val="CGC Numbered Para Char"/>
    <w:aliases w:val="CGC Para No Char"/>
    <w:basedOn w:val="DefaultParagraphFont"/>
    <w:link w:val="CGCNumberedPara"/>
    <w:rsid w:val="00CA24FA"/>
    <w:rPr>
      <w:sz w:val="24"/>
      <w:szCs w:val="24"/>
    </w:rPr>
  </w:style>
  <w:style w:type="character" w:customStyle="1" w:styleId="CGC2025ParaNumbersChar">
    <w:name w:val="CGC 2025 Para Numbers Char"/>
    <w:basedOn w:val="CGCNumberedParaChar"/>
    <w:link w:val="CGC2025ParaNumbers"/>
    <w:rsid w:val="00CA24FA"/>
    <w:rPr>
      <w:rFonts w:ascii="Work Sans" w:hAnsi="Work Sans"/>
      <w:sz w:val="20"/>
      <w:szCs w:val="24"/>
    </w:rPr>
  </w:style>
  <w:style w:type="character" w:customStyle="1" w:styleId="BulletChar">
    <w:name w:val="Bullet Char"/>
    <w:basedOn w:val="CGC2025ParaNumbersChar"/>
    <w:link w:val="Bullet"/>
    <w:rsid w:val="00CA24FA"/>
    <w:rPr>
      <w:rFonts w:ascii="Open Sans Light" w:hAnsi="Open Sans Light"/>
      <w:sz w:val="20"/>
      <w:szCs w:val="24"/>
    </w:rPr>
  </w:style>
  <w:style w:type="paragraph" w:customStyle="1" w:styleId="Dash">
    <w:name w:val="Dash"/>
    <w:basedOn w:val="Normal"/>
    <w:link w:val="DashChar"/>
    <w:rsid w:val="00CA24FA"/>
    <w:pPr>
      <w:numPr>
        <w:ilvl w:val="1"/>
        <w:numId w:val="13"/>
      </w:numPr>
    </w:pPr>
    <w:rPr>
      <w:szCs w:val="24"/>
    </w:rPr>
  </w:style>
  <w:style w:type="character" w:customStyle="1" w:styleId="DashChar">
    <w:name w:val="Dash Char"/>
    <w:basedOn w:val="CGC2025ParaNumbersChar"/>
    <w:link w:val="Dash"/>
    <w:rsid w:val="00CA24FA"/>
    <w:rPr>
      <w:rFonts w:ascii="Open Sans Light" w:hAnsi="Open Sans Light"/>
      <w:sz w:val="20"/>
      <w:szCs w:val="24"/>
    </w:rPr>
  </w:style>
  <w:style w:type="paragraph" w:customStyle="1" w:styleId="DoubleDot">
    <w:name w:val="Double Dot"/>
    <w:basedOn w:val="Normal"/>
    <w:link w:val="DoubleDotChar"/>
    <w:rsid w:val="00CA24FA"/>
    <w:pPr>
      <w:numPr>
        <w:ilvl w:val="2"/>
        <w:numId w:val="13"/>
      </w:numPr>
    </w:pPr>
    <w:rPr>
      <w:szCs w:val="24"/>
    </w:rPr>
  </w:style>
  <w:style w:type="character" w:customStyle="1" w:styleId="DoubleDotChar">
    <w:name w:val="Double Dot Char"/>
    <w:basedOn w:val="CGC2025ParaNumbersChar"/>
    <w:link w:val="DoubleDot"/>
    <w:rsid w:val="00CA24FA"/>
    <w:rPr>
      <w:rFonts w:ascii="Open Sans Light" w:hAnsi="Open Sans Light"/>
      <w:sz w:val="20"/>
      <w:szCs w:val="24"/>
    </w:rPr>
  </w:style>
  <w:style w:type="character" w:customStyle="1" w:styleId="normaltextrun">
    <w:name w:val="normaltextrun"/>
    <w:basedOn w:val="DefaultParagraphFont"/>
    <w:rsid w:val="002C3A2F"/>
  </w:style>
  <w:style w:type="character" w:customStyle="1" w:styleId="eop">
    <w:name w:val="eop"/>
    <w:basedOn w:val="DefaultParagraphFont"/>
    <w:rsid w:val="002C3A2F"/>
  </w:style>
  <w:style w:type="paragraph" w:customStyle="1" w:styleId="paragraph">
    <w:name w:val="paragraph"/>
    <w:basedOn w:val="Normal"/>
    <w:rsid w:val="002C3A2F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numbering" w:customStyle="1" w:styleId="CurrentList1">
    <w:name w:val="Current List1"/>
    <w:uiPriority w:val="99"/>
    <w:rsid w:val="00A41A79"/>
    <w:pPr>
      <w:numPr>
        <w:numId w:val="16"/>
      </w:numPr>
    </w:pPr>
  </w:style>
  <w:style w:type="character" w:styleId="PlaceholderText">
    <w:name w:val="Placeholder Text"/>
    <w:basedOn w:val="DefaultParagraphFont"/>
    <w:uiPriority w:val="99"/>
    <w:semiHidden/>
    <w:rsid w:val="00B74B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gc.gov.au/sites/default/files/2021-11/ia147500_-_stage_2_final_report_rev_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Carlton, Tim</DisplayName>
        <AccountId>14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0D415-3A0C-4389-A5CB-4CA0DE191BB0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3.xml><?xml version="1.0" encoding="utf-8"?>
<ds:datastoreItem xmlns:ds="http://schemas.openxmlformats.org/officeDocument/2006/customXml" ds:itemID="{3B807DC4-C97C-47BC-9098-8D18D85F1B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46C3B1-19BA-40F9-8AA3-C38152023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3814</Words>
  <Characters>20791</Characters>
  <Application>Microsoft Office Word</Application>
  <DocSecurity>0</DocSecurity>
  <Lines>770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Links>
    <vt:vector size="12" baseType="variant">
      <vt:variant>
        <vt:i4>3407940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https://www.cgc.gov.au/sites/default/files/2021-11/ia147500_-_stage_2_final_report_rev_d.pdf</vt:lpwstr>
      </vt:variant>
      <vt:variant>
        <vt:lpwstr/>
      </vt:variant>
      <vt:variant>
        <vt:i4>131114</vt:i4>
      </vt:variant>
      <vt:variant>
        <vt:i4>0</vt:i4>
      </vt:variant>
      <vt:variant>
        <vt:i4>0</vt:i4>
      </vt:variant>
      <vt:variant>
        <vt:i4>5</vt:i4>
      </vt:variant>
      <vt:variant>
        <vt:lpwstr>mailto:Jackson.Dickman@cgc.gov.au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2025-02-19T00:09:00Z</dcterms:created>
  <dcterms:modified xsi:type="dcterms:W3CDTF">2025-02-19T00:12:00Z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2025-02-19T00:10:00Z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673d3ffe-4f8e-4bf3-9a1d-ca71f2ce3550</vt:lpwstr>
  </property>
  <property fmtid="{D5CDD505-2E9C-101B-9397-08002B2CF9AE}" pid="8" name="MSIP_Label_4f932d64-9ab1-4d9b-81d2-a3a8b82dd47d_ContentBits">
    <vt:lpwstr>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ntentTypeId">
    <vt:lpwstr>0x010100B91115572CD2074A8DF493F1808623F4</vt:lpwstr>
  </property>
  <property fmtid="{D5CDD505-2E9C-101B-9397-08002B2CF9AE}" pid="12" name="_ColorH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_ColorTag">
    <vt:lpwstr/>
  </property>
  <property fmtid="{D5CDD505-2E9C-101B-9397-08002B2CF9AE}" pid="17" name="xd_Signature">
    <vt:bool>false</vt:bool>
  </property>
  <property fmtid="{D5CDD505-2E9C-101B-9397-08002B2CF9AE}" pid="18" name="GUID">
    <vt:lpwstr>3ac14e33-569d-4492-9f5e-cf3511fbf3d5</vt:lpwstr>
  </property>
  <property fmtid="{D5CDD505-2E9C-101B-9397-08002B2CF9AE}" pid="19" name="_Emoji">
    <vt:lpwstr/>
  </property>
  <property fmtid="{D5CDD505-2E9C-101B-9397-08002B2CF9AE}" pid="20" name="TriggerFlowInfo">
    <vt:lpwstr/>
  </property>
  <property fmtid="{D5CDD505-2E9C-101B-9397-08002B2CF9AE}" pid="21" name="Order">
    <vt:r8>86000600</vt:r8>
  </property>
</Properties>
</file>