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746E82F0" w:rsidR="001918E9" w:rsidRPr="00D35F0A" w:rsidRDefault="1A89B564" w:rsidP="00903B31">
      <w:pPr>
        <w:pStyle w:val="Heading1"/>
      </w:pPr>
      <w:bookmarkStart w:id="0" w:name="_Toc133236145"/>
      <w:bookmarkStart w:id="1" w:name="_Toc133236171"/>
      <w:bookmarkStart w:id="2" w:name="_Toc164798165"/>
      <w:r>
        <w:t>Health</w:t>
      </w:r>
    </w:p>
    <w:p w14:paraId="0FAD9C1D" w14:textId="77777777" w:rsidR="001918E9" w:rsidRPr="00D35F0A" w:rsidRDefault="001918E9" w:rsidP="000B2754">
      <w:pPr>
        <w:pStyle w:val="Heading2"/>
      </w:pPr>
      <w:r w:rsidRPr="00D35F0A">
        <w:t>Overview</w:t>
      </w:r>
      <w:bookmarkEnd w:id="0"/>
      <w:bookmarkEnd w:id="1"/>
      <w:bookmarkEnd w:id="2"/>
    </w:p>
    <w:p w14:paraId="5764E387" w14:textId="3763D791" w:rsidR="001918E9" w:rsidRDefault="001918E9" w:rsidP="000B2754">
      <w:pPr>
        <w:pStyle w:val="CGC2025ParaNumbers"/>
      </w:pPr>
      <w:r w:rsidRPr="007B18F1">
        <w:t xml:space="preserve">The </w:t>
      </w:r>
      <w:r w:rsidR="00A40F54" w:rsidRPr="007B18F1">
        <w:t>health</w:t>
      </w:r>
      <w:r w:rsidRPr="007B18F1">
        <w:t xml:space="preserve"> assessment covers </w:t>
      </w:r>
      <w:r w:rsidR="007B18F1" w:rsidRPr="007B18F1">
        <w:t xml:space="preserve">state </w:t>
      </w:r>
      <w:r w:rsidR="00C6553C">
        <w:t>and territory (state)</w:t>
      </w:r>
      <w:r w:rsidR="007B18F1" w:rsidRPr="007B18F1">
        <w:t xml:space="preserve"> </w:t>
      </w:r>
      <w:r w:rsidR="00F00805">
        <w:t xml:space="preserve">recurrent </w:t>
      </w:r>
      <w:r w:rsidR="00BB032F">
        <w:t>spending</w:t>
      </w:r>
      <w:r w:rsidR="007B18F1" w:rsidRPr="007B18F1">
        <w:t xml:space="preserve"> on public hospitals</w:t>
      </w:r>
      <w:r w:rsidR="006D61AF">
        <w:t xml:space="preserve">, </w:t>
      </w:r>
      <w:r w:rsidR="007B18F1" w:rsidRPr="007B18F1">
        <w:t>community and public health services</w:t>
      </w:r>
      <w:r w:rsidR="00D1298C">
        <w:t>,</w:t>
      </w:r>
      <w:r w:rsidR="006D61AF">
        <w:t xml:space="preserve"> and patient transport</w:t>
      </w:r>
      <w:r w:rsidRPr="007B18F1">
        <w:t xml:space="preserve">. </w:t>
      </w:r>
      <w:r w:rsidR="00577F47">
        <w:t>It has</w:t>
      </w:r>
      <w:r w:rsidRPr="007B18F1">
        <w:t xml:space="preserve"> the following components:</w:t>
      </w:r>
    </w:p>
    <w:p w14:paraId="42CDDADC" w14:textId="4636C825" w:rsidR="00977458" w:rsidRPr="00927945" w:rsidRDefault="00977458" w:rsidP="00977458">
      <w:pPr>
        <w:pStyle w:val="CGC2025Bullet1"/>
        <w:ind w:left="927" w:hanging="360"/>
      </w:pPr>
      <w:r>
        <w:t>a</w:t>
      </w:r>
      <w:r w:rsidRPr="00927945">
        <w:t>dmitted patient</w:t>
      </w:r>
      <w:r w:rsidR="00CA29B1">
        <w:t>s</w:t>
      </w:r>
      <w:r>
        <w:t xml:space="preserve"> </w:t>
      </w:r>
    </w:p>
    <w:p w14:paraId="062B8A97" w14:textId="4B6A3184" w:rsidR="00B87FB6" w:rsidRDefault="00977458" w:rsidP="00977458">
      <w:pPr>
        <w:pStyle w:val="CGC2025Bullet1"/>
        <w:ind w:left="927" w:hanging="360"/>
      </w:pPr>
      <w:r w:rsidRPr="00927945">
        <w:t>emergency department</w:t>
      </w:r>
      <w:r w:rsidR="000549F0">
        <w:t>s</w:t>
      </w:r>
      <w:r w:rsidRPr="00927945">
        <w:t xml:space="preserve"> </w:t>
      </w:r>
    </w:p>
    <w:p w14:paraId="4102E88E" w14:textId="77777777" w:rsidR="00196BBE" w:rsidRDefault="00977458" w:rsidP="00977458">
      <w:pPr>
        <w:pStyle w:val="CGC2025Bullet1"/>
        <w:ind w:left="927" w:hanging="360"/>
      </w:pPr>
      <w:r w:rsidRPr="00927945">
        <w:t>non-admitted patient</w:t>
      </w:r>
      <w:r w:rsidR="00CA29B1">
        <w:t>s</w:t>
      </w:r>
    </w:p>
    <w:p w14:paraId="7DAA787E" w14:textId="0A46CF46" w:rsidR="003F13E1" w:rsidRDefault="00217F29" w:rsidP="004E117A">
      <w:pPr>
        <w:pStyle w:val="CGC2025Bullet1"/>
      </w:pPr>
      <w:r>
        <w:t>c</w:t>
      </w:r>
      <w:r w:rsidRPr="00927945">
        <w:t>ommunity and public health</w:t>
      </w:r>
    </w:p>
    <w:p w14:paraId="599A83CC" w14:textId="039C8205" w:rsidR="00977458" w:rsidRDefault="00977458" w:rsidP="00977458">
      <w:pPr>
        <w:pStyle w:val="CGC2025Bullet1"/>
        <w:ind w:left="927" w:hanging="360"/>
      </w:pPr>
      <w:r>
        <w:t>n</w:t>
      </w:r>
      <w:r w:rsidRPr="00A60CF4">
        <w:t xml:space="preserve">on-hospital patient transport </w:t>
      </w:r>
    </w:p>
    <w:p w14:paraId="1FA78627" w14:textId="3A95349A" w:rsidR="003E2EA8" w:rsidRDefault="00DD1631" w:rsidP="00977458">
      <w:pPr>
        <w:pStyle w:val="CGC2025Bullet1"/>
        <w:ind w:left="927" w:hanging="360"/>
      </w:pPr>
      <w:r>
        <w:t xml:space="preserve">state spending on </w:t>
      </w:r>
      <w:r w:rsidR="00F9079D">
        <w:t xml:space="preserve">COVID-19 </w:t>
      </w:r>
      <w:r w:rsidR="00755224">
        <w:t xml:space="preserve">health services </w:t>
      </w:r>
      <w:r w:rsidR="00F23905">
        <w:t xml:space="preserve">associated with the </w:t>
      </w:r>
      <w:r w:rsidR="007F07CC">
        <w:t>national partnership agreement</w:t>
      </w:r>
      <w:r w:rsidR="00B261E2">
        <w:t>.</w:t>
      </w:r>
    </w:p>
    <w:p w14:paraId="74F4B909" w14:textId="06E440B6" w:rsidR="0077763C" w:rsidRPr="0077763C" w:rsidRDefault="001918E9" w:rsidP="00ED3991">
      <w:pPr>
        <w:pStyle w:val="CGC2025ParaNumbers"/>
      </w:pPr>
      <w:r w:rsidRPr="00AA7EBC">
        <w:t xml:space="preserve">The </w:t>
      </w:r>
      <w:r w:rsidR="00225BA9">
        <w:t>assessment</w:t>
      </w:r>
      <w:r w:rsidR="00225BA9" w:rsidRPr="00AA7EBC">
        <w:t xml:space="preserve"> </w:t>
      </w:r>
      <w:r w:rsidRPr="00AA7EBC">
        <w:t xml:space="preserve">recognises that </w:t>
      </w:r>
      <w:r w:rsidR="00A25C1B">
        <w:t xml:space="preserve">health expense </w:t>
      </w:r>
      <w:r w:rsidRPr="00AA7EBC">
        <w:t xml:space="preserve">needs </w:t>
      </w:r>
      <w:r w:rsidR="005A1E83">
        <w:t>are</w:t>
      </w:r>
      <w:r w:rsidRPr="00AA7EBC">
        <w:t xml:space="preserve"> i</w:t>
      </w:r>
      <w:r w:rsidR="00595EEC">
        <w:t>nfluenced</w:t>
      </w:r>
      <w:r w:rsidRPr="00AA7EBC">
        <w:t xml:space="preserve"> by</w:t>
      </w:r>
      <w:r w:rsidR="00952ED7">
        <w:t xml:space="preserve"> the following.</w:t>
      </w:r>
      <w:r w:rsidR="00596A8F">
        <w:t xml:space="preserve"> </w:t>
      </w:r>
    </w:p>
    <w:p w14:paraId="08D30F41" w14:textId="044BECFF" w:rsidR="0077763C" w:rsidRPr="006D77F0" w:rsidRDefault="008E64F0" w:rsidP="00CE011B">
      <w:pPr>
        <w:pStyle w:val="CGC2025Bullet1"/>
        <w:rPr>
          <w:bCs/>
        </w:rPr>
      </w:pPr>
      <w:r>
        <w:rPr>
          <w:bCs/>
        </w:rPr>
        <w:t>A</w:t>
      </w:r>
      <w:r w:rsidR="00E52C78" w:rsidRPr="007F77A1">
        <w:rPr>
          <w:bCs/>
        </w:rPr>
        <w:t>ge structure</w:t>
      </w:r>
      <w:r w:rsidR="00E52C78" w:rsidRPr="006D77F0">
        <w:rPr>
          <w:bCs/>
        </w:rPr>
        <w:t xml:space="preserve"> </w:t>
      </w:r>
      <w:r w:rsidRPr="007A6466">
        <w:rPr>
          <w:bCs/>
        </w:rPr>
        <w:t>—</w:t>
      </w:r>
      <w:r>
        <w:rPr>
          <w:bCs/>
        </w:rPr>
        <w:t xml:space="preserve"> </w:t>
      </w:r>
      <w:r w:rsidR="00E52C78" w:rsidRPr="006D77F0">
        <w:rPr>
          <w:bCs/>
        </w:rPr>
        <w:t>states with a higher proportion of older people have higher spending needs</w:t>
      </w:r>
      <w:r w:rsidR="00DF5E2F">
        <w:rPr>
          <w:bCs/>
        </w:rPr>
        <w:t>.</w:t>
      </w:r>
    </w:p>
    <w:p w14:paraId="3ACFF82D" w14:textId="6FCFAA88" w:rsidR="00E52C78" w:rsidRPr="006D77F0" w:rsidRDefault="00E52C78" w:rsidP="006D499B">
      <w:pPr>
        <w:pStyle w:val="CGC2025Bullet1"/>
        <w:rPr>
          <w:bCs/>
        </w:rPr>
      </w:pPr>
      <w:r w:rsidRPr="007F77A1">
        <w:rPr>
          <w:bCs/>
        </w:rPr>
        <w:t>First Nations people</w:t>
      </w:r>
      <w:r w:rsidRPr="006D77F0">
        <w:rPr>
          <w:bCs/>
        </w:rPr>
        <w:t xml:space="preserve"> </w:t>
      </w:r>
      <w:r w:rsidR="008E64F0" w:rsidRPr="007A6466">
        <w:rPr>
          <w:bCs/>
        </w:rPr>
        <w:t>—</w:t>
      </w:r>
      <w:r w:rsidR="008E64F0">
        <w:rPr>
          <w:bCs/>
        </w:rPr>
        <w:t xml:space="preserve"> </w:t>
      </w:r>
      <w:r w:rsidRPr="006D77F0">
        <w:rPr>
          <w:bCs/>
        </w:rPr>
        <w:t xml:space="preserve">states </w:t>
      </w:r>
      <w:r w:rsidR="00222DE1" w:rsidRPr="006D77F0">
        <w:rPr>
          <w:bCs/>
        </w:rPr>
        <w:t>with more First Nations people have higher spending needs</w:t>
      </w:r>
      <w:r w:rsidR="00DF5E2F">
        <w:rPr>
          <w:bCs/>
        </w:rPr>
        <w:t>.</w:t>
      </w:r>
    </w:p>
    <w:p w14:paraId="3701C2EF" w14:textId="0CCE1095" w:rsidR="0094690E" w:rsidRPr="006D77F0" w:rsidRDefault="008E64F0" w:rsidP="006D499B">
      <w:pPr>
        <w:pStyle w:val="CGC2025Bullet1"/>
        <w:rPr>
          <w:bCs/>
        </w:rPr>
      </w:pPr>
      <w:r>
        <w:rPr>
          <w:bCs/>
        </w:rPr>
        <w:t>S</w:t>
      </w:r>
      <w:r w:rsidR="0094690E" w:rsidRPr="007F77A1">
        <w:rPr>
          <w:bCs/>
        </w:rPr>
        <w:t>ocio-economic status</w:t>
      </w:r>
      <w:r w:rsidR="0094690E" w:rsidRPr="006D77F0">
        <w:rPr>
          <w:bCs/>
        </w:rPr>
        <w:t xml:space="preserve"> </w:t>
      </w:r>
      <w:r w:rsidRPr="007A6466">
        <w:rPr>
          <w:bCs/>
        </w:rPr>
        <w:t>—</w:t>
      </w:r>
      <w:r>
        <w:rPr>
          <w:bCs/>
        </w:rPr>
        <w:t xml:space="preserve"> </w:t>
      </w:r>
      <w:r w:rsidR="0094690E" w:rsidRPr="006D77F0">
        <w:rPr>
          <w:bCs/>
        </w:rPr>
        <w:t>states with more people of low socio</w:t>
      </w:r>
      <w:r w:rsidR="0094690E" w:rsidRPr="006D77F0">
        <w:rPr>
          <w:bCs/>
        </w:rPr>
        <w:noBreakHyphen/>
        <w:t>economic status have higher spending needs</w:t>
      </w:r>
      <w:r w:rsidR="00DF5E2F">
        <w:rPr>
          <w:bCs/>
        </w:rPr>
        <w:t>.</w:t>
      </w:r>
    </w:p>
    <w:p w14:paraId="6B6B9331" w14:textId="2D21BFE9" w:rsidR="0077763C" w:rsidRPr="006D77F0" w:rsidRDefault="00CF59EF" w:rsidP="00ED3991">
      <w:pPr>
        <w:pStyle w:val="CGC2025Bullet1"/>
        <w:rPr>
          <w:bCs/>
        </w:rPr>
      </w:pPr>
      <w:r>
        <w:rPr>
          <w:bCs/>
        </w:rPr>
        <w:t>Remoteness</w:t>
      </w:r>
      <w:r w:rsidR="0077763C" w:rsidRPr="006D77F0">
        <w:rPr>
          <w:bCs/>
        </w:rPr>
        <w:t xml:space="preserve"> </w:t>
      </w:r>
      <w:r w:rsidR="008E64F0" w:rsidRPr="007A6466">
        <w:rPr>
          <w:bCs/>
        </w:rPr>
        <w:t>—</w:t>
      </w:r>
      <w:r w:rsidR="008E64F0">
        <w:rPr>
          <w:bCs/>
        </w:rPr>
        <w:t xml:space="preserve"> </w:t>
      </w:r>
      <w:r w:rsidR="0077763C" w:rsidRPr="006D77F0">
        <w:rPr>
          <w:bCs/>
        </w:rPr>
        <w:t>states face higher costs if they have greater concentrations of people in remote areas where the costs of delivering health services are higher, people are more reliant on state provided services and patient transport costs are higher</w:t>
      </w:r>
      <w:r w:rsidR="00DF5E2F">
        <w:rPr>
          <w:bCs/>
        </w:rPr>
        <w:t>.</w:t>
      </w:r>
    </w:p>
    <w:p w14:paraId="18FAA1A2" w14:textId="4B8A29B6" w:rsidR="0077763C" w:rsidRPr="006D77F0" w:rsidRDefault="008E64F0" w:rsidP="00ED3991">
      <w:pPr>
        <w:pStyle w:val="CGC2025Bullet1"/>
        <w:rPr>
          <w:bCs/>
        </w:rPr>
      </w:pPr>
      <w:r>
        <w:rPr>
          <w:bCs/>
        </w:rPr>
        <w:t>N</w:t>
      </w:r>
      <w:r w:rsidR="00612304" w:rsidRPr="007F77A1">
        <w:rPr>
          <w:bCs/>
        </w:rPr>
        <w:t>on</w:t>
      </w:r>
      <w:r w:rsidR="00612304" w:rsidRPr="007F77A1">
        <w:rPr>
          <w:bCs/>
        </w:rPr>
        <w:noBreakHyphen/>
        <w:t>state</w:t>
      </w:r>
      <w:r w:rsidR="0077763C" w:rsidRPr="007F77A1">
        <w:rPr>
          <w:bCs/>
        </w:rPr>
        <w:t xml:space="preserve"> </w:t>
      </w:r>
      <w:r w:rsidR="00B61291">
        <w:rPr>
          <w:bCs/>
        </w:rPr>
        <w:t>health</w:t>
      </w:r>
      <w:r w:rsidR="0077763C" w:rsidRPr="007F77A1">
        <w:rPr>
          <w:bCs/>
        </w:rPr>
        <w:t xml:space="preserve"> services</w:t>
      </w:r>
      <w:r w:rsidR="0077763C" w:rsidRPr="006D77F0">
        <w:rPr>
          <w:bCs/>
        </w:rPr>
        <w:t xml:space="preserve"> </w:t>
      </w:r>
      <w:r w:rsidRPr="007A6466">
        <w:rPr>
          <w:bCs/>
        </w:rPr>
        <w:t>—</w:t>
      </w:r>
      <w:r>
        <w:rPr>
          <w:bCs/>
        </w:rPr>
        <w:t xml:space="preserve"> </w:t>
      </w:r>
      <w:r w:rsidR="00A323C7">
        <w:rPr>
          <w:bCs/>
        </w:rPr>
        <w:t xml:space="preserve">availability of </w:t>
      </w:r>
      <w:r w:rsidR="0077763C" w:rsidRPr="006D77F0">
        <w:rPr>
          <w:bCs/>
        </w:rPr>
        <w:t>general practitioners, specialists and other private health professionals, and Commonwealth</w:t>
      </w:r>
      <w:r w:rsidR="005D7AC8">
        <w:rPr>
          <w:bCs/>
        </w:rPr>
        <w:t>-</w:t>
      </w:r>
      <w:r w:rsidR="0077763C" w:rsidRPr="006D77F0">
        <w:rPr>
          <w:bCs/>
        </w:rPr>
        <w:t xml:space="preserve">funded Aboriginal Community Controlled Health Services, </w:t>
      </w:r>
      <w:r w:rsidR="00D0242D">
        <w:rPr>
          <w:bCs/>
        </w:rPr>
        <w:t xml:space="preserve">can </w:t>
      </w:r>
      <w:r w:rsidR="0077763C" w:rsidRPr="006D77F0">
        <w:rPr>
          <w:bCs/>
        </w:rPr>
        <w:t>affect state spending</w:t>
      </w:r>
      <w:r w:rsidR="00D0242D">
        <w:rPr>
          <w:bCs/>
        </w:rPr>
        <w:t xml:space="preserve"> needs</w:t>
      </w:r>
      <w:r w:rsidR="00DF5E2F">
        <w:rPr>
          <w:bCs/>
        </w:rPr>
        <w:t>.</w:t>
      </w:r>
    </w:p>
    <w:p w14:paraId="2ADC3268" w14:textId="27017CDF" w:rsidR="004F3CF8" w:rsidRPr="00FC29C0" w:rsidRDefault="008E64F0" w:rsidP="00ED3991">
      <w:pPr>
        <w:pStyle w:val="CGC2025Bullet1"/>
      </w:pPr>
      <w:r>
        <w:rPr>
          <w:bCs/>
        </w:rPr>
        <w:t>W</w:t>
      </w:r>
      <w:r w:rsidR="00E739AE" w:rsidRPr="007F77A1">
        <w:rPr>
          <w:bCs/>
        </w:rPr>
        <w:t>age costs</w:t>
      </w:r>
      <w:r w:rsidR="00E739AE" w:rsidRPr="006D77F0">
        <w:rPr>
          <w:bCs/>
        </w:rPr>
        <w:t xml:space="preserve"> </w:t>
      </w:r>
      <w:r w:rsidR="00C41CFF" w:rsidRPr="00C41CFF">
        <w:rPr>
          <w:bCs/>
        </w:rPr>
        <w:t>—</w:t>
      </w:r>
      <w:r w:rsidR="00E739AE" w:rsidRPr="006D77F0">
        <w:rPr>
          <w:bCs/>
        </w:rPr>
        <w:t xml:space="preserve"> </w:t>
      </w:r>
      <w:r w:rsidR="008D64AE">
        <w:t>states facing greater wage cost pressures have higher spending needs.</w:t>
      </w:r>
    </w:p>
    <w:p w14:paraId="6E90571F" w14:textId="79E14F4D" w:rsidR="0004687C" w:rsidRPr="0004687C" w:rsidRDefault="0004687C" w:rsidP="0004687C">
      <w:pPr>
        <w:pStyle w:val="CGC2025Bullet1"/>
      </w:pPr>
      <w:r w:rsidRPr="0004687C">
        <w:t xml:space="preserve">COVID-19 expenses </w:t>
      </w:r>
      <w:bookmarkStart w:id="3" w:name="_Hlk190336687"/>
      <w:r w:rsidRPr="0004687C">
        <w:t>—</w:t>
      </w:r>
      <w:bookmarkEnd w:id="3"/>
      <w:r w:rsidRPr="0004687C">
        <w:t xml:space="preserve"> states with higher COVID-19 </w:t>
      </w:r>
      <w:r>
        <w:t>health</w:t>
      </w:r>
      <w:r w:rsidRPr="0004687C">
        <w:t xml:space="preserve"> expenses </w:t>
      </w:r>
      <w:r w:rsidR="006F52ED">
        <w:t xml:space="preserve">covered by the national </w:t>
      </w:r>
      <w:r w:rsidR="00E0287A">
        <w:t xml:space="preserve">partnership </w:t>
      </w:r>
      <w:r w:rsidR="006F52ED">
        <w:t xml:space="preserve">agreement </w:t>
      </w:r>
      <w:r w:rsidRPr="0004687C">
        <w:t>have higher expense needs</w:t>
      </w:r>
      <w:r w:rsidR="00D20EEB">
        <w:t>.</w:t>
      </w:r>
    </w:p>
    <w:p w14:paraId="5EB5511B" w14:textId="20B30076" w:rsidR="001918E9" w:rsidRPr="00D35F0A" w:rsidRDefault="00CC73E2" w:rsidP="003D7041">
      <w:pPr>
        <w:pStyle w:val="Heading2"/>
        <w:keepNext/>
      </w:pPr>
      <w:r>
        <w:lastRenderedPageBreak/>
        <w:t>Actual</w:t>
      </w:r>
      <w:r w:rsidR="00577F47">
        <w:t xml:space="preserve"> </w:t>
      </w:r>
      <w:r w:rsidR="00182C81">
        <w:t xml:space="preserve">state </w:t>
      </w:r>
      <w:r w:rsidR="00577F47">
        <w:t>e</w:t>
      </w:r>
      <w:r w:rsidR="001918E9" w:rsidRPr="00D35F0A">
        <w:t>xpen</w:t>
      </w:r>
      <w:r w:rsidR="00BB032F">
        <w:t>ses</w:t>
      </w:r>
    </w:p>
    <w:p w14:paraId="4833B090" w14:textId="5F92AD70" w:rsidR="0086328B" w:rsidRPr="00070A32" w:rsidRDefault="007919FE" w:rsidP="00396AA8">
      <w:pPr>
        <w:pStyle w:val="CGC2025ParaNumbers"/>
        <w:keepNext/>
        <w:keepLines/>
      </w:pPr>
      <w:bookmarkStart w:id="4" w:name="_Ref168058950"/>
      <w:r>
        <w:t>The first step in c</w:t>
      </w:r>
      <w:r w:rsidR="0086328B" w:rsidRPr="00070A32">
        <w:t xml:space="preserve">alculating </w:t>
      </w:r>
      <w:r>
        <w:t xml:space="preserve">assessed expenses </w:t>
      </w:r>
      <w:r w:rsidR="001D1BD4">
        <w:t>is identifying</w:t>
      </w:r>
      <w:r w:rsidR="0086328B" w:rsidRPr="00070A32">
        <w:t xml:space="preserve"> actual </w:t>
      </w:r>
      <w:r w:rsidR="001D1BD4">
        <w:t>state</w:t>
      </w:r>
      <w:r w:rsidR="001D1BD4" w:rsidRPr="00070A32">
        <w:t xml:space="preserve"> </w:t>
      </w:r>
      <w:r w:rsidR="0086328B" w:rsidRPr="00070A32">
        <w:t xml:space="preserve">expenses on </w:t>
      </w:r>
      <w:r w:rsidR="0086328B">
        <w:t>health</w:t>
      </w:r>
      <w:r w:rsidR="0086328B" w:rsidRPr="00070A32">
        <w:t xml:space="preserve"> services.</w:t>
      </w:r>
      <w:r w:rsidR="003B426C">
        <w:rPr>
          <w:rStyle w:val="FootnoteReference"/>
        </w:rPr>
        <w:footnoteReference w:id="2"/>
      </w:r>
      <w:r w:rsidR="0086328B" w:rsidRPr="00070A32">
        <w:t xml:space="preserve"> States collectively spent </w:t>
      </w:r>
      <w:r w:rsidR="008B14E9">
        <w:t>3</w:t>
      </w:r>
      <w:r w:rsidR="00A35C99">
        <w:t>0.7</w:t>
      </w:r>
      <w:r w:rsidR="0086328B" w:rsidRPr="00070A32">
        <w:t xml:space="preserve">% of their total recurrent </w:t>
      </w:r>
      <w:r w:rsidR="00CC35F7">
        <w:t>expenses</w:t>
      </w:r>
      <w:r w:rsidR="00CC35F7" w:rsidRPr="00070A32">
        <w:t xml:space="preserve"> </w:t>
      </w:r>
      <w:r w:rsidR="0086328B" w:rsidRPr="00070A32">
        <w:t xml:space="preserve">on </w:t>
      </w:r>
      <w:r w:rsidR="0086328B">
        <w:t>health</w:t>
      </w:r>
      <w:r w:rsidR="0086328B" w:rsidRPr="00070A32">
        <w:t xml:space="preserve"> </w:t>
      </w:r>
      <w:r w:rsidR="00B06D0F">
        <w:t xml:space="preserve">services </w:t>
      </w:r>
      <w:r w:rsidR="0086328B" w:rsidRPr="00070A32">
        <w:t>in 2022</w:t>
      </w:r>
      <w:r w:rsidR="001D1BD4">
        <w:t>–</w:t>
      </w:r>
      <w:r w:rsidR="0086328B" w:rsidRPr="00070A32">
        <w:t xml:space="preserve">23. </w:t>
      </w:r>
      <w:r w:rsidR="00C2049D">
        <w:t>Table 1</w:t>
      </w:r>
      <w:r w:rsidR="00CB4278">
        <w:t xml:space="preserve"> </w:t>
      </w:r>
      <w:r w:rsidR="0086328B" w:rsidRPr="00070A32">
        <w:t>shows expenses broken down by component</w:t>
      </w:r>
      <w:r w:rsidR="002E207F">
        <w:t xml:space="preserve"> and Table 2 outlines actual expenses by state in 2022</w:t>
      </w:r>
      <w:r w:rsidR="005A5273">
        <w:t>–</w:t>
      </w:r>
      <w:r w:rsidR="002E207F">
        <w:t>23</w:t>
      </w:r>
      <w:r w:rsidR="0086328B" w:rsidRPr="00070A32">
        <w:t>.</w:t>
      </w:r>
      <w:r w:rsidR="00CD60D9">
        <w:rPr>
          <w:rStyle w:val="FootnoteReference"/>
        </w:rPr>
        <w:footnoteReference w:id="3"/>
      </w:r>
    </w:p>
    <w:p w14:paraId="1F898144" w14:textId="19CF07C3" w:rsidR="001918E9" w:rsidRDefault="001918E9" w:rsidP="00E87B29">
      <w:pPr>
        <w:pStyle w:val="CGC2025Caption"/>
        <w:keepNext/>
      </w:pPr>
      <w:bookmarkStart w:id="5" w:name="_Ref175733097"/>
      <w:r w:rsidRPr="00D35F0A">
        <w:t xml:space="preserve">Table </w:t>
      </w:r>
      <w:bookmarkEnd w:id="4"/>
      <w:bookmarkEnd w:id="5"/>
      <w:r w:rsidR="00DB6429">
        <w:t>1</w:t>
      </w:r>
      <w:r w:rsidR="00DB6429">
        <w:tab/>
      </w:r>
      <w:r w:rsidRPr="00D35F0A">
        <w:tab/>
      </w:r>
      <w:r w:rsidR="00A40F54" w:rsidRPr="00502370">
        <w:t>Health</w:t>
      </w:r>
      <w:r w:rsidRPr="00502370">
        <w:t xml:space="preserve"> </w:t>
      </w:r>
      <w:r w:rsidR="005A17B6">
        <w:t>expenses by component</w:t>
      </w:r>
      <w:r w:rsidRPr="00D35F0A">
        <w:t xml:space="preserve">, </w:t>
      </w:r>
      <w:r w:rsidR="005A17B6">
        <w:t>2022</w:t>
      </w:r>
      <w:r w:rsidR="003062CF">
        <w:t>–</w:t>
      </w:r>
      <w:r w:rsidR="005A17B6">
        <w:t>23</w:t>
      </w:r>
    </w:p>
    <w:tbl>
      <w:tblPr>
        <w:tblW w:w="8942" w:type="dxa"/>
        <w:tblLook w:val="04A0" w:firstRow="1" w:lastRow="0" w:firstColumn="1" w:lastColumn="0" w:noHBand="0" w:noVBand="1"/>
      </w:tblPr>
      <w:tblGrid>
        <w:gridCol w:w="6086"/>
        <w:gridCol w:w="1431"/>
        <w:gridCol w:w="1425"/>
      </w:tblGrid>
      <w:tr w:rsidR="00F56515" w:rsidRPr="00F56515" w14:paraId="431A4983" w14:textId="77777777" w:rsidTr="00F56515">
        <w:trPr>
          <w:trHeight w:val="380"/>
        </w:trPr>
        <w:tc>
          <w:tcPr>
            <w:tcW w:w="6480" w:type="dxa"/>
            <w:tcBorders>
              <w:top w:val="nil"/>
              <w:left w:val="nil"/>
              <w:bottom w:val="nil"/>
              <w:right w:val="nil"/>
            </w:tcBorders>
            <w:shd w:val="clear" w:color="000000" w:fill="006991"/>
            <w:vAlign w:val="center"/>
            <w:hideMark/>
          </w:tcPr>
          <w:p w14:paraId="56778A51" w14:textId="77777777" w:rsidR="00F56515" w:rsidRPr="00F56515" w:rsidRDefault="00F56515" w:rsidP="00F56515">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6" w:name="_Ref138159738"/>
            <w:r w:rsidRPr="00F56515">
              <w:rPr>
                <w:rFonts w:ascii="Open Sans Semibold" w:eastAsia="Times New Roman" w:hAnsi="Open Sans Semibold" w:cs="Open Sans Semibold"/>
                <w:color w:val="FFFFFF"/>
                <w:sz w:val="16"/>
                <w:szCs w:val="16"/>
                <w:lang w:eastAsia="en-AU"/>
              </w:rPr>
              <w:t> </w:t>
            </w:r>
          </w:p>
        </w:tc>
        <w:tc>
          <w:tcPr>
            <w:tcW w:w="2920" w:type="dxa"/>
            <w:gridSpan w:val="2"/>
            <w:tcBorders>
              <w:top w:val="nil"/>
              <w:left w:val="nil"/>
              <w:bottom w:val="single" w:sz="4" w:space="0" w:color="ADD6EA"/>
              <w:right w:val="nil"/>
            </w:tcBorders>
            <w:shd w:val="clear" w:color="000000" w:fill="006991"/>
            <w:vAlign w:val="center"/>
            <w:hideMark/>
          </w:tcPr>
          <w:p w14:paraId="43021CDE" w14:textId="77777777" w:rsidR="00F56515" w:rsidRPr="00F56515" w:rsidRDefault="00F56515" w:rsidP="00C235C0">
            <w:pPr>
              <w:tabs>
                <w:tab w:val="clear" w:pos="567"/>
              </w:tabs>
              <w:spacing w:before="0" w:line="240" w:lineRule="auto"/>
              <w:ind w:left="1425"/>
              <w:rPr>
                <w:rFonts w:ascii="Open Sans Semibold" w:eastAsia="Times New Roman" w:hAnsi="Open Sans Semibold" w:cs="Open Sans Semibold"/>
                <w:color w:val="FFFFFF"/>
                <w:sz w:val="16"/>
                <w:szCs w:val="16"/>
                <w:lang w:eastAsia="en-AU"/>
              </w:rPr>
            </w:pPr>
            <w:r w:rsidRPr="00F56515">
              <w:rPr>
                <w:rFonts w:ascii="Open Sans Semibold" w:eastAsia="Times New Roman" w:hAnsi="Open Sans Semibold" w:cs="Open Sans Semibold"/>
                <w:color w:val="FFFFFF"/>
                <w:sz w:val="16"/>
                <w:szCs w:val="16"/>
                <w:lang w:eastAsia="en-AU"/>
              </w:rPr>
              <w:t>2022-23</w:t>
            </w:r>
          </w:p>
        </w:tc>
      </w:tr>
      <w:tr w:rsidR="00F56515" w:rsidRPr="00F56515" w14:paraId="6CB879F3" w14:textId="77777777" w:rsidTr="00F56515">
        <w:trPr>
          <w:trHeight w:val="260"/>
        </w:trPr>
        <w:tc>
          <w:tcPr>
            <w:tcW w:w="6480" w:type="dxa"/>
            <w:tcBorders>
              <w:top w:val="single" w:sz="4" w:space="0" w:color="ADD6EA"/>
              <w:left w:val="nil"/>
              <w:bottom w:val="nil"/>
              <w:right w:val="nil"/>
            </w:tcBorders>
            <w:shd w:val="clear" w:color="000000" w:fill="B6D5E4"/>
            <w:vAlign w:val="center"/>
            <w:hideMark/>
          </w:tcPr>
          <w:p w14:paraId="628310C3" w14:textId="77777777" w:rsidR="00F56515" w:rsidRPr="00F56515" w:rsidRDefault="00F56515" w:rsidP="00F56515">
            <w:pPr>
              <w:tabs>
                <w:tab w:val="clear" w:pos="567"/>
              </w:tabs>
              <w:spacing w:before="0" w:line="240" w:lineRule="auto"/>
              <w:rPr>
                <w:rFonts w:ascii="Open Sans Semibold" w:eastAsia="Times New Roman" w:hAnsi="Open Sans Semibold" w:cs="Open Sans Semibold"/>
                <w:color w:val="000000"/>
                <w:sz w:val="16"/>
                <w:szCs w:val="16"/>
                <w:lang w:eastAsia="en-AU"/>
              </w:rPr>
            </w:pPr>
            <w:r w:rsidRPr="00F56515">
              <w:rPr>
                <w:rFonts w:ascii="Open Sans Semibold" w:eastAsia="Times New Roman" w:hAnsi="Open Sans Semibold" w:cs="Open Sans Semibold"/>
                <w:color w:val="000000"/>
                <w:sz w:val="16"/>
                <w:szCs w:val="16"/>
                <w:lang w:eastAsia="en-AU"/>
              </w:rPr>
              <w:t> </w:t>
            </w:r>
          </w:p>
        </w:tc>
        <w:tc>
          <w:tcPr>
            <w:tcW w:w="1460" w:type="dxa"/>
            <w:tcBorders>
              <w:top w:val="nil"/>
              <w:left w:val="nil"/>
              <w:bottom w:val="nil"/>
              <w:right w:val="nil"/>
            </w:tcBorders>
            <w:shd w:val="clear" w:color="000000" w:fill="B6D5E4"/>
            <w:vAlign w:val="center"/>
            <w:hideMark/>
          </w:tcPr>
          <w:p w14:paraId="5926F170" w14:textId="77777777" w:rsidR="00F56515" w:rsidRPr="00F56515" w:rsidRDefault="00F56515" w:rsidP="00F5651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56515">
              <w:rPr>
                <w:rFonts w:ascii="Open Sans Semibold" w:eastAsia="Times New Roman" w:hAnsi="Open Sans Semibold" w:cs="Open Sans Semibold"/>
                <w:color w:val="000000"/>
                <w:sz w:val="16"/>
                <w:szCs w:val="16"/>
                <w:lang w:eastAsia="en-AU"/>
              </w:rPr>
              <w:t>$pc</w:t>
            </w:r>
          </w:p>
        </w:tc>
        <w:tc>
          <w:tcPr>
            <w:tcW w:w="1460" w:type="dxa"/>
            <w:tcBorders>
              <w:top w:val="nil"/>
              <w:left w:val="nil"/>
              <w:bottom w:val="nil"/>
              <w:right w:val="nil"/>
            </w:tcBorders>
            <w:shd w:val="clear" w:color="000000" w:fill="B6D5E4"/>
            <w:vAlign w:val="center"/>
            <w:hideMark/>
          </w:tcPr>
          <w:p w14:paraId="46094568" w14:textId="77777777" w:rsidR="00F56515" w:rsidRPr="00F56515" w:rsidRDefault="00F56515" w:rsidP="00F5651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56515">
              <w:rPr>
                <w:rFonts w:ascii="Open Sans Semibold" w:eastAsia="Times New Roman" w:hAnsi="Open Sans Semibold" w:cs="Open Sans Semibold"/>
                <w:color w:val="000000"/>
                <w:sz w:val="16"/>
                <w:szCs w:val="16"/>
                <w:lang w:eastAsia="en-AU"/>
              </w:rPr>
              <w:t>$m</w:t>
            </w:r>
          </w:p>
        </w:tc>
      </w:tr>
      <w:tr w:rsidR="00F56515" w:rsidRPr="00F56515" w14:paraId="0A73B36E" w14:textId="77777777" w:rsidTr="00F56515">
        <w:trPr>
          <w:trHeight w:val="320"/>
        </w:trPr>
        <w:tc>
          <w:tcPr>
            <w:tcW w:w="6480" w:type="dxa"/>
            <w:tcBorders>
              <w:top w:val="single" w:sz="4" w:space="0" w:color="ADD6EA"/>
              <w:left w:val="nil"/>
              <w:bottom w:val="nil"/>
              <w:right w:val="nil"/>
            </w:tcBorders>
            <w:shd w:val="clear" w:color="000000" w:fill="FFFFFF"/>
            <w:vAlign w:val="center"/>
            <w:hideMark/>
          </w:tcPr>
          <w:p w14:paraId="7C2B50F1" w14:textId="77777777" w:rsidR="00F56515" w:rsidRPr="00F56515" w:rsidRDefault="00F56515" w:rsidP="00F56515">
            <w:pPr>
              <w:tabs>
                <w:tab w:val="clear" w:pos="567"/>
              </w:tabs>
              <w:spacing w:before="0" w:line="240" w:lineRule="auto"/>
              <w:rPr>
                <w:rFonts w:eastAsia="Times New Roman" w:cs="Open Sans Light"/>
                <w:color w:val="000000"/>
                <w:sz w:val="16"/>
                <w:szCs w:val="16"/>
                <w:lang w:eastAsia="en-AU"/>
              </w:rPr>
            </w:pPr>
            <w:r w:rsidRPr="00F56515">
              <w:rPr>
                <w:rFonts w:eastAsia="Times New Roman" w:cs="Open Sans Light"/>
                <w:color w:val="000000"/>
                <w:sz w:val="16"/>
                <w:szCs w:val="16"/>
                <w:lang w:eastAsia="en-AU"/>
              </w:rPr>
              <w:t>Admitted patients</w:t>
            </w:r>
          </w:p>
        </w:tc>
        <w:tc>
          <w:tcPr>
            <w:tcW w:w="1460" w:type="dxa"/>
            <w:tcBorders>
              <w:top w:val="single" w:sz="4" w:space="0" w:color="ADD6EA"/>
              <w:left w:val="nil"/>
              <w:bottom w:val="nil"/>
              <w:right w:val="nil"/>
            </w:tcBorders>
            <w:shd w:val="clear" w:color="000000" w:fill="FFFFFF"/>
            <w:vAlign w:val="center"/>
            <w:hideMark/>
          </w:tcPr>
          <w:p w14:paraId="24CD1C86"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2,356</w:t>
            </w:r>
          </w:p>
        </w:tc>
        <w:tc>
          <w:tcPr>
            <w:tcW w:w="1460" w:type="dxa"/>
            <w:tcBorders>
              <w:top w:val="single" w:sz="4" w:space="0" w:color="ADD6EA"/>
              <w:left w:val="nil"/>
              <w:bottom w:val="nil"/>
              <w:right w:val="nil"/>
            </w:tcBorders>
            <w:shd w:val="clear" w:color="000000" w:fill="FFFFFF"/>
            <w:vAlign w:val="center"/>
            <w:hideMark/>
          </w:tcPr>
          <w:p w14:paraId="6BCBF49A"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61,975</w:t>
            </w:r>
          </w:p>
        </w:tc>
      </w:tr>
      <w:tr w:rsidR="00F56515" w:rsidRPr="00F56515" w14:paraId="3E0FEF8D" w14:textId="77777777" w:rsidTr="00F56515">
        <w:trPr>
          <w:trHeight w:val="320"/>
        </w:trPr>
        <w:tc>
          <w:tcPr>
            <w:tcW w:w="6480" w:type="dxa"/>
            <w:tcBorders>
              <w:top w:val="single" w:sz="4" w:space="0" w:color="ADD6EA"/>
              <w:left w:val="nil"/>
              <w:bottom w:val="nil"/>
              <w:right w:val="nil"/>
            </w:tcBorders>
            <w:shd w:val="clear" w:color="000000" w:fill="FFFFFF"/>
            <w:vAlign w:val="center"/>
            <w:hideMark/>
          </w:tcPr>
          <w:p w14:paraId="13B743A1" w14:textId="77777777" w:rsidR="00F56515" w:rsidRPr="00F56515" w:rsidRDefault="00F56515" w:rsidP="00F56515">
            <w:pPr>
              <w:tabs>
                <w:tab w:val="clear" w:pos="567"/>
              </w:tabs>
              <w:spacing w:before="0" w:line="240" w:lineRule="auto"/>
              <w:rPr>
                <w:rFonts w:eastAsia="Times New Roman" w:cs="Open Sans Light"/>
                <w:color w:val="000000"/>
                <w:sz w:val="16"/>
                <w:szCs w:val="16"/>
                <w:lang w:eastAsia="en-AU"/>
              </w:rPr>
            </w:pPr>
            <w:r w:rsidRPr="00F56515">
              <w:rPr>
                <w:rFonts w:eastAsia="Times New Roman" w:cs="Open Sans Light"/>
                <w:color w:val="000000"/>
                <w:sz w:val="16"/>
                <w:szCs w:val="16"/>
                <w:lang w:eastAsia="en-AU"/>
              </w:rPr>
              <w:t>Emergency departments</w:t>
            </w:r>
          </w:p>
        </w:tc>
        <w:tc>
          <w:tcPr>
            <w:tcW w:w="1460" w:type="dxa"/>
            <w:tcBorders>
              <w:top w:val="single" w:sz="4" w:space="0" w:color="ADD6EA"/>
              <w:left w:val="nil"/>
              <w:bottom w:val="nil"/>
              <w:right w:val="nil"/>
            </w:tcBorders>
            <w:shd w:val="clear" w:color="000000" w:fill="FFFFFF"/>
            <w:vAlign w:val="center"/>
            <w:hideMark/>
          </w:tcPr>
          <w:p w14:paraId="78AA2198"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223</w:t>
            </w:r>
          </w:p>
        </w:tc>
        <w:tc>
          <w:tcPr>
            <w:tcW w:w="1460" w:type="dxa"/>
            <w:tcBorders>
              <w:top w:val="single" w:sz="4" w:space="0" w:color="ADD6EA"/>
              <w:left w:val="nil"/>
              <w:bottom w:val="nil"/>
              <w:right w:val="nil"/>
            </w:tcBorders>
            <w:shd w:val="clear" w:color="000000" w:fill="FFFFFF"/>
            <w:vAlign w:val="center"/>
            <w:hideMark/>
          </w:tcPr>
          <w:p w14:paraId="31D7C792"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5,879</w:t>
            </w:r>
          </w:p>
        </w:tc>
      </w:tr>
      <w:tr w:rsidR="00F56515" w:rsidRPr="00F56515" w14:paraId="4B2BEE6E" w14:textId="77777777" w:rsidTr="00F56515">
        <w:trPr>
          <w:trHeight w:val="320"/>
        </w:trPr>
        <w:tc>
          <w:tcPr>
            <w:tcW w:w="6480" w:type="dxa"/>
            <w:tcBorders>
              <w:top w:val="single" w:sz="4" w:space="0" w:color="ADD6EA"/>
              <w:left w:val="nil"/>
              <w:bottom w:val="nil"/>
              <w:right w:val="nil"/>
            </w:tcBorders>
            <w:shd w:val="clear" w:color="000000" w:fill="FFFFFF"/>
            <w:vAlign w:val="center"/>
            <w:hideMark/>
          </w:tcPr>
          <w:p w14:paraId="0465C0F4" w14:textId="77777777" w:rsidR="00F56515" w:rsidRPr="00F56515" w:rsidRDefault="00F56515" w:rsidP="00F56515">
            <w:pPr>
              <w:tabs>
                <w:tab w:val="clear" w:pos="567"/>
              </w:tabs>
              <w:spacing w:before="0" w:line="240" w:lineRule="auto"/>
              <w:rPr>
                <w:rFonts w:eastAsia="Times New Roman" w:cs="Open Sans Light"/>
                <w:color w:val="000000"/>
                <w:sz w:val="16"/>
                <w:szCs w:val="16"/>
                <w:lang w:eastAsia="en-AU"/>
              </w:rPr>
            </w:pPr>
            <w:r w:rsidRPr="00F56515">
              <w:rPr>
                <w:rFonts w:eastAsia="Times New Roman" w:cs="Open Sans Light"/>
                <w:color w:val="000000"/>
                <w:sz w:val="16"/>
                <w:szCs w:val="16"/>
                <w:lang w:eastAsia="en-AU"/>
              </w:rPr>
              <w:t>Non-admitted patients</w:t>
            </w:r>
          </w:p>
        </w:tc>
        <w:tc>
          <w:tcPr>
            <w:tcW w:w="1460" w:type="dxa"/>
            <w:tcBorders>
              <w:top w:val="single" w:sz="4" w:space="0" w:color="ADD6EA"/>
              <w:left w:val="nil"/>
              <w:bottom w:val="nil"/>
              <w:right w:val="nil"/>
            </w:tcBorders>
            <w:shd w:val="clear" w:color="000000" w:fill="FFFFFF"/>
            <w:vAlign w:val="center"/>
            <w:hideMark/>
          </w:tcPr>
          <w:p w14:paraId="4EA8041E"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328</w:t>
            </w:r>
          </w:p>
        </w:tc>
        <w:tc>
          <w:tcPr>
            <w:tcW w:w="1460" w:type="dxa"/>
            <w:tcBorders>
              <w:top w:val="single" w:sz="4" w:space="0" w:color="ADD6EA"/>
              <w:left w:val="nil"/>
              <w:bottom w:val="nil"/>
              <w:right w:val="nil"/>
            </w:tcBorders>
            <w:shd w:val="clear" w:color="000000" w:fill="FFFFFF"/>
            <w:vAlign w:val="center"/>
            <w:hideMark/>
          </w:tcPr>
          <w:p w14:paraId="1EB2C493"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8,622</w:t>
            </w:r>
          </w:p>
        </w:tc>
      </w:tr>
      <w:tr w:rsidR="00F56515" w:rsidRPr="00F56515" w14:paraId="692CAF0B" w14:textId="77777777" w:rsidTr="00F56515">
        <w:trPr>
          <w:trHeight w:val="320"/>
        </w:trPr>
        <w:tc>
          <w:tcPr>
            <w:tcW w:w="6480" w:type="dxa"/>
            <w:tcBorders>
              <w:top w:val="single" w:sz="4" w:space="0" w:color="ADD6EA"/>
              <w:left w:val="nil"/>
              <w:bottom w:val="nil"/>
              <w:right w:val="nil"/>
            </w:tcBorders>
            <w:shd w:val="clear" w:color="000000" w:fill="FFFFFF"/>
            <w:vAlign w:val="center"/>
            <w:hideMark/>
          </w:tcPr>
          <w:p w14:paraId="6F66C02F" w14:textId="77777777" w:rsidR="00F56515" w:rsidRPr="00F56515" w:rsidRDefault="00F56515" w:rsidP="00F56515">
            <w:pPr>
              <w:tabs>
                <w:tab w:val="clear" w:pos="567"/>
              </w:tabs>
              <w:spacing w:before="0" w:line="240" w:lineRule="auto"/>
              <w:rPr>
                <w:rFonts w:eastAsia="Times New Roman" w:cs="Open Sans Light"/>
                <w:color w:val="000000"/>
                <w:sz w:val="16"/>
                <w:szCs w:val="16"/>
                <w:lang w:eastAsia="en-AU"/>
              </w:rPr>
            </w:pPr>
            <w:r w:rsidRPr="00F56515">
              <w:rPr>
                <w:rFonts w:eastAsia="Times New Roman" w:cs="Open Sans Light"/>
                <w:color w:val="000000"/>
                <w:sz w:val="16"/>
                <w:szCs w:val="16"/>
                <w:lang w:eastAsia="en-AU"/>
              </w:rPr>
              <w:t>Community and other health</w:t>
            </w:r>
          </w:p>
        </w:tc>
        <w:tc>
          <w:tcPr>
            <w:tcW w:w="1460" w:type="dxa"/>
            <w:tcBorders>
              <w:top w:val="single" w:sz="4" w:space="0" w:color="ADD6EA"/>
              <w:left w:val="nil"/>
              <w:bottom w:val="nil"/>
              <w:right w:val="nil"/>
            </w:tcBorders>
            <w:shd w:val="clear" w:color="000000" w:fill="FFFFFF"/>
            <w:vAlign w:val="center"/>
            <w:hideMark/>
          </w:tcPr>
          <w:p w14:paraId="53E7BD30"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596</w:t>
            </w:r>
          </w:p>
        </w:tc>
        <w:tc>
          <w:tcPr>
            <w:tcW w:w="1460" w:type="dxa"/>
            <w:tcBorders>
              <w:top w:val="single" w:sz="4" w:space="0" w:color="ADD6EA"/>
              <w:left w:val="nil"/>
              <w:bottom w:val="nil"/>
              <w:right w:val="nil"/>
            </w:tcBorders>
            <w:shd w:val="clear" w:color="000000" w:fill="FFFFFF"/>
            <w:vAlign w:val="center"/>
            <w:hideMark/>
          </w:tcPr>
          <w:p w14:paraId="7C51CCDA"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15,692</w:t>
            </w:r>
          </w:p>
        </w:tc>
      </w:tr>
      <w:tr w:rsidR="00F56515" w:rsidRPr="00F56515" w14:paraId="4E4A1832" w14:textId="77777777" w:rsidTr="00F56515">
        <w:trPr>
          <w:trHeight w:val="320"/>
        </w:trPr>
        <w:tc>
          <w:tcPr>
            <w:tcW w:w="6480" w:type="dxa"/>
            <w:tcBorders>
              <w:top w:val="single" w:sz="4" w:space="0" w:color="ADD6EA"/>
              <w:left w:val="nil"/>
              <w:bottom w:val="nil"/>
              <w:right w:val="nil"/>
            </w:tcBorders>
            <w:shd w:val="clear" w:color="000000" w:fill="FFFFFF"/>
            <w:vAlign w:val="center"/>
            <w:hideMark/>
          </w:tcPr>
          <w:p w14:paraId="72442FE8" w14:textId="77777777" w:rsidR="00F56515" w:rsidRPr="00F56515" w:rsidRDefault="00F56515" w:rsidP="00F56515">
            <w:pPr>
              <w:tabs>
                <w:tab w:val="clear" w:pos="567"/>
              </w:tabs>
              <w:spacing w:before="0" w:line="240" w:lineRule="auto"/>
              <w:rPr>
                <w:rFonts w:eastAsia="Times New Roman" w:cs="Open Sans Light"/>
                <w:color w:val="000000"/>
                <w:sz w:val="16"/>
                <w:szCs w:val="16"/>
                <w:lang w:eastAsia="en-AU"/>
              </w:rPr>
            </w:pPr>
            <w:r w:rsidRPr="00F56515">
              <w:rPr>
                <w:rFonts w:eastAsia="Times New Roman" w:cs="Open Sans Light"/>
                <w:color w:val="000000"/>
                <w:sz w:val="16"/>
                <w:szCs w:val="16"/>
                <w:lang w:eastAsia="en-AU"/>
              </w:rPr>
              <w:t>Non-hospital patients transport</w:t>
            </w:r>
          </w:p>
        </w:tc>
        <w:tc>
          <w:tcPr>
            <w:tcW w:w="1460" w:type="dxa"/>
            <w:tcBorders>
              <w:top w:val="single" w:sz="4" w:space="0" w:color="ADD6EA"/>
              <w:left w:val="nil"/>
              <w:bottom w:val="nil"/>
              <w:right w:val="nil"/>
            </w:tcBorders>
            <w:shd w:val="clear" w:color="000000" w:fill="FFFFFF"/>
            <w:vAlign w:val="center"/>
            <w:hideMark/>
          </w:tcPr>
          <w:p w14:paraId="3CEEBB3C"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25</w:t>
            </w:r>
          </w:p>
        </w:tc>
        <w:tc>
          <w:tcPr>
            <w:tcW w:w="1460" w:type="dxa"/>
            <w:tcBorders>
              <w:top w:val="single" w:sz="4" w:space="0" w:color="ADD6EA"/>
              <w:left w:val="nil"/>
              <w:bottom w:val="nil"/>
              <w:right w:val="nil"/>
            </w:tcBorders>
            <w:shd w:val="clear" w:color="000000" w:fill="FFFFFF"/>
            <w:vAlign w:val="center"/>
            <w:hideMark/>
          </w:tcPr>
          <w:p w14:paraId="2D91D2A0"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653</w:t>
            </w:r>
          </w:p>
        </w:tc>
      </w:tr>
      <w:tr w:rsidR="00F56515" w:rsidRPr="00F56515" w14:paraId="40E45EF0" w14:textId="77777777" w:rsidTr="00F56515">
        <w:trPr>
          <w:trHeight w:val="320"/>
        </w:trPr>
        <w:tc>
          <w:tcPr>
            <w:tcW w:w="6480" w:type="dxa"/>
            <w:tcBorders>
              <w:top w:val="single" w:sz="4" w:space="0" w:color="ADD6EA"/>
              <w:left w:val="nil"/>
              <w:bottom w:val="single" w:sz="4" w:space="0" w:color="ADD6EA"/>
              <w:right w:val="nil"/>
            </w:tcBorders>
            <w:shd w:val="clear" w:color="000000" w:fill="FFFFFF"/>
            <w:vAlign w:val="center"/>
            <w:hideMark/>
          </w:tcPr>
          <w:p w14:paraId="0B8F085D" w14:textId="0CBBABDF" w:rsidR="00F56515" w:rsidRPr="00F56515" w:rsidRDefault="00F56515" w:rsidP="00F56515">
            <w:pPr>
              <w:tabs>
                <w:tab w:val="clear" w:pos="567"/>
              </w:tabs>
              <w:spacing w:before="0" w:line="240" w:lineRule="auto"/>
              <w:rPr>
                <w:rFonts w:eastAsia="Times New Roman" w:cs="Open Sans Light"/>
                <w:color w:val="000000"/>
                <w:sz w:val="16"/>
                <w:szCs w:val="16"/>
                <w:lang w:eastAsia="en-AU"/>
              </w:rPr>
            </w:pPr>
            <w:r w:rsidRPr="00F56515">
              <w:rPr>
                <w:rFonts w:eastAsia="Times New Roman" w:cs="Open Sans Light"/>
                <w:color w:val="000000"/>
                <w:sz w:val="16"/>
                <w:szCs w:val="16"/>
                <w:lang w:eastAsia="en-AU"/>
              </w:rPr>
              <w:t xml:space="preserve">COVID </w:t>
            </w:r>
            <w:r w:rsidR="005A5273">
              <w:rPr>
                <w:rFonts w:eastAsia="Times New Roman" w:cs="Open Sans Light"/>
                <w:color w:val="000000"/>
                <w:sz w:val="16"/>
                <w:szCs w:val="16"/>
                <w:lang w:eastAsia="en-AU"/>
              </w:rPr>
              <w:t>h</w:t>
            </w:r>
            <w:r w:rsidRPr="00F56515">
              <w:rPr>
                <w:rFonts w:eastAsia="Times New Roman" w:cs="Open Sans Light"/>
                <w:color w:val="000000"/>
                <w:sz w:val="16"/>
                <w:szCs w:val="16"/>
                <w:lang w:eastAsia="en-AU"/>
              </w:rPr>
              <w:t>ealth</w:t>
            </w:r>
          </w:p>
        </w:tc>
        <w:tc>
          <w:tcPr>
            <w:tcW w:w="1460" w:type="dxa"/>
            <w:tcBorders>
              <w:top w:val="single" w:sz="4" w:space="0" w:color="ADD6EA"/>
              <w:left w:val="nil"/>
              <w:bottom w:val="nil"/>
              <w:right w:val="nil"/>
            </w:tcBorders>
            <w:shd w:val="clear" w:color="000000" w:fill="FFFFFF"/>
            <w:vAlign w:val="center"/>
            <w:hideMark/>
          </w:tcPr>
          <w:p w14:paraId="0940953B"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70</w:t>
            </w:r>
          </w:p>
        </w:tc>
        <w:tc>
          <w:tcPr>
            <w:tcW w:w="1460" w:type="dxa"/>
            <w:tcBorders>
              <w:top w:val="single" w:sz="4" w:space="0" w:color="ADD6EA"/>
              <w:left w:val="nil"/>
              <w:bottom w:val="nil"/>
              <w:right w:val="nil"/>
            </w:tcBorders>
            <w:shd w:val="clear" w:color="000000" w:fill="FFFFFF"/>
            <w:vAlign w:val="center"/>
            <w:hideMark/>
          </w:tcPr>
          <w:p w14:paraId="0DA9A9D1" w14:textId="77777777" w:rsidR="00F56515" w:rsidRPr="00F56515" w:rsidRDefault="00F56515" w:rsidP="00F56515">
            <w:pPr>
              <w:tabs>
                <w:tab w:val="clear" w:pos="567"/>
              </w:tabs>
              <w:spacing w:before="0" w:line="240" w:lineRule="auto"/>
              <w:jc w:val="right"/>
              <w:rPr>
                <w:rFonts w:eastAsia="Times New Roman" w:cs="Open Sans Light"/>
                <w:color w:val="000000"/>
                <w:sz w:val="16"/>
                <w:szCs w:val="16"/>
                <w:lang w:eastAsia="en-AU"/>
              </w:rPr>
            </w:pPr>
            <w:r w:rsidRPr="00F56515">
              <w:rPr>
                <w:rFonts w:eastAsia="Times New Roman" w:cs="Open Sans Light"/>
                <w:color w:val="000000"/>
                <w:sz w:val="16"/>
                <w:szCs w:val="16"/>
                <w:lang w:eastAsia="en-AU"/>
              </w:rPr>
              <w:t>1,831</w:t>
            </w:r>
          </w:p>
        </w:tc>
      </w:tr>
      <w:tr w:rsidR="00F56515" w:rsidRPr="00F56515" w14:paraId="33DDE655" w14:textId="77777777" w:rsidTr="00F56515">
        <w:trPr>
          <w:trHeight w:val="320"/>
        </w:trPr>
        <w:tc>
          <w:tcPr>
            <w:tcW w:w="6480" w:type="dxa"/>
            <w:tcBorders>
              <w:top w:val="nil"/>
              <w:left w:val="nil"/>
              <w:bottom w:val="nil"/>
              <w:right w:val="nil"/>
            </w:tcBorders>
            <w:shd w:val="clear" w:color="000000" w:fill="D6E7F0"/>
            <w:vAlign w:val="center"/>
            <w:hideMark/>
          </w:tcPr>
          <w:p w14:paraId="141AF6E1" w14:textId="77777777" w:rsidR="00F56515" w:rsidRPr="00F56515" w:rsidRDefault="00F56515" w:rsidP="00F56515">
            <w:pPr>
              <w:tabs>
                <w:tab w:val="clear" w:pos="567"/>
              </w:tabs>
              <w:spacing w:before="0" w:line="240" w:lineRule="auto"/>
              <w:rPr>
                <w:rFonts w:ascii="Open Sans Semibold" w:eastAsia="Times New Roman" w:hAnsi="Open Sans Semibold" w:cs="Open Sans Semibold"/>
                <w:color w:val="000000"/>
                <w:sz w:val="16"/>
                <w:szCs w:val="16"/>
                <w:lang w:eastAsia="en-AU"/>
              </w:rPr>
            </w:pPr>
            <w:r w:rsidRPr="00F56515">
              <w:rPr>
                <w:rFonts w:ascii="Open Sans Semibold" w:eastAsia="Times New Roman" w:hAnsi="Open Sans Semibold" w:cs="Open Sans Semibold"/>
                <w:color w:val="000000"/>
                <w:sz w:val="16"/>
                <w:szCs w:val="16"/>
                <w:lang w:eastAsia="en-AU"/>
              </w:rPr>
              <w:t>Total</w:t>
            </w:r>
          </w:p>
        </w:tc>
        <w:tc>
          <w:tcPr>
            <w:tcW w:w="1460" w:type="dxa"/>
            <w:tcBorders>
              <w:top w:val="nil"/>
              <w:left w:val="nil"/>
              <w:bottom w:val="nil"/>
              <w:right w:val="nil"/>
            </w:tcBorders>
            <w:shd w:val="clear" w:color="000000" w:fill="D6E7F0"/>
            <w:vAlign w:val="center"/>
            <w:hideMark/>
          </w:tcPr>
          <w:p w14:paraId="697DD979" w14:textId="77777777" w:rsidR="00F56515" w:rsidRPr="00F56515" w:rsidRDefault="00F56515" w:rsidP="00F5651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56515">
              <w:rPr>
                <w:rFonts w:ascii="Open Sans Semibold" w:eastAsia="Times New Roman" w:hAnsi="Open Sans Semibold" w:cs="Open Sans Semibold"/>
                <w:color w:val="000000"/>
                <w:sz w:val="16"/>
                <w:szCs w:val="16"/>
                <w:lang w:eastAsia="en-AU"/>
              </w:rPr>
              <w:t>3,598</w:t>
            </w:r>
          </w:p>
        </w:tc>
        <w:tc>
          <w:tcPr>
            <w:tcW w:w="1460" w:type="dxa"/>
            <w:tcBorders>
              <w:top w:val="nil"/>
              <w:left w:val="nil"/>
              <w:bottom w:val="nil"/>
              <w:right w:val="nil"/>
            </w:tcBorders>
            <w:shd w:val="clear" w:color="000000" w:fill="D6E7F0"/>
            <w:vAlign w:val="center"/>
            <w:hideMark/>
          </w:tcPr>
          <w:p w14:paraId="1C0CD897" w14:textId="77777777" w:rsidR="00F56515" w:rsidRPr="00F56515" w:rsidRDefault="00F56515" w:rsidP="00F5651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56515">
              <w:rPr>
                <w:rFonts w:ascii="Open Sans Semibold" w:eastAsia="Times New Roman" w:hAnsi="Open Sans Semibold" w:cs="Open Sans Semibold"/>
                <w:color w:val="000000"/>
                <w:sz w:val="16"/>
                <w:szCs w:val="16"/>
                <w:lang w:eastAsia="en-AU"/>
              </w:rPr>
              <w:t>94,650</w:t>
            </w:r>
          </w:p>
        </w:tc>
      </w:tr>
      <w:tr w:rsidR="00F56515" w:rsidRPr="00F56515" w14:paraId="5EC24022" w14:textId="77777777" w:rsidTr="00F56515">
        <w:trPr>
          <w:trHeight w:val="315"/>
        </w:trPr>
        <w:tc>
          <w:tcPr>
            <w:tcW w:w="6480" w:type="dxa"/>
            <w:tcBorders>
              <w:top w:val="single" w:sz="4" w:space="0" w:color="ADD6EA"/>
              <w:left w:val="nil"/>
              <w:bottom w:val="single" w:sz="4" w:space="0" w:color="ADD6EA"/>
              <w:right w:val="nil"/>
            </w:tcBorders>
            <w:shd w:val="clear" w:color="000000" w:fill="D6E7F0"/>
            <w:vAlign w:val="center"/>
            <w:hideMark/>
          </w:tcPr>
          <w:p w14:paraId="62DA1DAC" w14:textId="77777777" w:rsidR="00F56515" w:rsidRPr="00F56515" w:rsidRDefault="00F56515" w:rsidP="00F56515">
            <w:pPr>
              <w:tabs>
                <w:tab w:val="clear" w:pos="567"/>
              </w:tabs>
              <w:spacing w:before="0" w:line="240" w:lineRule="auto"/>
              <w:rPr>
                <w:rFonts w:ascii="Open Sans Semibold" w:eastAsia="Times New Roman" w:hAnsi="Open Sans Semibold" w:cs="Open Sans Semibold"/>
                <w:color w:val="000000"/>
                <w:sz w:val="16"/>
                <w:szCs w:val="16"/>
                <w:lang w:eastAsia="en-AU"/>
              </w:rPr>
            </w:pPr>
            <w:r w:rsidRPr="00F56515">
              <w:rPr>
                <w:rFonts w:ascii="Open Sans Semibold" w:eastAsia="Times New Roman" w:hAnsi="Open Sans Semibold" w:cs="Open Sans Semibold"/>
                <w:color w:val="000000"/>
                <w:sz w:val="16"/>
                <w:szCs w:val="16"/>
                <w:lang w:eastAsia="en-AU"/>
              </w:rPr>
              <w:t>Proportion of total expenses (%)</w:t>
            </w:r>
          </w:p>
        </w:tc>
        <w:tc>
          <w:tcPr>
            <w:tcW w:w="1460" w:type="dxa"/>
            <w:tcBorders>
              <w:top w:val="single" w:sz="4" w:space="0" w:color="ADD6EA"/>
              <w:left w:val="nil"/>
              <w:bottom w:val="single" w:sz="4" w:space="0" w:color="ADD6EA"/>
              <w:right w:val="nil"/>
            </w:tcBorders>
            <w:shd w:val="clear" w:color="000000" w:fill="D6E7F0"/>
            <w:vAlign w:val="center"/>
            <w:hideMark/>
          </w:tcPr>
          <w:p w14:paraId="64B144AC" w14:textId="77777777" w:rsidR="00F56515" w:rsidRPr="00F56515" w:rsidRDefault="00F56515" w:rsidP="00F5651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56515">
              <w:rPr>
                <w:rFonts w:ascii="Open Sans Semibold" w:eastAsia="Times New Roman" w:hAnsi="Open Sans Semibold" w:cs="Open Sans Semibold"/>
                <w:color w:val="000000"/>
                <w:sz w:val="16"/>
                <w:szCs w:val="16"/>
                <w:lang w:eastAsia="en-AU"/>
              </w:rPr>
              <w:t> </w:t>
            </w:r>
          </w:p>
        </w:tc>
        <w:tc>
          <w:tcPr>
            <w:tcW w:w="1460" w:type="dxa"/>
            <w:tcBorders>
              <w:top w:val="single" w:sz="4" w:space="0" w:color="ADD6EA"/>
              <w:left w:val="nil"/>
              <w:bottom w:val="single" w:sz="4" w:space="0" w:color="ADD6EA"/>
              <w:right w:val="nil"/>
            </w:tcBorders>
            <w:shd w:val="clear" w:color="000000" w:fill="D6E7F0"/>
            <w:vAlign w:val="center"/>
            <w:hideMark/>
          </w:tcPr>
          <w:p w14:paraId="7FA4579E" w14:textId="77777777" w:rsidR="00F56515" w:rsidRPr="00F56515" w:rsidRDefault="00F56515" w:rsidP="00F5651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56515">
              <w:rPr>
                <w:rFonts w:ascii="Open Sans Semibold" w:eastAsia="Times New Roman" w:hAnsi="Open Sans Semibold" w:cs="Open Sans Semibold"/>
                <w:color w:val="000000"/>
                <w:sz w:val="16"/>
                <w:szCs w:val="16"/>
                <w:lang w:eastAsia="en-AU"/>
              </w:rPr>
              <w:t>30.7</w:t>
            </w:r>
          </w:p>
        </w:tc>
      </w:tr>
    </w:tbl>
    <w:p w14:paraId="78883424" w14:textId="08803FAD" w:rsidR="00873D0A" w:rsidRDefault="00873D0A" w:rsidP="00DA73F4">
      <w:pPr>
        <w:pStyle w:val="CGC2025Caption"/>
      </w:pPr>
      <w:r w:rsidRPr="008E59F9">
        <w:t xml:space="preserve">Table </w:t>
      </w:r>
      <w:bookmarkEnd w:id="6"/>
      <w:r w:rsidR="00DB6429">
        <w:t>2</w:t>
      </w:r>
      <w:r w:rsidRPr="008E59F9">
        <w:tab/>
      </w:r>
      <w:r w:rsidR="00A40F54" w:rsidRPr="00502370">
        <w:t>Health</w:t>
      </w:r>
      <w:r w:rsidRPr="00502370">
        <w:t xml:space="preserve"> expen</w:t>
      </w:r>
      <w:r w:rsidR="00263CBE">
        <w:t>ses</w:t>
      </w:r>
      <w:r w:rsidRPr="008E59F9">
        <w:t xml:space="preserve"> by state, 202</w:t>
      </w:r>
      <w:r w:rsidR="005A17B6">
        <w:t>2</w:t>
      </w:r>
      <w:r w:rsidRPr="008E59F9">
        <w:t>–2</w:t>
      </w:r>
      <w:r w:rsidR="005A17B6">
        <w:t>3</w:t>
      </w:r>
    </w:p>
    <w:tbl>
      <w:tblPr>
        <w:tblW w:w="8942" w:type="dxa"/>
        <w:tblLook w:val="04A0" w:firstRow="1" w:lastRow="0" w:firstColumn="1" w:lastColumn="0" w:noHBand="0" w:noVBand="1"/>
      </w:tblPr>
      <w:tblGrid>
        <w:gridCol w:w="2874"/>
        <w:gridCol w:w="708"/>
        <w:gridCol w:w="708"/>
        <w:gridCol w:w="708"/>
        <w:gridCol w:w="708"/>
        <w:gridCol w:w="632"/>
        <w:gridCol w:w="632"/>
        <w:gridCol w:w="632"/>
        <w:gridCol w:w="632"/>
        <w:gridCol w:w="708"/>
      </w:tblGrid>
      <w:tr w:rsidR="00CF6BE3" w:rsidRPr="00CF6BE3" w14:paraId="2A6B46B7" w14:textId="77777777" w:rsidTr="00CF6BE3">
        <w:trPr>
          <w:trHeight w:val="380"/>
        </w:trPr>
        <w:tc>
          <w:tcPr>
            <w:tcW w:w="3720" w:type="dxa"/>
            <w:tcBorders>
              <w:top w:val="nil"/>
              <w:left w:val="nil"/>
              <w:bottom w:val="nil"/>
              <w:right w:val="nil"/>
            </w:tcBorders>
            <w:shd w:val="clear" w:color="000000" w:fill="006991"/>
            <w:vAlign w:val="center"/>
            <w:hideMark/>
          </w:tcPr>
          <w:p w14:paraId="4A587AB5" w14:textId="77777777" w:rsidR="00CF6BE3" w:rsidRPr="00CF6BE3" w:rsidRDefault="00CF6BE3" w:rsidP="00CF6BE3">
            <w:pPr>
              <w:tabs>
                <w:tab w:val="clear" w:pos="567"/>
              </w:tabs>
              <w:spacing w:before="0" w:line="240" w:lineRule="auto"/>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3F685855"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211181E8"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37B170A2"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2D3AB80A"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40B33285"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35A5FED2"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3C2D8459"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393B1DCE"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NT</w:t>
            </w:r>
          </w:p>
        </w:tc>
        <w:tc>
          <w:tcPr>
            <w:tcW w:w="640" w:type="dxa"/>
            <w:tcBorders>
              <w:top w:val="nil"/>
              <w:left w:val="nil"/>
              <w:bottom w:val="nil"/>
              <w:right w:val="nil"/>
            </w:tcBorders>
            <w:shd w:val="clear" w:color="000000" w:fill="006991"/>
            <w:vAlign w:val="center"/>
            <w:hideMark/>
          </w:tcPr>
          <w:p w14:paraId="2BF328A7"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F6BE3">
              <w:rPr>
                <w:rFonts w:ascii="Open Sans Semibold" w:eastAsia="Times New Roman" w:hAnsi="Open Sans Semibold" w:cs="Open Sans Semibold"/>
                <w:color w:val="FFFFFF"/>
                <w:sz w:val="16"/>
                <w:szCs w:val="16"/>
                <w:lang w:eastAsia="en-AU"/>
              </w:rPr>
              <w:t>Total</w:t>
            </w:r>
          </w:p>
        </w:tc>
      </w:tr>
      <w:tr w:rsidR="00CF6BE3" w:rsidRPr="00CF6BE3" w14:paraId="662D9DD3" w14:textId="77777777" w:rsidTr="00CF6BE3">
        <w:trPr>
          <w:trHeight w:val="300"/>
        </w:trPr>
        <w:tc>
          <w:tcPr>
            <w:tcW w:w="3720" w:type="dxa"/>
            <w:tcBorders>
              <w:top w:val="single" w:sz="4" w:space="0" w:color="ADD6EA"/>
              <w:left w:val="nil"/>
              <w:bottom w:val="nil"/>
              <w:right w:val="nil"/>
            </w:tcBorders>
            <w:shd w:val="clear" w:color="000000" w:fill="FFFFFF"/>
            <w:vAlign w:val="center"/>
            <w:hideMark/>
          </w:tcPr>
          <w:p w14:paraId="7084AF39" w14:textId="77777777" w:rsidR="00CF6BE3" w:rsidRPr="00CF6BE3" w:rsidRDefault="00CF6BE3" w:rsidP="00CF6BE3">
            <w:pPr>
              <w:tabs>
                <w:tab w:val="clear" w:pos="567"/>
              </w:tabs>
              <w:spacing w:before="0" w:line="240" w:lineRule="auto"/>
              <w:rPr>
                <w:rFonts w:eastAsia="Times New Roman" w:cs="Open Sans Light"/>
                <w:color w:val="000000"/>
                <w:sz w:val="16"/>
                <w:szCs w:val="16"/>
                <w:lang w:eastAsia="en-AU"/>
              </w:rPr>
            </w:pPr>
            <w:r w:rsidRPr="00CF6BE3">
              <w:rPr>
                <w:rFonts w:eastAsia="Times New Roman" w:cs="Open Sans Light"/>
                <w:color w:val="000000"/>
                <w:sz w:val="16"/>
                <w:szCs w:val="16"/>
                <w:lang w:eastAsia="en-AU"/>
              </w:rPr>
              <w:t>Health ($m)</w:t>
            </w:r>
          </w:p>
        </w:tc>
        <w:tc>
          <w:tcPr>
            <w:tcW w:w="640" w:type="dxa"/>
            <w:tcBorders>
              <w:top w:val="single" w:sz="4" w:space="0" w:color="ADD6EA"/>
              <w:left w:val="nil"/>
              <w:bottom w:val="nil"/>
              <w:right w:val="nil"/>
            </w:tcBorders>
            <w:shd w:val="clear" w:color="000000" w:fill="FFFFFF"/>
            <w:vAlign w:val="center"/>
            <w:hideMark/>
          </w:tcPr>
          <w:p w14:paraId="2D430842"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25,000</w:t>
            </w:r>
          </w:p>
        </w:tc>
        <w:tc>
          <w:tcPr>
            <w:tcW w:w="640" w:type="dxa"/>
            <w:tcBorders>
              <w:top w:val="single" w:sz="4" w:space="0" w:color="ADD6EA"/>
              <w:left w:val="nil"/>
              <w:bottom w:val="nil"/>
              <w:right w:val="nil"/>
            </w:tcBorders>
            <w:shd w:val="clear" w:color="000000" w:fill="FFFFFF"/>
            <w:vAlign w:val="center"/>
            <w:hideMark/>
          </w:tcPr>
          <w:p w14:paraId="7FA08AD6"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25,096</w:t>
            </w:r>
          </w:p>
        </w:tc>
        <w:tc>
          <w:tcPr>
            <w:tcW w:w="640" w:type="dxa"/>
            <w:tcBorders>
              <w:top w:val="single" w:sz="4" w:space="0" w:color="ADD6EA"/>
              <w:left w:val="nil"/>
              <w:bottom w:val="nil"/>
              <w:right w:val="nil"/>
            </w:tcBorders>
            <w:shd w:val="clear" w:color="000000" w:fill="FFFFFF"/>
            <w:vAlign w:val="center"/>
            <w:hideMark/>
          </w:tcPr>
          <w:p w14:paraId="4CFB4328"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20,512</w:t>
            </w:r>
          </w:p>
        </w:tc>
        <w:tc>
          <w:tcPr>
            <w:tcW w:w="640" w:type="dxa"/>
            <w:tcBorders>
              <w:top w:val="single" w:sz="4" w:space="0" w:color="ADD6EA"/>
              <w:left w:val="nil"/>
              <w:bottom w:val="nil"/>
              <w:right w:val="nil"/>
            </w:tcBorders>
            <w:shd w:val="clear" w:color="000000" w:fill="FFFFFF"/>
            <w:vAlign w:val="center"/>
            <w:hideMark/>
          </w:tcPr>
          <w:p w14:paraId="5E4C227B"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11,258</w:t>
            </w:r>
          </w:p>
        </w:tc>
        <w:tc>
          <w:tcPr>
            <w:tcW w:w="640" w:type="dxa"/>
            <w:tcBorders>
              <w:top w:val="single" w:sz="4" w:space="0" w:color="ADD6EA"/>
              <w:left w:val="nil"/>
              <w:bottom w:val="nil"/>
              <w:right w:val="nil"/>
            </w:tcBorders>
            <w:shd w:val="clear" w:color="000000" w:fill="FFFFFF"/>
            <w:vAlign w:val="center"/>
            <w:hideMark/>
          </w:tcPr>
          <w:p w14:paraId="29D3B76E"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6,581</w:t>
            </w:r>
          </w:p>
        </w:tc>
        <w:tc>
          <w:tcPr>
            <w:tcW w:w="640" w:type="dxa"/>
            <w:tcBorders>
              <w:top w:val="single" w:sz="4" w:space="0" w:color="ADD6EA"/>
              <w:left w:val="nil"/>
              <w:bottom w:val="nil"/>
              <w:right w:val="nil"/>
            </w:tcBorders>
            <w:shd w:val="clear" w:color="000000" w:fill="FFFFFF"/>
            <w:vAlign w:val="center"/>
            <w:hideMark/>
          </w:tcPr>
          <w:p w14:paraId="3A30BC45"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2,594</w:t>
            </w:r>
          </w:p>
        </w:tc>
        <w:tc>
          <w:tcPr>
            <w:tcW w:w="640" w:type="dxa"/>
            <w:tcBorders>
              <w:top w:val="single" w:sz="4" w:space="0" w:color="ADD6EA"/>
              <w:left w:val="nil"/>
              <w:bottom w:val="nil"/>
              <w:right w:val="nil"/>
            </w:tcBorders>
            <w:shd w:val="clear" w:color="000000" w:fill="FFFFFF"/>
            <w:vAlign w:val="center"/>
            <w:hideMark/>
          </w:tcPr>
          <w:p w14:paraId="7AB37D94"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1,859</w:t>
            </w:r>
          </w:p>
        </w:tc>
        <w:tc>
          <w:tcPr>
            <w:tcW w:w="640" w:type="dxa"/>
            <w:tcBorders>
              <w:top w:val="single" w:sz="4" w:space="0" w:color="ADD6EA"/>
              <w:left w:val="nil"/>
              <w:bottom w:val="nil"/>
              <w:right w:val="nil"/>
            </w:tcBorders>
            <w:shd w:val="clear" w:color="000000" w:fill="FFFFFF"/>
            <w:vAlign w:val="center"/>
            <w:hideMark/>
          </w:tcPr>
          <w:p w14:paraId="52E580CA"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1,751</w:t>
            </w:r>
          </w:p>
        </w:tc>
        <w:tc>
          <w:tcPr>
            <w:tcW w:w="640" w:type="dxa"/>
            <w:tcBorders>
              <w:top w:val="single" w:sz="4" w:space="0" w:color="ADD6EA"/>
              <w:left w:val="nil"/>
              <w:bottom w:val="nil"/>
              <w:right w:val="nil"/>
            </w:tcBorders>
            <w:shd w:val="clear" w:color="000000" w:fill="FFFFFF"/>
            <w:vAlign w:val="center"/>
            <w:hideMark/>
          </w:tcPr>
          <w:p w14:paraId="498AA01F"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94,650</w:t>
            </w:r>
          </w:p>
        </w:tc>
      </w:tr>
      <w:tr w:rsidR="00CF6BE3" w:rsidRPr="00CF6BE3" w14:paraId="2199C9EB" w14:textId="77777777" w:rsidTr="00CF6BE3">
        <w:trPr>
          <w:trHeight w:val="290"/>
        </w:trPr>
        <w:tc>
          <w:tcPr>
            <w:tcW w:w="3720" w:type="dxa"/>
            <w:tcBorders>
              <w:top w:val="single" w:sz="4" w:space="0" w:color="ADD6EA"/>
              <w:left w:val="nil"/>
              <w:bottom w:val="nil"/>
              <w:right w:val="nil"/>
            </w:tcBorders>
            <w:shd w:val="clear" w:color="000000" w:fill="FFFFFF"/>
            <w:vAlign w:val="center"/>
            <w:hideMark/>
          </w:tcPr>
          <w:p w14:paraId="7F0C9C50" w14:textId="77777777" w:rsidR="00CF6BE3" w:rsidRPr="00CF6BE3" w:rsidRDefault="00CF6BE3" w:rsidP="00CF6BE3">
            <w:pPr>
              <w:tabs>
                <w:tab w:val="clear" w:pos="567"/>
              </w:tabs>
              <w:spacing w:before="0" w:line="240" w:lineRule="auto"/>
              <w:rPr>
                <w:rFonts w:eastAsia="Times New Roman" w:cs="Open Sans Light"/>
                <w:color w:val="000000"/>
                <w:sz w:val="16"/>
                <w:szCs w:val="16"/>
                <w:lang w:eastAsia="en-AU"/>
              </w:rPr>
            </w:pPr>
            <w:r w:rsidRPr="00CF6BE3">
              <w:rPr>
                <w:rFonts w:eastAsia="Times New Roman" w:cs="Open Sans Light"/>
                <w:color w:val="000000"/>
                <w:sz w:val="16"/>
                <w:szCs w:val="16"/>
                <w:lang w:eastAsia="en-AU"/>
              </w:rPr>
              <w:t>Health ($pc)</w:t>
            </w:r>
          </w:p>
        </w:tc>
        <w:tc>
          <w:tcPr>
            <w:tcW w:w="640" w:type="dxa"/>
            <w:tcBorders>
              <w:top w:val="single" w:sz="4" w:space="0" w:color="ADD6EA"/>
              <w:left w:val="nil"/>
              <w:bottom w:val="nil"/>
              <w:right w:val="nil"/>
            </w:tcBorders>
            <w:shd w:val="clear" w:color="000000" w:fill="FFFFFF"/>
            <w:vAlign w:val="center"/>
            <w:hideMark/>
          </w:tcPr>
          <w:p w14:paraId="21D5A226"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3,031</w:t>
            </w:r>
          </w:p>
        </w:tc>
        <w:tc>
          <w:tcPr>
            <w:tcW w:w="640" w:type="dxa"/>
            <w:tcBorders>
              <w:top w:val="single" w:sz="4" w:space="0" w:color="ADD6EA"/>
              <w:left w:val="nil"/>
              <w:bottom w:val="nil"/>
              <w:right w:val="nil"/>
            </w:tcBorders>
            <w:shd w:val="clear" w:color="000000" w:fill="FFFFFF"/>
            <w:vAlign w:val="center"/>
            <w:hideMark/>
          </w:tcPr>
          <w:p w14:paraId="1BBA53AA"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3,736</w:t>
            </w:r>
          </w:p>
        </w:tc>
        <w:tc>
          <w:tcPr>
            <w:tcW w:w="640" w:type="dxa"/>
            <w:tcBorders>
              <w:top w:val="single" w:sz="4" w:space="0" w:color="ADD6EA"/>
              <w:left w:val="nil"/>
              <w:bottom w:val="nil"/>
              <w:right w:val="nil"/>
            </w:tcBorders>
            <w:shd w:val="clear" w:color="000000" w:fill="FFFFFF"/>
            <w:vAlign w:val="center"/>
            <w:hideMark/>
          </w:tcPr>
          <w:p w14:paraId="56285BA7"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3,808</w:t>
            </w:r>
          </w:p>
        </w:tc>
        <w:tc>
          <w:tcPr>
            <w:tcW w:w="640" w:type="dxa"/>
            <w:tcBorders>
              <w:top w:val="single" w:sz="4" w:space="0" w:color="ADD6EA"/>
              <w:left w:val="nil"/>
              <w:bottom w:val="nil"/>
              <w:right w:val="nil"/>
            </w:tcBorders>
            <w:shd w:val="clear" w:color="000000" w:fill="FFFFFF"/>
            <w:vAlign w:val="center"/>
            <w:hideMark/>
          </w:tcPr>
          <w:p w14:paraId="6550E6AA"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3,971</w:t>
            </w:r>
          </w:p>
        </w:tc>
        <w:tc>
          <w:tcPr>
            <w:tcW w:w="640" w:type="dxa"/>
            <w:tcBorders>
              <w:top w:val="single" w:sz="4" w:space="0" w:color="ADD6EA"/>
              <w:left w:val="nil"/>
              <w:bottom w:val="nil"/>
              <w:right w:val="nil"/>
            </w:tcBorders>
            <w:shd w:val="clear" w:color="000000" w:fill="FFFFFF"/>
            <w:vAlign w:val="center"/>
            <w:hideMark/>
          </w:tcPr>
          <w:p w14:paraId="6BADEF28"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3,584</w:t>
            </w:r>
          </w:p>
        </w:tc>
        <w:tc>
          <w:tcPr>
            <w:tcW w:w="640" w:type="dxa"/>
            <w:tcBorders>
              <w:top w:val="single" w:sz="4" w:space="0" w:color="ADD6EA"/>
              <w:left w:val="nil"/>
              <w:bottom w:val="nil"/>
              <w:right w:val="nil"/>
            </w:tcBorders>
            <w:shd w:val="clear" w:color="000000" w:fill="FFFFFF"/>
            <w:vAlign w:val="center"/>
            <w:hideMark/>
          </w:tcPr>
          <w:p w14:paraId="0ABCC4D9"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4,529</w:t>
            </w:r>
          </w:p>
        </w:tc>
        <w:tc>
          <w:tcPr>
            <w:tcW w:w="640" w:type="dxa"/>
            <w:tcBorders>
              <w:top w:val="single" w:sz="4" w:space="0" w:color="ADD6EA"/>
              <w:left w:val="nil"/>
              <w:bottom w:val="nil"/>
              <w:right w:val="nil"/>
            </w:tcBorders>
            <w:shd w:val="clear" w:color="000000" w:fill="FFFFFF"/>
            <w:vAlign w:val="center"/>
            <w:hideMark/>
          </w:tcPr>
          <w:p w14:paraId="06D8814B"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4,030</w:t>
            </w:r>
          </w:p>
        </w:tc>
        <w:tc>
          <w:tcPr>
            <w:tcW w:w="640" w:type="dxa"/>
            <w:tcBorders>
              <w:top w:val="single" w:sz="4" w:space="0" w:color="ADD6EA"/>
              <w:left w:val="nil"/>
              <w:bottom w:val="nil"/>
              <w:right w:val="nil"/>
            </w:tcBorders>
            <w:shd w:val="clear" w:color="000000" w:fill="FFFFFF"/>
            <w:vAlign w:val="center"/>
            <w:hideMark/>
          </w:tcPr>
          <w:p w14:paraId="3AE4C029"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6,969</w:t>
            </w:r>
          </w:p>
        </w:tc>
        <w:tc>
          <w:tcPr>
            <w:tcW w:w="640" w:type="dxa"/>
            <w:tcBorders>
              <w:top w:val="single" w:sz="4" w:space="0" w:color="ADD6EA"/>
              <w:left w:val="nil"/>
              <w:bottom w:val="nil"/>
              <w:right w:val="nil"/>
            </w:tcBorders>
            <w:shd w:val="clear" w:color="000000" w:fill="FFFFFF"/>
            <w:vAlign w:val="center"/>
            <w:hideMark/>
          </w:tcPr>
          <w:p w14:paraId="74ACBB49" w14:textId="77777777" w:rsidR="00CF6BE3" w:rsidRPr="00CF6BE3" w:rsidRDefault="00CF6BE3" w:rsidP="00CF6BE3">
            <w:pPr>
              <w:tabs>
                <w:tab w:val="clear" w:pos="567"/>
              </w:tabs>
              <w:spacing w:before="0" w:line="240" w:lineRule="auto"/>
              <w:jc w:val="right"/>
              <w:rPr>
                <w:rFonts w:eastAsia="Times New Roman" w:cs="Open Sans Light"/>
                <w:color w:val="000000"/>
                <w:sz w:val="16"/>
                <w:szCs w:val="16"/>
                <w:lang w:eastAsia="en-AU"/>
              </w:rPr>
            </w:pPr>
            <w:r w:rsidRPr="00CF6BE3">
              <w:rPr>
                <w:rFonts w:eastAsia="Times New Roman" w:cs="Open Sans Light"/>
                <w:color w:val="000000"/>
                <w:sz w:val="16"/>
                <w:szCs w:val="16"/>
                <w:lang w:eastAsia="en-AU"/>
              </w:rPr>
              <w:t>3,598</w:t>
            </w:r>
          </w:p>
        </w:tc>
      </w:tr>
      <w:tr w:rsidR="00CF6BE3" w:rsidRPr="00CF6BE3" w14:paraId="282CD1B0" w14:textId="77777777" w:rsidTr="00CF6BE3">
        <w:trPr>
          <w:trHeight w:val="290"/>
        </w:trPr>
        <w:tc>
          <w:tcPr>
            <w:tcW w:w="3720" w:type="dxa"/>
            <w:tcBorders>
              <w:top w:val="single" w:sz="4" w:space="0" w:color="ADD6EA"/>
              <w:left w:val="nil"/>
              <w:bottom w:val="single" w:sz="4" w:space="0" w:color="ADD6EA"/>
              <w:right w:val="nil"/>
            </w:tcBorders>
            <w:shd w:val="clear" w:color="000000" w:fill="D6E7F0"/>
            <w:vAlign w:val="center"/>
            <w:hideMark/>
          </w:tcPr>
          <w:p w14:paraId="23E41384" w14:textId="77777777" w:rsidR="00CF6BE3" w:rsidRPr="00CF6BE3" w:rsidRDefault="00CF6BE3" w:rsidP="00CF6BE3">
            <w:pPr>
              <w:tabs>
                <w:tab w:val="clear" w:pos="567"/>
              </w:tabs>
              <w:spacing w:before="0" w:line="240" w:lineRule="auto"/>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Proportion of total expenses (%)</w:t>
            </w:r>
          </w:p>
        </w:tc>
        <w:tc>
          <w:tcPr>
            <w:tcW w:w="640" w:type="dxa"/>
            <w:tcBorders>
              <w:top w:val="single" w:sz="4" w:space="0" w:color="ADD6EA"/>
              <w:left w:val="nil"/>
              <w:bottom w:val="single" w:sz="4" w:space="0" w:color="ADD6EA"/>
              <w:right w:val="nil"/>
            </w:tcBorders>
            <w:shd w:val="clear" w:color="000000" w:fill="D6E7F0"/>
            <w:vAlign w:val="center"/>
            <w:hideMark/>
          </w:tcPr>
          <w:p w14:paraId="7FCD6BF1"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25.3</w:t>
            </w:r>
          </w:p>
        </w:tc>
        <w:tc>
          <w:tcPr>
            <w:tcW w:w="640" w:type="dxa"/>
            <w:tcBorders>
              <w:top w:val="single" w:sz="4" w:space="0" w:color="ADD6EA"/>
              <w:left w:val="nil"/>
              <w:bottom w:val="single" w:sz="4" w:space="0" w:color="ADD6EA"/>
              <w:right w:val="nil"/>
            </w:tcBorders>
            <w:shd w:val="clear" w:color="000000" w:fill="D6E7F0"/>
            <w:vAlign w:val="center"/>
            <w:hideMark/>
          </w:tcPr>
          <w:p w14:paraId="06B2F736"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31.9</w:t>
            </w:r>
          </w:p>
        </w:tc>
        <w:tc>
          <w:tcPr>
            <w:tcW w:w="640" w:type="dxa"/>
            <w:tcBorders>
              <w:top w:val="single" w:sz="4" w:space="0" w:color="ADD6EA"/>
              <w:left w:val="nil"/>
              <w:bottom w:val="single" w:sz="4" w:space="0" w:color="ADD6EA"/>
              <w:right w:val="nil"/>
            </w:tcBorders>
            <w:shd w:val="clear" w:color="000000" w:fill="D6E7F0"/>
            <w:vAlign w:val="center"/>
            <w:hideMark/>
          </w:tcPr>
          <w:p w14:paraId="1AC2936F"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34.9</w:t>
            </w:r>
          </w:p>
        </w:tc>
        <w:tc>
          <w:tcPr>
            <w:tcW w:w="640" w:type="dxa"/>
            <w:tcBorders>
              <w:top w:val="single" w:sz="4" w:space="0" w:color="ADD6EA"/>
              <w:left w:val="nil"/>
              <w:bottom w:val="single" w:sz="4" w:space="0" w:color="ADD6EA"/>
              <w:right w:val="nil"/>
            </w:tcBorders>
            <w:shd w:val="clear" w:color="000000" w:fill="D6E7F0"/>
            <w:vAlign w:val="center"/>
            <w:hideMark/>
          </w:tcPr>
          <w:p w14:paraId="359EC15F"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33.1</w:t>
            </w:r>
          </w:p>
        </w:tc>
        <w:tc>
          <w:tcPr>
            <w:tcW w:w="640" w:type="dxa"/>
            <w:tcBorders>
              <w:top w:val="single" w:sz="4" w:space="0" w:color="ADD6EA"/>
              <w:left w:val="nil"/>
              <w:bottom w:val="single" w:sz="4" w:space="0" w:color="ADD6EA"/>
              <w:right w:val="nil"/>
            </w:tcBorders>
            <w:shd w:val="clear" w:color="000000" w:fill="D6E7F0"/>
            <w:vAlign w:val="center"/>
            <w:hideMark/>
          </w:tcPr>
          <w:p w14:paraId="266D2E42"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35.2</w:t>
            </w:r>
          </w:p>
        </w:tc>
        <w:tc>
          <w:tcPr>
            <w:tcW w:w="640" w:type="dxa"/>
            <w:tcBorders>
              <w:top w:val="single" w:sz="4" w:space="0" w:color="ADD6EA"/>
              <w:left w:val="nil"/>
              <w:bottom w:val="single" w:sz="4" w:space="0" w:color="ADD6EA"/>
              <w:right w:val="nil"/>
            </w:tcBorders>
            <w:shd w:val="clear" w:color="000000" w:fill="D6E7F0"/>
            <w:vAlign w:val="center"/>
            <w:hideMark/>
          </w:tcPr>
          <w:p w14:paraId="45945E29"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36.5</w:t>
            </w:r>
          </w:p>
        </w:tc>
        <w:tc>
          <w:tcPr>
            <w:tcW w:w="640" w:type="dxa"/>
            <w:tcBorders>
              <w:top w:val="single" w:sz="4" w:space="0" w:color="ADD6EA"/>
              <w:left w:val="nil"/>
              <w:bottom w:val="single" w:sz="4" w:space="0" w:color="ADD6EA"/>
              <w:right w:val="nil"/>
            </w:tcBorders>
            <w:shd w:val="clear" w:color="000000" w:fill="D6E7F0"/>
            <w:vAlign w:val="center"/>
            <w:hideMark/>
          </w:tcPr>
          <w:p w14:paraId="67ED2FF8"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29.2</w:t>
            </w:r>
          </w:p>
        </w:tc>
        <w:tc>
          <w:tcPr>
            <w:tcW w:w="640" w:type="dxa"/>
            <w:tcBorders>
              <w:top w:val="single" w:sz="4" w:space="0" w:color="ADD6EA"/>
              <w:left w:val="nil"/>
              <w:bottom w:val="single" w:sz="4" w:space="0" w:color="ADD6EA"/>
              <w:right w:val="nil"/>
            </w:tcBorders>
            <w:shd w:val="clear" w:color="000000" w:fill="D6E7F0"/>
            <w:vAlign w:val="center"/>
            <w:hideMark/>
          </w:tcPr>
          <w:p w14:paraId="11563E93"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28.8</w:t>
            </w:r>
          </w:p>
        </w:tc>
        <w:tc>
          <w:tcPr>
            <w:tcW w:w="640" w:type="dxa"/>
            <w:tcBorders>
              <w:top w:val="single" w:sz="4" w:space="0" w:color="ADD6EA"/>
              <w:left w:val="nil"/>
              <w:bottom w:val="single" w:sz="4" w:space="0" w:color="ADD6EA"/>
              <w:right w:val="nil"/>
            </w:tcBorders>
            <w:shd w:val="clear" w:color="000000" w:fill="D6E7F0"/>
            <w:vAlign w:val="center"/>
            <w:hideMark/>
          </w:tcPr>
          <w:p w14:paraId="34AB3C15" w14:textId="77777777" w:rsidR="00CF6BE3" w:rsidRPr="00CF6BE3" w:rsidRDefault="00CF6BE3" w:rsidP="00CF6BE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F6BE3">
              <w:rPr>
                <w:rFonts w:ascii="Open Sans Semibold" w:eastAsia="Times New Roman" w:hAnsi="Open Sans Semibold" w:cs="Open Sans Semibold"/>
                <w:color w:val="000000"/>
                <w:sz w:val="16"/>
                <w:szCs w:val="16"/>
                <w:lang w:eastAsia="en-AU"/>
              </w:rPr>
              <w:t>30.7</w:t>
            </w:r>
          </w:p>
        </w:tc>
      </w:tr>
    </w:tbl>
    <w:p w14:paraId="152D5134" w14:textId="3CD2E464" w:rsidR="00973B43" w:rsidRPr="00885897" w:rsidRDefault="00973B43" w:rsidP="0011701E">
      <w:pPr>
        <w:pStyle w:val="Heading2"/>
        <w:rPr>
          <w:rFonts w:eastAsia="MS Gothic"/>
        </w:rPr>
      </w:pPr>
      <w:r w:rsidRPr="00885897">
        <w:rPr>
          <w:rFonts w:eastAsia="Calibri"/>
        </w:rPr>
        <w:t>Structure</w:t>
      </w:r>
      <w:r w:rsidR="002A6E08">
        <w:rPr>
          <w:rFonts w:eastAsia="Calibri"/>
        </w:rPr>
        <w:t xml:space="preserve"> of assessment</w:t>
      </w:r>
    </w:p>
    <w:p w14:paraId="1EB025BE" w14:textId="33F32847" w:rsidR="00922F32" w:rsidRDefault="00FB7130" w:rsidP="0011701E">
      <w:pPr>
        <w:pStyle w:val="CGC2025ParaNumbers"/>
      </w:pPr>
      <w:r>
        <w:t>The health assessment has 5 ongoing components</w:t>
      </w:r>
      <w:r w:rsidR="0048118E">
        <w:t>.</w:t>
      </w:r>
      <w:r w:rsidR="000202C9">
        <w:t xml:space="preserve"> Each of these has</w:t>
      </w:r>
      <w:r w:rsidR="00111779">
        <w:t xml:space="preserve"> socio</w:t>
      </w:r>
      <w:r w:rsidR="00111779">
        <w:noBreakHyphen/>
        <w:t xml:space="preserve">demographic </w:t>
      </w:r>
      <w:r w:rsidR="00DC3508">
        <w:t xml:space="preserve">and wage cost </w:t>
      </w:r>
      <w:r w:rsidR="00111779">
        <w:t>drivers</w:t>
      </w:r>
      <w:r w:rsidR="003038AF">
        <w:t>.</w:t>
      </w:r>
      <w:r w:rsidR="003538F6">
        <w:t xml:space="preserve"> A non</w:t>
      </w:r>
      <w:r w:rsidR="003538F6">
        <w:noBreakHyphen/>
        <w:t xml:space="preserve">state sector </w:t>
      </w:r>
      <w:r w:rsidR="00DA08A7">
        <w:t xml:space="preserve">services </w:t>
      </w:r>
      <w:r w:rsidR="003538F6">
        <w:t>adjustment is appli</w:t>
      </w:r>
      <w:r w:rsidR="00975184">
        <w:t xml:space="preserve">ed in </w:t>
      </w:r>
      <w:r w:rsidR="00836F69">
        <w:t>the admitted patient</w:t>
      </w:r>
      <w:r w:rsidR="002702BC">
        <w:t>, emergency department, non-admitted patient and community and public health</w:t>
      </w:r>
      <w:r w:rsidR="00975184">
        <w:t xml:space="preserve"> </w:t>
      </w:r>
      <w:r w:rsidR="00DA08A7">
        <w:t>components</w:t>
      </w:r>
      <w:r w:rsidR="00BD3DCC">
        <w:t>,</w:t>
      </w:r>
      <w:r w:rsidR="00DA08A7">
        <w:t xml:space="preserve"> and a cross</w:t>
      </w:r>
      <w:r w:rsidR="00897AF7">
        <w:t>-</w:t>
      </w:r>
      <w:r w:rsidR="00DA08A7">
        <w:t>border</w:t>
      </w:r>
      <w:r w:rsidR="00BD2E85">
        <w:t xml:space="preserve"> services adjustment is applied in the community and public </w:t>
      </w:r>
      <w:r w:rsidR="0030426B">
        <w:t>health</w:t>
      </w:r>
      <w:r w:rsidR="00BD2E85">
        <w:t xml:space="preserve"> component.</w:t>
      </w:r>
      <w:r w:rsidR="00AD2D21">
        <w:t xml:space="preserve"> There is also a</w:t>
      </w:r>
      <w:r w:rsidR="00054E16">
        <w:t>n additional</w:t>
      </w:r>
      <w:r w:rsidR="00AD2D21">
        <w:t xml:space="preserve"> temporary component to assess expenses associated with </w:t>
      </w:r>
      <w:r w:rsidR="00922F32">
        <w:t xml:space="preserve">state spending </w:t>
      </w:r>
      <w:r w:rsidR="005C56CA">
        <w:t xml:space="preserve">on </w:t>
      </w:r>
      <w:r w:rsidR="00922F32">
        <w:t>the National Partnership on COVID</w:t>
      </w:r>
      <w:r w:rsidR="00922F32">
        <w:noBreakHyphen/>
        <w:t>19 Response.</w:t>
      </w:r>
      <w:r w:rsidR="00E76980">
        <w:rPr>
          <w:rStyle w:val="FootnoteReference"/>
        </w:rPr>
        <w:footnoteReference w:id="4"/>
      </w:r>
      <w:r w:rsidR="0048118E">
        <w:t xml:space="preserve"> </w:t>
      </w:r>
    </w:p>
    <w:p w14:paraId="0690E334" w14:textId="4DF28BB5" w:rsidR="00973B43" w:rsidRPr="00BE442A" w:rsidRDefault="00C2049D" w:rsidP="004A7F8A">
      <w:pPr>
        <w:pStyle w:val="CGC2025ParaNumbers"/>
        <w:keepNext/>
        <w:spacing w:before="0"/>
      </w:pPr>
      <w:r>
        <w:lastRenderedPageBreak/>
        <w:t>Table 3</w:t>
      </w:r>
      <w:r w:rsidR="00992C68">
        <w:t xml:space="preserve"> </w:t>
      </w:r>
      <w:r w:rsidR="00973B43" w:rsidRPr="00BE442A">
        <w:t xml:space="preserve">outlines the drivers </w:t>
      </w:r>
      <w:r w:rsidR="002715BF">
        <w:t>that influence expenses in each component.</w:t>
      </w:r>
    </w:p>
    <w:p w14:paraId="7F68F4EA" w14:textId="1212A1F0" w:rsidR="00973B43" w:rsidRDefault="00973B43" w:rsidP="00053B50">
      <w:pPr>
        <w:pStyle w:val="CGC2025Caption"/>
        <w:keepNext/>
      </w:pPr>
      <w:bookmarkStart w:id="7" w:name="_Ref138159755"/>
      <w:r w:rsidRPr="00885897">
        <w:t xml:space="preserve">Table </w:t>
      </w:r>
      <w:bookmarkEnd w:id="7"/>
      <w:r w:rsidR="00DB6429">
        <w:t>3</w:t>
      </w:r>
      <w:r w:rsidRPr="00BE442A">
        <w:tab/>
        <w:t xml:space="preserve">Structure of the </w:t>
      </w:r>
      <w:r w:rsidR="00A40F54" w:rsidRPr="00BE442A">
        <w:t>health</w:t>
      </w:r>
      <w:r w:rsidRPr="00BE442A">
        <w:t xml:space="preserve"> assessment</w:t>
      </w:r>
    </w:p>
    <w:tbl>
      <w:tblPr>
        <w:tblW w:w="9000" w:type="dxa"/>
        <w:tblLook w:val="04A0" w:firstRow="1" w:lastRow="0" w:firstColumn="1" w:lastColumn="0" w:noHBand="0" w:noVBand="1"/>
      </w:tblPr>
      <w:tblGrid>
        <w:gridCol w:w="1279"/>
        <w:gridCol w:w="290"/>
        <w:gridCol w:w="2212"/>
        <w:gridCol w:w="5219"/>
      </w:tblGrid>
      <w:tr w:rsidR="00CD7BF9" w:rsidRPr="00CD7BF9" w14:paraId="1A6871B6" w14:textId="77777777" w:rsidTr="00373342">
        <w:trPr>
          <w:trHeight w:val="375"/>
        </w:trPr>
        <w:tc>
          <w:tcPr>
            <w:tcW w:w="1279" w:type="dxa"/>
            <w:tcBorders>
              <w:top w:val="nil"/>
              <w:left w:val="nil"/>
              <w:bottom w:val="nil"/>
              <w:right w:val="nil"/>
            </w:tcBorders>
            <w:shd w:val="clear" w:color="000000" w:fill="006991"/>
            <w:vAlign w:val="center"/>
            <w:hideMark/>
          </w:tcPr>
          <w:p w14:paraId="34E3643B" w14:textId="77777777" w:rsidR="00CD7BF9" w:rsidRPr="00CD7BF9" w:rsidRDefault="00CD7BF9" w:rsidP="00373342">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D7BF9">
              <w:rPr>
                <w:rFonts w:ascii="Open Sans Semibold" w:eastAsia="Times New Roman" w:hAnsi="Open Sans Semibold" w:cs="Open Sans Semibold"/>
                <w:color w:val="FFFFFF"/>
                <w:sz w:val="16"/>
                <w:szCs w:val="16"/>
                <w:lang w:eastAsia="en-AU"/>
              </w:rPr>
              <w:t>Component </w:t>
            </w:r>
          </w:p>
        </w:tc>
        <w:tc>
          <w:tcPr>
            <w:tcW w:w="290" w:type="dxa"/>
            <w:tcBorders>
              <w:top w:val="nil"/>
              <w:left w:val="nil"/>
              <w:bottom w:val="nil"/>
              <w:right w:val="nil"/>
            </w:tcBorders>
            <w:shd w:val="clear" w:color="000000" w:fill="006991"/>
            <w:vAlign w:val="center"/>
            <w:hideMark/>
          </w:tcPr>
          <w:p w14:paraId="128903B4" w14:textId="77777777" w:rsidR="00CD7BF9" w:rsidRPr="00CD7BF9" w:rsidRDefault="00CD7BF9" w:rsidP="00373342">
            <w:pPr>
              <w:keepNext/>
              <w:tabs>
                <w:tab w:val="clear" w:pos="567"/>
              </w:tabs>
              <w:spacing w:before="0" w:line="240" w:lineRule="auto"/>
              <w:jc w:val="right"/>
              <w:rPr>
                <w:rFonts w:ascii="Arial" w:eastAsia="Times New Roman" w:hAnsi="Arial" w:cs="Arial"/>
                <w:color w:val="FFFFFF"/>
                <w:sz w:val="16"/>
                <w:szCs w:val="16"/>
                <w:lang w:eastAsia="en-AU"/>
              </w:rPr>
            </w:pPr>
            <w:r w:rsidRPr="00CD7BF9">
              <w:rPr>
                <w:rFonts w:ascii="Arial" w:eastAsia="Times New Roman" w:hAnsi="Arial" w:cs="Arial"/>
                <w:color w:val="FFFFFF"/>
                <w:sz w:val="16"/>
                <w:szCs w:val="16"/>
                <w:lang w:eastAsia="en-AU"/>
              </w:rPr>
              <w:t> </w:t>
            </w:r>
            <w:r w:rsidRPr="00CD7BF9">
              <w:rPr>
                <w:rFonts w:ascii="Open Sans Semibold" w:eastAsia="Times New Roman" w:hAnsi="Open Sans Semibold" w:cs="Open Sans Semibold"/>
                <w:color w:val="FFFFFF"/>
                <w:sz w:val="16"/>
                <w:szCs w:val="16"/>
                <w:lang w:eastAsia="en-AU"/>
              </w:rPr>
              <w:t> </w:t>
            </w:r>
          </w:p>
        </w:tc>
        <w:tc>
          <w:tcPr>
            <w:tcW w:w="2212" w:type="dxa"/>
            <w:tcBorders>
              <w:top w:val="nil"/>
              <w:left w:val="nil"/>
              <w:bottom w:val="nil"/>
              <w:right w:val="nil"/>
            </w:tcBorders>
            <w:shd w:val="clear" w:color="000000" w:fill="006991"/>
            <w:vAlign w:val="center"/>
            <w:hideMark/>
          </w:tcPr>
          <w:p w14:paraId="2D5FC2D2" w14:textId="77777777" w:rsidR="00CD7BF9" w:rsidRPr="00CD7BF9" w:rsidRDefault="00CD7BF9" w:rsidP="00373342">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D7BF9">
              <w:rPr>
                <w:rFonts w:ascii="Open Sans Semibold" w:eastAsia="Times New Roman" w:hAnsi="Open Sans Semibold" w:cs="Open Sans Semibold"/>
                <w:color w:val="FFFFFF"/>
                <w:sz w:val="16"/>
                <w:szCs w:val="16"/>
                <w:lang w:eastAsia="en-AU"/>
              </w:rPr>
              <w:t>Driver </w:t>
            </w:r>
          </w:p>
        </w:tc>
        <w:tc>
          <w:tcPr>
            <w:tcW w:w="5219" w:type="dxa"/>
            <w:tcBorders>
              <w:top w:val="nil"/>
              <w:left w:val="nil"/>
              <w:bottom w:val="nil"/>
              <w:right w:val="nil"/>
            </w:tcBorders>
            <w:shd w:val="clear" w:color="000000" w:fill="006991"/>
            <w:vAlign w:val="center"/>
            <w:hideMark/>
          </w:tcPr>
          <w:p w14:paraId="4DC1AF21" w14:textId="77777777" w:rsidR="00CD7BF9" w:rsidRPr="00CD7BF9" w:rsidRDefault="00CD7BF9" w:rsidP="00373342">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D7BF9">
              <w:rPr>
                <w:rFonts w:ascii="Open Sans Semibold" w:eastAsia="Times New Roman" w:hAnsi="Open Sans Semibold" w:cs="Open Sans Semibold"/>
                <w:color w:val="FFFFFF"/>
                <w:sz w:val="16"/>
                <w:szCs w:val="16"/>
                <w:lang w:eastAsia="en-AU"/>
              </w:rPr>
              <w:t>Influence measured by driver </w:t>
            </w:r>
          </w:p>
        </w:tc>
      </w:tr>
      <w:tr w:rsidR="00CD7BF9" w:rsidRPr="00CD7BF9" w14:paraId="02614BB3" w14:textId="77777777" w:rsidTr="00373342">
        <w:trPr>
          <w:trHeight w:val="555"/>
        </w:trPr>
        <w:tc>
          <w:tcPr>
            <w:tcW w:w="1279" w:type="dxa"/>
            <w:vMerge w:val="restart"/>
            <w:tcBorders>
              <w:top w:val="single" w:sz="4" w:space="0" w:color="DDEBF7"/>
              <w:left w:val="nil"/>
              <w:bottom w:val="single" w:sz="4" w:space="0" w:color="DDEBF7"/>
              <w:right w:val="nil"/>
            </w:tcBorders>
            <w:shd w:val="clear" w:color="000000" w:fill="FFFFFF"/>
            <w:vAlign w:val="center"/>
            <w:hideMark/>
          </w:tcPr>
          <w:p w14:paraId="33DF1C19"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Admitted patients </w:t>
            </w:r>
          </w:p>
        </w:tc>
        <w:tc>
          <w:tcPr>
            <w:tcW w:w="290" w:type="dxa"/>
            <w:tcBorders>
              <w:top w:val="single" w:sz="4" w:space="0" w:color="DDEBF7"/>
              <w:left w:val="nil"/>
              <w:bottom w:val="single" w:sz="4" w:space="0" w:color="DDEBF7"/>
              <w:right w:val="nil"/>
            </w:tcBorders>
            <w:shd w:val="clear" w:color="000000" w:fill="FFFFFF"/>
            <w:hideMark/>
          </w:tcPr>
          <w:p w14:paraId="1145C1C7" w14:textId="77777777" w:rsidR="00CD7BF9" w:rsidRPr="00CD7BF9" w:rsidRDefault="00CD7BF9" w:rsidP="00373342">
            <w:pPr>
              <w:keepNext/>
              <w:tabs>
                <w:tab w:val="clear" w:pos="567"/>
              </w:tabs>
              <w:spacing w:before="0" w:line="240" w:lineRule="auto"/>
              <w:jc w:val="right"/>
              <w:rPr>
                <w:rFonts w:ascii="Arial" w:eastAsia="Times New Roman" w:hAnsi="Arial" w:cs="Arial"/>
                <w:color w:val="000000"/>
                <w:sz w:val="16"/>
                <w:szCs w:val="16"/>
                <w:lang w:eastAsia="en-AU"/>
              </w:rPr>
            </w:pPr>
            <w:r w:rsidRPr="00CD7BF9">
              <w:rPr>
                <w:rFonts w:ascii="Arial" w:eastAsia="Times New Roman" w:hAnsi="Arial" w:cs="Arial"/>
                <w:color w:val="000000"/>
                <w:sz w:val="16"/>
                <w:szCs w:val="16"/>
                <w:lang w:eastAsia="en-AU"/>
              </w:rPr>
              <w:t> </w:t>
            </w:r>
            <w:r w:rsidRPr="00CD7BF9">
              <w:rPr>
                <w:rFonts w:eastAsia="Times New Roman" w:cs="Open Sans Light"/>
                <w:color w:val="000000"/>
                <w:sz w:val="16"/>
                <w:szCs w:val="16"/>
                <w:lang w:eastAsia="en-AU"/>
              </w:rPr>
              <w:t> </w:t>
            </w:r>
          </w:p>
        </w:tc>
        <w:tc>
          <w:tcPr>
            <w:tcW w:w="2212" w:type="dxa"/>
            <w:tcBorders>
              <w:top w:val="single" w:sz="4" w:space="0" w:color="DDEBF7"/>
              <w:left w:val="nil"/>
              <w:bottom w:val="single" w:sz="4" w:space="0" w:color="DDEBF7"/>
              <w:right w:val="nil"/>
            </w:tcBorders>
            <w:shd w:val="clear" w:color="000000" w:fill="FFFFFF"/>
            <w:hideMark/>
          </w:tcPr>
          <w:p w14:paraId="3C27A8D7"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Socio-demographic composition </w:t>
            </w:r>
          </w:p>
        </w:tc>
        <w:tc>
          <w:tcPr>
            <w:tcW w:w="5219" w:type="dxa"/>
            <w:tcBorders>
              <w:top w:val="single" w:sz="4" w:space="0" w:color="DDEBF7"/>
              <w:left w:val="nil"/>
              <w:bottom w:val="single" w:sz="4" w:space="0" w:color="DDEBF7"/>
              <w:right w:val="nil"/>
            </w:tcBorders>
            <w:shd w:val="clear" w:color="000000" w:fill="FFFFFF"/>
            <w:hideMark/>
          </w:tcPr>
          <w:p w14:paraId="588506C3"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 xml:space="preserve">Age, Indigenous status, remoteness and socio-economic status influence the use and cost of services. </w:t>
            </w:r>
          </w:p>
        </w:tc>
      </w:tr>
      <w:tr w:rsidR="00CD7BF9" w:rsidRPr="00CD7BF9" w14:paraId="7257C582" w14:textId="77777777" w:rsidTr="00373342">
        <w:trPr>
          <w:trHeight w:val="555"/>
        </w:trPr>
        <w:tc>
          <w:tcPr>
            <w:tcW w:w="1279" w:type="dxa"/>
            <w:vMerge/>
            <w:tcBorders>
              <w:top w:val="single" w:sz="4" w:space="0" w:color="DDEBF7"/>
              <w:left w:val="nil"/>
              <w:bottom w:val="single" w:sz="4" w:space="0" w:color="DDEBF7"/>
              <w:right w:val="nil"/>
            </w:tcBorders>
            <w:vAlign w:val="center"/>
            <w:hideMark/>
          </w:tcPr>
          <w:p w14:paraId="69A1B1DF"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hideMark/>
          </w:tcPr>
          <w:p w14:paraId="7B31996B" w14:textId="77777777" w:rsidR="00CD7BF9" w:rsidRPr="00CD7BF9" w:rsidRDefault="00CD7BF9" w:rsidP="00373342">
            <w:pPr>
              <w:keepNext/>
              <w:tabs>
                <w:tab w:val="clear" w:pos="567"/>
              </w:tabs>
              <w:spacing w:before="0" w:line="240" w:lineRule="auto"/>
              <w:jc w:val="right"/>
              <w:rPr>
                <w:rFonts w:ascii="Arial" w:eastAsia="Times New Roman" w:hAnsi="Arial" w:cs="Arial"/>
                <w:color w:val="000000"/>
                <w:sz w:val="16"/>
                <w:szCs w:val="16"/>
                <w:lang w:eastAsia="en-AU"/>
              </w:rPr>
            </w:pPr>
            <w:r w:rsidRPr="00CD7BF9">
              <w:rPr>
                <w:rFonts w:ascii="Arial" w:eastAsia="Times New Roman" w:hAnsi="Arial" w:cs="Arial"/>
                <w:color w:val="000000"/>
                <w:sz w:val="16"/>
                <w:szCs w:val="16"/>
                <w:lang w:eastAsia="en-AU"/>
              </w:rPr>
              <w:t> </w:t>
            </w: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hideMark/>
          </w:tcPr>
          <w:p w14:paraId="38D793CF"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Non-state sector</w:t>
            </w:r>
          </w:p>
        </w:tc>
        <w:tc>
          <w:tcPr>
            <w:tcW w:w="5219" w:type="dxa"/>
            <w:tcBorders>
              <w:top w:val="nil"/>
              <w:left w:val="nil"/>
              <w:bottom w:val="single" w:sz="4" w:space="0" w:color="DDEBF7"/>
              <w:right w:val="nil"/>
            </w:tcBorders>
            <w:shd w:val="clear" w:color="000000" w:fill="FFFFFF"/>
            <w:hideMark/>
          </w:tcPr>
          <w:p w14:paraId="414E4271"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Non-state services such as private health insurance-funded hospital services affect state expenses.</w:t>
            </w:r>
          </w:p>
        </w:tc>
      </w:tr>
      <w:tr w:rsidR="00CD7BF9" w:rsidRPr="00CD7BF9" w14:paraId="6FFA4802" w14:textId="77777777" w:rsidTr="00373342">
        <w:trPr>
          <w:trHeight w:val="315"/>
        </w:trPr>
        <w:tc>
          <w:tcPr>
            <w:tcW w:w="1279" w:type="dxa"/>
            <w:vMerge/>
            <w:tcBorders>
              <w:top w:val="single" w:sz="4" w:space="0" w:color="DDEBF7"/>
              <w:left w:val="nil"/>
              <w:bottom w:val="single" w:sz="4" w:space="0" w:color="DDEBF7"/>
              <w:right w:val="nil"/>
            </w:tcBorders>
            <w:vAlign w:val="center"/>
            <w:hideMark/>
          </w:tcPr>
          <w:p w14:paraId="2C4111FA"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hideMark/>
          </w:tcPr>
          <w:p w14:paraId="575B6023"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hideMark/>
          </w:tcPr>
          <w:p w14:paraId="67840105"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Wage costs </w:t>
            </w:r>
          </w:p>
        </w:tc>
        <w:tc>
          <w:tcPr>
            <w:tcW w:w="5219" w:type="dxa"/>
            <w:tcBorders>
              <w:top w:val="nil"/>
              <w:left w:val="nil"/>
              <w:bottom w:val="single" w:sz="4" w:space="0" w:color="DDEBF7"/>
              <w:right w:val="nil"/>
            </w:tcBorders>
            <w:shd w:val="clear" w:color="000000" w:fill="FFFFFF"/>
            <w:hideMark/>
          </w:tcPr>
          <w:p w14:paraId="4E2802A5"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Differences in wage costs between states affect costs.</w:t>
            </w:r>
          </w:p>
        </w:tc>
      </w:tr>
      <w:tr w:rsidR="00CD7BF9" w:rsidRPr="00CD7BF9" w14:paraId="29F57176" w14:textId="77777777" w:rsidTr="00373342">
        <w:trPr>
          <w:trHeight w:val="555"/>
        </w:trPr>
        <w:tc>
          <w:tcPr>
            <w:tcW w:w="1279" w:type="dxa"/>
            <w:vMerge w:val="restart"/>
            <w:tcBorders>
              <w:top w:val="nil"/>
              <w:left w:val="nil"/>
              <w:bottom w:val="nil"/>
              <w:right w:val="nil"/>
            </w:tcBorders>
            <w:shd w:val="clear" w:color="000000" w:fill="FFFFFF"/>
            <w:vAlign w:val="center"/>
            <w:hideMark/>
          </w:tcPr>
          <w:p w14:paraId="6FA96D49"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Emergency departments  </w:t>
            </w:r>
          </w:p>
        </w:tc>
        <w:tc>
          <w:tcPr>
            <w:tcW w:w="290" w:type="dxa"/>
            <w:tcBorders>
              <w:top w:val="nil"/>
              <w:left w:val="nil"/>
              <w:bottom w:val="single" w:sz="4" w:space="0" w:color="DDEBF7"/>
              <w:right w:val="nil"/>
            </w:tcBorders>
            <w:shd w:val="clear" w:color="000000" w:fill="FFFFFF"/>
            <w:vAlign w:val="center"/>
            <w:hideMark/>
          </w:tcPr>
          <w:p w14:paraId="51D26D66" w14:textId="77777777" w:rsidR="00CD7BF9" w:rsidRPr="00CD7BF9" w:rsidRDefault="00CD7BF9" w:rsidP="00373342">
            <w:pPr>
              <w:keepNext/>
              <w:tabs>
                <w:tab w:val="clear" w:pos="567"/>
              </w:tabs>
              <w:spacing w:before="0" w:line="240" w:lineRule="auto"/>
              <w:jc w:val="right"/>
              <w:rPr>
                <w:rFonts w:ascii="Arial" w:eastAsia="Times New Roman" w:hAnsi="Arial" w:cs="Arial"/>
                <w:color w:val="000000"/>
                <w:sz w:val="16"/>
                <w:szCs w:val="16"/>
                <w:lang w:eastAsia="en-AU"/>
              </w:rPr>
            </w:pPr>
            <w:r w:rsidRPr="00CD7BF9">
              <w:rPr>
                <w:rFonts w:ascii="Arial" w:eastAsia="Times New Roman" w:hAnsi="Arial" w:cs="Arial"/>
                <w:color w:val="000000"/>
                <w:sz w:val="16"/>
                <w:szCs w:val="16"/>
                <w:lang w:eastAsia="en-AU"/>
              </w:rPr>
              <w:t> </w:t>
            </w: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10BBC0D8"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Socio-demographic composition </w:t>
            </w:r>
          </w:p>
        </w:tc>
        <w:tc>
          <w:tcPr>
            <w:tcW w:w="5219" w:type="dxa"/>
            <w:tcBorders>
              <w:top w:val="nil"/>
              <w:left w:val="nil"/>
              <w:bottom w:val="single" w:sz="4" w:space="0" w:color="DDEBF7"/>
              <w:right w:val="nil"/>
            </w:tcBorders>
            <w:shd w:val="clear" w:color="000000" w:fill="FFFFFF"/>
            <w:vAlign w:val="center"/>
            <w:hideMark/>
          </w:tcPr>
          <w:p w14:paraId="0DE1C955"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Age, Indigenous status, remoteness and socio-economic status influence the use and cost of services.</w:t>
            </w:r>
          </w:p>
        </w:tc>
      </w:tr>
      <w:tr w:rsidR="00CD7BF9" w:rsidRPr="00CD7BF9" w14:paraId="21DCD71E" w14:textId="77777777" w:rsidTr="00373342">
        <w:trPr>
          <w:trHeight w:val="555"/>
        </w:trPr>
        <w:tc>
          <w:tcPr>
            <w:tcW w:w="1279" w:type="dxa"/>
            <w:vMerge/>
            <w:tcBorders>
              <w:top w:val="nil"/>
              <w:left w:val="nil"/>
              <w:bottom w:val="nil"/>
              <w:right w:val="nil"/>
            </w:tcBorders>
            <w:vAlign w:val="center"/>
            <w:hideMark/>
          </w:tcPr>
          <w:p w14:paraId="480E7C75"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vAlign w:val="center"/>
            <w:hideMark/>
          </w:tcPr>
          <w:p w14:paraId="6EC95E02" w14:textId="77777777" w:rsidR="00CD7BF9" w:rsidRPr="00CD7BF9" w:rsidRDefault="00CD7BF9" w:rsidP="00373342">
            <w:pPr>
              <w:keepNext/>
              <w:tabs>
                <w:tab w:val="clear" w:pos="567"/>
              </w:tabs>
              <w:spacing w:before="0" w:line="240" w:lineRule="auto"/>
              <w:jc w:val="right"/>
              <w:rPr>
                <w:rFonts w:ascii="Arial" w:eastAsia="Times New Roman" w:hAnsi="Arial" w:cs="Arial"/>
                <w:color w:val="000000"/>
                <w:sz w:val="16"/>
                <w:szCs w:val="16"/>
                <w:lang w:eastAsia="en-AU"/>
              </w:rPr>
            </w:pPr>
            <w:r w:rsidRPr="00CD7BF9">
              <w:rPr>
                <w:rFonts w:ascii="Arial" w:eastAsia="Times New Roman" w:hAnsi="Arial" w:cs="Arial"/>
                <w:color w:val="000000"/>
                <w:sz w:val="16"/>
                <w:szCs w:val="16"/>
                <w:lang w:eastAsia="en-AU"/>
              </w:rPr>
              <w:t> </w:t>
            </w: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3E2853D6"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Non-state sector</w:t>
            </w:r>
          </w:p>
        </w:tc>
        <w:tc>
          <w:tcPr>
            <w:tcW w:w="5219" w:type="dxa"/>
            <w:tcBorders>
              <w:top w:val="nil"/>
              <w:left w:val="nil"/>
              <w:bottom w:val="single" w:sz="4" w:space="0" w:color="DDEBF7"/>
              <w:right w:val="nil"/>
            </w:tcBorders>
            <w:shd w:val="clear" w:color="000000" w:fill="FFFFFF"/>
            <w:vAlign w:val="center"/>
            <w:hideMark/>
          </w:tcPr>
          <w:p w14:paraId="2C24FBCE"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Non-state services such as Commonwealth-funded general practitioner services affect state spending.</w:t>
            </w:r>
          </w:p>
        </w:tc>
      </w:tr>
      <w:tr w:rsidR="00CD7BF9" w:rsidRPr="00CD7BF9" w14:paraId="554FB9D7" w14:textId="77777777" w:rsidTr="00373342">
        <w:trPr>
          <w:trHeight w:val="315"/>
        </w:trPr>
        <w:tc>
          <w:tcPr>
            <w:tcW w:w="1279" w:type="dxa"/>
            <w:vMerge/>
            <w:tcBorders>
              <w:top w:val="nil"/>
              <w:left w:val="nil"/>
              <w:bottom w:val="nil"/>
              <w:right w:val="nil"/>
            </w:tcBorders>
            <w:vAlign w:val="center"/>
            <w:hideMark/>
          </w:tcPr>
          <w:p w14:paraId="3035661A"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vAlign w:val="center"/>
            <w:hideMark/>
          </w:tcPr>
          <w:p w14:paraId="0B9AC2DF"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4B32AD2B"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Wage costs </w:t>
            </w:r>
          </w:p>
        </w:tc>
        <w:tc>
          <w:tcPr>
            <w:tcW w:w="5219" w:type="dxa"/>
            <w:tcBorders>
              <w:top w:val="nil"/>
              <w:left w:val="nil"/>
              <w:bottom w:val="single" w:sz="4" w:space="0" w:color="DDEBF7"/>
              <w:right w:val="nil"/>
            </w:tcBorders>
            <w:shd w:val="clear" w:color="000000" w:fill="FFFFFF"/>
            <w:vAlign w:val="center"/>
            <w:hideMark/>
          </w:tcPr>
          <w:p w14:paraId="722A2163"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Differences in wage costs between states affect costs.</w:t>
            </w:r>
          </w:p>
        </w:tc>
      </w:tr>
      <w:tr w:rsidR="00CD7BF9" w:rsidRPr="00CD7BF9" w14:paraId="592C88CE" w14:textId="77777777" w:rsidTr="00373342">
        <w:trPr>
          <w:trHeight w:val="555"/>
        </w:trPr>
        <w:tc>
          <w:tcPr>
            <w:tcW w:w="1279" w:type="dxa"/>
            <w:vMerge w:val="restart"/>
            <w:tcBorders>
              <w:top w:val="single" w:sz="4" w:space="0" w:color="DDEBF7"/>
              <w:left w:val="nil"/>
              <w:bottom w:val="nil"/>
              <w:right w:val="nil"/>
            </w:tcBorders>
            <w:shd w:val="clear" w:color="000000" w:fill="FFFFFF"/>
            <w:vAlign w:val="center"/>
            <w:hideMark/>
          </w:tcPr>
          <w:p w14:paraId="6E995614"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Non-admitted patients </w:t>
            </w:r>
          </w:p>
        </w:tc>
        <w:tc>
          <w:tcPr>
            <w:tcW w:w="290" w:type="dxa"/>
            <w:tcBorders>
              <w:top w:val="nil"/>
              <w:left w:val="nil"/>
              <w:bottom w:val="single" w:sz="4" w:space="0" w:color="DDEBF7"/>
              <w:right w:val="nil"/>
            </w:tcBorders>
            <w:shd w:val="clear" w:color="000000" w:fill="FFFFFF"/>
            <w:vAlign w:val="center"/>
            <w:hideMark/>
          </w:tcPr>
          <w:p w14:paraId="0B882977" w14:textId="77777777" w:rsidR="00CD7BF9" w:rsidRPr="00CD7BF9" w:rsidRDefault="00CD7BF9" w:rsidP="00373342">
            <w:pPr>
              <w:keepNext/>
              <w:tabs>
                <w:tab w:val="clear" w:pos="567"/>
              </w:tabs>
              <w:spacing w:before="0" w:line="240" w:lineRule="auto"/>
              <w:jc w:val="right"/>
              <w:rPr>
                <w:rFonts w:ascii="Arial" w:eastAsia="Times New Roman" w:hAnsi="Arial" w:cs="Arial"/>
                <w:color w:val="000000"/>
                <w:sz w:val="16"/>
                <w:szCs w:val="16"/>
                <w:lang w:eastAsia="en-AU"/>
              </w:rPr>
            </w:pPr>
            <w:r w:rsidRPr="00CD7BF9">
              <w:rPr>
                <w:rFonts w:ascii="Arial" w:eastAsia="Times New Roman" w:hAnsi="Arial" w:cs="Arial"/>
                <w:color w:val="000000"/>
                <w:sz w:val="16"/>
                <w:szCs w:val="16"/>
                <w:lang w:eastAsia="en-AU"/>
              </w:rPr>
              <w:t> </w:t>
            </w: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01AB78CD"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Socio-demographic composition </w:t>
            </w:r>
          </w:p>
        </w:tc>
        <w:tc>
          <w:tcPr>
            <w:tcW w:w="5219" w:type="dxa"/>
            <w:tcBorders>
              <w:top w:val="nil"/>
              <w:left w:val="nil"/>
              <w:bottom w:val="single" w:sz="4" w:space="0" w:color="DDEBF7"/>
              <w:right w:val="nil"/>
            </w:tcBorders>
            <w:shd w:val="clear" w:color="000000" w:fill="FFFFFF"/>
            <w:vAlign w:val="center"/>
            <w:hideMark/>
          </w:tcPr>
          <w:p w14:paraId="2A45F74A"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Age, Indigenous status, remoteness and socio-economic status influence the use and cost of services.</w:t>
            </w:r>
          </w:p>
        </w:tc>
      </w:tr>
      <w:tr w:rsidR="00CD7BF9" w:rsidRPr="00CD7BF9" w14:paraId="134D4728" w14:textId="77777777" w:rsidTr="00373342">
        <w:trPr>
          <w:trHeight w:val="555"/>
        </w:trPr>
        <w:tc>
          <w:tcPr>
            <w:tcW w:w="1279" w:type="dxa"/>
            <w:vMerge/>
            <w:tcBorders>
              <w:top w:val="single" w:sz="4" w:space="0" w:color="DDEBF7"/>
              <w:left w:val="nil"/>
              <w:bottom w:val="nil"/>
              <w:right w:val="nil"/>
            </w:tcBorders>
            <w:vAlign w:val="center"/>
            <w:hideMark/>
          </w:tcPr>
          <w:p w14:paraId="1C893D26"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vAlign w:val="center"/>
            <w:hideMark/>
          </w:tcPr>
          <w:p w14:paraId="57FBAD60"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6D371C28"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Non-state sector</w:t>
            </w:r>
          </w:p>
        </w:tc>
        <w:tc>
          <w:tcPr>
            <w:tcW w:w="5219" w:type="dxa"/>
            <w:tcBorders>
              <w:top w:val="nil"/>
              <w:left w:val="nil"/>
              <w:bottom w:val="single" w:sz="4" w:space="0" w:color="DDEBF7"/>
              <w:right w:val="nil"/>
            </w:tcBorders>
            <w:shd w:val="clear" w:color="000000" w:fill="FFFFFF"/>
            <w:vAlign w:val="center"/>
            <w:hideMark/>
          </w:tcPr>
          <w:p w14:paraId="76401407"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Non-state services such as Commonwealth-funded specialists and private health professionals affect state expenses.</w:t>
            </w:r>
          </w:p>
        </w:tc>
      </w:tr>
      <w:tr w:rsidR="00CD7BF9" w:rsidRPr="00CD7BF9" w14:paraId="378D5D2D" w14:textId="77777777" w:rsidTr="00373342">
        <w:trPr>
          <w:trHeight w:val="315"/>
        </w:trPr>
        <w:tc>
          <w:tcPr>
            <w:tcW w:w="1279" w:type="dxa"/>
            <w:vMerge/>
            <w:tcBorders>
              <w:top w:val="single" w:sz="4" w:space="0" w:color="DDEBF7"/>
              <w:left w:val="nil"/>
              <w:bottom w:val="nil"/>
              <w:right w:val="nil"/>
            </w:tcBorders>
            <w:vAlign w:val="center"/>
            <w:hideMark/>
          </w:tcPr>
          <w:p w14:paraId="16AF91B1"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nil"/>
              <w:right w:val="nil"/>
            </w:tcBorders>
            <w:shd w:val="clear" w:color="000000" w:fill="FFFFFF"/>
            <w:vAlign w:val="center"/>
            <w:hideMark/>
          </w:tcPr>
          <w:p w14:paraId="6874E3B4"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nil"/>
              <w:right w:val="nil"/>
            </w:tcBorders>
            <w:shd w:val="clear" w:color="000000" w:fill="FFFFFF"/>
            <w:vAlign w:val="center"/>
            <w:hideMark/>
          </w:tcPr>
          <w:p w14:paraId="67505744"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Wage costs </w:t>
            </w:r>
          </w:p>
        </w:tc>
        <w:tc>
          <w:tcPr>
            <w:tcW w:w="5219" w:type="dxa"/>
            <w:tcBorders>
              <w:top w:val="nil"/>
              <w:left w:val="nil"/>
              <w:bottom w:val="nil"/>
              <w:right w:val="nil"/>
            </w:tcBorders>
            <w:shd w:val="clear" w:color="000000" w:fill="FFFFFF"/>
            <w:vAlign w:val="center"/>
            <w:hideMark/>
          </w:tcPr>
          <w:p w14:paraId="1030B49B"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Differences in wage costs between states affect costs.</w:t>
            </w:r>
          </w:p>
        </w:tc>
      </w:tr>
      <w:tr w:rsidR="00CD7BF9" w:rsidRPr="00CD7BF9" w14:paraId="2F9601DE" w14:textId="77777777" w:rsidTr="00373342">
        <w:trPr>
          <w:trHeight w:val="555"/>
        </w:trPr>
        <w:tc>
          <w:tcPr>
            <w:tcW w:w="1279" w:type="dxa"/>
            <w:vMerge w:val="restart"/>
            <w:tcBorders>
              <w:top w:val="single" w:sz="4" w:space="0" w:color="DDEBF7"/>
              <w:left w:val="nil"/>
              <w:bottom w:val="single" w:sz="4" w:space="0" w:color="DDEBF7"/>
              <w:right w:val="nil"/>
            </w:tcBorders>
            <w:shd w:val="clear" w:color="000000" w:fill="FFFFFF"/>
            <w:vAlign w:val="center"/>
            <w:hideMark/>
          </w:tcPr>
          <w:p w14:paraId="453C4A09"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 xml:space="preserve">Community </w:t>
            </w:r>
            <w:r w:rsidRPr="00CD7BF9">
              <w:rPr>
                <w:rFonts w:eastAsia="Times New Roman" w:cs="Open Sans Light"/>
                <w:color w:val="000000"/>
                <w:sz w:val="16"/>
                <w:szCs w:val="16"/>
                <w:lang w:eastAsia="en-AU"/>
              </w:rPr>
              <w:br/>
              <w:t>and public health</w:t>
            </w:r>
          </w:p>
        </w:tc>
        <w:tc>
          <w:tcPr>
            <w:tcW w:w="290" w:type="dxa"/>
            <w:tcBorders>
              <w:top w:val="single" w:sz="4" w:space="0" w:color="DDEBF7"/>
              <w:left w:val="nil"/>
              <w:bottom w:val="single" w:sz="4" w:space="0" w:color="DDEBF7"/>
              <w:right w:val="nil"/>
            </w:tcBorders>
            <w:shd w:val="clear" w:color="000000" w:fill="FFFFFF"/>
            <w:vAlign w:val="center"/>
            <w:hideMark/>
          </w:tcPr>
          <w:p w14:paraId="34F10812"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single" w:sz="4" w:space="0" w:color="DDEBF7"/>
              <w:left w:val="nil"/>
              <w:bottom w:val="single" w:sz="4" w:space="0" w:color="DDEBF7"/>
              <w:right w:val="nil"/>
            </w:tcBorders>
            <w:shd w:val="clear" w:color="000000" w:fill="FFFFFF"/>
            <w:vAlign w:val="center"/>
            <w:hideMark/>
          </w:tcPr>
          <w:p w14:paraId="1DCF7B59"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Ambulatory community mental health services</w:t>
            </w:r>
          </w:p>
        </w:tc>
        <w:tc>
          <w:tcPr>
            <w:tcW w:w="5219" w:type="dxa"/>
            <w:tcBorders>
              <w:top w:val="single" w:sz="4" w:space="0" w:color="DDEBF7"/>
              <w:left w:val="nil"/>
              <w:bottom w:val="single" w:sz="4" w:space="0" w:color="DDEBF7"/>
              <w:right w:val="nil"/>
            </w:tcBorders>
            <w:shd w:val="clear" w:color="000000" w:fill="FFFFFF"/>
            <w:vAlign w:val="center"/>
            <w:hideMark/>
          </w:tcPr>
          <w:p w14:paraId="3BBBD2E2"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Age, Indigenous status, remoteness and socio-economic status influence the use and cost of services.</w:t>
            </w:r>
          </w:p>
        </w:tc>
      </w:tr>
      <w:tr w:rsidR="00CD7BF9" w:rsidRPr="00CD7BF9" w14:paraId="4F107A36" w14:textId="77777777" w:rsidTr="00373342">
        <w:trPr>
          <w:trHeight w:val="795"/>
        </w:trPr>
        <w:tc>
          <w:tcPr>
            <w:tcW w:w="1279" w:type="dxa"/>
            <w:vMerge/>
            <w:tcBorders>
              <w:top w:val="single" w:sz="4" w:space="0" w:color="DDEBF7"/>
              <w:left w:val="nil"/>
              <w:bottom w:val="single" w:sz="4" w:space="0" w:color="DDEBF7"/>
              <w:right w:val="nil"/>
            </w:tcBorders>
            <w:vAlign w:val="center"/>
            <w:hideMark/>
          </w:tcPr>
          <w:p w14:paraId="28D26C5B"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vAlign w:val="center"/>
            <w:hideMark/>
          </w:tcPr>
          <w:p w14:paraId="2B939635"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57F63D1A"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 xml:space="preserve">Balance of the component </w:t>
            </w:r>
            <w:r w:rsidRPr="00CD7BF9">
              <w:rPr>
                <w:rFonts w:eastAsia="Times New Roman" w:cs="Open Sans Light"/>
                <w:color w:val="000000"/>
                <w:sz w:val="16"/>
                <w:szCs w:val="16"/>
                <w:lang w:eastAsia="en-AU"/>
              </w:rPr>
              <w:br/>
              <w:t xml:space="preserve">– socio-demographic composition </w:t>
            </w:r>
          </w:p>
        </w:tc>
        <w:tc>
          <w:tcPr>
            <w:tcW w:w="5219" w:type="dxa"/>
            <w:tcBorders>
              <w:top w:val="nil"/>
              <w:left w:val="nil"/>
              <w:bottom w:val="single" w:sz="4" w:space="0" w:color="DDEBF7"/>
              <w:right w:val="nil"/>
            </w:tcBorders>
            <w:shd w:val="clear" w:color="000000" w:fill="FFFFFF"/>
            <w:vAlign w:val="center"/>
            <w:hideMark/>
          </w:tcPr>
          <w:p w14:paraId="1C930416"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Age, Indigenous status, remoteness and socio-economic status influence the use and cost of services.</w:t>
            </w:r>
          </w:p>
        </w:tc>
      </w:tr>
      <w:tr w:rsidR="00CD7BF9" w:rsidRPr="00CD7BF9" w14:paraId="0BE680AE" w14:textId="77777777" w:rsidTr="00373342">
        <w:trPr>
          <w:trHeight w:val="555"/>
        </w:trPr>
        <w:tc>
          <w:tcPr>
            <w:tcW w:w="1279" w:type="dxa"/>
            <w:vMerge/>
            <w:tcBorders>
              <w:top w:val="single" w:sz="4" w:space="0" w:color="DDEBF7"/>
              <w:left w:val="nil"/>
              <w:bottom w:val="single" w:sz="4" w:space="0" w:color="DDEBF7"/>
              <w:right w:val="nil"/>
            </w:tcBorders>
            <w:vAlign w:val="center"/>
            <w:hideMark/>
          </w:tcPr>
          <w:p w14:paraId="462D48A0"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vAlign w:val="center"/>
            <w:hideMark/>
          </w:tcPr>
          <w:p w14:paraId="52480840"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30716F32"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Non-state sector</w:t>
            </w:r>
          </w:p>
        </w:tc>
        <w:tc>
          <w:tcPr>
            <w:tcW w:w="5219" w:type="dxa"/>
            <w:tcBorders>
              <w:top w:val="nil"/>
              <w:left w:val="nil"/>
              <w:bottom w:val="single" w:sz="4" w:space="0" w:color="DDEBF7"/>
              <w:right w:val="nil"/>
            </w:tcBorders>
            <w:shd w:val="clear" w:color="000000" w:fill="FFFFFF"/>
            <w:vAlign w:val="center"/>
            <w:hideMark/>
          </w:tcPr>
          <w:p w14:paraId="0AC392E1"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Non-state services such as Commonwealth-funded general practitioners (GPs) affect state expenses.</w:t>
            </w:r>
          </w:p>
        </w:tc>
      </w:tr>
      <w:tr w:rsidR="00CD7BF9" w:rsidRPr="00CD7BF9" w14:paraId="074AD99D" w14:textId="77777777" w:rsidTr="00373342">
        <w:trPr>
          <w:trHeight w:val="315"/>
        </w:trPr>
        <w:tc>
          <w:tcPr>
            <w:tcW w:w="1279" w:type="dxa"/>
            <w:vMerge/>
            <w:tcBorders>
              <w:top w:val="single" w:sz="4" w:space="0" w:color="DDEBF7"/>
              <w:left w:val="nil"/>
              <w:bottom w:val="single" w:sz="4" w:space="0" w:color="DDEBF7"/>
              <w:right w:val="nil"/>
            </w:tcBorders>
            <w:vAlign w:val="center"/>
            <w:hideMark/>
          </w:tcPr>
          <w:p w14:paraId="24E35CDE"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vAlign w:val="center"/>
            <w:hideMark/>
          </w:tcPr>
          <w:p w14:paraId="416E7954"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46316CB3"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Cross-border</w:t>
            </w:r>
          </w:p>
        </w:tc>
        <w:tc>
          <w:tcPr>
            <w:tcW w:w="5219" w:type="dxa"/>
            <w:tcBorders>
              <w:top w:val="nil"/>
              <w:left w:val="nil"/>
              <w:bottom w:val="single" w:sz="4" w:space="0" w:color="DDEBF7"/>
              <w:right w:val="nil"/>
            </w:tcBorders>
            <w:shd w:val="clear" w:color="000000" w:fill="FFFFFF"/>
            <w:vAlign w:val="center"/>
            <w:hideMark/>
          </w:tcPr>
          <w:p w14:paraId="7123D90E"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The ACT incurs additional costs in providing services to NSW residents.</w:t>
            </w:r>
          </w:p>
        </w:tc>
      </w:tr>
      <w:tr w:rsidR="00CD7BF9" w:rsidRPr="00CD7BF9" w14:paraId="5D659CB4" w14:textId="77777777" w:rsidTr="00373342">
        <w:trPr>
          <w:trHeight w:val="315"/>
        </w:trPr>
        <w:tc>
          <w:tcPr>
            <w:tcW w:w="1279" w:type="dxa"/>
            <w:vMerge/>
            <w:tcBorders>
              <w:top w:val="single" w:sz="4" w:space="0" w:color="DDEBF7"/>
              <w:left w:val="nil"/>
              <w:bottom w:val="single" w:sz="4" w:space="0" w:color="DDEBF7"/>
              <w:right w:val="nil"/>
            </w:tcBorders>
            <w:vAlign w:val="center"/>
            <w:hideMark/>
          </w:tcPr>
          <w:p w14:paraId="5D8B0252"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vAlign w:val="center"/>
            <w:hideMark/>
          </w:tcPr>
          <w:p w14:paraId="38E4FD06"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43CBA4F9"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Wage costs </w:t>
            </w:r>
          </w:p>
        </w:tc>
        <w:tc>
          <w:tcPr>
            <w:tcW w:w="5219" w:type="dxa"/>
            <w:tcBorders>
              <w:top w:val="nil"/>
              <w:left w:val="nil"/>
              <w:bottom w:val="single" w:sz="4" w:space="0" w:color="DDEBF7"/>
              <w:right w:val="nil"/>
            </w:tcBorders>
            <w:shd w:val="clear" w:color="000000" w:fill="FFFFFF"/>
            <w:vAlign w:val="center"/>
            <w:hideMark/>
          </w:tcPr>
          <w:p w14:paraId="7684BD78"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Differences in wage costs between states affect costs.</w:t>
            </w:r>
          </w:p>
        </w:tc>
      </w:tr>
      <w:tr w:rsidR="00CD7BF9" w:rsidRPr="00CD7BF9" w14:paraId="439FF357" w14:textId="77777777" w:rsidTr="00373342">
        <w:trPr>
          <w:trHeight w:val="555"/>
        </w:trPr>
        <w:tc>
          <w:tcPr>
            <w:tcW w:w="1279" w:type="dxa"/>
            <w:vMerge w:val="restart"/>
            <w:tcBorders>
              <w:top w:val="nil"/>
              <w:left w:val="nil"/>
              <w:bottom w:val="nil"/>
              <w:right w:val="nil"/>
            </w:tcBorders>
            <w:shd w:val="clear" w:color="000000" w:fill="FFFFFF"/>
            <w:vAlign w:val="center"/>
            <w:hideMark/>
          </w:tcPr>
          <w:p w14:paraId="1E3985D3"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Non-hospital patient transport</w:t>
            </w:r>
          </w:p>
        </w:tc>
        <w:tc>
          <w:tcPr>
            <w:tcW w:w="290" w:type="dxa"/>
            <w:tcBorders>
              <w:top w:val="nil"/>
              <w:left w:val="nil"/>
              <w:bottom w:val="single" w:sz="4" w:space="0" w:color="DDEBF7"/>
              <w:right w:val="nil"/>
            </w:tcBorders>
            <w:shd w:val="clear" w:color="000000" w:fill="FFFFFF"/>
            <w:vAlign w:val="center"/>
            <w:hideMark/>
          </w:tcPr>
          <w:p w14:paraId="1FCFC0BA"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00216795"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Socio-demographic composition </w:t>
            </w:r>
          </w:p>
        </w:tc>
        <w:tc>
          <w:tcPr>
            <w:tcW w:w="5219" w:type="dxa"/>
            <w:tcBorders>
              <w:top w:val="nil"/>
              <w:left w:val="nil"/>
              <w:bottom w:val="single" w:sz="4" w:space="0" w:color="DDEBF7"/>
              <w:right w:val="nil"/>
            </w:tcBorders>
            <w:shd w:val="clear" w:color="000000" w:fill="FFFFFF"/>
            <w:vAlign w:val="center"/>
            <w:hideMark/>
          </w:tcPr>
          <w:p w14:paraId="1C8F6199"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Remoteness influences the use and cost of services.</w:t>
            </w:r>
          </w:p>
        </w:tc>
      </w:tr>
      <w:tr w:rsidR="00CD7BF9" w:rsidRPr="00CD7BF9" w14:paraId="66B54D2A" w14:textId="77777777" w:rsidTr="00373342">
        <w:trPr>
          <w:trHeight w:val="300"/>
        </w:trPr>
        <w:tc>
          <w:tcPr>
            <w:tcW w:w="1279" w:type="dxa"/>
            <w:vMerge/>
            <w:tcBorders>
              <w:top w:val="nil"/>
              <w:left w:val="nil"/>
              <w:bottom w:val="nil"/>
              <w:right w:val="nil"/>
            </w:tcBorders>
            <w:vAlign w:val="center"/>
            <w:hideMark/>
          </w:tcPr>
          <w:p w14:paraId="6A4720C7"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000000" w:fill="FFFFFF"/>
            <w:vAlign w:val="center"/>
            <w:hideMark/>
          </w:tcPr>
          <w:p w14:paraId="45C159C5"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259DAE7D"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Wage costs </w:t>
            </w:r>
          </w:p>
        </w:tc>
        <w:tc>
          <w:tcPr>
            <w:tcW w:w="5219" w:type="dxa"/>
            <w:tcBorders>
              <w:top w:val="nil"/>
              <w:left w:val="nil"/>
              <w:bottom w:val="single" w:sz="4" w:space="0" w:color="DDEBF7"/>
              <w:right w:val="nil"/>
            </w:tcBorders>
            <w:shd w:val="clear" w:color="000000" w:fill="FFFFFF"/>
            <w:vAlign w:val="center"/>
            <w:hideMark/>
          </w:tcPr>
          <w:p w14:paraId="2D3BB5AC"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Differences in wage costs between states affect costs.</w:t>
            </w:r>
          </w:p>
        </w:tc>
      </w:tr>
      <w:tr w:rsidR="00CD7BF9" w:rsidRPr="00CD7BF9" w14:paraId="4CB5B503" w14:textId="77777777" w:rsidTr="00373342">
        <w:trPr>
          <w:trHeight w:val="795"/>
        </w:trPr>
        <w:tc>
          <w:tcPr>
            <w:tcW w:w="1279" w:type="dxa"/>
            <w:tcBorders>
              <w:top w:val="single" w:sz="4" w:space="0" w:color="DDEBF7"/>
              <w:left w:val="nil"/>
              <w:bottom w:val="single" w:sz="4" w:space="0" w:color="DDEBF7"/>
              <w:right w:val="nil"/>
            </w:tcBorders>
            <w:shd w:val="clear" w:color="000000" w:fill="FFFFFF"/>
            <w:vAlign w:val="center"/>
            <w:hideMark/>
          </w:tcPr>
          <w:p w14:paraId="545E419D"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National Partnership on COVID-19</w:t>
            </w:r>
          </w:p>
        </w:tc>
        <w:tc>
          <w:tcPr>
            <w:tcW w:w="290" w:type="dxa"/>
            <w:tcBorders>
              <w:top w:val="nil"/>
              <w:left w:val="nil"/>
              <w:bottom w:val="single" w:sz="4" w:space="0" w:color="DDEBF7"/>
              <w:right w:val="nil"/>
            </w:tcBorders>
            <w:shd w:val="clear" w:color="000000" w:fill="FFFFFF"/>
            <w:vAlign w:val="center"/>
            <w:hideMark/>
          </w:tcPr>
          <w:p w14:paraId="3F07F974" w14:textId="77777777" w:rsidR="00CD7BF9" w:rsidRPr="00CD7BF9" w:rsidRDefault="00CD7BF9" w:rsidP="00373342">
            <w:pPr>
              <w:keepNext/>
              <w:tabs>
                <w:tab w:val="clear" w:pos="567"/>
              </w:tabs>
              <w:spacing w:before="0" w:line="240" w:lineRule="auto"/>
              <w:jc w:val="right"/>
              <w:rPr>
                <w:rFonts w:eastAsia="Times New Roman" w:cs="Open Sans Light"/>
                <w:color w:val="000000"/>
                <w:sz w:val="16"/>
                <w:szCs w:val="16"/>
                <w:lang w:eastAsia="en-AU"/>
              </w:rPr>
            </w:pPr>
            <w:r w:rsidRPr="00CD7BF9">
              <w:rPr>
                <w:rFonts w:eastAsia="Times New Roman" w:cs="Open Sans Light"/>
                <w:color w:val="000000"/>
                <w:sz w:val="16"/>
                <w:szCs w:val="16"/>
                <w:lang w:eastAsia="en-AU"/>
              </w:rPr>
              <w:t> </w:t>
            </w:r>
          </w:p>
        </w:tc>
        <w:tc>
          <w:tcPr>
            <w:tcW w:w="2212" w:type="dxa"/>
            <w:tcBorders>
              <w:top w:val="nil"/>
              <w:left w:val="nil"/>
              <w:bottom w:val="single" w:sz="4" w:space="0" w:color="DDEBF7"/>
              <w:right w:val="nil"/>
            </w:tcBorders>
            <w:shd w:val="clear" w:color="000000" w:fill="FFFFFF"/>
            <w:vAlign w:val="center"/>
            <w:hideMark/>
          </w:tcPr>
          <w:p w14:paraId="2FF9B3AE"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Actual per capita</w:t>
            </w:r>
          </w:p>
        </w:tc>
        <w:tc>
          <w:tcPr>
            <w:tcW w:w="5219" w:type="dxa"/>
            <w:tcBorders>
              <w:top w:val="nil"/>
              <w:left w:val="nil"/>
              <w:bottom w:val="single" w:sz="4" w:space="0" w:color="DDEBF7"/>
              <w:right w:val="nil"/>
            </w:tcBorders>
            <w:shd w:val="clear" w:color="000000" w:fill="FFFFFF"/>
            <w:vAlign w:val="center"/>
            <w:hideMark/>
          </w:tcPr>
          <w:p w14:paraId="196EDA34" w14:textId="77777777" w:rsidR="00CD7BF9" w:rsidRPr="00CD7BF9" w:rsidRDefault="00CD7BF9" w:rsidP="00373342">
            <w:pPr>
              <w:keepNext/>
              <w:tabs>
                <w:tab w:val="clear" w:pos="567"/>
              </w:tabs>
              <w:spacing w:before="0" w:line="240" w:lineRule="auto"/>
              <w:rPr>
                <w:rFonts w:eastAsia="Times New Roman" w:cs="Open Sans Light"/>
                <w:color w:val="000000"/>
                <w:sz w:val="16"/>
                <w:szCs w:val="16"/>
                <w:lang w:eastAsia="en-AU"/>
              </w:rPr>
            </w:pPr>
            <w:r w:rsidRPr="00CD7BF9">
              <w:rPr>
                <w:rFonts w:eastAsia="Times New Roman" w:cs="Open Sans Light"/>
                <w:color w:val="000000"/>
                <w:sz w:val="16"/>
                <w:szCs w:val="16"/>
                <w:lang w:eastAsia="en-AU"/>
              </w:rPr>
              <w:t>State expenses reflect circumstances beyond state control.</w:t>
            </w:r>
          </w:p>
        </w:tc>
      </w:tr>
    </w:tbl>
    <w:p w14:paraId="30302706" w14:textId="77777777" w:rsidR="00053B50" w:rsidRDefault="00053B50" w:rsidP="004A7F8A">
      <w:pPr>
        <w:pStyle w:val="Heading2"/>
        <w:keepNext/>
        <w:spacing w:before="240" w:after="120"/>
      </w:pPr>
    </w:p>
    <w:p w14:paraId="7428FBDE" w14:textId="77777777" w:rsidR="00053B50" w:rsidRDefault="00053B50">
      <w:pPr>
        <w:tabs>
          <w:tab w:val="clear" w:pos="567"/>
        </w:tabs>
        <w:spacing w:before="0" w:after="200" w:line="276" w:lineRule="auto"/>
        <w:rPr>
          <w:rFonts w:ascii="Work Sans" w:eastAsia="Times New Roman" w:hAnsi="Work Sans" w:cs="Open Sans"/>
          <w:b/>
          <w:bCs/>
          <w:color w:val="006991"/>
          <w:sz w:val="36"/>
          <w:szCs w:val="36"/>
        </w:rPr>
      </w:pPr>
      <w:r>
        <w:br w:type="page"/>
      </w:r>
    </w:p>
    <w:p w14:paraId="44108C33" w14:textId="4255E46D" w:rsidR="00D71CD8" w:rsidRPr="00075917" w:rsidRDefault="00D71CD8" w:rsidP="004A7F8A">
      <w:pPr>
        <w:pStyle w:val="Heading2"/>
        <w:keepNext/>
        <w:spacing w:before="240" w:after="120"/>
      </w:pPr>
      <w:r w:rsidRPr="00075917">
        <w:lastRenderedPageBreak/>
        <w:t>Data</w:t>
      </w:r>
    </w:p>
    <w:p w14:paraId="4007EC43" w14:textId="6B7D4ABE" w:rsidR="007D0EE3" w:rsidRPr="009F7542" w:rsidRDefault="007D0EE3" w:rsidP="007D0EE3">
      <w:pPr>
        <w:pStyle w:val="CGCNumberedPara"/>
        <w:keepNext/>
        <w:rPr>
          <w:rFonts w:ascii="Work Sans" w:hAnsi="Work Sans"/>
          <w:sz w:val="20"/>
          <w:szCs w:val="20"/>
        </w:rPr>
      </w:pPr>
      <w:bookmarkStart w:id="8" w:name="_Ref168043836"/>
      <w:r w:rsidRPr="003C5BE5">
        <w:rPr>
          <w:rFonts w:ascii="Work Sans" w:hAnsi="Work Sans"/>
          <w:sz w:val="20"/>
          <w:szCs w:val="20"/>
        </w:rPr>
        <w:t>The main data source</w:t>
      </w:r>
      <w:r w:rsidRPr="009F7542">
        <w:rPr>
          <w:rFonts w:ascii="Work Sans" w:hAnsi="Work Sans"/>
          <w:sz w:val="20"/>
          <w:szCs w:val="20"/>
        </w:rPr>
        <w:t xml:space="preserve"> for calculating category and component expenses </w:t>
      </w:r>
      <w:r w:rsidR="00E4098E">
        <w:rPr>
          <w:rFonts w:ascii="Work Sans" w:hAnsi="Work Sans"/>
          <w:sz w:val="20"/>
          <w:szCs w:val="20"/>
        </w:rPr>
        <w:t>is</w:t>
      </w:r>
      <w:r w:rsidR="00E4098E" w:rsidRPr="009F7542">
        <w:rPr>
          <w:rFonts w:ascii="Work Sans" w:hAnsi="Work Sans"/>
          <w:sz w:val="20"/>
          <w:szCs w:val="20"/>
        </w:rPr>
        <w:t xml:space="preserve"> </w:t>
      </w:r>
      <w:r w:rsidR="00B41CEC">
        <w:rPr>
          <w:rFonts w:ascii="Work Sans" w:hAnsi="Work Sans"/>
          <w:sz w:val="20"/>
          <w:szCs w:val="20"/>
        </w:rPr>
        <w:t xml:space="preserve">state budget data </w:t>
      </w:r>
      <w:r w:rsidR="00ED20A1">
        <w:rPr>
          <w:rFonts w:ascii="Work Sans" w:hAnsi="Work Sans"/>
          <w:sz w:val="20"/>
          <w:szCs w:val="20"/>
        </w:rPr>
        <w:t>sourced from</w:t>
      </w:r>
      <w:r w:rsidR="00230831">
        <w:rPr>
          <w:rFonts w:ascii="Work Sans" w:hAnsi="Work Sans"/>
          <w:sz w:val="20"/>
          <w:szCs w:val="20"/>
        </w:rPr>
        <w:t xml:space="preserve"> </w:t>
      </w:r>
      <w:r w:rsidRPr="009F7542">
        <w:rPr>
          <w:rFonts w:ascii="Work Sans" w:hAnsi="Work Sans"/>
          <w:sz w:val="20"/>
          <w:szCs w:val="20"/>
        </w:rPr>
        <w:t>ABS Government Financ</w:t>
      </w:r>
      <w:r w:rsidR="00B85BAB">
        <w:rPr>
          <w:rFonts w:ascii="Work Sans" w:hAnsi="Work Sans"/>
          <w:sz w:val="20"/>
          <w:szCs w:val="20"/>
        </w:rPr>
        <w:t>e</w:t>
      </w:r>
      <w:r w:rsidRPr="009F7542">
        <w:rPr>
          <w:rFonts w:ascii="Work Sans" w:hAnsi="Work Sans"/>
          <w:sz w:val="20"/>
          <w:szCs w:val="20"/>
        </w:rPr>
        <w:t xml:space="preserve"> Statistics (GFS)</w:t>
      </w:r>
      <w:r w:rsidR="008F7A4B">
        <w:rPr>
          <w:rFonts w:ascii="Work Sans" w:hAnsi="Work Sans"/>
          <w:sz w:val="20"/>
          <w:szCs w:val="20"/>
        </w:rPr>
        <w:t>.</w:t>
      </w:r>
      <w:r w:rsidRPr="009F7542">
        <w:rPr>
          <w:rFonts w:ascii="Work Sans" w:hAnsi="Work Sans"/>
          <w:sz w:val="20"/>
          <w:szCs w:val="20"/>
        </w:rPr>
        <w:t xml:space="preserve"> Several other data sources are used when more disaggregated </w:t>
      </w:r>
      <w:r w:rsidR="00F4680B">
        <w:rPr>
          <w:rFonts w:ascii="Work Sans" w:hAnsi="Work Sans"/>
          <w:sz w:val="20"/>
          <w:szCs w:val="20"/>
        </w:rPr>
        <w:t xml:space="preserve">expense </w:t>
      </w:r>
      <w:r w:rsidRPr="009F7542">
        <w:rPr>
          <w:rFonts w:ascii="Work Sans" w:hAnsi="Work Sans"/>
          <w:sz w:val="20"/>
          <w:szCs w:val="20"/>
        </w:rPr>
        <w:t>data are required.</w:t>
      </w:r>
    </w:p>
    <w:p w14:paraId="0AFF9DDC" w14:textId="2CC812C4" w:rsidR="007D0EE3" w:rsidRDefault="007D0EE3" w:rsidP="007D0EE3">
      <w:pPr>
        <w:pStyle w:val="CGC2025Bullet1"/>
      </w:pPr>
      <w:r w:rsidRPr="00EE2CAC">
        <w:t xml:space="preserve">National Hospital Cost Data Collection (NHCDC) data from </w:t>
      </w:r>
      <w:r>
        <w:t>the Independent Health and Aged Care Pricing Authority</w:t>
      </w:r>
      <w:r w:rsidRPr="00EE2CAC">
        <w:t xml:space="preserve"> </w:t>
      </w:r>
      <w:r w:rsidR="00E4098E">
        <w:t>(IH</w:t>
      </w:r>
      <w:r w:rsidR="00B80381">
        <w:t xml:space="preserve">ACPA) </w:t>
      </w:r>
      <w:r w:rsidRPr="00EE2CAC">
        <w:t xml:space="preserve">are used to split GFS outpatient expenses between the </w:t>
      </w:r>
      <w:r w:rsidRPr="007C29A2">
        <w:t>non-admitted patient</w:t>
      </w:r>
      <w:r w:rsidRPr="00EE2CAC">
        <w:t xml:space="preserve"> and emergency department components. </w:t>
      </w:r>
    </w:p>
    <w:p w14:paraId="0B57BA65" w14:textId="3E3560AA" w:rsidR="007D0EE3" w:rsidRDefault="007D0EE3" w:rsidP="007D0EE3">
      <w:pPr>
        <w:pStyle w:val="CGC2025Bullet1"/>
      </w:pPr>
      <w:r>
        <w:t>Productivity Commission data on s</w:t>
      </w:r>
      <w:r w:rsidRPr="005970D3">
        <w:t xml:space="preserve">tate spending </w:t>
      </w:r>
      <w:r>
        <w:t xml:space="preserve">on specialised mental health services, </w:t>
      </w:r>
      <w:r w:rsidRPr="005970D3">
        <w:t xml:space="preserve">published annually in the </w:t>
      </w:r>
      <w:r w:rsidR="005F6376" w:rsidRPr="00405E75">
        <w:rPr>
          <w:i/>
          <w:iCs/>
        </w:rPr>
        <w:t>R</w:t>
      </w:r>
      <w:r w:rsidRPr="00405E75">
        <w:rPr>
          <w:i/>
          <w:iCs/>
        </w:rPr>
        <w:t xml:space="preserve">eport on </w:t>
      </w:r>
      <w:r w:rsidR="005F6376" w:rsidRPr="00405E75">
        <w:rPr>
          <w:i/>
          <w:iCs/>
        </w:rPr>
        <w:t>G</w:t>
      </w:r>
      <w:r w:rsidRPr="00405E75">
        <w:rPr>
          <w:i/>
          <w:iCs/>
        </w:rPr>
        <w:t xml:space="preserve">overnment </w:t>
      </w:r>
      <w:r w:rsidR="005F6376" w:rsidRPr="00405E75">
        <w:rPr>
          <w:i/>
          <w:iCs/>
        </w:rPr>
        <w:t>S</w:t>
      </w:r>
      <w:r w:rsidRPr="00405E75">
        <w:rPr>
          <w:i/>
          <w:iCs/>
        </w:rPr>
        <w:t>ervices</w:t>
      </w:r>
      <w:r>
        <w:t xml:space="preserve">, are used to estimate the share of ambulatory mental health </w:t>
      </w:r>
      <w:r w:rsidR="006D6F3C">
        <w:t>expenses in</w:t>
      </w:r>
      <w:r>
        <w:t xml:space="preserve"> gross community and public health expenses</w:t>
      </w:r>
      <w:r w:rsidRPr="005970D3">
        <w:t>.</w:t>
      </w:r>
    </w:p>
    <w:p w14:paraId="3F967461" w14:textId="6362CA13" w:rsidR="007D0EE3" w:rsidRDefault="007D0EE3" w:rsidP="007D0EE3">
      <w:pPr>
        <w:pStyle w:val="CGC2025Bullet1"/>
      </w:pPr>
      <w:r w:rsidRPr="00EE2CAC">
        <w:t>State</w:t>
      </w:r>
      <w:r w:rsidR="00052ABA">
        <w:t>-</w:t>
      </w:r>
      <w:r w:rsidRPr="00EE2CAC">
        <w:t xml:space="preserve">provided data are used to determine the proportion of patient transport expenses that relate to </w:t>
      </w:r>
      <w:r>
        <w:t xml:space="preserve">land ambulance or inter-hospital transfers, and </w:t>
      </w:r>
      <w:r w:rsidRPr="00EE2CAC">
        <w:t>non</w:t>
      </w:r>
      <w:r w:rsidR="00963E62">
        <w:noBreakHyphen/>
      </w:r>
      <w:r w:rsidRPr="00EE2CAC">
        <w:t>hospital patient transport (aero-medical ambulance and patient assisted travel schemes).</w:t>
      </w:r>
    </w:p>
    <w:p w14:paraId="78608791" w14:textId="5A3E3009" w:rsidR="009C3B8E" w:rsidRDefault="009E44B8" w:rsidP="007D0EE3">
      <w:pPr>
        <w:pStyle w:val="CGC2025Bullet1"/>
      </w:pPr>
      <w:r>
        <w:t xml:space="preserve">National Health Funding Body </w:t>
      </w:r>
      <w:r w:rsidR="00DD52EF">
        <w:t xml:space="preserve">data are used </w:t>
      </w:r>
      <w:r>
        <w:t xml:space="preserve">for </w:t>
      </w:r>
      <w:r w:rsidR="00F3329D">
        <w:t>expenses associated with the National Partnership on COVID-19 Response.</w:t>
      </w:r>
    </w:p>
    <w:p w14:paraId="3395A9FE" w14:textId="736C5282" w:rsidR="000147B8" w:rsidRDefault="00243664" w:rsidP="000147B8">
      <w:pPr>
        <w:pStyle w:val="CGC2025ParaNumbers"/>
      </w:pPr>
      <w:r>
        <w:t xml:space="preserve">Activity data for </w:t>
      </w:r>
      <w:r w:rsidR="007350E8">
        <w:t>state</w:t>
      </w:r>
      <w:r w:rsidR="00A574AA">
        <w:noBreakHyphen/>
      </w:r>
      <w:r w:rsidR="007350E8">
        <w:t xml:space="preserve">funded </w:t>
      </w:r>
      <w:r w:rsidR="006A5CF2">
        <w:t xml:space="preserve">health services </w:t>
      </w:r>
      <w:r w:rsidR="00D15547">
        <w:t>are sourced from the Independent Health and Aged Care Pricing</w:t>
      </w:r>
      <w:r w:rsidR="006F66E7">
        <w:t xml:space="preserve"> Authority and the Australian Institute of Health and Welfare</w:t>
      </w:r>
      <w:r w:rsidR="00C32ACF">
        <w:t xml:space="preserve"> (AIHW)</w:t>
      </w:r>
      <w:r w:rsidR="006F66E7">
        <w:t>.</w:t>
      </w:r>
      <w:r w:rsidR="00C907FB">
        <w:t xml:space="preserve"> Activity data for the non-state sector adjustments are sourced from the </w:t>
      </w:r>
      <w:r w:rsidR="00F9378F">
        <w:t>AIHW</w:t>
      </w:r>
      <w:r w:rsidR="005928CF">
        <w:t>, Services Austral</w:t>
      </w:r>
      <w:r w:rsidR="009A3D0F">
        <w:t>ia</w:t>
      </w:r>
      <w:r w:rsidR="00652ADF">
        <w:t xml:space="preserve"> and the Australian Prudential Regulation Authority</w:t>
      </w:r>
      <w:r w:rsidR="00C32ACF">
        <w:t xml:space="preserve"> (APRA)</w:t>
      </w:r>
      <w:r w:rsidR="009C3B8E">
        <w:t>.</w:t>
      </w:r>
    </w:p>
    <w:p w14:paraId="49DF6049" w14:textId="7243BB0B" w:rsidR="00D71CD8" w:rsidRPr="00C87FD3" w:rsidRDefault="00D71CD8" w:rsidP="00053B50">
      <w:pPr>
        <w:pStyle w:val="CGC2025ParaNumbers"/>
        <w:keepNext/>
      </w:pPr>
      <w:r w:rsidRPr="00C87FD3">
        <w:lastRenderedPageBreak/>
        <w:t xml:space="preserve">The data used in </w:t>
      </w:r>
      <w:r w:rsidRPr="00764130">
        <w:t xml:space="preserve">the </w:t>
      </w:r>
      <w:r w:rsidRPr="00C87FD3">
        <w:t>assessment are outlined in</w:t>
      </w:r>
      <w:r w:rsidR="00AD008E">
        <w:t xml:space="preserve"> </w:t>
      </w:r>
      <w:r w:rsidR="00C2049D">
        <w:t>Table 4</w:t>
      </w:r>
      <w:r w:rsidRPr="00C87FD3">
        <w:t>.</w:t>
      </w:r>
    </w:p>
    <w:p w14:paraId="197DAF9B" w14:textId="5D0020AC" w:rsidR="00D71CD8" w:rsidRPr="00A72F2D" w:rsidRDefault="00D71CD8" w:rsidP="00946653">
      <w:pPr>
        <w:pStyle w:val="CGC2025Caption"/>
        <w:keepNext/>
      </w:pPr>
      <w:bookmarkStart w:id="9" w:name="_Ref168059099"/>
      <w:bookmarkEnd w:id="8"/>
      <w:r w:rsidRPr="00A72F2D">
        <w:t>Table</w:t>
      </w:r>
      <w:bookmarkEnd w:id="9"/>
      <w:r w:rsidR="00DB6429">
        <w:t xml:space="preserve"> </w:t>
      </w:r>
      <w:r w:rsidR="008D76A3">
        <w:t>4</w:t>
      </w:r>
      <w:r w:rsidRPr="00A72F2D">
        <w:tab/>
        <w:t xml:space="preserve">Data used in the </w:t>
      </w:r>
      <w:r w:rsidR="00A40F54" w:rsidRPr="00764130">
        <w:t>health</w:t>
      </w:r>
      <w:r w:rsidRPr="00764130">
        <w:t xml:space="preserve"> assessment</w:t>
      </w:r>
    </w:p>
    <w:tbl>
      <w:tblPr>
        <w:tblW w:w="8942" w:type="dxa"/>
        <w:tblLook w:val="04A0" w:firstRow="1" w:lastRow="0" w:firstColumn="1" w:lastColumn="0" w:noHBand="0" w:noVBand="1"/>
      </w:tblPr>
      <w:tblGrid>
        <w:gridCol w:w="1592"/>
        <w:gridCol w:w="2733"/>
        <w:gridCol w:w="1234"/>
        <w:gridCol w:w="3383"/>
      </w:tblGrid>
      <w:tr w:rsidR="00516F46" w:rsidRPr="00516F46" w14:paraId="13E0BC50" w14:textId="77777777" w:rsidTr="00CF6BE3">
        <w:trPr>
          <w:trHeight w:val="375"/>
        </w:trPr>
        <w:tc>
          <w:tcPr>
            <w:tcW w:w="1600" w:type="dxa"/>
            <w:tcBorders>
              <w:top w:val="nil"/>
              <w:left w:val="nil"/>
              <w:bottom w:val="nil"/>
              <w:right w:val="nil"/>
            </w:tcBorders>
            <w:shd w:val="clear" w:color="000000" w:fill="006991"/>
            <w:vAlign w:val="center"/>
            <w:hideMark/>
          </w:tcPr>
          <w:p w14:paraId="5F81BA5F" w14:textId="77777777" w:rsidR="00516F46" w:rsidRPr="00516F46" w:rsidRDefault="00516F46" w:rsidP="00946653">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516F46">
              <w:rPr>
                <w:rFonts w:ascii="Open Sans Semibold" w:eastAsia="Times New Roman" w:hAnsi="Open Sans Semibold" w:cs="Open Sans Semibold"/>
                <w:color w:val="FFFFFF"/>
                <w:sz w:val="16"/>
                <w:szCs w:val="16"/>
                <w:lang w:eastAsia="en-AU"/>
              </w:rPr>
              <w:t>Source</w:t>
            </w:r>
          </w:p>
        </w:tc>
        <w:tc>
          <w:tcPr>
            <w:tcW w:w="2760" w:type="dxa"/>
            <w:tcBorders>
              <w:top w:val="nil"/>
              <w:left w:val="nil"/>
              <w:bottom w:val="nil"/>
              <w:right w:val="nil"/>
            </w:tcBorders>
            <w:shd w:val="clear" w:color="000000" w:fill="006991"/>
            <w:vAlign w:val="center"/>
            <w:hideMark/>
          </w:tcPr>
          <w:p w14:paraId="0ED7BCA9" w14:textId="77777777" w:rsidR="00516F46" w:rsidRPr="00516F46" w:rsidRDefault="00516F46" w:rsidP="00946653">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516F46">
              <w:rPr>
                <w:rFonts w:ascii="Open Sans Semibold" w:eastAsia="Times New Roman" w:hAnsi="Open Sans Semibold" w:cs="Open Sans Semibold"/>
                <w:color w:val="FFFFFF"/>
                <w:sz w:val="16"/>
                <w:szCs w:val="16"/>
                <w:lang w:eastAsia="en-AU"/>
              </w:rPr>
              <w:t>Data</w:t>
            </w:r>
          </w:p>
        </w:tc>
        <w:tc>
          <w:tcPr>
            <w:tcW w:w="1240" w:type="dxa"/>
            <w:tcBorders>
              <w:top w:val="nil"/>
              <w:left w:val="nil"/>
              <w:bottom w:val="nil"/>
              <w:right w:val="nil"/>
            </w:tcBorders>
            <w:shd w:val="clear" w:color="000000" w:fill="006991"/>
            <w:vAlign w:val="center"/>
            <w:hideMark/>
          </w:tcPr>
          <w:p w14:paraId="056D5353" w14:textId="77777777" w:rsidR="00516F46" w:rsidRPr="00516F46" w:rsidRDefault="00516F46" w:rsidP="00946653">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516F46">
              <w:rPr>
                <w:rFonts w:ascii="Open Sans Semibold" w:eastAsia="Times New Roman" w:hAnsi="Open Sans Semibold" w:cs="Open Sans Semibold"/>
                <w:color w:val="FFFFFF"/>
                <w:sz w:val="16"/>
                <w:szCs w:val="16"/>
                <w:lang w:eastAsia="en-AU"/>
              </w:rPr>
              <w:t>Updated</w:t>
            </w:r>
          </w:p>
        </w:tc>
        <w:tc>
          <w:tcPr>
            <w:tcW w:w="3420" w:type="dxa"/>
            <w:tcBorders>
              <w:top w:val="nil"/>
              <w:left w:val="nil"/>
              <w:bottom w:val="nil"/>
              <w:right w:val="nil"/>
            </w:tcBorders>
            <w:shd w:val="clear" w:color="000000" w:fill="006991"/>
            <w:vAlign w:val="center"/>
            <w:hideMark/>
          </w:tcPr>
          <w:p w14:paraId="4E2245E8" w14:textId="77777777" w:rsidR="00516F46" w:rsidRPr="00516F46" w:rsidRDefault="00516F46" w:rsidP="00946653">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516F46">
              <w:rPr>
                <w:rFonts w:ascii="Open Sans Semibold" w:eastAsia="Times New Roman" w:hAnsi="Open Sans Semibold" w:cs="Open Sans Semibold"/>
                <w:color w:val="FFFFFF"/>
                <w:sz w:val="16"/>
                <w:szCs w:val="16"/>
                <w:lang w:eastAsia="en-AU"/>
              </w:rPr>
              <w:t>Component</w:t>
            </w:r>
          </w:p>
        </w:tc>
      </w:tr>
      <w:tr w:rsidR="00516F46" w:rsidRPr="00516F46" w14:paraId="7158D83C" w14:textId="77777777" w:rsidTr="00CF6BE3">
        <w:trPr>
          <w:trHeight w:val="319"/>
        </w:trPr>
        <w:tc>
          <w:tcPr>
            <w:tcW w:w="1600" w:type="dxa"/>
            <w:vMerge w:val="restart"/>
            <w:tcBorders>
              <w:top w:val="nil"/>
              <w:left w:val="nil"/>
              <w:bottom w:val="nil"/>
              <w:right w:val="nil"/>
            </w:tcBorders>
            <w:shd w:val="clear" w:color="000000" w:fill="FFFFFF"/>
            <w:hideMark/>
          </w:tcPr>
          <w:p w14:paraId="2FA4F32C"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IHACPA</w:t>
            </w:r>
          </w:p>
        </w:tc>
        <w:tc>
          <w:tcPr>
            <w:tcW w:w="2760" w:type="dxa"/>
            <w:vMerge w:val="restart"/>
            <w:tcBorders>
              <w:top w:val="nil"/>
              <w:left w:val="nil"/>
              <w:bottom w:val="single" w:sz="4" w:space="0" w:color="B6D5E4"/>
              <w:right w:val="nil"/>
            </w:tcBorders>
            <w:shd w:val="clear" w:color="000000" w:fill="FFFFFF"/>
            <w:hideMark/>
          </w:tcPr>
          <w:p w14:paraId="6611BBF8"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 xml:space="preserve">National Weighted Activity Units </w:t>
            </w:r>
          </w:p>
        </w:tc>
        <w:tc>
          <w:tcPr>
            <w:tcW w:w="1240" w:type="dxa"/>
            <w:vMerge w:val="restart"/>
            <w:tcBorders>
              <w:top w:val="nil"/>
              <w:left w:val="nil"/>
              <w:bottom w:val="single" w:sz="4" w:space="0" w:color="B6D5E4"/>
              <w:right w:val="nil"/>
            </w:tcBorders>
            <w:shd w:val="clear" w:color="000000" w:fill="FFFFFF"/>
            <w:hideMark/>
          </w:tcPr>
          <w:p w14:paraId="516502E4"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2B2CD0F4"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Admitted patients</w:t>
            </w:r>
          </w:p>
        </w:tc>
      </w:tr>
      <w:tr w:rsidR="00516F46" w:rsidRPr="00516F46" w14:paraId="52505698" w14:textId="77777777" w:rsidTr="00CF6BE3">
        <w:trPr>
          <w:trHeight w:val="319"/>
        </w:trPr>
        <w:tc>
          <w:tcPr>
            <w:tcW w:w="1600" w:type="dxa"/>
            <w:vMerge/>
            <w:tcBorders>
              <w:top w:val="nil"/>
              <w:left w:val="nil"/>
              <w:bottom w:val="nil"/>
              <w:right w:val="nil"/>
            </w:tcBorders>
            <w:vAlign w:val="center"/>
            <w:hideMark/>
          </w:tcPr>
          <w:p w14:paraId="786C6D74"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2760" w:type="dxa"/>
            <w:vMerge/>
            <w:tcBorders>
              <w:top w:val="nil"/>
              <w:left w:val="nil"/>
              <w:bottom w:val="single" w:sz="4" w:space="0" w:color="B6D5E4"/>
              <w:right w:val="nil"/>
            </w:tcBorders>
            <w:vAlign w:val="center"/>
            <w:hideMark/>
          </w:tcPr>
          <w:p w14:paraId="72AFFE7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1240" w:type="dxa"/>
            <w:vMerge/>
            <w:tcBorders>
              <w:top w:val="nil"/>
              <w:left w:val="nil"/>
              <w:bottom w:val="single" w:sz="4" w:space="0" w:color="B6D5E4"/>
              <w:right w:val="nil"/>
            </w:tcBorders>
            <w:vAlign w:val="center"/>
            <w:hideMark/>
          </w:tcPr>
          <w:p w14:paraId="64C2EB48"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3420" w:type="dxa"/>
            <w:tcBorders>
              <w:top w:val="nil"/>
              <w:left w:val="nil"/>
              <w:bottom w:val="single" w:sz="4" w:space="0" w:color="B6D5E4"/>
              <w:right w:val="nil"/>
            </w:tcBorders>
            <w:shd w:val="clear" w:color="000000" w:fill="FFFFFF"/>
            <w:hideMark/>
          </w:tcPr>
          <w:p w14:paraId="24C91C53"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Non-admitted patients</w:t>
            </w:r>
          </w:p>
        </w:tc>
      </w:tr>
      <w:tr w:rsidR="00516F46" w:rsidRPr="00516F46" w14:paraId="36510B23" w14:textId="77777777" w:rsidTr="00CF6BE3">
        <w:trPr>
          <w:trHeight w:val="319"/>
        </w:trPr>
        <w:tc>
          <w:tcPr>
            <w:tcW w:w="1600" w:type="dxa"/>
            <w:vMerge/>
            <w:tcBorders>
              <w:top w:val="nil"/>
              <w:left w:val="nil"/>
              <w:bottom w:val="nil"/>
              <w:right w:val="nil"/>
            </w:tcBorders>
            <w:vAlign w:val="center"/>
            <w:hideMark/>
          </w:tcPr>
          <w:p w14:paraId="6F16F92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2760" w:type="dxa"/>
            <w:vMerge/>
            <w:tcBorders>
              <w:top w:val="nil"/>
              <w:left w:val="nil"/>
              <w:bottom w:val="single" w:sz="4" w:space="0" w:color="B6D5E4"/>
              <w:right w:val="nil"/>
            </w:tcBorders>
            <w:vAlign w:val="center"/>
            <w:hideMark/>
          </w:tcPr>
          <w:p w14:paraId="5F60671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1240" w:type="dxa"/>
            <w:vMerge/>
            <w:tcBorders>
              <w:top w:val="nil"/>
              <w:left w:val="nil"/>
              <w:bottom w:val="single" w:sz="4" w:space="0" w:color="B6D5E4"/>
              <w:right w:val="nil"/>
            </w:tcBorders>
            <w:vAlign w:val="center"/>
            <w:hideMark/>
          </w:tcPr>
          <w:p w14:paraId="1060B4C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3420" w:type="dxa"/>
            <w:tcBorders>
              <w:top w:val="nil"/>
              <w:left w:val="nil"/>
              <w:bottom w:val="single" w:sz="4" w:space="0" w:color="B6D5E4"/>
              <w:right w:val="nil"/>
            </w:tcBorders>
            <w:shd w:val="clear" w:color="000000" w:fill="FFFFFF"/>
            <w:hideMark/>
          </w:tcPr>
          <w:p w14:paraId="69031532"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Emergency departments</w:t>
            </w:r>
          </w:p>
        </w:tc>
      </w:tr>
      <w:tr w:rsidR="00516F46" w:rsidRPr="00516F46" w14:paraId="0D88764B" w14:textId="77777777" w:rsidTr="00CF6BE3">
        <w:trPr>
          <w:trHeight w:val="319"/>
        </w:trPr>
        <w:tc>
          <w:tcPr>
            <w:tcW w:w="1600" w:type="dxa"/>
            <w:vMerge/>
            <w:tcBorders>
              <w:top w:val="nil"/>
              <w:left w:val="nil"/>
              <w:bottom w:val="nil"/>
              <w:right w:val="nil"/>
            </w:tcBorders>
            <w:vAlign w:val="center"/>
            <w:hideMark/>
          </w:tcPr>
          <w:p w14:paraId="5E250DB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2760" w:type="dxa"/>
            <w:vMerge/>
            <w:tcBorders>
              <w:top w:val="nil"/>
              <w:left w:val="nil"/>
              <w:bottom w:val="single" w:sz="4" w:space="0" w:color="B6D5E4"/>
              <w:right w:val="nil"/>
            </w:tcBorders>
            <w:vAlign w:val="center"/>
            <w:hideMark/>
          </w:tcPr>
          <w:p w14:paraId="4E8CE533"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1240" w:type="dxa"/>
            <w:vMerge/>
            <w:tcBorders>
              <w:top w:val="nil"/>
              <w:left w:val="nil"/>
              <w:bottom w:val="single" w:sz="4" w:space="0" w:color="B6D5E4"/>
              <w:right w:val="nil"/>
            </w:tcBorders>
            <w:vAlign w:val="center"/>
            <w:hideMark/>
          </w:tcPr>
          <w:p w14:paraId="0E41B1B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3420" w:type="dxa"/>
            <w:tcBorders>
              <w:top w:val="nil"/>
              <w:left w:val="nil"/>
              <w:bottom w:val="single" w:sz="4" w:space="0" w:color="B6D5E4"/>
              <w:right w:val="nil"/>
            </w:tcBorders>
            <w:shd w:val="clear" w:color="000000" w:fill="FFFFFF"/>
            <w:hideMark/>
          </w:tcPr>
          <w:p w14:paraId="094A96D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Community and public health</w:t>
            </w:r>
          </w:p>
        </w:tc>
      </w:tr>
      <w:tr w:rsidR="00516F46" w:rsidRPr="00516F46" w14:paraId="1E5782BC" w14:textId="77777777" w:rsidTr="00CF6BE3">
        <w:trPr>
          <w:trHeight w:val="555"/>
        </w:trPr>
        <w:tc>
          <w:tcPr>
            <w:tcW w:w="1600" w:type="dxa"/>
            <w:vMerge/>
            <w:tcBorders>
              <w:top w:val="nil"/>
              <w:left w:val="nil"/>
              <w:bottom w:val="nil"/>
              <w:right w:val="nil"/>
            </w:tcBorders>
            <w:vAlign w:val="center"/>
            <w:hideMark/>
          </w:tcPr>
          <w:p w14:paraId="472ECEB9"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2760" w:type="dxa"/>
            <w:tcBorders>
              <w:top w:val="nil"/>
              <w:left w:val="nil"/>
              <w:bottom w:val="single" w:sz="4" w:space="0" w:color="B6D5E4"/>
              <w:right w:val="nil"/>
            </w:tcBorders>
            <w:shd w:val="clear" w:color="000000" w:fill="FFFFFF"/>
            <w:hideMark/>
          </w:tcPr>
          <w:p w14:paraId="69BD60E0" w14:textId="434B7144" w:rsidR="00516F46" w:rsidRPr="00516F46" w:rsidRDefault="00B3436F" w:rsidP="00946653">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National Efficient Cost (</w:t>
            </w:r>
            <w:r w:rsidR="00516F46" w:rsidRPr="00516F46">
              <w:rPr>
                <w:rFonts w:eastAsia="Times New Roman" w:cs="Open Sans Light"/>
                <w:color w:val="000000"/>
                <w:sz w:val="16"/>
                <w:szCs w:val="16"/>
                <w:lang w:eastAsia="en-AU"/>
              </w:rPr>
              <w:t>NEC</w:t>
            </w:r>
            <w:r w:rsidR="0065655C">
              <w:rPr>
                <w:rFonts w:eastAsia="Times New Roman" w:cs="Open Sans Light"/>
                <w:color w:val="000000"/>
                <w:sz w:val="16"/>
                <w:szCs w:val="16"/>
                <w:lang w:eastAsia="en-AU"/>
              </w:rPr>
              <w:t>)</w:t>
            </w:r>
            <w:r w:rsidR="00516F46" w:rsidRPr="00516F46">
              <w:rPr>
                <w:rFonts w:eastAsia="Times New Roman" w:cs="Open Sans Light"/>
                <w:color w:val="000000"/>
                <w:sz w:val="16"/>
                <w:szCs w:val="16"/>
                <w:lang w:eastAsia="en-AU"/>
              </w:rPr>
              <w:t xml:space="preserve"> funding formula and data on block funded small rural hospitals</w:t>
            </w:r>
          </w:p>
        </w:tc>
        <w:tc>
          <w:tcPr>
            <w:tcW w:w="1240" w:type="dxa"/>
            <w:tcBorders>
              <w:top w:val="single" w:sz="4" w:space="0" w:color="ADD6EA"/>
              <w:left w:val="nil"/>
              <w:bottom w:val="single" w:sz="4" w:space="0" w:color="B6D5E4"/>
              <w:right w:val="nil"/>
            </w:tcBorders>
            <w:shd w:val="clear" w:color="000000" w:fill="FFFFFF"/>
            <w:hideMark/>
          </w:tcPr>
          <w:p w14:paraId="213A712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5A12CD36"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All hospital components</w:t>
            </w:r>
          </w:p>
        </w:tc>
      </w:tr>
      <w:tr w:rsidR="00516F46" w:rsidRPr="00516F46" w14:paraId="586A1D02" w14:textId="77777777" w:rsidTr="00CF6BE3">
        <w:trPr>
          <w:trHeight w:val="555"/>
        </w:trPr>
        <w:tc>
          <w:tcPr>
            <w:tcW w:w="1600" w:type="dxa"/>
            <w:vMerge/>
            <w:tcBorders>
              <w:top w:val="nil"/>
              <w:left w:val="nil"/>
              <w:bottom w:val="nil"/>
              <w:right w:val="nil"/>
            </w:tcBorders>
            <w:vAlign w:val="center"/>
            <w:hideMark/>
          </w:tcPr>
          <w:p w14:paraId="1E3F3247"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2760" w:type="dxa"/>
            <w:tcBorders>
              <w:top w:val="nil"/>
              <w:left w:val="nil"/>
              <w:bottom w:val="nil"/>
              <w:right w:val="nil"/>
            </w:tcBorders>
            <w:shd w:val="clear" w:color="000000" w:fill="FFFFFF"/>
            <w:hideMark/>
          </w:tcPr>
          <w:p w14:paraId="7978884F" w14:textId="794B9E36"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NHCDC ED and NAP expen</w:t>
            </w:r>
            <w:r w:rsidR="000D6542">
              <w:rPr>
                <w:rFonts w:eastAsia="Times New Roman" w:cs="Open Sans Light"/>
                <w:color w:val="000000"/>
                <w:sz w:val="16"/>
                <w:szCs w:val="16"/>
                <w:lang w:eastAsia="en-AU"/>
              </w:rPr>
              <w:t>ses</w:t>
            </w:r>
          </w:p>
        </w:tc>
        <w:tc>
          <w:tcPr>
            <w:tcW w:w="1240" w:type="dxa"/>
            <w:tcBorders>
              <w:top w:val="single" w:sz="4" w:space="0" w:color="ADD6EA"/>
              <w:left w:val="nil"/>
              <w:bottom w:val="single" w:sz="4" w:space="0" w:color="B6D5E4"/>
              <w:right w:val="nil"/>
            </w:tcBorders>
            <w:shd w:val="clear" w:color="000000" w:fill="FFFFFF"/>
            <w:hideMark/>
          </w:tcPr>
          <w:p w14:paraId="20123995"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7637DEC5"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Emergency departments and non-admitted patients</w:t>
            </w:r>
          </w:p>
        </w:tc>
      </w:tr>
      <w:tr w:rsidR="00516F46" w:rsidRPr="00516F46" w14:paraId="27CE2C56" w14:textId="77777777" w:rsidTr="00CF6BE3">
        <w:trPr>
          <w:trHeight w:val="525"/>
        </w:trPr>
        <w:tc>
          <w:tcPr>
            <w:tcW w:w="1600" w:type="dxa"/>
            <w:tcBorders>
              <w:top w:val="single" w:sz="4" w:space="0" w:color="ADD6EA"/>
              <w:left w:val="nil"/>
              <w:bottom w:val="nil"/>
              <w:right w:val="nil"/>
            </w:tcBorders>
            <w:shd w:val="clear" w:color="000000" w:fill="FFFFFF"/>
            <w:hideMark/>
          </w:tcPr>
          <w:p w14:paraId="79E7AFD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AIHW</w:t>
            </w:r>
          </w:p>
        </w:tc>
        <w:tc>
          <w:tcPr>
            <w:tcW w:w="2760" w:type="dxa"/>
            <w:tcBorders>
              <w:top w:val="single" w:sz="4" w:space="0" w:color="B6D5E4"/>
              <w:left w:val="nil"/>
              <w:bottom w:val="single" w:sz="4" w:space="0" w:color="B6D5E4"/>
              <w:right w:val="nil"/>
            </w:tcBorders>
            <w:shd w:val="clear" w:color="000000" w:fill="FFFFFF"/>
            <w:hideMark/>
          </w:tcPr>
          <w:p w14:paraId="48529ED5" w14:textId="411F73E4"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Admitted patient private health insurance</w:t>
            </w:r>
            <w:r w:rsidR="00E57BCB">
              <w:rPr>
                <w:rFonts w:eastAsia="Times New Roman" w:cs="Open Sans Light"/>
                <w:color w:val="000000"/>
                <w:sz w:val="16"/>
                <w:szCs w:val="16"/>
                <w:lang w:eastAsia="en-AU"/>
              </w:rPr>
              <w:t>-</w:t>
            </w:r>
            <w:r w:rsidR="000B0343">
              <w:rPr>
                <w:rFonts w:eastAsia="Times New Roman" w:cs="Open Sans Light"/>
                <w:color w:val="000000"/>
                <w:sz w:val="16"/>
                <w:szCs w:val="16"/>
                <w:lang w:eastAsia="en-AU"/>
              </w:rPr>
              <w:t>funded separations</w:t>
            </w:r>
          </w:p>
        </w:tc>
        <w:tc>
          <w:tcPr>
            <w:tcW w:w="1240" w:type="dxa"/>
            <w:tcBorders>
              <w:top w:val="single" w:sz="4" w:space="0" w:color="ADD6EA"/>
              <w:left w:val="nil"/>
              <w:bottom w:val="single" w:sz="4" w:space="0" w:color="B6D5E4"/>
              <w:right w:val="nil"/>
            </w:tcBorders>
            <w:shd w:val="clear" w:color="000000" w:fill="FFFFFF"/>
            <w:hideMark/>
          </w:tcPr>
          <w:p w14:paraId="24A41A70"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4696F1FC"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Admitted patients</w:t>
            </w:r>
          </w:p>
        </w:tc>
      </w:tr>
      <w:tr w:rsidR="00516F46" w:rsidRPr="00516F46" w14:paraId="6B06B239" w14:textId="77777777" w:rsidTr="00CF6BE3">
        <w:trPr>
          <w:trHeight w:val="315"/>
        </w:trPr>
        <w:tc>
          <w:tcPr>
            <w:tcW w:w="1600" w:type="dxa"/>
            <w:tcBorders>
              <w:top w:val="nil"/>
              <w:left w:val="nil"/>
              <w:bottom w:val="nil"/>
              <w:right w:val="nil"/>
            </w:tcBorders>
            <w:shd w:val="clear" w:color="000000" w:fill="FFFFFF"/>
            <w:hideMark/>
          </w:tcPr>
          <w:p w14:paraId="2B87A647"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 </w:t>
            </w:r>
          </w:p>
        </w:tc>
        <w:tc>
          <w:tcPr>
            <w:tcW w:w="2760" w:type="dxa"/>
            <w:vMerge w:val="restart"/>
            <w:tcBorders>
              <w:top w:val="nil"/>
              <w:left w:val="nil"/>
              <w:bottom w:val="single" w:sz="4" w:space="0" w:color="B6D5E4"/>
              <w:right w:val="nil"/>
            </w:tcBorders>
            <w:shd w:val="clear" w:color="000000" w:fill="FFFFFF"/>
            <w:hideMark/>
          </w:tcPr>
          <w:p w14:paraId="0E02ACC4" w14:textId="4E315174"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Medicare bulk</w:t>
            </w:r>
            <w:r w:rsidR="00F978D8">
              <w:rPr>
                <w:rFonts w:eastAsia="Times New Roman" w:cs="Open Sans Light"/>
                <w:color w:val="000000"/>
                <w:sz w:val="16"/>
                <w:szCs w:val="16"/>
                <w:lang w:eastAsia="en-AU"/>
              </w:rPr>
              <w:t xml:space="preserve"> </w:t>
            </w:r>
            <w:r w:rsidRPr="00516F46">
              <w:rPr>
                <w:rFonts w:eastAsia="Times New Roman" w:cs="Open Sans Light"/>
                <w:color w:val="000000"/>
                <w:sz w:val="16"/>
                <w:szCs w:val="16"/>
                <w:lang w:eastAsia="en-AU"/>
              </w:rPr>
              <w:t>billed benefits paid by Indigenous status</w:t>
            </w:r>
          </w:p>
        </w:tc>
        <w:tc>
          <w:tcPr>
            <w:tcW w:w="1240" w:type="dxa"/>
            <w:vMerge w:val="restart"/>
            <w:tcBorders>
              <w:top w:val="nil"/>
              <w:left w:val="nil"/>
              <w:bottom w:val="single" w:sz="4" w:space="0" w:color="B6D5E4"/>
              <w:right w:val="nil"/>
            </w:tcBorders>
            <w:shd w:val="clear" w:color="000000" w:fill="FFFFFF"/>
            <w:hideMark/>
          </w:tcPr>
          <w:p w14:paraId="17AA8CCF"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04E89E1F"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Non-admitted patients</w:t>
            </w:r>
          </w:p>
        </w:tc>
      </w:tr>
      <w:tr w:rsidR="00516F46" w:rsidRPr="00516F46" w14:paraId="3F006AB2" w14:textId="77777777" w:rsidTr="00CF6BE3">
        <w:trPr>
          <w:trHeight w:val="315"/>
        </w:trPr>
        <w:tc>
          <w:tcPr>
            <w:tcW w:w="1600" w:type="dxa"/>
            <w:tcBorders>
              <w:top w:val="nil"/>
              <w:left w:val="nil"/>
              <w:bottom w:val="nil"/>
              <w:right w:val="nil"/>
            </w:tcBorders>
            <w:shd w:val="clear" w:color="000000" w:fill="FFFFFF"/>
            <w:hideMark/>
          </w:tcPr>
          <w:p w14:paraId="7AF01FE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 </w:t>
            </w:r>
          </w:p>
        </w:tc>
        <w:tc>
          <w:tcPr>
            <w:tcW w:w="2760" w:type="dxa"/>
            <w:vMerge/>
            <w:tcBorders>
              <w:top w:val="nil"/>
              <w:left w:val="nil"/>
              <w:bottom w:val="single" w:sz="4" w:space="0" w:color="B6D5E4"/>
              <w:right w:val="nil"/>
            </w:tcBorders>
            <w:vAlign w:val="center"/>
            <w:hideMark/>
          </w:tcPr>
          <w:p w14:paraId="6905C49A"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1240" w:type="dxa"/>
            <w:vMerge/>
            <w:tcBorders>
              <w:top w:val="nil"/>
              <w:left w:val="nil"/>
              <w:bottom w:val="single" w:sz="4" w:space="0" w:color="B6D5E4"/>
              <w:right w:val="nil"/>
            </w:tcBorders>
            <w:vAlign w:val="center"/>
            <w:hideMark/>
          </w:tcPr>
          <w:p w14:paraId="1D542B6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3420" w:type="dxa"/>
            <w:tcBorders>
              <w:top w:val="nil"/>
              <w:left w:val="nil"/>
              <w:bottom w:val="single" w:sz="4" w:space="0" w:color="B6D5E4"/>
              <w:right w:val="nil"/>
            </w:tcBorders>
            <w:shd w:val="clear" w:color="000000" w:fill="FFFFFF"/>
            <w:hideMark/>
          </w:tcPr>
          <w:p w14:paraId="4110DD23"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Emergency departments</w:t>
            </w:r>
          </w:p>
        </w:tc>
      </w:tr>
      <w:tr w:rsidR="00516F46" w:rsidRPr="00516F46" w14:paraId="559A7020" w14:textId="77777777" w:rsidTr="00CF6BE3">
        <w:trPr>
          <w:trHeight w:val="315"/>
        </w:trPr>
        <w:tc>
          <w:tcPr>
            <w:tcW w:w="1600" w:type="dxa"/>
            <w:tcBorders>
              <w:top w:val="nil"/>
              <w:left w:val="nil"/>
              <w:bottom w:val="nil"/>
              <w:right w:val="nil"/>
            </w:tcBorders>
            <w:shd w:val="clear" w:color="000000" w:fill="FFFFFF"/>
            <w:hideMark/>
          </w:tcPr>
          <w:p w14:paraId="0E0A067C"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 </w:t>
            </w:r>
          </w:p>
        </w:tc>
        <w:tc>
          <w:tcPr>
            <w:tcW w:w="2760" w:type="dxa"/>
            <w:vMerge/>
            <w:tcBorders>
              <w:top w:val="nil"/>
              <w:left w:val="nil"/>
              <w:bottom w:val="single" w:sz="4" w:space="0" w:color="B6D5E4"/>
              <w:right w:val="nil"/>
            </w:tcBorders>
            <w:vAlign w:val="center"/>
            <w:hideMark/>
          </w:tcPr>
          <w:p w14:paraId="31A77207"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1240" w:type="dxa"/>
            <w:vMerge/>
            <w:tcBorders>
              <w:top w:val="nil"/>
              <w:left w:val="nil"/>
              <w:bottom w:val="single" w:sz="4" w:space="0" w:color="B6D5E4"/>
              <w:right w:val="nil"/>
            </w:tcBorders>
            <w:vAlign w:val="center"/>
            <w:hideMark/>
          </w:tcPr>
          <w:p w14:paraId="7FCE4C1C"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3420" w:type="dxa"/>
            <w:tcBorders>
              <w:top w:val="nil"/>
              <w:left w:val="nil"/>
              <w:bottom w:val="single" w:sz="4" w:space="0" w:color="B6D5E4"/>
              <w:right w:val="nil"/>
            </w:tcBorders>
            <w:shd w:val="clear" w:color="000000" w:fill="FFFFFF"/>
            <w:hideMark/>
          </w:tcPr>
          <w:p w14:paraId="284AB8A6"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Community and public health</w:t>
            </w:r>
          </w:p>
        </w:tc>
      </w:tr>
      <w:tr w:rsidR="00516F46" w:rsidRPr="00516F46" w14:paraId="7593C5BB" w14:textId="77777777" w:rsidTr="00CF6BE3">
        <w:trPr>
          <w:trHeight w:val="315"/>
        </w:trPr>
        <w:tc>
          <w:tcPr>
            <w:tcW w:w="1600" w:type="dxa"/>
            <w:tcBorders>
              <w:top w:val="nil"/>
              <w:left w:val="nil"/>
              <w:bottom w:val="nil"/>
              <w:right w:val="nil"/>
            </w:tcBorders>
            <w:shd w:val="clear" w:color="000000" w:fill="FFFFFF"/>
            <w:hideMark/>
          </w:tcPr>
          <w:p w14:paraId="20CC61D4"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 </w:t>
            </w:r>
          </w:p>
        </w:tc>
        <w:tc>
          <w:tcPr>
            <w:tcW w:w="2760" w:type="dxa"/>
            <w:tcBorders>
              <w:top w:val="nil"/>
              <w:left w:val="nil"/>
              <w:bottom w:val="single" w:sz="4" w:space="0" w:color="B6D5E4"/>
              <w:right w:val="nil"/>
            </w:tcBorders>
            <w:shd w:val="clear" w:color="000000" w:fill="FFFFFF"/>
            <w:hideMark/>
          </w:tcPr>
          <w:p w14:paraId="5BD1D290"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Community mental health service contacts</w:t>
            </w:r>
          </w:p>
        </w:tc>
        <w:tc>
          <w:tcPr>
            <w:tcW w:w="1240" w:type="dxa"/>
            <w:tcBorders>
              <w:top w:val="nil"/>
              <w:left w:val="nil"/>
              <w:bottom w:val="single" w:sz="4" w:space="0" w:color="B6D5E4"/>
              <w:right w:val="nil"/>
            </w:tcBorders>
            <w:shd w:val="clear" w:color="000000" w:fill="FFFFFF"/>
            <w:hideMark/>
          </w:tcPr>
          <w:p w14:paraId="1B87C245"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42349062"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Community and public health</w:t>
            </w:r>
          </w:p>
        </w:tc>
      </w:tr>
      <w:tr w:rsidR="00516F46" w:rsidRPr="00516F46" w14:paraId="68FC922A" w14:textId="77777777" w:rsidTr="00CF6BE3">
        <w:trPr>
          <w:trHeight w:val="555"/>
        </w:trPr>
        <w:tc>
          <w:tcPr>
            <w:tcW w:w="1600" w:type="dxa"/>
            <w:tcBorders>
              <w:top w:val="nil"/>
              <w:left w:val="nil"/>
              <w:bottom w:val="nil"/>
              <w:right w:val="nil"/>
            </w:tcBorders>
            <w:shd w:val="clear" w:color="000000" w:fill="FFFFFF"/>
            <w:hideMark/>
          </w:tcPr>
          <w:p w14:paraId="411597BC"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 </w:t>
            </w:r>
          </w:p>
        </w:tc>
        <w:tc>
          <w:tcPr>
            <w:tcW w:w="2760" w:type="dxa"/>
            <w:tcBorders>
              <w:top w:val="nil"/>
              <w:left w:val="nil"/>
              <w:bottom w:val="single" w:sz="4" w:space="0" w:color="B6D5E4"/>
              <w:right w:val="nil"/>
            </w:tcBorders>
            <w:shd w:val="clear" w:color="000000" w:fill="FFFFFF"/>
            <w:hideMark/>
          </w:tcPr>
          <w:p w14:paraId="746AEA6D" w14:textId="650171E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State expen</w:t>
            </w:r>
            <w:r w:rsidR="000D6542">
              <w:rPr>
                <w:rFonts w:eastAsia="Times New Roman" w:cs="Open Sans Light"/>
                <w:color w:val="000000"/>
                <w:sz w:val="16"/>
                <w:szCs w:val="16"/>
                <w:lang w:eastAsia="en-AU"/>
              </w:rPr>
              <w:t>ses</w:t>
            </w:r>
            <w:r w:rsidRPr="00516F46">
              <w:rPr>
                <w:rFonts w:eastAsia="Times New Roman" w:cs="Open Sans Light"/>
                <w:color w:val="000000"/>
                <w:sz w:val="16"/>
                <w:szCs w:val="16"/>
                <w:lang w:eastAsia="en-AU"/>
              </w:rPr>
              <w:t xml:space="preserve"> on community and public health services</w:t>
            </w:r>
          </w:p>
        </w:tc>
        <w:tc>
          <w:tcPr>
            <w:tcW w:w="1240" w:type="dxa"/>
            <w:tcBorders>
              <w:top w:val="nil"/>
              <w:left w:val="nil"/>
              <w:bottom w:val="single" w:sz="4" w:space="0" w:color="B6D5E4"/>
              <w:right w:val="nil"/>
            </w:tcBorders>
            <w:shd w:val="clear" w:color="000000" w:fill="FFFFFF"/>
            <w:hideMark/>
          </w:tcPr>
          <w:p w14:paraId="44B03D5A" w14:textId="34F23F2C"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5</w:t>
            </w:r>
            <w:r w:rsidR="000D6542">
              <w:rPr>
                <w:rFonts w:eastAsia="Times New Roman" w:cs="Open Sans Light"/>
                <w:color w:val="000000"/>
                <w:sz w:val="16"/>
                <w:szCs w:val="16"/>
                <w:lang w:eastAsia="en-AU"/>
              </w:rPr>
              <w:t>-</w:t>
            </w:r>
            <w:r w:rsidRPr="00516F46">
              <w:rPr>
                <w:rFonts w:eastAsia="Times New Roman" w:cs="Open Sans Light"/>
                <w:color w:val="000000"/>
                <w:sz w:val="16"/>
                <w:szCs w:val="16"/>
                <w:lang w:eastAsia="en-AU"/>
              </w:rPr>
              <w:t>year</w:t>
            </w:r>
            <w:r w:rsidR="000D6542">
              <w:rPr>
                <w:rFonts w:eastAsia="Times New Roman" w:cs="Open Sans Light"/>
                <w:color w:val="000000"/>
                <w:sz w:val="16"/>
                <w:szCs w:val="16"/>
                <w:lang w:eastAsia="en-AU"/>
              </w:rPr>
              <w:t>ly</w:t>
            </w:r>
          </w:p>
        </w:tc>
        <w:tc>
          <w:tcPr>
            <w:tcW w:w="3420" w:type="dxa"/>
            <w:tcBorders>
              <w:top w:val="nil"/>
              <w:left w:val="nil"/>
              <w:bottom w:val="single" w:sz="4" w:space="0" w:color="B6D5E4"/>
              <w:right w:val="nil"/>
            </w:tcBorders>
            <w:shd w:val="clear" w:color="000000" w:fill="FFFFFF"/>
            <w:hideMark/>
          </w:tcPr>
          <w:p w14:paraId="382E72F2"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Community and public health</w:t>
            </w:r>
          </w:p>
        </w:tc>
      </w:tr>
      <w:tr w:rsidR="00516F46" w:rsidRPr="00516F46" w14:paraId="188BB2AE" w14:textId="77777777" w:rsidTr="00CF6BE3">
        <w:trPr>
          <w:trHeight w:val="377"/>
        </w:trPr>
        <w:tc>
          <w:tcPr>
            <w:tcW w:w="1600" w:type="dxa"/>
            <w:vMerge w:val="restart"/>
            <w:tcBorders>
              <w:top w:val="single" w:sz="4" w:space="0" w:color="B6D5E4"/>
              <w:left w:val="nil"/>
              <w:bottom w:val="single" w:sz="4" w:space="0" w:color="B6D5E4"/>
              <w:right w:val="nil"/>
            </w:tcBorders>
            <w:shd w:val="clear" w:color="000000" w:fill="FFFFFF"/>
            <w:hideMark/>
          </w:tcPr>
          <w:p w14:paraId="3C8056CF"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Services Australia</w:t>
            </w:r>
          </w:p>
        </w:tc>
        <w:tc>
          <w:tcPr>
            <w:tcW w:w="2760" w:type="dxa"/>
            <w:vMerge w:val="restart"/>
            <w:tcBorders>
              <w:top w:val="nil"/>
              <w:left w:val="nil"/>
              <w:bottom w:val="single" w:sz="4" w:space="0" w:color="B6D5E4"/>
              <w:right w:val="nil"/>
            </w:tcBorders>
            <w:shd w:val="clear" w:color="000000" w:fill="FFFFFF"/>
            <w:hideMark/>
          </w:tcPr>
          <w:p w14:paraId="228F1F37" w14:textId="00B2476B"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Medicare bulk</w:t>
            </w:r>
            <w:r w:rsidR="006B1304">
              <w:rPr>
                <w:rFonts w:eastAsia="Times New Roman" w:cs="Open Sans Light"/>
                <w:color w:val="000000"/>
                <w:sz w:val="16"/>
                <w:szCs w:val="16"/>
                <w:lang w:eastAsia="en-AU"/>
              </w:rPr>
              <w:t xml:space="preserve"> </w:t>
            </w:r>
            <w:r w:rsidRPr="00516F46">
              <w:rPr>
                <w:rFonts w:eastAsia="Times New Roman" w:cs="Open Sans Light"/>
                <w:color w:val="000000"/>
                <w:sz w:val="16"/>
                <w:szCs w:val="16"/>
                <w:lang w:eastAsia="en-AU"/>
              </w:rPr>
              <w:t>billed benefits paid</w:t>
            </w:r>
          </w:p>
        </w:tc>
        <w:tc>
          <w:tcPr>
            <w:tcW w:w="1240" w:type="dxa"/>
            <w:vMerge w:val="restart"/>
            <w:tcBorders>
              <w:top w:val="nil"/>
              <w:left w:val="nil"/>
              <w:bottom w:val="single" w:sz="4" w:space="0" w:color="B6D5E4"/>
              <w:right w:val="nil"/>
            </w:tcBorders>
            <w:shd w:val="clear" w:color="000000" w:fill="FFFFFF"/>
            <w:hideMark/>
          </w:tcPr>
          <w:p w14:paraId="67AD368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7B12BA8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Non-admitted patients</w:t>
            </w:r>
          </w:p>
        </w:tc>
      </w:tr>
      <w:tr w:rsidR="00516F46" w:rsidRPr="00516F46" w14:paraId="02303718" w14:textId="77777777" w:rsidTr="00CF6BE3">
        <w:trPr>
          <w:trHeight w:val="319"/>
        </w:trPr>
        <w:tc>
          <w:tcPr>
            <w:tcW w:w="1600" w:type="dxa"/>
            <w:vMerge/>
            <w:tcBorders>
              <w:top w:val="single" w:sz="4" w:space="0" w:color="B6D5E4"/>
              <w:left w:val="nil"/>
              <w:bottom w:val="single" w:sz="4" w:space="0" w:color="B6D5E4"/>
              <w:right w:val="nil"/>
            </w:tcBorders>
            <w:vAlign w:val="center"/>
            <w:hideMark/>
          </w:tcPr>
          <w:p w14:paraId="42526FA3"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2760" w:type="dxa"/>
            <w:vMerge/>
            <w:tcBorders>
              <w:top w:val="nil"/>
              <w:left w:val="nil"/>
              <w:bottom w:val="single" w:sz="4" w:space="0" w:color="B6D5E4"/>
              <w:right w:val="nil"/>
            </w:tcBorders>
            <w:vAlign w:val="center"/>
            <w:hideMark/>
          </w:tcPr>
          <w:p w14:paraId="6F91A36B"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1240" w:type="dxa"/>
            <w:vMerge/>
            <w:tcBorders>
              <w:top w:val="nil"/>
              <w:left w:val="nil"/>
              <w:bottom w:val="single" w:sz="4" w:space="0" w:color="B6D5E4"/>
              <w:right w:val="nil"/>
            </w:tcBorders>
            <w:vAlign w:val="center"/>
            <w:hideMark/>
          </w:tcPr>
          <w:p w14:paraId="41372C98"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3420" w:type="dxa"/>
            <w:tcBorders>
              <w:top w:val="nil"/>
              <w:left w:val="nil"/>
              <w:bottom w:val="single" w:sz="4" w:space="0" w:color="B6D5E4"/>
              <w:right w:val="nil"/>
            </w:tcBorders>
            <w:shd w:val="clear" w:color="000000" w:fill="FFFFFF"/>
            <w:hideMark/>
          </w:tcPr>
          <w:p w14:paraId="7CB68C45"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Emergency departments</w:t>
            </w:r>
          </w:p>
        </w:tc>
      </w:tr>
      <w:tr w:rsidR="00516F46" w:rsidRPr="00516F46" w14:paraId="5F9A1748" w14:textId="77777777" w:rsidTr="00CF6BE3">
        <w:trPr>
          <w:trHeight w:val="319"/>
        </w:trPr>
        <w:tc>
          <w:tcPr>
            <w:tcW w:w="1600" w:type="dxa"/>
            <w:vMerge/>
            <w:tcBorders>
              <w:top w:val="single" w:sz="4" w:space="0" w:color="B6D5E4"/>
              <w:left w:val="nil"/>
              <w:bottom w:val="single" w:sz="4" w:space="0" w:color="B6D5E4"/>
              <w:right w:val="nil"/>
            </w:tcBorders>
            <w:vAlign w:val="center"/>
            <w:hideMark/>
          </w:tcPr>
          <w:p w14:paraId="0EBE494C"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2760" w:type="dxa"/>
            <w:vMerge/>
            <w:tcBorders>
              <w:top w:val="nil"/>
              <w:left w:val="nil"/>
              <w:bottom w:val="single" w:sz="4" w:space="0" w:color="B6D5E4"/>
              <w:right w:val="nil"/>
            </w:tcBorders>
            <w:vAlign w:val="center"/>
            <w:hideMark/>
          </w:tcPr>
          <w:p w14:paraId="350E9738"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1240" w:type="dxa"/>
            <w:vMerge/>
            <w:tcBorders>
              <w:top w:val="nil"/>
              <w:left w:val="nil"/>
              <w:bottom w:val="single" w:sz="4" w:space="0" w:color="B6D5E4"/>
              <w:right w:val="nil"/>
            </w:tcBorders>
            <w:vAlign w:val="center"/>
            <w:hideMark/>
          </w:tcPr>
          <w:p w14:paraId="0BCC0914"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3420" w:type="dxa"/>
            <w:tcBorders>
              <w:top w:val="nil"/>
              <w:left w:val="nil"/>
              <w:bottom w:val="single" w:sz="4" w:space="0" w:color="B6D5E4"/>
              <w:right w:val="nil"/>
            </w:tcBorders>
            <w:shd w:val="clear" w:color="000000" w:fill="FFFFFF"/>
            <w:hideMark/>
          </w:tcPr>
          <w:p w14:paraId="2D84ED8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Community and public health</w:t>
            </w:r>
          </w:p>
        </w:tc>
      </w:tr>
      <w:tr w:rsidR="00516F46" w:rsidRPr="00516F46" w14:paraId="61CC64BD" w14:textId="77777777" w:rsidTr="00CF6BE3">
        <w:trPr>
          <w:trHeight w:val="319"/>
        </w:trPr>
        <w:tc>
          <w:tcPr>
            <w:tcW w:w="1600" w:type="dxa"/>
            <w:tcBorders>
              <w:top w:val="nil"/>
              <w:left w:val="nil"/>
              <w:bottom w:val="single" w:sz="4" w:space="0" w:color="B6D5E4"/>
              <w:right w:val="nil"/>
            </w:tcBorders>
            <w:shd w:val="clear" w:color="000000" w:fill="FFFFFF"/>
            <w:hideMark/>
          </w:tcPr>
          <w:p w14:paraId="357C15E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APRA</w:t>
            </w:r>
          </w:p>
        </w:tc>
        <w:tc>
          <w:tcPr>
            <w:tcW w:w="2760" w:type="dxa"/>
            <w:tcBorders>
              <w:top w:val="nil"/>
              <w:left w:val="nil"/>
              <w:bottom w:val="single" w:sz="4" w:space="0" w:color="B6D5E4"/>
              <w:right w:val="nil"/>
            </w:tcBorders>
            <w:shd w:val="clear" w:color="000000" w:fill="FFFFFF"/>
            <w:hideMark/>
          </w:tcPr>
          <w:p w14:paraId="7461E6BB"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Private health insurance benefits paid by state</w:t>
            </w:r>
          </w:p>
        </w:tc>
        <w:tc>
          <w:tcPr>
            <w:tcW w:w="1240" w:type="dxa"/>
            <w:tcBorders>
              <w:top w:val="nil"/>
              <w:left w:val="nil"/>
              <w:bottom w:val="single" w:sz="4" w:space="0" w:color="B6D5E4"/>
              <w:right w:val="nil"/>
            </w:tcBorders>
            <w:shd w:val="clear" w:color="000000" w:fill="FFFFFF"/>
            <w:hideMark/>
          </w:tcPr>
          <w:p w14:paraId="6ADD98A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52354CB4"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Admitted patients</w:t>
            </w:r>
          </w:p>
        </w:tc>
      </w:tr>
      <w:tr w:rsidR="00516F46" w:rsidRPr="00516F46" w14:paraId="74C2159D" w14:textId="77777777" w:rsidTr="00CF6BE3">
        <w:trPr>
          <w:trHeight w:val="552"/>
        </w:trPr>
        <w:tc>
          <w:tcPr>
            <w:tcW w:w="1600" w:type="dxa"/>
            <w:tcBorders>
              <w:top w:val="nil"/>
              <w:left w:val="nil"/>
              <w:bottom w:val="single" w:sz="4" w:space="0" w:color="B6D5E4"/>
              <w:right w:val="nil"/>
            </w:tcBorders>
            <w:shd w:val="clear" w:color="000000" w:fill="FFFFFF"/>
            <w:hideMark/>
          </w:tcPr>
          <w:p w14:paraId="79418E35"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Productivity Commission</w:t>
            </w:r>
          </w:p>
        </w:tc>
        <w:tc>
          <w:tcPr>
            <w:tcW w:w="2760" w:type="dxa"/>
            <w:tcBorders>
              <w:top w:val="nil"/>
              <w:left w:val="nil"/>
              <w:bottom w:val="single" w:sz="4" w:space="0" w:color="B6D5E4"/>
              <w:right w:val="nil"/>
            </w:tcBorders>
            <w:shd w:val="clear" w:color="000000" w:fill="FFFFFF"/>
            <w:hideMark/>
          </w:tcPr>
          <w:p w14:paraId="62F9888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 xml:space="preserve">ROGS state expenditure on specialised mental health services </w:t>
            </w:r>
          </w:p>
        </w:tc>
        <w:tc>
          <w:tcPr>
            <w:tcW w:w="1240" w:type="dxa"/>
            <w:tcBorders>
              <w:top w:val="nil"/>
              <w:left w:val="nil"/>
              <w:bottom w:val="single" w:sz="4" w:space="0" w:color="B6D5E4"/>
              <w:right w:val="nil"/>
            </w:tcBorders>
            <w:shd w:val="clear" w:color="000000" w:fill="FFFFFF"/>
            <w:hideMark/>
          </w:tcPr>
          <w:p w14:paraId="19F6A37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25E8F314"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Community and public health</w:t>
            </w:r>
          </w:p>
        </w:tc>
      </w:tr>
      <w:tr w:rsidR="00516F46" w:rsidRPr="00516F46" w14:paraId="20AD9702" w14:textId="77777777" w:rsidTr="00CF6BE3">
        <w:trPr>
          <w:trHeight w:val="555"/>
        </w:trPr>
        <w:tc>
          <w:tcPr>
            <w:tcW w:w="1600" w:type="dxa"/>
            <w:vMerge w:val="restart"/>
            <w:tcBorders>
              <w:top w:val="nil"/>
              <w:left w:val="nil"/>
              <w:bottom w:val="single" w:sz="4" w:space="0" w:color="B6D5E4"/>
              <w:right w:val="nil"/>
            </w:tcBorders>
            <w:shd w:val="clear" w:color="000000" w:fill="FFFFFF"/>
            <w:hideMark/>
          </w:tcPr>
          <w:p w14:paraId="54C40F96"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States</w:t>
            </w:r>
          </w:p>
        </w:tc>
        <w:tc>
          <w:tcPr>
            <w:tcW w:w="2760" w:type="dxa"/>
            <w:tcBorders>
              <w:top w:val="nil"/>
              <w:left w:val="nil"/>
              <w:bottom w:val="single" w:sz="4" w:space="0" w:color="B6D5E4"/>
              <w:right w:val="nil"/>
            </w:tcBorders>
            <w:shd w:val="clear" w:color="000000" w:fill="FFFFFF"/>
            <w:hideMark/>
          </w:tcPr>
          <w:p w14:paraId="0096C889"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Non-admitted patient referrals after hospital admission</w:t>
            </w:r>
          </w:p>
        </w:tc>
        <w:tc>
          <w:tcPr>
            <w:tcW w:w="1240" w:type="dxa"/>
            <w:tcBorders>
              <w:top w:val="single" w:sz="4" w:space="0" w:color="ADD6EA"/>
              <w:left w:val="nil"/>
              <w:bottom w:val="single" w:sz="4" w:space="0" w:color="B6D5E4"/>
              <w:right w:val="nil"/>
            </w:tcBorders>
            <w:shd w:val="clear" w:color="000000" w:fill="FFFFFF"/>
            <w:hideMark/>
          </w:tcPr>
          <w:p w14:paraId="3397D77C" w14:textId="3FE13284"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5</w:t>
            </w:r>
            <w:r w:rsidR="00427B82">
              <w:rPr>
                <w:rFonts w:eastAsia="Times New Roman" w:cs="Open Sans Light"/>
                <w:color w:val="000000"/>
                <w:sz w:val="16"/>
                <w:szCs w:val="16"/>
                <w:lang w:eastAsia="en-AU"/>
              </w:rPr>
              <w:t>-</w:t>
            </w:r>
            <w:r w:rsidRPr="00516F46">
              <w:rPr>
                <w:rFonts w:eastAsia="Times New Roman" w:cs="Open Sans Light"/>
                <w:color w:val="000000"/>
                <w:sz w:val="16"/>
                <w:szCs w:val="16"/>
                <w:lang w:eastAsia="en-AU"/>
              </w:rPr>
              <w:t>year</w:t>
            </w:r>
            <w:r w:rsidR="00427B82">
              <w:rPr>
                <w:rFonts w:eastAsia="Times New Roman" w:cs="Open Sans Light"/>
                <w:color w:val="000000"/>
                <w:sz w:val="16"/>
                <w:szCs w:val="16"/>
                <w:lang w:eastAsia="en-AU"/>
              </w:rPr>
              <w:t>ly</w:t>
            </w:r>
          </w:p>
        </w:tc>
        <w:tc>
          <w:tcPr>
            <w:tcW w:w="3420" w:type="dxa"/>
            <w:tcBorders>
              <w:top w:val="nil"/>
              <w:left w:val="nil"/>
              <w:bottom w:val="single" w:sz="4" w:space="0" w:color="B6D5E4"/>
              <w:right w:val="nil"/>
            </w:tcBorders>
            <w:shd w:val="clear" w:color="000000" w:fill="FFFFFF"/>
            <w:hideMark/>
          </w:tcPr>
          <w:p w14:paraId="63326DDD"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Non-admitted patients</w:t>
            </w:r>
          </w:p>
        </w:tc>
      </w:tr>
      <w:tr w:rsidR="00516F46" w:rsidRPr="00516F46" w14:paraId="0869E81B" w14:textId="77777777" w:rsidTr="00CF6BE3">
        <w:trPr>
          <w:trHeight w:val="555"/>
        </w:trPr>
        <w:tc>
          <w:tcPr>
            <w:tcW w:w="1600" w:type="dxa"/>
            <w:vMerge/>
            <w:tcBorders>
              <w:top w:val="nil"/>
              <w:left w:val="nil"/>
              <w:bottom w:val="single" w:sz="4" w:space="0" w:color="B6D5E4"/>
              <w:right w:val="nil"/>
            </w:tcBorders>
            <w:vAlign w:val="center"/>
            <w:hideMark/>
          </w:tcPr>
          <w:p w14:paraId="3E86F01C"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2760" w:type="dxa"/>
            <w:tcBorders>
              <w:top w:val="nil"/>
              <w:left w:val="nil"/>
              <w:bottom w:val="single" w:sz="4" w:space="0" w:color="B6D5E4"/>
              <w:right w:val="nil"/>
            </w:tcBorders>
            <w:shd w:val="clear" w:color="000000" w:fill="FFFFFF"/>
            <w:hideMark/>
          </w:tcPr>
          <w:p w14:paraId="59B6277B"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ACT-NSW cross-border community health</w:t>
            </w:r>
          </w:p>
        </w:tc>
        <w:tc>
          <w:tcPr>
            <w:tcW w:w="1240" w:type="dxa"/>
            <w:tcBorders>
              <w:top w:val="single" w:sz="4" w:space="0" w:color="ADD6EA"/>
              <w:left w:val="nil"/>
              <w:bottom w:val="single" w:sz="4" w:space="0" w:color="B6D5E4"/>
              <w:right w:val="nil"/>
            </w:tcBorders>
            <w:shd w:val="clear" w:color="000000" w:fill="FFFFFF"/>
            <w:hideMark/>
          </w:tcPr>
          <w:p w14:paraId="3C157433" w14:textId="02AF1E90"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5</w:t>
            </w:r>
            <w:r w:rsidR="00427B82">
              <w:rPr>
                <w:rFonts w:eastAsia="Times New Roman" w:cs="Open Sans Light"/>
                <w:color w:val="000000"/>
                <w:sz w:val="16"/>
                <w:szCs w:val="16"/>
                <w:lang w:eastAsia="en-AU"/>
              </w:rPr>
              <w:t>-</w:t>
            </w:r>
            <w:r w:rsidRPr="00516F46">
              <w:rPr>
                <w:rFonts w:eastAsia="Times New Roman" w:cs="Open Sans Light"/>
                <w:color w:val="000000"/>
                <w:sz w:val="16"/>
                <w:szCs w:val="16"/>
                <w:lang w:eastAsia="en-AU"/>
              </w:rPr>
              <w:t>year</w:t>
            </w:r>
            <w:r w:rsidR="008C6703">
              <w:rPr>
                <w:rFonts w:eastAsia="Times New Roman" w:cs="Open Sans Light"/>
                <w:color w:val="000000"/>
                <w:sz w:val="16"/>
                <w:szCs w:val="16"/>
                <w:lang w:eastAsia="en-AU"/>
              </w:rPr>
              <w:t>ly</w:t>
            </w:r>
          </w:p>
        </w:tc>
        <w:tc>
          <w:tcPr>
            <w:tcW w:w="3420" w:type="dxa"/>
            <w:tcBorders>
              <w:top w:val="nil"/>
              <w:left w:val="nil"/>
              <w:bottom w:val="single" w:sz="4" w:space="0" w:color="B6D5E4"/>
              <w:right w:val="nil"/>
            </w:tcBorders>
            <w:shd w:val="clear" w:color="000000" w:fill="FFFFFF"/>
            <w:hideMark/>
          </w:tcPr>
          <w:p w14:paraId="1E178C31"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Community and public health</w:t>
            </w:r>
          </w:p>
        </w:tc>
      </w:tr>
      <w:tr w:rsidR="00516F46" w:rsidRPr="00516F46" w14:paraId="42E615B5" w14:textId="77777777" w:rsidTr="00CF6BE3">
        <w:trPr>
          <w:trHeight w:val="555"/>
        </w:trPr>
        <w:tc>
          <w:tcPr>
            <w:tcW w:w="1600" w:type="dxa"/>
            <w:vMerge/>
            <w:tcBorders>
              <w:top w:val="nil"/>
              <w:left w:val="nil"/>
              <w:bottom w:val="single" w:sz="4" w:space="0" w:color="B6D5E4"/>
              <w:right w:val="nil"/>
            </w:tcBorders>
            <w:vAlign w:val="center"/>
            <w:hideMark/>
          </w:tcPr>
          <w:p w14:paraId="61F9FF0A"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p>
        </w:tc>
        <w:tc>
          <w:tcPr>
            <w:tcW w:w="2760" w:type="dxa"/>
            <w:tcBorders>
              <w:top w:val="single" w:sz="4" w:space="0" w:color="ADD6EA"/>
              <w:left w:val="nil"/>
              <w:bottom w:val="single" w:sz="4" w:space="0" w:color="B6D5E4"/>
              <w:right w:val="nil"/>
            </w:tcBorders>
            <w:shd w:val="clear" w:color="000000" w:fill="FFFFFF"/>
            <w:hideMark/>
          </w:tcPr>
          <w:p w14:paraId="4EBA1B6B"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Aero-medical and Patient Assisted Transport Scheme expenses</w:t>
            </w:r>
          </w:p>
        </w:tc>
        <w:tc>
          <w:tcPr>
            <w:tcW w:w="1240" w:type="dxa"/>
            <w:tcBorders>
              <w:top w:val="nil"/>
              <w:left w:val="nil"/>
              <w:bottom w:val="single" w:sz="4" w:space="0" w:color="B6D5E4"/>
              <w:right w:val="nil"/>
            </w:tcBorders>
            <w:shd w:val="clear" w:color="000000" w:fill="FFFFFF"/>
            <w:hideMark/>
          </w:tcPr>
          <w:p w14:paraId="54BAAA37" w14:textId="55CD1909"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5</w:t>
            </w:r>
            <w:r w:rsidR="008C6703">
              <w:rPr>
                <w:rFonts w:eastAsia="Times New Roman" w:cs="Open Sans Light"/>
                <w:color w:val="000000"/>
                <w:sz w:val="16"/>
                <w:szCs w:val="16"/>
                <w:lang w:eastAsia="en-AU"/>
              </w:rPr>
              <w:t>-</w:t>
            </w:r>
            <w:r w:rsidRPr="00516F46">
              <w:rPr>
                <w:rFonts w:eastAsia="Times New Roman" w:cs="Open Sans Light"/>
                <w:color w:val="000000"/>
                <w:sz w:val="16"/>
                <w:szCs w:val="16"/>
                <w:lang w:eastAsia="en-AU"/>
              </w:rPr>
              <w:t>year</w:t>
            </w:r>
            <w:r w:rsidR="008C6703">
              <w:rPr>
                <w:rFonts w:eastAsia="Times New Roman" w:cs="Open Sans Light"/>
                <w:color w:val="000000"/>
                <w:sz w:val="16"/>
                <w:szCs w:val="16"/>
                <w:lang w:eastAsia="en-AU"/>
              </w:rPr>
              <w:t>ly</w:t>
            </w:r>
          </w:p>
        </w:tc>
        <w:tc>
          <w:tcPr>
            <w:tcW w:w="3420" w:type="dxa"/>
            <w:tcBorders>
              <w:top w:val="nil"/>
              <w:left w:val="nil"/>
              <w:bottom w:val="single" w:sz="4" w:space="0" w:color="B6D5E4"/>
              <w:right w:val="nil"/>
            </w:tcBorders>
            <w:shd w:val="clear" w:color="000000" w:fill="FFFFFF"/>
            <w:hideMark/>
          </w:tcPr>
          <w:p w14:paraId="1820F1B9"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Non-hospital patient transport</w:t>
            </w:r>
          </w:p>
        </w:tc>
      </w:tr>
      <w:tr w:rsidR="00516F46" w:rsidRPr="00516F46" w14:paraId="18FE1EC5" w14:textId="77777777" w:rsidTr="00CF6BE3">
        <w:trPr>
          <w:trHeight w:val="510"/>
        </w:trPr>
        <w:tc>
          <w:tcPr>
            <w:tcW w:w="1600" w:type="dxa"/>
            <w:tcBorders>
              <w:top w:val="nil"/>
              <w:left w:val="nil"/>
              <w:bottom w:val="nil"/>
              <w:right w:val="nil"/>
            </w:tcBorders>
            <w:shd w:val="clear" w:color="000000" w:fill="FFFFFF"/>
            <w:hideMark/>
          </w:tcPr>
          <w:p w14:paraId="0FDB8FE2"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NHFB</w:t>
            </w:r>
          </w:p>
        </w:tc>
        <w:tc>
          <w:tcPr>
            <w:tcW w:w="2760" w:type="dxa"/>
            <w:tcBorders>
              <w:top w:val="nil"/>
              <w:left w:val="nil"/>
              <w:bottom w:val="single" w:sz="4" w:space="0" w:color="B6D5E4"/>
              <w:right w:val="nil"/>
            </w:tcBorders>
            <w:shd w:val="clear" w:color="000000" w:fill="FFFFFF"/>
            <w:hideMark/>
          </w:tcPr>
          <w:p w14:paraId="752B7D62" w14:textId="76E75F50"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 xml:space="preserve">National </w:t>
            </w:r>
            <w:r w:rsidR="007012D0">
              <w:rPr>
                <w:rFonts w:eastAsia="Times New Roman" w:cs="Open Sans Light"/>
                <w:color w:val="000000"/>
                <w:sz w:val="16"/>
                <w:szCs w:val="16"/>
                <w:lang w:eastAsia="en-AU"/>
              </w:rPr>
              <w:t>P</w:t>
            </w:r>
            <w:r w:rsidRPr="00516F46">
              <w:rPr>
                <w:rFonts w:eastAsia="Times New Roman" w:cs="Open Sans Light"/>
                <w:color w:val="000000"/>
                <w:sz w:val="16"/>
                <w:szCs w:val="16"/>
                <w:lang w:eastAsia="en-AU"/>
              </w:rPr>
              <w:t xml:space="preserve">artnership on COVID-19 Response </w:t>
            </w:r>
            <w:r w:rsidR="00753EB7">
              <w:rPr>
                <w:rFonts w:eastAsia="Times New Roman" w:cs="Open Sans Light"/>
                <w:color w:val="000000"/>
                <w:sz w:val="16"/>
                <w:szCs w:val="16"/>
                <w:lang w:eastAsia="en-AU"/>
              </w:rPr>
              <w:t xml:space="preserve">reconciled </w:t>
            </w:r>
            <w:r w:rsidRPr="00516F46">
              <w:rPr>
                <w:rFonts w:eastAsia="Times New Roman" w:cs="Open Sans Light"/>
                <w:color w:val="000000"/>
                <w:sz w:val="16"/>
                <w:szCs w:val="16"/>
                <w:lang w:eastAsia="en-AU"/>
              </w:rPr>
              <w:t>expenses</w:t>
            </w:r>
          </w:p>
        </w:tc>
        <w:tc>
          <w:tcPr>
            <w:tcW w:w="1240" w:type="dxa"/>
            <w:tcBorders>
              <w:top w:val="nil"/>
              <w:left w:val="nil"/>
              <w:bottom w:val="single" w:sz="4" w:space="0" w:color="B6D5E4"/>
              <w:right w:val="nil"/>
            </w:tcBorders>
            <w:shd w:val="clear" w:color="000000" w:fill="FFFFFF"/>
            <w:hideMark/>
          </w:tcPr>
          <w:p w14:paraId="2075FFDB" w14:textId="2F659E83"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69E533B9"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National partnership on COVID-19 Response</w:t>
            </w:r>
          </w:p>
        </w:tc>
      </w:tr>
      <w:tr w:rsidR="00516F46" w:rsidRPr="00516F46" w14:paraId="2D0D5939" w14:textId="77777777" w:rsidTr="00CF6BE3">
        <w:trPr>
          <w:trHeight w:val="555"/>
        </w:trPr>
        <w:tc>
          <w:tcPr>
            <w:tcW w:w="1600" w:type="dxa"/>
            <w:tcBorders>
              <w:top w:val="nil"/>
              <w:left w:val="nil"/>
              <w:bottom w:val="single" w:sz="4" w:space="0" w:color="B6D5E4"/>
              <w:right w:val="nil"/>
            </w:tcBorders>
            <w:shd w:val="clear" w:color="000000" w:fill="FFFFFF"/>
            <w:hideMark/>
          </w:tcPr>
          <w:p w14:paraId="67EF27E2"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 </w:t>
            </w:r>
          </w:p>
        </w:tc>
        <w:tc>
          <w:tcPr>
            <w:tcW w:w="2760" w:type="dxa"/>
            <w:tcBorders>
              <w:top w:val="nil"/>
              <w:left w:val="nil"/>
              <w:bottom w:val="single" w:sz="4" w:space="0" w:color="B6D5E4"/>
              <w:right w:val="nil"/>
            </w:tcBorders>
            <w:shd w:val="clear" w:color="000000" w:fill="FFFFFF"/>
            <w:hideMark/>
          </w:tcPr>
          <w:p w14:paraId="5CD9EB68" w14:textId="723C24FF"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Net cross</w:t>
            </w:r>
            <w:r w:rsidR="00E84238">
              <w:rPr>
                <w:rFonts w:eastAsia="Times New Roman" w:cs="Open Sans Light"/>
                <w:color w:val="000000"/>
                <w:sz w:val="16"/>
                <w:szCs w:val="16"/>
                <w:lang w:eastAsia="en-AU"/>
              </w:rPr>
              <w:t>-</w:t>
            </w:r>
            <w:r w:rsidRPr="00516F46">
              <w:rPr>
                <w:rFonts w:eastAsia="Times New Roman" w:cs="Open Sans Light"/>
                <w:color w:val="000000"/>
                <w:sz w:val="16"/>
                <w:szCs w:val="16"/>
                <w:lang w:eastAsia="en-AU"/>
              </w:rPr>
              <w:t xml:space="preserve">border national weighted </w:t>
            </w:r>
            <w:r w:rsidR="00E54694">
              <w:rPr>
                <w:rFonts w:eastAsia="Times New Roman" w:cs="Open Sans Light"/>
                <w:color w:val="000000"/>
                <w:sz w:val="16"/>
                <w:szCs w:val="16"/>
                <w:lang w:eastAsia="en-AU"/>
              </w:rPr>
              <w:t xml:space="preserve">activity </w:t>
            </w:r>
            <w:r w:rsidRPr="00516F46">
              <w:rPr>
                <w:rFonts w:eastAsia="Times New Roman" w:cs="Open Sans Light"/>
                <w:color w:val="000000"/>
                <w:sz w:val="16"/>
                <w:szCs w:val="16"/>
                <w:lang w:eastAsia="en-AU"/>
              </w:rPr>
              <w:t>unit</w:t>
            </w:r>
            <w:r w:rsidR="00E54694">
              <w:rPr>
                <w:rFonts w:eastAsia="Times New Roman" w:cs="Open Sans Light"/>
                <w:color w:val="000000"/>
                <w:sz w:val="16"/>
                <w:szCs w:val="16"/>
                <w:lang w:eastAsia="en-AU"/>
              </w:rPr>
              <w:t>s</w:t>
            </w:r>
            <w:r w:rsidRPr="00516F46">
              <w:rPr>
                <w:rFonts w:eastAsia="Times New Roman" w:cs="Open Sans Light"/>
                <w:color w:val="000000"/>
                <w:sz w:val="16"/>
                <w:szCs w:val="16"/>
                <w:lang w:eastAsia="en-AU"/>
              </w:rPr>
              <w:t xml:space="preserve"> by state</w:t>
            </w:r>
          </w:p>
        </w:tc>
        <w:tc>
          <w:tcPr>
            <w:tcW w:w="1240" w:type="dxa"/>
            <w:tcBorders>
              <w:top w:val="nil"/>
              <w:left w:val="nil"/>
              <w:bottom w:val="single" w:sz="4" w:space="0" w:color="B6D5E4"/>
              <w:right w:val="nil"/>
            </w:tcBorders>
            <w:shd w:val="clear" w:color="000000" w:fill="FFFFFF"/>
            <w:hideMark/>
          </w:tcPr>
          <w:p w14:paraId="2F28DA9C"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Annually</w:t>
            </w:r>
          </w:p>
        </w:tc>
        <w:tc>
          <w:tcPr>
            <w:tcW w:w="3420" w:type="dxa"/>
            <w:tcBorders>
              <w:top w:val="nil"/>
              <w:left w:val="nil"/>
              <w:bottom w:val="single" w:sz="4" w:space="0" w:color="B6D5E4"/>
              <w:right w:val="nil"/>
            </w:tcBorders>
            <w:shd w:val="clear" w:color="000000" w:fill="FFFFFF"/>
            <w:hideMark/>
          </w:tcPr>
          <w:p w14:paraId="4D5766BE" w14:textId="77777777" w:rsidR="00516F46" w:rsidRPr="00516F46" w:rsidRDefault="00516F46" w:rsidP="00946653">
            <w:pPr>
              <w:keepNext/>
              <w:tabs>
                <w:tab w:val="clear" w:pos="567"/>
              </w:tabs>
              <w:spacing w:before="0" w:line="240" w:lineRule="auto"/>
              <w:rPr>
                <w:rFonts w:eastAsia="Times New Roman" w:cs="Open Sans Light"/>
                <w:color w:val="000000"/>
                <w:sz w:val="16"/>
                <w:szCs w:val="16"/>
                <w:lang w:eastAsia="en-AU"/>
              </w:rPr>
            </w:pPr>
            <w:r w:rsidRPr="00516F46">
              <w:rPr>
                <w:rFonts w:eastAsia="Times New Roman" w:cs="Open Sans Light"/>
                <w:color w:val="000000"/>
                <w:sz w:val="16"/>
                <w:szCs w:val="16"/>
                <w:lang w:eastAsia="en-AU"/>
              </w:rPr>
              <w:t>Health investment assessment</w:t>
            </w:r>
          </w:p>
        </w:tc>
      </w:tr>
    </w:tbl>
    <w:p w14:paraId="723D181B" w14:textId="428FE62A" w:rsidR="00DF2BFF" w:rsidRDefault="00DF2BFF" w:rsidP="009E5A76">
      <w:pPr>
        <w:pStyle w:val="CGC2025TableNote"/>
        <w:ind w:left="851" w:hanging="738"/>
      </w:pPr>
      <w:r>
        <w:t>Note:</w:t>
      </w:r>
      <w:r>
        <w:tab/>
      </w:r>
      <w:r w:rsidR="00F91460">
        <w:t>Data for the wage costs adjustment are also included in this assessment.</w:t>
      </w:r>
    </w:p>
    <w:p w14:paraId="63778A4D" w14:textId="0720FD24" w:rsidR="00F91460" w:rsidRPr="00A07B61" w:rsidRDefault="00F91460" w:rsidP="00A07B61">
      <w:pPr>
        <w:pStyle w:val="CGC2025TableNote"/>
        <w:ind w:left="567" w:hanging="454"/>
        <w:rPr>
          <w:i/>
          <w:iCs/>
        </w:rPr>
      </w:pPr>
      <w:r>
        <w:tab/>
        <w:t xml:space="preserve">The adjusted budget </w:t>
      </w:r>
      <w:r w:rsidR="00A07B61">
        <w:t xml:space="preserve">data sources are outlined in the adjusted budget chapter of the </w:t>
      </w:r>
      <w:r w:rsidR="00A07B61">
        <w:rPr>
          <w:i/>
          <w:iCs/>
        </w:rPr>
        <w:t>Commission’s Assessment Methodology.</w:t>
      </w:r>
    </w:p>
    <w:p w14:paraId="792A7BCA" w14:textId="30C0DF23" w:rsidR="00AD401E" w:rsidRPr="0055720F" w:rsidRDefault="00EB603C" w:rsidP="009E5A76">
      <w:pPr>
        <w:pStyle w:val="CGC2025TableNote"/>
        <w:ind w:left="851" w:hanging="738"/>
      </w:pPr>
      <w:r w:rsidRPr="0055720F">
        <w:t>Acronyms</w:t>
      </w:r>
      <w:r w:rsidR="008C6703" w:rsidRPr="0055720F">
        <w:t xml:space="preserve">: </w:t>
      </w:r>
      <w:r w:rsidR="001D12B8" w:rsidRPr="0055720F">
        <w:t>APRA – Australian Prudential Regulation Authority</w:t>
      </w:r>
      <w:r w:rsidR="00D47EBB" w:rsidRPr="0055720F">
        <w:t xml:space="preserve">, </w:t>
      </w:r>
      <w:r w:rsidR="001F3864" w:rsidRPr="0055720F">
        <w:t xml:space="preserve">IHACPA – Independent Health and Aged Care Pricing Authority, </w:t>
      </w:r>
      <w:r w:rsidR="0005450A" w:rsidRPr="0055720F">
        <w:t>N</w:t>
      </w:r>
      <w:r w:rsidR="002B1AA1" w:rsidRPr="0055720F">
        <w:t>EC</w:t>
      </w:r>
      <w:r w:rsidR="006433F8" w:rsidRPr="0055720F">
        <w:t xml:space="preserve"> </w:t>
      </w:r>
      <w:r w:rsidR="00382F16" w:rsidRPr="0055720F">
        <w:t>–</w:t>
      </w:r>
      <w:r w:rsidR="00510932" w:rsidRPr="0055720F">
        <w:t xml:space="preserve"> </w:t>
      </w:r>
      <w:r w:rsidR="006433F8" w:rsidRPr="0055720F">
        <w:t>National Efficient Cost</w:t>
      </w:r>
      <w:r w:rsidR="002D2001" w:rsidRPr="0055720F">
        <w:t xml:space="preserve">, NHCDC </w:t>
      </w:r>
      <w:r w:rsidR="00C9538B" w:rsidRPr="0055720F">
        <w:t>–</w:t>
      </w:r>
      <w:r w:rsidR="00510932" w:rsidRPr="0055720F">
        <w:t xml:space="preserve"> </w:t>
      </w:r>
      <w:r w:rsidR="002D2001" w:rsidRPr="0055720F">
        <w:t xml:space="preserve">National Hospital </w:t>
      </w:r>
      <w:r w:rsidR="007F5BFC" w:rsidRPr="0055720F">
        <w:t>Cost Data Collection</w:t>
      </w:r>
      <w:r w:rsidR="000D282F" w:rsidRPr="0055720F">
        <w:t>,</w:t>
      </w:r>
      <w:r w:rsidR="008429E0" w:rsidRPr="0055720F">
        <w:t xml:space="preserve"> </w:t>
      </w:r>
      <w:r w:rsidR="00AB68FF" w:rsidRPr="0055720F">
        <w:t>NHFB – National Health Funding Body,</w:t>
      </w:r>
      <w:r w:rsidR="00525490">
        <w:t xml:space="preserve"> </w:t>
      </w:r>
      <w:r w:rsidR="00D76562" w:rsidRPr="0055720F">
        <w:t>ROGS</w:t>
      </w:r>
      <w:r w:rsidR="00525490">
        <w:t> </w:t>
      </w:r>
      <w:r w:rsidR="008B104D" w:rsidRPr="0055720F">
        <w:t>–</w:t>
      </w:r>
      <w:r w:rsidR="00BC0532" w:rsidRPr="0055720F">
        <w:t xml:space="preserve"> </w:t>
      </w:r>
      <w:r w:rsidR="00D76562" w:rsidRPr="0055720F">
        <w:t>Report on Government Services</w:t>
      </w:r>
      <w:r w:rsidR="006A0503" w:rsidRPr="0055720F">
        <w:t>.</w:t>
      </w:r>
    </w:p>
    <w:p w14:paraId="5BDEA8BE" w14:textId="28A63828" w:rsidR="00F63E28" w:rsidRDefault="00F63E28" w:rsidP="00CC7163">
      <w:pPr>
        <w:pStyle w:val="Heading2"/>
        <w:keepNext/>
      </w:pPr>
      <w:r w:rsidRPr="00885897">
        <w:lastRenderedPageBreak/>
        <w:t xml:space="preserve">Assessment method </w:t>
      </w:r>
    </w:p>
    <w:p w14:paraId="5DBE8AD1" w14:textId="43608DCC" w:rsidR="00906828" w:rsidRDefault="00ED711E" w:rsidP="00CC7163">
      <w:pPr>
        <w:pStyle w:val="CGC2025ParaNumbers"/>
        <w:keepNext/>
      </w:pPr>
      <w:r>
        <w:t>Figure</w:t>
      </w:r>
      <w:r w:rsidR="00051225">
        <w:t xml:space="preserve"> 1</w:t>
      </w:r>
      <w:r>
        <w:t xml:space="preserve"> </w:t>
      </w:r>
      <w:r w:rsidR="00AD764E">
        <w:t xml:space="preserve">shows a generalised flow </w:t>
      </w:r>
      <w:r w:rsidR="00051225">
        <w:t xml:space="preserve">diagram </w:t>
      </w:r>
      <w:r w:rsidR="00AD764E">
        <w:t xml:space="preserve">of the </w:t>
      </w:r>
      <w:r w:rsidR="00991E41">
        <w:t xml:space="preserve">health </w:t>
      </w:r>
      <w:r w:rsidR="00AD764E">
        <w:t xml:space="preserve">assessment. </w:t>
      </w:r>
    </w:p>
    <w:p w14:paraId="471E85F7" w14:textId="4F8F4324" w:rsidR="005727F0" w:rsidRDefault="00906828" w:rsidP="005727F0">
      <w:pPr>
        <w:pStyle w:val="CGC2025Caption"/>
        <w:keepNext/>
        <w:keepLines/>
        <w:tabs>
          <w:tab w:val="clear" w:pos="567"/>
        </w:tabs>
      </w:pPr>
      <w:bookmarkStart w:id="10" w:name="_Ref172117387"/>
      <w:r w:rsidRPr="00DB4294">
        <w:t xml:space="preserve">Figure </w:t>
      </w:r>
      <w:bookmarkEnd w:id="10"/>
      <w:r w:rsidR="008D76A3">
        <w:t>1</w:t>
      </w:r>
      <w:r w:rsidR="00982C72" w:rsidRPr="00DB4294">
        <w:t xml:space="preserve"> </w:t>
      </w:r>
      <w:r w:rsidR="001E012F" w:rsidRPr="00DB4294">
        <w:tab/>
      </w:r>
      <w:r w:rsidR="00982C72" w:rsidRPr="00DB4294">
        <w:t>Flow diagram of the health assessment</w:t>
      </w:r>
    </w:p>
    <w:p w14:paraId="6EB4A101" w14:textId="5FFA5F7C" w:rsidR="008C59C0" w:rsidRDefault="008C59C0" w:rsidP="008C59C0">
      <w:pPr>
        <w:pStyle w:val="NoSpacing"/>
      </w:pPr>
      <w:r w:rsidRPr="008C59C0">
        <w:rPr>
          <w:noProof/>
        </w:rPr>
        <w:drawing>
          <wp:inline distT="0" distB="0" distL="0" distR="0" wp14:anchorId="57B1DCA2" wp14:editId="56D1F567">
            <wp:extent cx="5731510" cy="3599815"/>
            <wp:effectExtent l="0" t="0" r="2540" b="635"/>
            <wp:docPr id="222893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99815"/>
                    </a:xfrm>
                    <a:prstGeom prst="rect">
                      <a:avLst/>
                    </a:prstGeom>
                    <a:noFill/>
                    <a:ln>
                      <a:noFill/>
                    </a:ln>
                  </pic:spPr>
                </pic:pic>
              </a:graphicData>
            </a:graphic>
          </wp:inline>
        </w:drawing>
      </w:r>
    </w:p>
    <w:p w14:paraId="61818399" w14:textId="5D85BD1B" w:rsidR="001E07C3" w:rsidRDefault="00C43760">
      <w:pPr>
        <w:pStyle w:val="CGC2025ParaNumbers"/>
      </w:pPr>
      <w:r>
        <w:t>There are common elements in t</w:t>
      </w:r>
      <w:r w:rsidR="00BE4C5C">
        <w:t xml:space="preserve">he assessment method for </w:t>
      </w:r>
      <w:r w:rsidR="00872EAF" w:rsidRPr="00DC27D8">
        <w:t>admitted patients, emergency departments and non-admitted patients</w:t>
      </w:r>
      <w:r w:rsidR="00872EAF">
        <w:t xml:space="preserve"> </w:t>
      </w:r>
      <w:r w:rsidR="004E02EE">
        <w:t>(</w:t>
      </w:r>
      <w:r w:rsidR="0018781B">
        <w:t>the public hospital components</w:t>
      </w:r>
      <w:r w:rsidR="003D6D50">
        <w:t>)</w:t>
      </w:r>
      <w:r w:rsidR="007350E3">
        <w:t xml:space="preserve">. </w:t>
      </w:r>
      <w:r w:rsidR="000C74A8">
        <w:t>T</w:t>
      </w:r>
      <w:r w:rsidR="0068403C">
        <w:t>he</w:t>
      </w:r>
      <w:r w:rsidR="0018201C">
        <w:t xml:space="preserve"> description of these</w:t>
      </w:r>
      <w:r w:rsidR="0068403C">
        <w:t xml:space="preserve"> components </w:t>
      </w:r>
      <w:r w:rsidR="0018201C">
        <w:t>ha</w:t>
      </w:r>
      <w:r w:rsidR="009659C9">
        <w:t>s</w:t>
      </w:r>
      <w:r w:rsidR="0068403C">
        <w:t xml:space="preserve"> been grouped together</w:t>
      </w:r>
      <w:r w:rsidR="00BD0E9C">
        <w:t>.</w:t>
      </w:r>
      <w:r w:rsidR="00BE4C5C">
        <w:t xml:space="preserve"> </w:t>
      </w:r>
    </w:p>
    <w:p w14:paraId="78108298" w14:textId="54F73F92" w:rsidR="00443688" w:rsidRDefault="003B2F52" w:rsidP="00443688">
      <w:pPr>
        <w:pStyle w:val="CGC2025ParaNumbers"/>
      </w:pPr>
      <w:r>
        <w:t>The components covering c</w:t>
      </w:r>
      <w:r w:rsidR="00B14CDE">
        <w:t>ommunity and public health</w:t>
      </w:r>
      <w:r w:rsidR="00563788">
        <w:t>,</w:t>
      </w:r>
      <w:r w:rsidR="00140A64">
        <w:t xml:space="preserve"> non</w:t>
      </w:r>
      <w:r w:rsidR="00140A64">
        <w:noBreakHyphen/>
        <w:t xml:space="preserve">hospital patient transport and </w:t>
      </w:r>
      <w:r>
        <w:t>the N</w:t>
      </w:r>
      <w:r w:rsidR="00140A64">
        <w:t xml:space="preserve">ational </w:t>
      </w:r>
      <w:r>
        <w:t>P</w:t>
      </w:r>
      <w:r w:rsidR="00140A64">
        <w:t xml:space="preserve">artnership on COVID-19 </w:t>
      </w:r>
      <w:r>
        <w:t xml:space="preserve">Response </w:t>
      </w:r>
      <w:r w:rsidR="004665FA">
        <w:t xml:space="preserve">are </w:t>
      </w:r>
      <w:r w:rsidR="00F401C6">
        <w:t>described</w:t>
      </w:r>
      <w:r w:rsidR="00AF23A3">
        <w:t xml:space="preserve"> separately</w:t>
      </w:r>
      <w:r w:rsidR="00E1089D">
        <w:t>.</w:t>
      </w:r>
    </w:p>
    <w:p w14:paraId="5C345F37" w14:textId="19B179C0" w:rsidR="00FA4EC8" w:rsidRDefault="00FA4EC8" w:rsidP="00FA4EC8">
      <w:pPr>
        <w:pStyle w:val="Heading3"/>
      </w:pPr>
      <w:r>
        <w:t>Public hospitals</w:t>
      </w:r>
      <w:r w:rsidR="00D75FDC">
        <w:t xml:space="preserve"> components</w:t>
      </w:r>
    </w:p>
    <w:p w14:paraId="7FC8EEF7" w14:textId="0AD74DFA" w:rsidR="00D34FA8" w:rsidRDefault="00B54641" w:rsidP="00735A99">
      <w:pPr>
        <w:pStyle w:val="CGC2025ParaNumbers"/>
      </w:pPr>
      <w:r>
        <w:t>Spending on h</w:t>
      </w:r>
      <w:r w:rsidR="00735A99" w:rsidRPr="00735A99">
        <w:t>ospital</w:t>
      </w:r>
      <w:r w:rsidR="005D15C3">
        <w:t xml:space="preserve"> services</w:t>
      </w:r>
      <w:r w:rsidR="00735A99" w:rsidRPr="00735A99">
        <w:t xml:space="preserve"> </w:t>
      </w:r>
      <w:r w:rsidR="00B7475E">
        <w:t xml:space="preserve">represent </w:t>
      </w:r>
      <w:r w:rsidR="00735A99" w:rsidRPr="00735A99">
        <w:t xml:space="preserve">the largest </w:t>
      </w:r>
      <w:r w:rsidR="00AF5806">
        <w:t xml:space="preserve">proportion of </w:t>
      </w:r>
      <w:r w:rsidR="00735A99" w:rsidRPr="00735A99">
        <w:t xml:space="preserve">the </w:t>
      </w:r>
      <w:r w:rsidR="001104D6">
        <w:t>he</w:t>
      </w:r>
      <w:r w:rsidR="00735A99" w:rsidRPr="00735A99">
        <w:t>alth category</w:t>
      </w:r>
      <w:r w:rsidR="001531C7">
        <w:t xml:space="preserve"> and include</w:t>
      </w:r>
      <w:r w:rsidR="00E81789">
        <w:t>s</w:t>
      </w:r>
      <w:r w:rsidR="001531C7">
        <w:t xml:space="preserve"> 3 </w:t>
      </w:r>
      <w:r w:rsidR="001E76B0">
        <w:t>components</w:t>
      </w:r>
      <w:r w:rsidR="00BC46EC">
        <w:t>.</w:t>
      </w:r>
      <w:r w:rsidR="001E76B0">
        <w:t xml:space="preserve"> </w:t>
      </w:r>
    </w:p>
    <w:p w14:paraId="438BB14F" w14:textId="0BFF984A" w:rsidR="001E76B0" w:rsidRDefault="00BC46EC" w:rsidP="00D34FA8">
      <w:pPr>
        <w:pStyle w:val="CGC2025Bullet1"/>
      </w:pPr>
      <w:r>
        <w:t>A</w:t>
      </w:r>
      <w:r w:rsidR="001E76B0">
        <w:t xml:space="preserve">dmitted patient services </w:t>
      </w:r>
      <w:r w:rsidR="00C41CFF" w:rsidRPr="00C41CFF">
        <w:t>—</w:t>
      </w:r>
      <w:r w:rsidR="001E76B0">
        <w:t xml:space="preserve"> medical care for public patients admitted into public or private hospitals</w:t>
      </w:r>
      <w:r w:rsidR="003B349F">
        <w:t>,</w:t>
      </w:r>
      <w:r w:rsidR="001E76B0">
        <w:t xml:space="preserve"> and land ambulance services</w:t>
      </w:r>
      <w:r>
        <w:t>.</w:t>
      </w:r>
      <w:r w:rsidR="001E76B0">
        <w:t xml:space="preserve"> </w:t>
      </w:r>
    </w:p>
    <w:p w14:paraId="611DF405" w14:textId="6649B275" w:rsidR="001E76B0" w:rsidRDefault="00BC46EC" w:rsidP="00D34FA8">
      <w:pPr>
        <w:pStyle w:val="CGC2025Bullet1"/>
      </w:pPr>
      <w:r>
        <w:t>E</w:t>
      </w:r>
      <w:r w:rsidR="001E76B0">
        <w:t xml:space="preserve">mergency department </w:t>
      </w:r>
      <w:r w:rsidR="00C41CFF" w:rsidRPr="00C41CFF">
        <w:t>—</w:t>
      </w:r>
      <w:r w:rsidR="001E76B0">
        <w:t xml:space="preserve"> emergency care delivered to patients at public hospitals</w:t>
      </w:r>
      <w:r>
        <w:t>.</w:t>
      </w:r>
      <w:r w:rsidR="001E76B0">
        <w:t xml:space="preserve"> </w:t>
      </w:r>
    </w:p>
    <w:p w14:paraId="694B793C" w14:textId="265167BB" w:rsidR="00FD4DBD" w:rsidRPr="0037674F" w:rsidRDefault="00BC46EC">
      <w:pPr>
        <w:pStyle w:val="CGC2025Bullet1"/>
      </w:pPr>
      <w:r>
        <w:t>N</w:t>
      </w:r>
      <w:r w:rsidR="001E76B0" w:rsidRPr="0037674F">
        <w:t>on-admitted patient</w:t>
      </w:r>
      <w:r w:rsidR="00161CB7">
        <w:t xml:space="preserve"> services</w:t>
      </w:r>
      <w:r w:rsidR="00844B7D" w:rsidRPr="0037674F">
        <w:t xml:space="preserve"> </w:t>
      </w:r>
      <w:r w:rsidR="00C41CFF" w:rsidRPr="00C41CFF">
        <w:t>—</w:t>
      </w:r>
      <w:r w:rsidR="00844B7D" w:rsidRPr="0037674F">
        <w:t xml:space="preserve"> </w:t>
      </w:r>
      <w:r w:rsidR="00E539C6" w:rsidRPr="0037674F">
        <w:t xml:space="preserve">outpatient type services </w:t>
      </w:r>
      <w:r w:rsidR="00322C00" w:rsidRPr="0037674F">
        <w:t xml:space="preserve">provided at public hospitals such as obstetrics, </w:t>
      </w:r>
      <w:r w:rsidR="000E26F3" w:rsidRPr="0037674F">
        <w:t>gynaecology, cardiology, pathology, radiology and imaging services</w:t>
      </w:r>
      <w:r w:rsidR="00FF78A4" w:rsidRPr="0037674F">
        <w:t>.</w:t>
      </w:r>
    </w:p>
    <w:p w14:paraId="657ADACB" w14:textId="1F5B8D56" w:rsidR="00537733" w:rsidRPr="002F6C32" w:rsidRDefault="00537733" w:rsidP="00537733">
      <w:pPr>
        <w:pStyle w:val="Heading4"/>
      </w:pPr>
      <w:r w:rsidRPr="002F6C32">
        <w:lastRenderedPageBreak/>
        <w:t xml:space="preserve">Socio-demographic composition </w:t>
      </w:r>
      <w:r w:rsidR="00B936C1">
        <w:t>assessment</w:t>
      </w:r>
    </w:p>
    <w:p w14:paraId="6538FC53" w14:textId="77777777" w:rsidR="00D94D38" w:rsidRDefault="0055031F" w:rsidP="00537733">
      <w:pPr>
        <w:pStyle w:val="Heading5"/>
      </w:pPr>
      <w:r>
        <w:t>Drivers</w:t>
      </w:r>
    </w:p>
    <w:p w14:paraId="5FA36E06" w14:textId="781404EE" w:rsidR="005A6C6D" w:rsidRPr="005A6C6D" w:rsidRDefault="00B87694" w:rsidP="005A6C6D">
      <w:pPr>
        <w:pStyle w:val="CGC2025ParaNumbers"/>
      </w:pPr>
      <w:r>
        <w:t xml:space="preserve">The </w:t>
      </w:r>
      <w:r w:rsidR="00183C33">
        <w:t>assessment recognises that the socio-demographic composition of the</w:t>
      </w:r>
      <w:r w:rsidR="00326F79">
        <w:t xml:space="preserve"> </w:t>
      </w:r>
      <w:r w:rsidR="00183C33" w:rsidRPr="00317941">
        <w:t>population</w:t>
      </w:r>
      <w:r w:rsidR="00105F77">
        <w:t xml:space="preserve"> with respect to </w:t>
      </w:r>
      <w:r w:rsidR="00326F79">
        <w:t>Indigenous status, socio-economic status, remoteness and age</w:t>
      </w:r>
      <w:r w:rsidR="00951186">
        <w:t xml:space="preserve"> affect the use and cost of health services in</w:t>
      </w:r>
      <w:r w:rsidR="001922DD">
        <w:t xml:space="preserve"> each state.</w:t>
      </w:r>
      <w:r w:rsidR="005A6C6D" w:rsidRPr="005A6C6D">
        <w:t xml:space="preserve"> </w:t>
      </w:r>
    </w:p>
    <w:p w14:paraId="4AD79288" w14:textId="5A4BF67F" w:rsidR="00F24F53" w:rsidRPr="009C62E5" w:rsidRDefault="009D661F" w:rsidP="008B272C">
      <w:pPr>
        <w:pStyle w:val="CGC2025ParaNumbers"/>
      </w:pPr>
      <w:r>
        <w:t>T</w:t>
      </w:r>
      <w:r w:rsidR="000940FE">
        <w:t xml:space="preserve">he </w:t>
      </w:r>
      <w:r w:rsidR="007D1CFA">
        <w:t xml:space="preserve">population groups </w:t>
      </w:r>
      <w:r w:rsidR="002A1CA0">
        <w:t xml:space="preserve">for </w:t>
      </w:r>
      <w:r w:rsidR="00DB001D">
        <w:t xml:space="preserve">these </w:t>
      </w:r>
      <w:r w:rsidR="002A1CA0">
        <w:t>variable</w:t>
      </w:r>
      <w:r w:rsidR="00DB001D">
        <w:t>s</w:t>
      </w:r>
      <w:r w:rsidR="002A1CA0">
        <w:t xml:space="preserve"> are </w:t>
      </w:r>
      <w:r w:rsidR="00F20D6C">
        <w:t xml:space="preserve">outlined </w:t>
      </w:r>
      <w:r w:rsidR="00FF387B" w:rsidRPr="009C62E5">
        <w:t>in</w:t>
      </w:r>
      <w:r w:rsidR="00CB4278">
        <w:t xml:space="preserve"> </w:t>
      </w:r>
      <w:r w:rsidR="00C2049D">
        <w:t>Table 5</w:t>
      </w:r>
      <w:r w:rsidR="00FF387B" w:rsidRPr="009C62E5">
        <w:t>.</w:t>
      </w:r>
    </w:p>
    <w:p w14:paraId="2AA7D5A0" w14:textId="3520EDB5" w:rsidR="008A0BD9" w:rsidRPr="00C13123" w:rsidRDefault="006F164E" w:rsidP="00A158C5">
      <w:pPr>
        <w:pStyle w:val="CGC2025Caption"/>
        <w:keepNext/>
      </w:pPr>
      <w:bookmarkStart w:id="11" w:name="_Ref169171311"/>
      <w:bookmarkStart w:id="12" w:name="_Ref172728713"/>
      <w:r w:rsidRPr="00C13123">
        <w:t xml:space="preserve">Table </w:t>
      </w:r>
      <w:bookmarkEnd w:id="11"/>
      <w:r w:rsidR="008D76A3">
        <w:t>5</w:t>
      </w:r>
      <w:r w:rsidR="00C13123" w:rsidRPr="00C13123">
        <w:tab/>
        <w:t xml:space="preserve">Socio-demographic </w:t>
      </w:r>
      <w:r w:rsidR="00BE5587">
        <w:t>p</w:t>
      </w:r>
      <w:r w:rsidR="00FD294E">
        <w:t>opulatio</w:t>
      </w:r>
      <w:r w:rsidR="00C13123" w:rsidRPr="00C13123">
        <w:t xml:space="preserve">n </w:t>
      </w:r>
      <w:r w:rsidR="002F2808">
        <w:t>groups</w:t>
      </w:r>
      <w:r w:rsidR="006070C5">
        <w:t xml:space="preserve"> </w:t>
      </w:r>
      <w:r w:rsidR="00C13123" w:rsidRPr="00C13123">
        <w:t>used in the health assessment</w:t>
      </w:r>
      <w:bookmarkEnd w:id="12"/>
    </w:p>
    <w:tbl>
      <w:tblPr>
        <w:tblW w:w="8942" w:type="dxa"/>
        <w:tblLook w:val="04A0" w:firstRow="1" w:lastRow="0" w:firstColumn="1" w:lastColumn="0" w:noHBand="0" w:noVBand="1"/>
      </w:tblPr>
      <w:tblGrid>
        <w:gridCol w:w="2421"/>
        <w:gridCol w:w="2544"/>
        <w:gridCol w:w="2462"/>
        <w:gridCol w:w="1515"/>
      </w:tblGrid>
      <w:tr w:rsidR="00C814DD" w:rsidRPr="00C814DD" w14:paraId="35B25087" w14:textId="77777777" w:rsidTr="00CF6BE3">
        <w:trPr>
          <w:trHeight w:val="510"/>
        </w:trPr>
        <w:tc>
          <w:tcPr>
            <w:tcW w:w="2380" w:type="dxa"/>
            <w:tcBorders>
              <w:top w:val="nil"/>
              <w:left w:val="nil"/>
              <w:bottom w:val="nil"/>
              <w:right w:val="nil"/>
            </w:tcBorders>
            <w:shd w:val="clear" w:color="000000" w:fill="006991"/>
            <w:vAlign w:val="center"/>
            <w:hideMark/>
          </w:tcPr>
          <w:p w14:paraId="62E1DB9F" w14:textId="77777777" w:rsidR="00C814DD" w:rsidRPr="00C814DD" w:rsidRDefault="00C814DD" w:rsidP="00A158C5">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814DD">
              <w:rPr>
                <w:rFonts w:ascii="Open Sans Semibold" w:eastAsia="Times New Roman" w:hAnsi="Open Sans Semibold" w:cs="Open Sans Semibold"/>
                <w:color w:val="FFFFFF"/>
                <w:sz w:val="16"/>
                <w:szCs w:val="16"/>
                <w:lang w:eastAsia="en-AU"/>
              </w:rPr>
              <w:t>Indigenous status</w:t>
            </w:r>
          </w:p>
        </w:tc>
        <w:tc>
          <w:tcPr>
            <w:tcW w:w="2500" w:type="dxa"/>
            <w:tcBorders>
              <w:top w:val="nil"/>
              <w:left w:val="nil"/>
              <w:bottom w:val="nil"/>
              <w:right w:val="nil"/>
            </w:tcBorders>
            <w:shd w:val="clear" w:color="000000" w:fill="006991"/>
            <w:vAlign w:val="center"/>
            <w:hideMark/>
          </w:tcPr>
          <w:p w14:paraId="0DB34A9E" w14:textId="4AAADF04" w:rsidR="00C814DD" w:rsidRPr="00C814DD" w:rsidRDefault="00C814DD" w:rsidP="00A158C5">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814DD">
              <w:rPr>
                <w:rFonts w:ascii="Open Sans Semibold" w:eastAsia="Times New Roman" w:hAnsi="Open Sans Semibold" w:cs="Open Sans Semibold"/>
                <w:color w:val="FFFFFF"/>
                <w:sz w:val="16"/>
                <w:szCs w:val="16"/>
                <w:lang w:eastAsia="en-AU"/>
              </w:rPr>
              <w:t>Socio</w:t>
            </w:r>
            <w:r w:rsidR="00C35844">
              <w:rPr>
                <w:rFonts w:ascii="Open Sans Semibold" w:eastAsia="Times New Roman" w:hAnsi="Open Sans Semibold" w:cs="Open Sans Semibold"/>
                <w:color w:val="FFFFFF"/>
                <w:sz w:val="16"/>
                <w:szCs w:val="16"/>
                <w:lang w:eastAsia="en-AU"/>
              </w:rPr>
              <w:t>-</w:t>
            </w:r>
            <w:r w:rsidRPr="00C814DD">
              <w:rPr>
                <w:rFonts w:ascii="Open Sans Semibold" w:eastAsia="Times New Roman" w:hAnsi="Open Sans Semibold" w:cs="Open Sans Semibold"/>
                <w:color w:val="FFFFFF"/>
                <w:sz w:val="16"/>
                <w:szCs w:val="16"/>
                <w:lang w:eastAsia="en-AU"/>
              </w:rPr>
              <w:t>economic status</w:t>
            </w:r>
          </w:p>
        </w:tc>
        <w:tc>
          <w:tcPr>
            <w:tcW w:w="2420" w:type="dxa"/>
            <w:tcBorders>
              <w:top w:val="nil"/>
              <w:left w:val="nil"/>
              <w:bottom w:val="nil"/>
              <w:right w:val="nil"/>
            </w:tcBorders>
            <w:shd w:val="clear" w:color="000000" w:fill="006991"/>
            <w:vAlign w:val="center"/>
            <w:hideMark/>
          </w:tcPr>
          <w:p w14:paraId="3242396F" w14:textId="77777777" w:rsidR="00C814DD" w:rsidRPr="00C814DD" w:rsidRDefault="00C814DD" w:rsidP="00A158C5">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814DD">
              <w:rPr>
                <w:rFonts w:ascii="Open Sans Semibold" w:eastAsia="Times New Roman" w:hAnsi="Open Sans Semibold" w:cs="Open Sans Semibold"/>
                <w:color w:val="FFFFFF"/>
                <w:sz w:val="16"/>
                <w:szCs w:val="16"/>
                <w:lang w:eastAsia="en-AU"/>
              </w:rPr>
              <w:t xml:space="preserve">Remoteness area </w:t>
            </w:r>
          </w:p>
        </w:tc>
        <w:tc>
          <w:tcPr>
            <w:tcW w:w="1489" w:type="dxa"/>
            <w:tcBorders>
              <w:top w:val="nil"/>
              <w:left w:val="nil"/>
              <w:bottom w:val="nil"/>
              <w:right w:val="nil"/>
            </w:tcBorders>
            <w:shd w:val="clear" w:color="000000" w:fill="006991"/>
            <w:vAlign w:val="center"/>
            <w:hideMark/>
          </w:tcPr>
          <w:p w14:paraId="31A22D58" w14:textId="77777777" w:rsidR="00C814DD" w:rsidRPr="00C814DD" w:rsidRDefault="00C814DD" w:rsidP="00A158C5">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814DD">
              <w:rPr>
                <w:rFonts w:ascii="Open Sans Semibold" w:eastAsia="Times New Roman" w:hAnsi="Open Sans Semibold" w:cs="Open Sans Semibold"/>
                <w:color w:val="FFFFFF"/>
                <w:sz w:val="16"/>
                <w:szCs w:val="16"/>
                <w:lang w:eastAsia="en-AU"/>
              </w:rPr>
              <w:t>Age</w:t>
            </w:r>
          </w:p>
        </w:tc>
      </w:tr>
      <w:tr w:rsidR="00C814DD" w:rsidRPr="00C814DD" w14:paraId="4A4BAD78" w14:textId="77777777" w:rsidTr="00CF6BE3">
        <w:trPr>
          <w:trHeight w:val="315"/>
        </w:trPr>
        <w:tc>
          <w:tcPr>
            <w:tcW w:w="2380" w:type="dxa"/>
            <w:tcBorders>
              <w:top w:val="single" w:sz="4" w:space="0" w:color="ADD6EA"/>
              <w:left w:val="nil"/>
              <w:bottom w:val="single" w:sz="4" w:space="0" w:color="ADD6EA"/>
              <w:right w:val="nil"/>
            </w:tcBorders>
            <w:shd w:val="clear" w:color="000000" w:fill="FFFFFF"/>
            <w:vAlign w:val="center"/>
            <w:hideMark/>
          </w:tcPr>
          <w:p w14:paraId="14C8106E" w14:textId="55B3BF91" w:rsidR="00C814DD" w:rsidRPr="00C814DD" w:rsidRDefault="0019240C" w:rsidP="00A158C5">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First Nations</w:t>
            </w:r>
          </w:p>
        </w:tc>
        <w:tc>
          <w:tcPr>
            <w:tcW w:w="2500" w:type="dxa"/>
            <w:tcBorders>
              <w:top w:val="single" w:sz="4" w:space="0" w:color="ADD6EA"/>
              <w:left w:val="nil"/>
              <w:bottom w:val="single" w:sz="4" w:space="0" w:color="ADD6EA"/>
              <w:right w:val="nil"/>
            </w:tcBorders>
            <w:shd w:val="clear" w:color="000000" w:fill="FFFFFF"/>
            <w:vAlign w:val="center"/>
            <w:hideMark/>
          </w:tcPr>
          <w:p w14:paraId="5A2B0714"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 xml:space="preserve">Bottom quintile </w:t>
            </w:r>
          </w:p>
        </w:tc>
        <w:tc>
          <w:tcPr>
            <w:tcW w:w="2420" w:type="dxa"/>
            <w:tcBorders>
              <w:top w:val="single" w:sz="4" w:space="0" w:color="ADD6EA"/>
              <w:left w:val="nil"/>
              <w:bottom w:val="single" w:sz="4" w:space="0" w:color="ADD6EA"/>
              <w:right w:val="nil"/>
            </w:tcBorders>
            <w:shd w:val="clear" w:color="000000" w:fill="FFFFFF"/>
            <w:vAlign w:val="center"/>
            <w:hideMark/>
          </w:tcPr>
          <w:p w14:paraId="3FBB702B"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 xml:space="preserve">Major cities </w:t>
            </w:r>
          </w:p>
        </w:tc>
        <w:tc>
          <w:tcPr>
            <w:tcW w:w="1489" w:type="dxa"/>
            <w:tcBorders>
              <w:top w:val="single" w:sz="4" w:space="0" w:color="ADD6EA"/>
              <w:left w:val="nil"/>
              <w:bottom w:val="single" w:sz="4" w:space="0" w:color="ADD6EA"/>
              <w:right w:val="nil"/>
            </w:tcBorders>
            <w:shd w:val="clear" w:color="000000" w:fill="FFFFFF"/>
            <w:vAlign w:val="center"/>
            <w:hideMark/>
          </w:tcPr>
          <w:p w14:paraId="14CAFCA9"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0 to 14</w:t>
            </w:r>
          </w:p>
        </w:tc>
      </w:tr>
      <w:tr w:rsidR="00C814DD" w:rsidRPr="00C814DD" w14:paraId="7D8F793D" w14:textId="77777777" w:rsidTr="00CF6BE3">
        <w:trPr>
          <w:trHeight w:val="315"/>
        </w:trPr>
        <w:tc>
          <w:tcPr>
            <w:tcW w:w="2380" w:type="dxa"/>
            <w:tcBorders>
              <w:top w:val="nil"/>
              <w:left w:val="nil"/>
              <w:bottom w:val="single" w:sz="4" w:space="0" w:color="ADD6EA"/>
              <w:right w:val="nil"/>
            </w:tcBorders>
            <w:shd w:val="clear" w:color="000000" w:fill="FFFFFF"/>
            <w:vAlign w:val="center"/>
            <w:hideMark/>
          </w:tcPr>
          <w:p w14:paraId="544AB8C6"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Non-Indigenous</w:t>
            </w:r>
          </w:p>
        </w:tc>
        <w:tc>
          <w:tcPr>
            <w:tcW w:w="2500" w:type="dxa"/>
            <w:tcBorders>
              <w:top w:val="nil"/>
              <w:left w:val="nil"/>
              <w:bottom w:val="single" w:sz="4" w:space="0" w:color="ADD6EA"/>
              <w:right w:val="nil"/>
            </w:tcBorders>
            <w:shd w:val="clear" w:color="000000" w:fill="FFFFFF"/>
            <w:vAlign w:val="center"/>
            <w:hideMark/>
          </w:tcPr>
          <w:p w14:paraId="519F5826"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Middle 3 quintiles</w:t>
            </w:r>
          </w:p>
        </w:tc>
        <w:tc>
          <w:tcPr>
            <w:tcW w:w="2420" w:type="dxa"/>
            <w:tcBorders>
              <w:top w:val="nil"/>
              <w:left w:val="nil"/>
              <w:bottom w:val="single" w:sz="4" w:space="0" w:color="ADD6EA"/>
              <w:right w:val="nil"/>
            </w:tcBorders>
            <w:shd w:val="clear" w:color="000000" w:fill="FFFFFF"/>
            <w:vAlign w:val="center"/>
            <w:hideMark/>
          </w:tcPr>
          <w:p w14:paraId="690589EF"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Inner regional</w:t>
            </w:r>
          </w:p>
        </w:tc>
        <w:tc>
          <w:tcPr>
            <w:tcW w:w="1489" w:type="dxa"/>
            <w:tcBorders>
              <w:top w:val="nil"/>
              <w:left w:val="nil"/>
              <w:bottom w:val="single" w:sz="4" w:space="0" w:color="ADD6EA"/>
              <w:right w:val="nil"/>
            </w:tcBorders>
            <w:shd w:val="clear" w:color="000000" w:fill="FFFFFF"/>
            <w:vAlign w:val="center"/>
            <w:hideMark/>
          </w:tcPr>
          <w:p w14:paraId="148997C1"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15 to 44</w:t>
            </w:r>
          </w:p>
        </w:tc>
      </w:tr>
      <w:tr w:rsidR="00C814DD" w:rsidRPr="00C814DD" w14:paraId="0BA8B97D" w14:textId="77777777" w:rsidTr="00CF6BE3">
        <w:trPr>
          <w:trHeight w:val="315"/>
        </w:trPr>
        <w:tc>
          <w:tcPr>
            <w:tcW w:w="2380" w:type="dxa"/>
            <w:tcBorders>
              <w:top w:val="nil"/>
              <w:left w:val="nil"/>
              <w:bottom w:val="single" w:sz="4" w:space="0" w:color="ADD6EA"/>
              <w:right w:val="nil"/>
            </w:tcBorders>
            <w:shd w:val="clear" w:color="000000" w:fill="FFFFFF"/>
            <w:vAlign w:val="center"/>
            <w:hideMark/>
          </w:tcPr>
          <w:p w14:paraId="042B06DC"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 </w:t>
            </w:r>
          </w:p>
        </w:tc>
        <w:tc>
          <w:tcPr>
            <w:tcW w:w="2500" w:type="dxa"/>
            <w:tcBorders>
              <w:top w:val="nil"/>
              <w:left w:val="nil"/>
              <w:bottom w:val="single" w:sz="4" w:space="0" w:color="ADD6EA"/>
              <w:right w:val="nil"/>
            </w:tcBorders>
            <w:shd w:val="clear" w:color="000000" w:fill="FFFFFF"/>
            <w:vAlign w:val="center"/>
            <w:hideMark/>
          </w:tcPr>
          <w:p w14:paraId="01B2D668"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 xml:space="preserve">Top quintile </w:t>
            </w:r>
          </w:p>
        </w:tc>
        <w:tc>
          <w:tcPr>
            <w:tcW w:w="2420" w:type="dxa"/>
            <w:tcBorders>
              <w:top w:val="nil"/>
              <w:left w:val="nil"/>
              <w:bottom w:val="single" w:sz="4" w:space="0" w:color="ADD6EA"/>
              <w:right w:val="nil"/>
            </w:tcBorders>
            <w:shd w:val="clear" w:color="000000" w:fill="FFFFFF"/>
            <w:vAlign w:val="center"/>
            <w:hideMark/>
          </w:tcPr>
          <w:p w14:paraId="44D7F4E6"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Outer regional</w:t>
            </w:r>
          </w:p>
        </w:tc>
        <w:tc>
          <w:tcPr>
            <w:tcW w:w="1489" w:type="dxa"/>
            <w:tcBorders>
              <w:top w:val="nil"/>
              <w:left w:val="nil"/>
              <w:bottom w:val="single" w:sz="4" w:space="0" w:color="ADD6EA"/>
              <w:right w:val="nil"/>
            </w:tcBorders>
            <w:shd w:val="clear" w:color="000000" w:fill="FFFFFF"/>
            <w:vAlign w:val="center"/>
            <w:hideMark/>
          </w:tcPr>
          <w:p w14:paraId="2BDB0056"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45 to 64</w:t>
            </w:r>
          </w:p>
        </w:tc>
      </w:tr>
      <w:tr w:rsidR="00C814DD" w:rsidRPr="00C814DD" w14:paraId="5987E1F0" w14:textId="77777777" w:rsidTr="00CF6BE3">
        <w:trPr>
          <w:trHeight w:val="315"/>
        </w:trPr>
        <w:tc>
          <w:tcPr>
            <w:tcW w:w="2380" w:type="dxa"/>
            <w:tcBorders>
              <w:top w:val="nil"/>
              <w:left w:val="nil"/>
              <w:bottom w:val="single" w:sz="4" w:space="0" w:color="ADD6EA"/>
              <w:right w:val="nil"/>
            </w:tcBorders>
            <w:shd w:val="clear" w:color="000000" w:fill="FFFFFF"/>
            <w:vAlign w:val="center"/>
            <w:hideMark/>
          </w:tcPr>
          <w:p w14:paraId="62E0A682"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 </w:t>
            </w:r>
          </w:p>
        </w:tc>
        <w:tc>
          <w:tcPr>
            <w:tcW w:w="2500" w:type="dxa"/>
            <w:tcBorders>
              <w:top w:val="nil"/>
              <w:left w:val="nil"/>
              <w:bottom w:val="single" w:sz="4" w:space="0" w:color="ADD6EA"/>
              <w:right w:val="nil"/>
            </w:tcBorders>
            <w:shd w:val="clear" w:color="000000" w:fill="FFFFFF"/>
            <w:vAlign w:val="center"/>
            <w:hideMark/>
          </w:tcPr>
          <w:p w14:paraId="5F60A89C"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 </w:t>
            </w:r>
          </w:p>
        </w:tc>
        <w:tc>
          <w:tcPr>
            <w:tcW w:w="2420" w:type="dxa"/>
            <w:tcBorders>
              <w:top w:val="nil"/>
              <w:left w:val="nil"/>
              <w:bottom w:val="single" w:sz="4" w:space="0" w:color="ADD6EA"/>
              <w:right w:val="nil"/>
            </w:tcBorders>
            <w:shd w:val="clear" w:color="000000" w:fill="FFFFFF"/>
            <w:vAlign w:val="center"/>
            <w:hideMark/>
          </w:tcPr>
          <w:p w14:paraId="1A314B48"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 xml:space="preserve">Remote </w:t>
            </w:r>
          </w:p>
        </w:tc>
        <w:tc>
          <w:tcPr>
            <w:tcW w:w="1489" w:type="dxa"/>
            <w:tcBorders>
              <w:top w:val="nil"/>
              <w:left w:val="nil"/>
              <w:bottom w:val="single" w:sz="4" w:space="0" w:color="ADD6EA"/>
              <w:right w:val="nil"/>
            </w:tcBorders>
            <w:shd w:val="clear" w:color="000000" w:fill="FFFFFF"/>
            <w:vAlign w:val="center"/>
            <w:hideMark/>
          </w:tcPr>
          <w:p w14:paraId="7021BE21"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65 to 74</w:t>
            </w:r>
          </w:p>
        </w:tc>
      </w:tr>
      <w:tr w:rsidR="00C814DD" w:rsidRPr="00C814DD" w14:paraId="4B6CC5E5" w14:textId="77777777" w:rsidTr="00CF6BE3">
        <w:trPr>
          <w:trHeight w:val="315"/>
        </w:trPr>
        <w:tc>
          <w:tcPr>
            <w:tcW w:w="2380" w:type="dxa"/>
            <w:tcBorders>
              <w:top w:val="single" w:sz="4" w:space="0" w:color="ADD6EA"/>
              <w:left w:val="nil"/>
              <w:bottom w:val="single" w:sz="4" w:space="0" w:color="ADD6EA"/>
              <w:right w:val="nil"/>
            </w:tcBorders>
            <w:shd w:val="clear" w:color="000000" w:fill="FFFFFF"/>
            <w:vAlign w:val="center"/>
            <w:hideMark/>
          </w:tcPr>
          <w:p w14:paraId="4CF38808"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 </w:t>
            </w:r>
          </w:p>
        </w:tc>
        <w:tc>
          <w:tcPr>
            <w:tcW w:w="2500" w:type="dxa"/>
            <w:tcBorders>
              <w:top w:val="single" w:sz="4" w:space="0" w:color="ADD6EA"/>
              <w:left w:val="nil"/>
              <w:bottom w:val="single" w:sz="4" w:space="0" w:color="ADD6EA"/>
              <w:right w:val="nil"/>
            </w:tcBorders>
            <w:shd w:val="clear" w:color="000000" w:fill="FFFFFF"/>
            <w:vAlign w:val="center"/>
            <w:hideMark/>
          </w:tcPr>
          <w:p w14:paraId="35B67E90"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 </w:t>
            </w:r>
          </w:p>
        </w:tc>
        <w:tc>
          <w:tcPr>
            <w:tcW w:w="2420" w:type="dxa"/>
            <w:tcBorders>
              <w:top w:val="single" w:sz="4" w:space="0" w:color="ADD6EA"/>
              <w:left w:val="nil"/>
              <w:bottom w:val="single" w:sz="4" w:space="0" w:color="ADD6EA"/>
              <w:right w:val="nil"/>
            </w:tcBorders>
            <w:shd w:val="clear" w:color="000000" w:fill="FFFFFF"/>
            <w:vAlign w:val="center"/>
            <w:hideMark/>
          </w:tcPr>
          <w:p w14:paraId="3522241E"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Very remote</w:t>
            </w:r>
          </w:p>
        </w:tc>
        <w:tc>
          <w:tcPr>
            <w:tcW w:w="1489" w:type="dxa"/>
            <w:tcBorders>
              <w:top w:val="single" w:sz="4" w:space="0" w:color="ADD6EA"/>
              <w:left w:val="nil"/>
              <w:bottom w:val="single" w:sz="4" w:space="0" w:color="ADD6EA"/>
              <w:right w:val="nil"/>
            </w:tcBorders>
            <w:shd w:val="clear" w:color="000000" w:fill="FFFFFF"/>
            <w:vAlign w:val="center"/>
            <w:hideMark/>
          </w:tcPr>
          <w:p w14:paraId="79D06983" w14:textId="77777777" w:rsidR="00C814DD" w:rsidRPr="00C814DD" w:rsidRDefault="00C814DD" w:rsidP="00A158C5">
            <w:pPr>
              <w:keepNext/>
              <w:tabs>
                <w:tab w:val="clear" w:pos="567"/>
              </w:tabs>
              <w:spacing w:before="0" w:line="240" w:lineRule="auto"/>
              <w:rPr>
                <w:rFonts w:eastAsia="Times New Roman" w:cs="Open Sans Light"/>
                <w:color w:val="000000"/>
                <w:sz w:val="16"/>
                <w:szCs w:val="16"/>
                <w:lang w:eastAsia="en-AU"/>
              </w:rPr>
            </w:pPr>
            <w:r w:rsidRPr="00C814DD">
              <w:rPr>
                <w:rFonts w:eastAsia="Times New Roman" w:cs="Open Sans Light"/>
                <w:color w:val="000000"/>
                <w:sz w:val="16"/>
                <w:szCs w:val="16"/>
                <w:lang w:eastAsia="en-AU"/>
              </w:rPr>
              <w:t>75+</w:t>
            </w:r>
          </w:p>
        </w:tc>
      </w:tr>
    </w:tbl>
    <w:p w14:paraId="32C2CAFA" w14:textId="3EBE2BDD" w:rsidR="00210E45" w:rsidRDefault="00DF1620" w:rsidP="00134475">
      <w:pPr>
        <w:pStyle w:val="CGC2025ParaNumbers"/>
      </w:pPr>
      <w:r>
        <w:t>T</w:t>
      </w:r>
      <w:r w:rsidR="00720B65">
        <w:t>he 5 socio-economic status quintiles are grouped into 3 bands — the bottom quintile, the 3 middle quintiles and the top quintile.</w:t>
      </w:r>
      <w:r w:rsidR="009342E7">
        <w:t xml:space="preserve"> </w:t>
      </w:r>
      <w:r w:rsidR="00210E45">
        <w:t>For First Nations and non</w:t>
      </w:r>
      <w:r w:rsidR="00282959">
        <w:noBreakHyphen/>
      </w:r>
      <w:r w:rsidR="00210E45">
        <w:t xml:space="preserve">Indigenous people living in remote and very remote regions, there </w:t>
      </w:r>
      <w:r w:rsidR="009342E7">
        <w:t xml:space="preserve">is </w:t>
      </w:r>
      <w:r w:rsidR="00CE7086">
        <w:t>not a strong</w:t>
      </w:r>
      <w:r w:rsidR="00851C5D">
        <w:t xml:space="preserve"> </w:t>
      </w:r>
      <w:r w:rsidR="00210E45">
        <w:t xml:space="preserve">relationship between </w:t>
      </w:r>
      <w:r w:rsidR="009342E7">
        <w:t xml:space="preserve">socio-economic </w:t>
      </w:r>
      <w:r w:rsidR="00210E45">
        <w:t>quintiles and hospital spending. Hence the population in remote and very remote regions are not disaggregated by socio</w:t>
      </w:r>
      <w:r w:rsidR="00BF4F09">
        <w:noBreakHyphen/>
      </w:r>
      <w:r w:rsidR="00210E45">
        <w:t>economic</w:t>
      </w:r>
      <w:r w:rsidR="006A739B">
        <w:t xml:space="preserve"> </w:t>
      </w:r>
      <w:r w:rsidR="00210E45">
        <w:t>status.</w:t>
      </w:r>
      <w:r w:rsidR="00E027FA">
        <w:t xml:space="preserve"> </w:t>
      </w:r>
      <w:r w:rsidR="00503E85">
        <w:t xml:space="preserve">Age </w:t>
      </w:r>
      <w:r w:rsidR="00BF4F09">
        <w:t>is</w:t>
      </w:r>
      <w:r w:rsidR="002B5E8E">
        <w:t xml:space="preserve"> classified into 5 groups</w:t>
      </w:r>
      <w:r w:rsidR="00B22FAC">
        <w:t xml:space="preserve"> with the highest age band </w:t>
      </w:r>
      <w:r w:rsidR="008535E3">
        <w:t xml:space="preserve">set at 75+. </w:t>
      </w:r>
    </w:p>
    <w:p w14:paraId="3766CB24" w14:textId="2D2B5B1B" w:rsidR="00E52CDE" w:rsidRDefault="00274261" w:rsidP="000613B7">
      <w:pPr>
        <w:pStyle w:val="CGC2025ParaNumbers"/>
      </w:pPr>
      <w:r>
        <w:t>To measure h</w:t>
      </w:r>
      <w:r w:rsidR="00A5584E">
        <w:t>ospital use by socio</w:t>
      </w:r>
      <w:r w:rsidR="00A5584E">
        <w:noBreakHyphen/>
        <w:t>demographic group, t</w:t>
      </w:r>
      <w:r w:rsidR="00C9269C" w:rsidRPr="009C62E5">
        <w:t xml:space="preserve">he </w:t>
      </w:r>
      <w:r w:rsidR="0010091A">
        <w:t>assessment</w:t>
      </w:r>
      <w:r w:rsidR="001C3423">
        <w:t xml:space="preserve"> uses </w:t>
      </w:r>
      <w:r w:rsidR="00213B2C" w:rsidRPr="009C62E5">
        <w:t xml:space="preserve">national </w:t>
      </w:r>
      <w:r w:rsidR="00A16D8F" w:rsidRPr="009C62E5">
        <w:t>weighted</w:t>
      </w:r>
      <w:r w:rsidR="00213B2C" w:rsidRPr="009C62E5">
        <w:t xml:space="preserve"> </w:t>
      </w:r>
      <w:r w:rsidR="00A16D8F" w:rsidRPr="009C62E5">
        <w:t>activity</w:t>
      </w:r>
      <w:r w:rsidR="00213B2C" w:rsidRPr="009C62E5">
        <w:t xml:space="preserve"> </w:t>
      </w:r>
      <w:r w:rsidR="00F1251E">
        <w:t xml:space="preserve">unit </w:t>
      </w:r>
      <w:r w:rsidR="00467778">
        <w:t xml:space="preserve">(NWAU) </w:t>
      </w:r>
      <w:r w:rsidR="00213B2C" w:rsidRPr="009C62E5">
        <w:t>data</w:t>
      </w:r>
      <w:r w:rsidR="006C07F1">
        <w:t xml:space="preserve"> </w:t>
      </w:r>
      <w:r w:rsidR="006C07F1" w:rsidRPr="009C62E5">
        <w:t>from the Independent Health and Aged Care Pricing Authority</w:t>
      </w:r>
      <w:r w:rsidR="00DE0BD5">
        <w:t>.</w:t>
      </w:r>
      <w:r w:rsidR="00AA7945">
        <w:t xml:space="preserve"> </w:t>
      </w:r>
      <w:r w:rsidR="009D1012">
        <w:t xml:space="preserve">The </w:t>
      </w:r>
      <w:r w:rsidR="009D1012" w:rsidRPr="009C62E5">
        <w:t>Independent Health and Aged Care Pricing Authority</w:t>
      </w:r>
      <w:r w:rsidR="002C5122" w:rsidRPr="002C5122">
        <w:t xml:space="preserve"> costs all hospital activity in Australia and expresses these costs as NWAUs.</w:t>
      </w:r>
    </w:p>
    <w:p w14:paraId="77A9845F" w14:textId="555E707D" w:rsidR="00676882" w:rsidRDefault="002C5122" w:rsidP="00676882">
      <w:pPr>
        <w:pStyle w:val="CGC2025Bullet1"/>
      </w:pPr>
      <w:r w:rsidRPr="002C5122">
        <w:t xml:space="preserve">A NWAU is a </w:t>
      </w:r>
      <w:r w:rsidR="00221B4E">
        <w:t xml:space="preserve">cost-weighted </w:t>
      </w:r>
      <w:r w:rsidRPr="002C5122">
        <w:t>measure of h</w:t>
      </w:r>
      <w:r w:rsidR="00152D3A">
        <w:t>ospital</w:t>
      </w:r>
      <w:r w:rsidRPr="002C5122">
        <w:t xml:space="preserve"> activity</w:t>
      </w:r>
      <w:r w:rsidR="00247B37">
        <w:t>. T</w:t>
      </w:r>
      <w:r w:rsidRPr="002C5122">
        <w:t xml:space="preserve">he average hospital service across Australia </w:t>
      </w:r>
      <w:r w:rsidR="00212BAE">
        <w:t xml:space="preserve">is </w:t>
      </w:r>
      <w:r w:rsidRPr="002C5122">
        <w:t>worth one NWAU</w:t>
      </w:r>
      <w:r w:rsidR="00EF21BE">
        <w:t>;</w:t>
      </w:r>
      <w:r w:rsidR="00212BAE">
        <w:t xml:space="preserve"> t</w:t>
      </w:r>
      <w:r w:rsidRPr="002C5122">
        <w:t>he most intensive, expensive and lengthy activities are worth multiple NWAUs</w:t>
      </w:r>
      <w:r w:rsidR="00EF21BE">
        <w:t>;</w:t>
      </w:r>
      <w:r w:rsidRPr="002C5122">
        <w:t xml:space="preserve"> </w:t>
      </w:r>
      <w:r w:rsidR="00FA07AF">
        <w:t xml:space="preserve">and </w:t>
      </w:r>
      <w:r w:rsidRPr="002C5122">
        <w:t xml:space="preserve">the simplest and least expensive are worth fractions of an NWAU. </w:t>
      </w:r>
    </w:p>
    <w:p w14:paraId="229FE665" w14:textId="2F5F890B" w:rsidR="00676882" w:rsidRDefault="002C5122" w:rsidP="00676882">
      <w:pPr>
        <w:pStyle w:val="CGC2025Bullet1"/>
      </w:pPr>
      <w:r w:rsidRPr="002C5122">
        <w:t xml:space="preserve">NWAU data reflect the </w:t>
      </w:r>
      <w:r w:rsidR="002C1AD3">
        <w:t xml:space="preserve">medical </w:t>
      </w:r>
      <w:r w:rsidRPr="002C5122">
        <w:t>cost of different procedures and other factors (</w:t>
      </w:r>
      <w:r w:rsidR="002C1AD3">
        <w:t xml:space="preserve">such as </w:t>
      </w:r>
      <w:r w:rsidRPr="002C5122">
        <w:t>patient remoteness and Indigenous status) that affect the overall cost of each hospital service.</w:t>
      </w:r>
      <w:r w:rsidR="00303CAE">
        <w:t xml:space="preserve"> </w:t>
      </w:r>
    </w:p>
    <w:p w14:paraId="170D1969" w14:textId="63DE29A5" w:rsidR="00F44D11" w:rsidRDefault="00467DD4" w:rsidP="00676882">
      <w:pPr>
        <w:pStyle w:val="CGC2025Bullet1"/>
      </w:pPr>
      <w:r>
        <w:t>NWAU</w:t>
      </w:r>
      <w:r w:rsidR="006540BC">
        <w:t xml:space="preserve"> data</w:t>
      </w:r>
      <w:r w:rsidR="000613B7" w:rsidRPr="000613B7">
        <w:t xml:space="preserve"> cover the activity of both activity</w:t>
      </w:r>
      <w:r w:rsidR="00354EC3">
        <w:t xml:space="preserve"> </w:t>
      </w:r>
      <w:r w:rsidR="000613B7" w:rsidRPr="000613B7">
        <w:t>base</w:t>
      </w:r>
      <w:r w:rsidR="0087109D">
        <w:t>d</w:t>
      </w:r>
      <w:r w:rsidR="000613B7" w:rsidRPr="000613B7">
        <w:t xml:space="preserve"> funded (ABF) hospitals and block</w:t>
      </w:r>
      <w:r w:rsidR="00793CFF">
        <w:t>-</w:t>
      </w:r>
      <w:r w:rsidR="000613B7" w:rsidRPr="000613B7">
        <w:t xml:space="preserve">funded hospitals, </w:t>
      </w:r>
      <w:r w:rsidR="0073598B">
        <w:t xml:space="preserve">with </w:t>
      </w:r>
      <w:r w:rsidR="00676882">
        <w:t xml:space="preserve">the latter </w:t>
      </w:r>
      <w:r w:rsidR="000613B7" w:rsidRPr="000613B7">
        <w:t>tend</w:t>
      </w:r>
      <w:r w:rsidR="0073598B">
        <w:t>ing</w:t>
      </w:r>
      <w:r w:rsidR="000613B7" w:rsidRPr="000613B7">
        <w:t xml:space="preserve"> to be small and more remote.</w:t>
      </w:r>
    </w:p>
    <w:p w14:paraId="542C529B" w14:textId="1E696437" w:rsidR="000E6778" w:rsidRDefault="009714C5">
      <w:pPr>
        <w:pStyle w:val="CGC2025ParaNumbers"/>
      </w:pPr>
      <w:r>
        <w:t xml:space="preserve">The public hospital </w:t>
      </w:r>
      <w:r w:rsidR="00B168CA">
        <w:t xml:space="preserve">assessments </w:t>
      </w:r>
      <w:r>
        <w:t>are based on NWAU</w:t>
      </w:r>
      <w:r w:rsidR="00B5329D">
        <w:t>s</w:t>
      </w:r>
      <w:r>
        <w:t xml:space="preserve"> specific to </w:t>
      </w:r>
      <w:r w:rsidR="001A2F35">
        <w:t>a</w:t>
      </w:r>
      <w:r w:rsidR="00103C5B">
        <w:t>dmitted patients, emergency dep</w:t>
      </w:r>
      <w:r>
        <w:t>artments and non-admitted patients</w:t>
      </w:r>
      <w:r w:rsidR="001A2F35">
        <w:t xml:space="preserve">. </w:t>
      </w:r>
      <w:r w:rsidR="009A11CD">
        <w:t xml:space="preserve">The NWAU data </w:t>
      </w:r>
      <w:r w:rsidR="00B33ACF">
        <w:t>are cross</w:t>
      </w:r>
      <w:r w:rsidR="001D1196">
        <w:noBreakHyphen/>
      </w:r>
      <w:r w:rsidR="00B33ACF">
        <w:t xml:space="preserve">classified by the </w:t>
      </w:r>
      <w:r w:rsidR="0061211A">
        <w:t>socio</w:t>
      </w:r>
      <w:r w:rsidR="0061211A">
        <w:noBreakHyphen/>
        <w:t>demographic</w:t>
      </w:r>
      <w:r w:rsidR="00B33ACF">
        <w:t xml:space="preserve"> groups in </w:t>
      </w:r>
      <w:r w:rsidR="00A3104B" w:rsidRPr="009C62E5">
        <w:fldChar w:fldCharType="begin"/>
      </w:r>
      <w:r w:rsidR="00A3104B" w:rsidRPr="009C62E5">
        <w:instrText xml:space="preserve"> REF _Ref169171311 \h </w:instrText>
      </w:r>
      <w:r w:rsidR="00A3104B">
        <w:instrText xml:space="preserve"> \* MERGEFORMAT </w:instrText>
      </w:r>
      <w:r w:rsidR="00A3104B" w:rsidRPr="009C62E5">
        <w:fldChar w:fldCharType="separate"/>
      </w:r>
      <w:r w:rsidR="00344599" w:rsidRPr="00C13123">
        <w:t xml:space="preserve">Table </w:t>
      </w:r>
      <w:r w:rsidR="00344599">
        <w:rPr>
          <w:noProof/>
        </w:rPr>
        <w:t>5</w:t>
      </w:r>
      <w:r w:rsidR="00A3104B" w:rsidRPr="009C62E5">
        <w:fldChar w:fldCharType="end"/>
      </w:r>
      <w:r w:rsidR="00A3104B" w:rsidRPr="009C62E5">
        <w:t>.</w:t>
      </w:r>
    </w:p>
    <w:p w14:paraId="5BFF1E2F" w14:textId="5F9C26BC" w:rsidR="00F70BEE" w:rsidRPr="00CE11F1" w:rsidRDefault="00F70BEE" w:rsidP="00CE11F1">
      <w:pPr>
        <w:pStyle w:val="Heading6"/>
      </w:pPr>
      <w:r w:rsidRPr="00CE11F1">
        <w:t>Indigenous status</w:t>
      </w:r>
      <w:r w:rsidR="009735E7" w:rsidRPr="00CE11F1">
        <w:t xml:space="preserve"> and socio-economic status</w:t>
      </w:r>
    </w:p>
    <w:p w14:paraId="01D2D7EE" w14:textId="2067C8E8" w:rsidR="00FB66D5" w:rsidRPr="00057772" w:rsidRDefault="2FBDC51D" w:rsidP="00057772">
      <w:pPr>
        <w:pStyle w:val="CGC2025ParaNumbers"/>
      </w:pPr>
      <w:r w:rsidRPr="00057772">
        <w:t xml:space="preserve">The health assessment recognises </w:t>
      </w:r>
      <w:r w:rsidR="1272068E" w:rsidRPr="00057772">
        <w:t xml:space="preserve">the </w:t>
      </w:r>
      <w:r w:rsidR="2A018A31" w:rsidRPr="00057772">
        <w:t>differences in</w:t>
      </w:r>
      <w:r w:rsidR="1272068E" w:rsidRPr="00057772">
        <w:t xml:space="preserve"> </w:t>
      </w:r>
      <w:r w:rsidR="026E6687" w:rsidRPr="00057772">
        <w:t xml:space="preserve">spending </w:t>
      </w:r>
      <w:r w:rsidR="2A6F179F" w:rsidRPr="00057772">
        <w:t xml:space="preserve">on </w:t>
      </w:r>
      <w:r w:rsidRPr="00057772">
        <w:t xml:space="preserve">First Nations and </w:t>
      </w:r>
      <w:r w:rsidR="3A3C0F40" w:rsidRPr="00057772">
        <w:t>non-Indigenous</w:t>
      </w:r>
      <w:r w:rsidRPr="00057772">
        <w:t xml:space="preserve"> </w:t>
      </w:r>
      <w:r w:rsidR="1272068E" w:rsidRPr="00057772">
        <w:t>people</w:t>
      </w:r>
      <w:r w:rsidR="1967FE89" w:rsidRPr="00057772">
        <w:t xml:space="preserve"> as well as differences </w:t>
      </w:r>
      <w:r w:rsidR="15CC6517" w:rsidRPr="00057772">
        <w:t xml:space="preserve">in spending on </w:t>
      </w:r>
      <w:r w:rsidR="00855479" w:rsidRPr="00057772">
        <w:t>people in areas with different socio</w:t>
      </w:r>
      <w:r w:rsidR="00855479" w:rsidRPr="00057772">
        <w:noBreakHyphen/>
        <w:t>economic status</w:t>
      </w:r>
      <w:r w:rsidR="70F4095B" w:rsidRPr="00057772">
        <w:t>.</w:t>
      </w:r>
      <w:r w:rsidR="3A3C0F40" w:rsidRPr="00057772">
        <w:t xml:space="preserve"> </w:t>
      </w:r>
      <w:r w:rsidR="5F8F1EBD" w:rsidRPr="00057772">
        <w:t xml:space="preserve">Two indicators of socio-economic status are </w:t>
      </w:r>
      <w:r w:rsidR="5F8F1EBD" w:rsidRPr="00057772">
        <w:lastRenderedPageBreak/>
        <w:t>used</w:t>
      </w:r>
      <w:r w:rsidR="008D76A3">
        <w:t> </w:t>
      </w:r>
      <w:r w:rsidR="5F8F1EBD" w:rsidRPr="00057772">
        <w:t>— the Indigenous Relative Socio</w:t>
      </w:r>
      <w:r w:rsidR="00FD3428">
        <w:t>e</w:t>
      </w:r>
      <w:r w:rsidR="5F8F1EBD" w:rsidRPr="00057772">
        <w:t>conomic Outcomes Index (IRSEO) and the Non</w:t>
      </w:r>
      <w:r w:rsidR="00A15F51">
        <w:noBreakHyphen/>
      </w:r>
      <w:r w:rsidR="5F8F1EBD" w:rsidRPr="00057772">
        <w:t>Indigenous Socio-Economic Indexes for Areas (NISEIFA)</w:t>
      </w:r>
      <w:r w:rsidR="746B55EB" w:rsidRPr="00057772">
        <w:t>.</w:t>
      </w:r>
      <w:r w:rsidR="002304D8" w:rsidRPr="00057772">
        <w:rPr>
          <w:rStyle w:val="FootnoteReference"/>
          <w:szCs w:val="24"/>
        </w:rPr>
        <w:footnoteReference w:id="5"/>
      </w:r>
    </w:p>
    <w:p w14:paraId="5878036C" w14:textId="2AB50129" w:rsidR="007B5B97" w:rsidRPr="00A6681E" w:rsidRDefault="00C2049D">
      <w:pPr>
        <w:pStyle w:val="CGC2025ParaNumbers"/>
      </w:pPr>
      <w:r>
        <w:t>Figure 2</w:t>
      </w:r>
      <w:r w:rsidR="00A85B94">
        <w:t xml:space="preserve"> </w:t>
      </w:r>
      <w:r w:rsidR="00ED7FDE" w:rsidRPr="00A6681E">
        <w:t>shows that spending on health services varies for First Nations and non</w:t>
      </w:r>
      <w:r w:rsidR="00954B16" w:rsidRPr="00A6681E">
        <w:noBreakHyphen/>
      </w:r>
      <w:r w:rsidR="00ED7FDE" w:rsidRPr="00A6681E">
        <w:t xml:space="preserve">Indigenous people by socio-economic status across the </w:t>
      </w:r>
      <w:r w:rsidR="000875DB" w:rsidRPr="00A6681E">
        <w:t>3</w:t>
      </w:r>
      <w:r w:rsidR="00ED7FDE" w:rsidRPr="00A6681E">
        <w:t xml:space="preserve"> components. </w:t>
      </w:r>
    </w:p>
    <w:p w14:paraId="6D91270B" w14:textId="3EB496F0" w:rsidR="00125D3E" w:rsidRPr="0040121C" w:rsidRDefault="009071A6" w:rsidP="0047137D">
      <w:pPr>
        <w:pStyle w:val="CGC2025Caption"/>
        <w:ind w:left="1418" w:hanging="1418"/>
        <w:rPr>
          <w:bCs/>
        </w:rPr>
      </w:pPr>
      <w:bookmarkStart w:id="13" w:name="_Ref171516594"/>
      <w:r w:rsidRPr="00A6681E">
        <w:rPr>
          <w:bCs/>
        </w:rPr>
        <w:t xml:space="preserve">Figure </w:t>
      </w:r>
      <w:bookmarkEnd w:id="13"/>
      <w:r w:rsidR="008D76A3">
        <w:rPr>
          <w:bCs/>
        </w:rPr>
        <w:t>2</w:t>
      </w:r>
      <w:r w:rsidR="00CE6088" w:rsidRPr="00A6681E">
        <w:rPr>
          <w:bCs/>
        </w:rPr>
        <w:t xml:space="preserve"> </w:t>
      </w:r>
      <w:r w:rsidR="00125D3E" w:rsidRPr="00A6681E">
        <w:rPr>
          <w:bCs/>
        </w:rPr>
        <w:tab/>
      </w:r>
      <w:r w:rsidR="00525731" w:rsidRPr="00A6681E">
        <w:rPr>
          <w:bCs/>
        </w:rPr>
        <w:t>Public hospital e</w:t>
      </w:r>
      <w:r w:rsidR="001F5E93" w:rsidRPr="00A6681E">
        <w:rPr>
          <w:bCs/>
        </w:rPr>
        <w:t>xpense</w:t>
      </w:r>
      <w:r w:rsidR="006D3F0F">
        <w:rPr>
          <w:bCs/>
        </w:rPr>
        <w:t>s</w:t>
      </w:r>
      <w:r w:rsidR="001F5E93" w:rsidRPr="00A6681E">
        <w:rPr>
          <w:bCs/>
        </w:rPr>
        <w:t xml:space="preserve"> per capita by socio-economic and Indigenous status</w:t>
      </w:r>
      <w:r w:rsidR="00547A7E" w:rsidRPr="00A6681E">
        <w:rPr>
          <w:bCs/>
        </w:rPr>
        <w:t>, 2022</w:t>
      </w:r>
      <w:r w:rsidR="00E25980">
        <w:rPr>
          <w:bCs/>
        </w:rPr>
        <w:t>–</w:t>
      </w:r>
      <w:r w:rsidR="00547A7E" w:rsidRPr="00A6681E">
        <w:rPr>
          <w:bCs/>
        </w:rPr>
        <w:t>23</w:t>
      </w:r>
    </w:p>
    <w:p w14:paraId="5C3428EC" w14:textId="67CD6F16" w:rsidR="00234AFB" w:rsidRDefault="00747BB5" w:rsidP="00B979A6">
      <w:pPr>
        <w:pStyle w:val="CGC2025Caption"/>
      </w:pPr>
      <w:r w:rsidRPr="00747BB5">
        <w:rPr>
          <w:noProof/>
        </w:rPr>
        <w:drawing>
          <wp:inline distT="0" distB="0" distL="0" distR="0" wp14:anchorId="4F2B93CE" wp14:editId="095E756C">
            <wp:extent cx="5731510" cy="2598420"/>
            <wp:effectExtent l="0" t="0" r="2540" b="0"/>
            <wp:docPr id="117724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46133" name=""/>
                    <pic:cNvPicPr/>
                  </pic:nvPicPr>
                  <pic:blipFill>
                    <a:blip r:embed="rId9"/>
                    <a:stretch>
                      <a:fillRect/>
                    </a:stretch>
                  </pic:blipFill>
                  <pic:spPr>
                    <a:xfrm>
                      <a:off x="0" y="0"/>
                      <a:ext cx="5731510" cy="2598420"/>
                    </a:xfrm>
                    <a:prstGeom prst="rect">
                      <a:avLst/>
                    </a:prstGeom>
                  </pic:spPr>
                </pic:pic>
              </a:graphicData>
            </a:graphic>
          </wp:inline>
        </w:drawing>
      </w:r>
    </w:p>
    <w:p w14:paraId="39BEA6E4" w14:textId="25B7553E" w:rsidR="00693F4F" w:rsidRDefault="00693F4F" w:rsidP="00CD610C">
      <w:pPr>
        <w:pStyle w:val="CGC2025TableNote"/>
        <w:ind w:left="709" w:hanging="596"/>
      </w:pPr>
      <w:r>
        <w:t>Note:</w:t>
      </w:r>
      <w:r>
        <w:tab/>
      </w:r>
      <w:r w:rsidR="0032552A">
        <w:tab/>
      </w:r>
      <w:r w:rsidR="0085299A">
        <w:t xml:space="preserve">Excludes remote </w:t>
      </w:r>
      <w:r w:rsidR="00464D9E">
        <w:t xml:space="preserve">areas </w:t>
      </w:r>
      <w:r w:rsidR="0085299A">
        <w:t xml:space="preserve">as </w:t>
      </w:r>
      <w:r w:rsidR="00B9696A" w:rsidRPr="00B9696A">
        <w:t>the population in remote and very remote regions are not disaggregated by socio-economic status</w:t>
      </w:r>
      <w:r w:rsidR="00464D9E">
        <w:t>.</w:t>
      </w:r>
    </w:p>
    <w:p w14:paraId="65B0EAEE" w14:textId="198D14FA" w:rsidR="001F5E93" w:rsidRDefault="00693F4F" w:rsidP="00CD610C">
      <w:pPr>
        <w:pStyle w:val="CGC2025TableNote"/>
        <w:ind w:left="709" w:hanging="596"/>
      </w:pPr>
      <w:r>
        <w:t>S</w:t>
      </w:r>
      <w:r w:rsidR="001F5E93">
        <w:t xml:space="preserve">ource: </w:t>
      </w:r>
      <w:r w:rsidR="00B469F5">
        <w:tab/>
      </w:r>
      <w:r w:rsidR="001F5E93">
        <w:t xml:space="preserve">Commission calculation using </w:t>
      </w:r>
      <w:r w:rsidR="00022234" w:rsidRPr="009C62E5">
        <w:t>I</w:t>
      </w:r>
      <w:r w:rsidR="00022234">
        <w:t xml:space="preserve">HACPA </w:t>
      </w:r>
      <w:r w:rsidR="0032552A">
        <w:t xml:space="preserve">unpublished </w:t>
      </w:r>
      <w:r w:rsidR="00022234">
        <w:t xml:space="preserve">national weighted activity unit data </w:t>
      </w:r>
      <w:r w:rsidR="00425824">
        <w:t xml:space="preserve">and ABS </w:t>
      </w:r>
      <w:r w:rsidR="0032552A">
        <w:t xml:space="preserve">unpublished </w:t>
      </w:r>
      <w:r w:rsidR="001F5E93">
        <w:t>GFS expenses and population data.</w:t>
      </w:r>
    </w:p>
    <w:p w14:paraId="0B7E4065" w14:textId="7E3C73C2" w:rsidR="001A0161" w:rsidRPr="00060941" w:rsidRDefault="00C9269C" w:rsidP="00CE11F1">
      <w:pPr>
        <w:pStyle w:val="Heading6"/>
      </w:pPr>
      <w:r w:rsidRPr="00060941">
        <w:t>Remoteness</w:t>
      </w:r>
      <w:r w:rsidR="00F63E28" w:rsidRPr="00060941">
        <w:t xml:space="preserve"> </w:t>
      </w:r>
    </w:p>
    <w:p w14:paraId="2B94ABDA" w14:textId="043A63C6" w:rsidR="009373BD" w:rsidRDefault="005C6E0C" w:rsidP="009373BD">
      <w:pPr>
        <w:pStyle w:val="CGC2025ParaNumbers"/>
      </w:pPr>
      <w:r>
        <w:t>D</w:t>
      </w:r>
      <w:r w:rsidR="00DE3EB9">
        <w:t xml:space="preserve">ifferences in the </w:t>
      </w:r>
      <w:r w:rsidR="005121D3">
        <w:t xml:space="preserve">use and </w:t>
      </w:r>
      <w:r w:rsidR="00112F79">
        <w:t>cost</w:t>
      </w:r>
      <w:r w:rsidR="00DE3EB9">
        <w:t xml:space="preserve"> of providing services </w:t>
      </w:r>
      <w:r w:rsidR="00E937A8">
        <w:t xml:space="preserve">by remoteness </w:t>
      </w:r>
      <w:r w:rsidR="00DE3EB9">
        <w:t xml:space="preserve">regions affect </w:t>
      </w:r>
      <w:r w:rsidR="00112F79">
        <w:t>state expenses.</w:t>
      </w:r>
      <w:r w:rsidR="00890951">
        <w:t xml:space="preserve"> </w:t>
      </w:r>
      <w:r w:rsidR="009373BD">
        <w:t xml:space="preserve">The </w:t>
      </w:r>
      <w:r w:rsidR="00F962C6">
        <w:t>NWAU</w:t>
      </w:r>
      <w:r w:rsidR="00C074AE">
        <w:t xml:space="preserve"> </w:t>
      </w:r>
      <w:r w:rsidR="009373BD">
        <w:t xml:space="preserve">data include remoteness adjustments for patients living in outer regional and remote areas, and hospital treatment adjustments to reflect the additional cost to provide services in remote and very remote locations. </w:t>
      </w:r>
    </w:p>
    <w:p w14:paraId="79787CCE" w14:textId="0919EC4D" w:rsidR="00BC6E7E" w:rsidRDefault="00C2049D" w:rsidP="00BC6E7E">
      <w:pPr>
        <w:pStyle w:val="CGC2025ParaNumbers"/>
      </w:pPr>
      <w:r>
        <w:t>Figure 3</w:t>
      </w:r>
      <w:r w:rsidR="00C074AE">
        <w:t xml:space="preserve"> </w:t>
      </w:r>
      <w:r w:rsidR="00E644BB">
        <w:t xml:space="preserve">shows that </w:t>
      </w:r>
      <w:r w:rsidR="00890951">
        <w:t>spending</w:t>
      </w:r>
      <w:r w:rsidR="00CB5F69">
        <w:t xml:space="preserve"> per capita </w:t>
      </w:r>
      <w:r w:rsidR="007C27C2">
        <w:t xml:space="preserve">on people </w:t>
      </w:r>
      <w:r w:rsidR="001B45BD">
        <w:t xml:space="preserve">living in </w:t>
      </w:r>
      <w:r w:rsidR="00C24301">
        <w:t xml:space="preserve">remote and very remote </w:t>
      </w:r>
      <w:r w:rsidR="00BF13D3">
        <w:t>areas</w:t>
      </w:r>
      <w:r w:rsidR="00C24301">
        <w:t xml:space="preserve"> </w:t>
      </w:r>
      <w:r w:rsidR="00254CC4">
        <w:t xml:space="preserve">is </w:t>
      </w:r>
      <w:r w:rsidR="00121461">
        <w:t>significantly higher than</w:t>
      </w:r>
      <w:r w:rsidR="0056583E">
        <w:t xml:space="preserve"> </w:t>
      </w:r>
      <w:r w:rsidR="008E46C7">
        <w:t xml:space="preserve">spending </w:t>
      </w:r>
      <w:r w:rsidR="00C4219C">
        <w:t xml:space="preserve">per capita </w:t>
      </w:r>
      <w:r w:rsidR="00F07BB6">
        <w:t xml:space="preserve">on people </w:t>
      </w:r>
      <w:r w:rsidR="00EA5DC1">
        <w:t>in major cities.</w:t>
      </w:r>
      <w:r w:rsidR="0051622F">
        <w:t xml:space="preserve"> This </w:t>
      </w:r>
      <w:r w:rsidR="001A20CC">
        <w:t>is due to a mix of factors</w:t>
      </w:r>
      <w:r w:rsidR="00315711">
        <w:t xml:space="preserve">, </w:t>
      </w:r>
      <w:r w:rsidR="00A84554">
        <w:t xml:space="preserve">such as </w:t>
      </w:r>
      <w:r w:rsidR="00327E01">
        <w:t>more remote patients having po</w:t>
      </w:r>
      <w:r w:rsidR="007674C3">
        <w:t>o</w:t>
      </w:r>
      <w:r w:rsidR="00327E01">
        <w:t>rer health</w:t>
      </w:r>
      <w:r w:rsidR="007674C3">
        <w:t xml:space="preserve"> and thus </w:t>
      </w:r>
      <w:r w:rsidR="00BE535B">
        <w:t xml:space="preserve">greater </w:t>
      </w:r>
      <w:r w:rsidR="009561C3">
        <w:t>us</w:t>
      </w:r>
      <w:r w:rsidR="00BE535B">
        <w:t>e</w:t>
      </w:r>
      <w:r w:rsidR="002A0B80">
        <w:t xml:space="preserve"> of</w:t>
      </w:r>
      <w:r w:rsidR="009561C3">
        <w:t xml:space="preserve"> health services,</w:t>
      </w:r>
      <w:r w:rsidR="007674C3">
        <w:t xml:space="preserve"> the higher costs </w:t>
      </w:r>
      <w:r w:rsidR="009561C3">
        <w:t xml:space="preserve">of providing services </w:t>
      </w:r>
      <w:r w:rsidR="007674C3">
        <w:t>in</w:t>
      </w:r>
      <w:r w:rsidR="00D41438">
        <w:t xml:space="preserve"> more remote areas, and</w:t>
      </w:r>
      <w:r w:rsidR="00FA31BC">
        <w:t xml:space="preserve"> </w:t>
      </w:r>
      <w:r w:rsidR="00AF6F55">
        <w:t xml:space="preserve">lack of </w:t>
      </w:r>
      <w:r w:rsidR="0001034F">
        <w:t>non</w:t>
      </w:r>
      <w:r w:rsidR="00E900B5">
        <w:noBreakHyphen/>
        <w:t>state funded health services in more remote area</w:t>
      </w:r>
      <w:r w:rsidR="003828BA">
        <w:t>s</w:t>
      </w:r>
      <w:r w:rsidR="00CB275B">
        <w:t>.</w:t>
      </w:r>
    </w:p>
    <w:p w14:paraId="07335A11" w14:textId="21226E40" w:rsidR="00A2512B" w:rsidRDefault="00A2512B" w:rsidP="003C2A7C">
      <w:pPr>
        <w:pStyle w:val="CGC2025Caption"/>
        <w:keepNext/>
      </w:pPr>
      <w:bookmarkStart w:id="14" w:name="_Ref172700604"/>
      <w:r>
        <w:lastRenderedPageBreak/>
        <w:t xml:space="preserve">Figure </w:t>
      </w:r>
      <w:bookmarkEnd w:id="14"/>
      <w:r w:rsidR="003149B6">
        <w:t>3</w:t>
      </w:r>
      <w:r>
        <w:tab/>
      </w:r>
      <w:r w:rsidR="00525731">
        <w:t>Public hospital e</w:t>
      </w:r>
      <w:r>
        <w:t>xpense</w:t>
      </w:r>
      <w:r w:rsidR="00891D46">
        <w:t>s</w:t>
      </w:r>
      <w:r>
        <w:t xml:space="preserve"> per capita by remoteness, 2022</w:t>
      </w:r>
      <w:r w:rsidR="0006004A">
        <w:t>–</w:t>
      </w:r>
      <w:r>
        <w:t>23</w:t>
      </w:r>
    </w:p>
    <w:p w14:paraId="71B3B721" w14:textId="05C9F3F8" w:rsidR="00E05FBA" w:rsidRDefault="00E35CAB" w:rsidP="00E05FBA">
      <w:pPr>
        <w:pStyle w:val="NoSpacing"/>
      </w:pPr>
      <w:r w:rsidRPr="00E35CAB">
        <w:rPr>
          <w:noProof/>
        </w:rPr>
        <w:drawing>
          <wp:inline distT="0" distB="0" distL="0" distR="0" wp14:anchorId="2FA11955" wp14:editId="06076EF5">
            <wp:extent cx="5731510" cy="2846705"/>
            <wp:effectExtent l="0" t="0" r="2540" b="0"/>
            <wp:docPr id="866110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10360" name=""/>
                    <pic:cNvPicPr/>
                  </pic:nvPicPr>
                  <pic:blipFill>
                    <a:blip r:embed="rId10"/>
                    <a:stretch>
                      <a:fillRect/>
                    </a:stretch>
                  </pic:blipFill>
                  <pic:spPr>
                    <a:xfrm>
                      <a:off x="0" y="0"/>
                      <a:ext cx="5731510" cy="2846705"/>
                    </a:xfrm>
                    <a:prstGeom prst="rect">
                      <a:avLst/>
                    </a:prstGeom>
                  </pic:spPr>
                </pic:pic>
              </a:graphicData>
            </a:graphic>
          </wp:inline>
        </w:drawing>
      </w:r>
    </w:p>
    <w:p w14:paraId="7D7882E0" w14:textId="1714D162" w:rsidR="00A2512B" w:rsidRPr="00A2512B" w:rsidRDefault="00695757" w:rsidP="00804409">
      <w:pPr>
        <w:pStyle w:val="CGC2025TableNote"/>
        <w:ind w:left="709" w:hanging="596"/>
      </w:pPr>
      <w:r>
        <w:t xml:space="preserve">Source: </w:t>
      </w:r>
      <w:r>
        <w:tab/>
        <w:t xml:space="preserve">Commission calculation using </w:t>
      </w:r>
      <w:r w:rsidRPr="009C62E5">
        <w:t>I</w:t>
      </w:r>
      <w:r>
        <w:t xml:space="preserve">HACPA </w:t>
      </w:r>
      <w:r w:rsidR="006F182C">
        <w:t xml:space="preserve">unpublished </w:t>
      </w:r>
      <w:r>
        <w:t xml:space="preserve">national weighted activity unit data and ABS </w:t>
      </w:r>
      <w:r w:rsidR="006F182C">
        <w:t xml:space="preserve">unpublished </w:t>
      </w:r>
      <w:r>
        <w:t>GFS expenses and population data.</w:t>
      </w:r>
    </w:p>
    <w:p w14:paraId="4F0151F1" w14:textId="577FB4DF" w:rsidR="005C05E8" w:rsidRPr="00C67B9F" w:rsidRDefault="005C05E8" w:rsidP="00CE11F1">
      <w:pPr>
        <w:pStyle w:val="Heading6"/>
      </w:pPr>
      <w:r w:rsidRPr="00E54EF9">
        <w:t>Service delivery scale</w:t>
      </w:r>
    </w:p>
    <w:p w14:paraId="2EA70E3A" w14:textId="138B2C8D" w:rsidR="00080349" w:rsidRDefault="00B631B5" w:rsidP="0081204C">
      <w:pPr>
        <w:pStyle w:val="CGC2025ParaNumbers"/>
      </w:pPr>
      <w:r>
        <w:t xml:space="preserve">States face higher </w:t>
      </w:r>
      <w:r w:rsidR="002E44E9">
        <w:t>service delivery costs in regions where the small size and dispersed nature of communities lead to above</w:t>
      </w:r>
      <w:r w:rsidR="002C2113">
        <w:t>-</w:t>
      </w:r>
      <w:r w:rsidR="002E44E9">
        <w:t>average staffing ratios</w:t>
      </w:r>
      <w:r w:rsidR="00110063">
        <w:t>.</w:t>
      </w:r>
      <w:r w:rsidR="001B2224">
        <w:t xml:space="preserve"> </w:t>
      </w:r>
      <w:r w:rsidR="00354EC3">
        <w:t xml:space="preserve">While </w:t>
      </w:r>
      <w:r w:rsidR="005C3495">
        <w:t xml:space="preserve">NWAU </w:t>
      </w:r>
      <w:r w:rsidR="00354EC3">
        <w:t xml:space="preserve">data for </w:t>
      </w:r>
      <w:r w:rsidR="00495E2E" w:rsidRPr="000613B7">
        <w:t>activity</w:t>
      </w:r>
      <w:r w:rsidR="00495E2E">
        <w:t xml:space="preserve"> </w:t>
      </w:r>
      <w:r w:rsidR="00495E2E" w:rsidRPr="000613B7">
        <w:t>base</w:t>
      </w:r>
      <w:r w:rsidR="006A7B69">
        <w:t>d</w:t>
      </w:r>
      <w:r w:rsidR="00495E2E" w:rsidRPr="000613B7">
        <w:t xml:space="preserve"> funded </w:t>
      </w:r>
      <w:r w:rsidR="00495E2E">
        <w:t xml:space="preserve">hospitals </w:t>
      </w:r>
      <w:r w:rsidR="00080349">
        <w:t xml:space="preserve">capture all </w:t>
      </w:r>
      <w:r w:rsidR="00A3662E">
        <w:t xml:space="preserve">regional </w:t>
      </w:r>
      <w:r w:rsidR="00080349">
        <w:t xml:space="preserve">costs for larger hospitals, </w:t>
      </w:r>
      <w:r w:rsidR="005C3495">
        <w:t>NWAU</w:t>
      </w:r>
      <w:r w:rsidR="00C35E97">
        <w:t xml:space="preserve"> </w:t>
      </w:r>
      <w:r w:rsidR="00080349">
        <w:t xml:space="preserve">data for </w:t>
      </w:r>
      <w:r w:rsidR="000747DB">
        <w:t>block</w:t>
      </w:r>
      <w:r w:rsidR="00FA1591">
        <w:t>-</w:t>
      </w:r>
      <w:r w:rsidR="000747DB">
        <w:t xml:space="preserve">funded </w:t>
      </w:r>
      <w:r w:rsidR="00080349">
        <w:t xml:space="preserve">hospitals </w:t>
      </w:r>
      <w:r w:rsidR="0081204C">
        <w:t xml:space="preserve">are </w:t>
      </w:r>
      <w:r w:rsidR="0081204C" w:rsidRPr="0081204C">
        <w:t xml:space="preserve">adjusted </w:t>
      </w:r>
      <w:r w:rsidR="00A76986">
        <w:t xml:space="preserve">by the Commission </w:t>
      </w:r>
      <w:r w:rsidR="0081204C" w:rsidRPr="0081204C">
        <w:t xml:space="preserve">to capture service delivery scale costs not reflected in </w:t>
      </w:r>
      <w:r w:rsidR="0081204C">
        <w:t>block</w:t>
      </w:r>
      <w:r w:rsidR="00FA1591">
        <w:t>-</w:t>
      </w:r>
      <w:r w:rsidR="0081204C">
        <w:t xml:space="preserve">funded </w:t>
      </w:r>
      <w:r w:rsidR="001A2850">
        <w:t>NWAU</w:t>
      </w:r>
      <w:r w:rsidR="00157BA3" w:rsidRPr="0081204C">
        <w:t xml:space="preserve"> </w:t>
      </w:r>
      <w:r w:rsidR="0081204C" w:rsidRPr="0081204C">
        <w:t>data</w:t>
      </w:r>
      <w:r w:rsidR="0081204C">
        <w:t>.</w:t>
      </w:r>
      <w:r w:rsidR="00D732AE" w:rsidRPr="005C098B">
        <w:rPr>
          <w:rStyle w:val="FootnoteReference"/>
        </w:rPr>
        <w:footnoteReference w:id="6"/>
      </w:r>
    </w:p>
    <w:p w14:paraId="416AEA75" w14:textId="3A6B3358" w:rsidR="00570EC0" w:rsidRDefault="00C2049D" w:rsidP="00134475">
      <w:pPr>
        <w:pStyle w:val="CGC2025ParaNumbers"/>
      </w:pPr>
      <w:r>
        <w:t>Table 6</w:t>
      </w:r>
      <w:r w:rsidR="00BE59BE">
        <w:t xml:space="preserve"> </w:t>
      </w:r>
      <w:r w:rsidR="0052313A">
        <w:t xml:space="preserve">shows the estimated cost of </w:t>
      </w:r>
      <w:r w:rsidR="00056285">
        <w:t>block</w:t>
      </w:r>
      <w:r w:rsidR="002E425C">
        <w:t>-</w:t>
      </w:r>
      <w:r w:rsidR="00056285">
        <w:t xml:space="preserve">funded </w:t>
      </w:r>
      <w:r w:rsidR="0052313A">
        <w:t xml:space="preserve">hospitals </w:t>
      </w:r>
      <w:r w:rsidR="00926EF0">
        <w:t xml:space="preserve">based on </w:t>
      </w:r>
      <w:r w:rsidR="005E5C8E">
        <w:t>activity</w:t>
      </w:r>
      <w:r w:rsidR="00E94E59">
        <w:t xml:space="preserve"> </w:t>
      </w:r>
      <w:r w:rsidR="00304794">
        <w:t xml:space="preserve">based </w:t>
      </w:r>
      <w:r w:rsidR="00811023">
        <w:t>fund</w:t>
      </w:r>
      <w:r w:rsidR="00304794">
        <w:t>ing</w:t>
      </w:r>
      <w:r w:rsidR="00811023">
        <w:t xml:space="preserve"> </w:t>
      </w:r>
      <w:r w:rsidR="005E5C8E">
        <w:t>and block</w:t>
      </w:r>
      <w:r w:rsidR="00206FDE">
        <w:t>-</w:t>
      </w:r>
      <w:r w:rsidR="005E5C8E">
        <w:t>fund</w:t>
      </w:r>
      <w:r w:rsidR="00364BFB">
        <w:t>ing</w:t>
      </w:r>
      <w:r w:rsidR="005E5C8E">
        <w:t xml:space="preserve"> </w:t>
      </w:r>
      <w:r w:rsidR="0052313A">
        <w:t>arrangements for 20</w:t>
      </w:r>
      <w:r w:rsidR="004C0A62">
        <w:t>22</w:t>
      </w:r>
      <w:r w:rsidR="002C2113">
        <w:t>–</w:t>
      </w:r>
      <w:r w:rsidR="004C0A62">
        <w:t>23</w:t>
      </w:r>
      <w:r w:rsidR="0052313A">
        <w:t>.</w:t>
      </w:r>
      <w:r w:rsidR="004C0A62">
        <w:t xml:space="preserve"> </w:t>
      </w:r>
      <w:r w:rsidR="0052313A">
        <w:t xml:space="preserve">The ratio </w:t>
      </w:r>
      <w:r w:rsidR="005B540D">
        <w:t>of block funded to activity</w:t>
      </w:r>
      <w:r w:rsidR="00E94E59">
        <w:t xml:space="preserve"> </w:t>
      </w:r>
      <w:r w:rsidR="00577D0E">
        <w:t>base</w:t>
      </w:r>
      <w:r w:rsidR="00304794">
        <w:t>d</w:t>
      </w:r>
      <w:r w:rsidR="00577D0E">
        <w:t xml:space="preserve"> fund</w:t>
      </w:r>
      <w:r w:rsidR="00304794">
        <w:t xml:space="preserve">ing </w:t>
      </w:r>
      <w:r w:rsidR="0052313A">
        <w:t xml:space="preserve">provides the basis for the </w:t>
      </w:r>
      <w:r w:rsidR="000C5910">
        <w:t>service delivery scale ad</w:t>
      </w:r>
      <w:r w:rsidR="0052313A">
        <w:t>justments</w:t>
      </w:r>
      <w:r w:rsidR="00774798">
        <w:t xml:space="preserve">. </w:t>
      </w:r>
    </w:p>
    <w:p w14:paraId="59FF15E1" w14:textId="47B774FA" w:rsidR="00575AF2" w:rsidRPr="00762895" w:rsidRDefault="00575AF2" w:rsidP="000767BB">
      <w:pPr>
        <w:pStyle w:val="CGC2025Caption"/>
        <w:ind w:left="1418" w:hanging="1418"/>
        <w:rPr>
          <w:bCs/>
        </w:rPr>
      </w:pPr>
      <w:bookmarkStart w:id="15" w:name="_Ref172195621"/>
      <w:r w:rsidRPr="00762895">
        <w:rPr>
          <w:bCs/>
        </w:rPr>
        <w:t xml:space="preserve">Table </w:t>
      </w:r>
      <w:bookmarkEnd w:id="15"/>
      <w:r w:rsidR="003149B6">
        <w:rPr>
          <w:bCs/>
        </w:rPr>
        <w:t>6</w:t>
      </w:r>
      <w:r w:rsidRPr="00762895">
        <w:rPr>
          <w:bCs/>
        </w:rPr>
        <w:tab/>
      </w:r>
      <w:r w:rsidR="00D67FD0" w:rsidRPr="00762895">
        <w:rPr>
          <w:bCs/>
        </w:rPr>
        <w:t xml:space="preserve">Block funded adjustment factors for </w:t>
      </w:r>
      <w:r w:rsidR="00D44D6A" w:rsidRPr="00762895">
        <w:rPr>
          <w:bCs/>
        </w:rPr>
        <w:t xml:space="preserve">estimating </w:t>
      </w:r>
      <w:r w:rsidR="00D67FD0" w:rsidRPr="00762895">
        <w:rPr>
          <w:bCs/>
        </w:rPr>
        <w:t>s</w:t>
      </w:r>
      <w:r w:rsidRPr="00762895">
        <w:rPr>
          <w:bCs/>
        </w:rPr>
        <w:t>ervice delivery scale</w:t>
      </w:r>
      <w:r w:rsidR="00E1762F" w:rsidRPr="00762895">
        <w:rPr>
          <w:bCs/>
        </w:rPr>
        <w:t>, 202</w:t>
      </w:r>
      <w:r w:rsidR="004E581A" w:rsidRPr="00762895">
        <w:rPr>
          <w:bCs/>
        </w:rPr>
        <w:t>2</w:t>
      </w:r>
      <w:r w:rsidR="006202A7">
        <w:rPr>
          <w:bCs/>
        </w:rPr>
        <w:t>–</w:t>
      </w:r>
      <w:r w:rsidR="004E581A" w:rsidRPr="00762895">
        <w:rPr>
          <w:bCs/>
        </w:rPr>
        <w:t>23</w:t>
      </w:r>
    </w:p>
    <w:tbl>
      <w:tblPr>
        <w:tblW w:w="8931" w:type="dxa"/>
        <w:tblLook w:val="04A0" w:firstRow="1" w:lastRow="0" w:firstColumn="1" w:lastColumn="0" w:noHBand="0" w:noVBand="1"/>
      </w:tblPr>
      <w:tblGrid>
        <w:gridCol w:w="3940"/>
        <w:gridCol w:w="1600"/>
        <w:gridCol w:w="1600"/>
        <w:gridCol w:w="1791"/>
      </w:tblGrid>
      <w:tr w:rsidR="00F30FE3" w:rsidRPr="00F30FE3" w14:paraId="78A94ECF" w14:textId="77777777" w:rsidTr="00640BE4">
        <w:trPr>
          <w:trHeight w:val="550"/>
        </w:trPr>
        <w:tc>
          <w:tcPr>
            <w:tcW w:w="3940" w:type="dxa"/>
            <w:tcBorders>
              <w:top w:val="nil"/>
              <w:left w:val="nil"/>
              <w:bottom w:val="nil"/>
              <w:right w:val="nil"/>
            </w:tcBorders>
            <w:shd w:val="clear" w:color="000000" w:fill="006991"/>
            <w:vAlign w:val="center"/>
            <w:hideMark/>
          </w:tcPr>
          <w:p w14:paraId="48E6E68B" w14:textId="77777777" w:rsidR="00F30FE3" w:rsidRPr="00F30FE3" w:rsidRDefault="00F30FE3" w:rsidP="00F30FE3">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F30FE3">
              <w:rPr>
                <w:rFonts w:ascii="Open Sans Semibold" w:eastAsia="Times New Roman" w:hAnsi="Open Sans Semibold" w:cs="Open Sans Semibold"/>
                <w:color w:val="FFFFFF"/>
                <w:sz w:val="16"/>
                <w:szCs w:val="16"/>
                <w:lang w:eastAsia="en-AU"/>
              </w:rPr>
              <w:t>Hospital remoteness</w:t>
            </w:r>
          </w:p>
        </w:tc>
        <w:tc>
          <w:tcPr>
            <w:tcW w:w="1600" w:type="dxa"/>
            <w:tcBorders>
              <w:top w:val="nil"/>
              <w:left w:val="nil"/>
              <w:bottom w:val="nil"/>
              <w:right w:val="nil"/>
            </w:tcBorders>
            <w:shd w:val="clear" w:color="000000" w:fill="006991"/>
            <w:vAlign w:val="center"/>
            <w:hideMark/>
          </w:tcPr>
          <w:p w14:paraId="5D27501D" w14:textId="36E4B850" w:rsidR="00F30FE3" w:rsidRPr="00F30FE3" w:rsidRDefault="00F30FE3" w:rsidP="00F30FE3">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0FE3">
              <w:rPr>
                <w:rFonts w:ascii="Open Sans Semibold" w:eastAsia="Times New Roman" w:hAnsi="Open Sans Semibold" w:cs="Open Sans Semibold"/>
                <w:color w:val="FFFFFF"/>
                <w:sz w:val="16"/>
                <w:szCs w:val="16"/>
                <w:lang w:eastAsia="en-AU"/>
              </w:rPr>
              <w:t>A</w:t>
            </w:r>
            <w:r w:rsidR="002D001C">
              <w:rPr>
                <w:rFonts w:ascii="Open Sans Semibold" w:eastAsia="Times New Roman" w:hAnsi="Open Sans Semibold" w:cs="Open Sans Semibold"/>
                <w:color w:val="FFFFFF"/>
                <w:sz w:val="16"/>
                <w:szCs w:val="16"/>
                <w:lang w:eastAsia="en-AU"/>
              </w:rPr>
              <w:t>ctivity</w:t>
            </w:r>
            <w:r w:rsidR="00E94E59">
              <w:rPr>
                <w:rFonts w:ascii="Open Sans Semibold" w:eastAsia="Times New Roman" w:hAnsi="Open Sans Semibold" w:cs="Open Sans Semibold"/>
                <w:color w:val="FFFFFF"/>
                <w:sz w:val="16"/>
                <w:szCs w:val="16"/>
                <w:lang w:eastAsia="en-AU"/>
              </w:rPr>
              <w:t xml:space="preserve"> </w:t>
            </w:r>
            <w:r w:rsidR="002D001C">
              <w:rPr>
                <w:rFonts w:ascii="Open Sans Semibold" w:eastAsia="Times New Roman" w:hAnsi="Open Sans Semibold" w:cs="Open Sans Semibold"/>
                <w:color w:val="FFFFFF"/>
                <w:sz w:val="16"/>
                <w:szCs w:val="16"/>
                <w:lang w:eastAsia="en-AU"/>
              </w:rPr>
              <w:t>based</w:t>
            </w:r>
            <w:r w:rsidRPr="00F30FE3">
              <w:rPr>
                <w:rFonts w:ascii="Open Sans Semibold" w:eastAsia="Times New Roman" w:hAnsi="Open Sans Semibold" w:cs="Open Sans Semibold"/>
                <w:color w:val="FFFFFF"/>
                <w:sz w:val="16"/>
                <w:szCs w:val="16"/>
                <w:lang w:eastAsia="en-AU"/>
              </w:rPr>
              <w:t xml:space="preserve"> costing</w:t>
            </w:r>
            <w:r w:rsidR="002D106D">
              <w:rPr>
                <w:rFonts w:ascii="Open Sans Semibold" w:eastAsia="Times New Roman" w:hAnsi="Open Sans Semibold" w:cs="Open Sans Semibold"/>
                <w:color w:val="FFFFFF"/>
                <w:sz w:val="16"/>
                <w:szCs w:val="16"/>
                <w:lang w:eastAsia="en-AU"/>
              </w:rPr>
              <w:t xml:space="preserve"> (a)</w:t>
            </w:r>
          </w:p>
        </w:tc>
        <w:tc>
          <w:tcPr>
            <w:tcW w:w="1600" w:type="dxa"/>
            <w:tcBorders>
              <w:top w:val="nil"/>
              <w:left w:val="nil"/>
              <w:bottom w:val="nil"/>
              <w:right w:val="nil"/>
            </w:tcBorders>
            <w:shd w:val="clear" w:color="000000" w:fill="006991"/>
            <w:vAlign w:val="center"/>
            <w:hideMark/>
          </w:tcPr>
          <w:p w14:paraId="48395EC6" w14:textId="776A6198" w:rsidR="00F30FE3" w:rsidRPr="00F30FE3" w:rsidRDefault="00F30FE3" w:rsidP="00F30FE3">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30FE3">
              <w:rPr>
                <w:rFonts w:ascii="Open Sans Semibold" w:eastAsia="Times New Roman" w:hAnsi="Open Sans Semibold" w:cs="Open Sans Semibold"/>
                <w:color w:val="FFFFFF"/>
                <w:sz w:val="16"/>
                <w:szCs w:val="16"/>
                <w:lang w:eastAsia="en-AU"/>
              </w:rPr>
              <w:t>B</w:t>
            </w:r>
            <w:r w:rsidR="002D001C">
              <w:rPr>
                <w:rFonts w:ascii="Open Sans Semibold" w:eastAsia="Times New Roman" w:hAnsi="Open Sans Semibold" w:cs="Open Sans Semibold"/>
                <w:color w:val="FFFFFF"/>
                <w:sz w:val="16"/>
                <w:szCs w:val="16"/>
                <w:lang w:eastAsia="en-AU"/>
              </w:rPr>
              <w:t>lock</w:t>
            </w:r>
            <w:r w:rsidR="0006632E">
              <w:rPr>
                <w:rFonts w:ascii="Open Sans Semibold" w:eastAsia="Times New Roman" w:hAnsi="Open Sans Semibold" w:cs="Open Sans Semibold"/>
                <w:color w:val="FFFFFF"/>
                <w:sz w:val="16"/>
                <w:szCs w:val="16"/>
                <w:lang w:eastAsia="en-AU"/>
              </w:rPr>
              <w:t>-</w:t>
            </w:r>
            <w:r w:rsidR="002D001C">
              <w:rPr>
                <w:rFonts w:ascii="Open Sans Semibold" w:eastAsia="Times New Roman" w:hAnsi="Open Sans Semibold" w:cs="Open Sans Semibold"/>
                <w:color w:val="FFFFFF"/>
                <w:sz w:val="16"/>
                <w:szCs w:val="16"/>
                <w:lang w:eastAsia="en-AU"/>
              </w:rPr>
              <w:t>funded</w:t>
            </w:r>
            <w:r w:rsidRPr="00F30FE3">
              <w:rPr>
                <w:rFonts w:ascii="Open Sans Semibold" w:eastAsia="Times New Roman" w:hAnsi="Open Sans Semibold" w:cs="Open Sans Semibold"/>
                <w:color w:val="FFFFFF"/>
                <w:sz w:val="16"/>
                <w:szCs w:val="16"/>
                <w:lang w:eastAsia="en-AU"/>
              </w:rPr>
              <w:t xml:space="preserve"> costing</w:t>
            </w:r>
            <w:r w:rsidR="002D106D">
              <w:rPr>
                <w:rFonts w:ascii="Open Sans Semibold" w:eastAsia="Times New Roman" w:hAnsi="Open Sans Semibold" w:cs="Open Sans Semibold"/>
                <w:color w:val="FFFFFF"/>
                <w:sz w:val="16"/>
                <w:szCs w:val="16"/>
                <w:lang w:eastAsia="en-AU"/>
              </w:rPr>
              <w:t xml:space="preserve"> (b)</w:t>
            </w:r>
          </w:p>
        </w:tc>
        <w:tc>
          <w:tcPr>
            <w:tcW w:w="1791" w:type="dxa"/>
            <w:tcBorders>
              <w:top w:val="nil"/>
              <w:left w:val="nil"/>
              <w:bottom w:val="nil"/>
              <w:right w:val="nil"/>
            </w:tcBorders>
            <w:shd w:val="clear" w:color="000000" w:fill="006991"/>
            <w:vAlign w:val="center"/>
            <w:hideMark/>
          </w:tcPr>
          <w:p w14:paraId="5BF59D88" w14:textId="14127724" w:rsidR="00F30FE3" w:rsidRPr="00F30FE3" w:rsidRDefault="00D44D6A" w:rsidP="00F30FE3">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Block</w:t>
            </w:r>
            <w:r w:rsidR="0006632E">
              <w:rPr>
                <w:rFonts w:ascii="Open Sans Semibold" w:eastAsia="Times New Roman" w:hAnsi="Open Sans Semibold" w:cs="Open Sans Semibold"/>
                <w:color w:val="FFFFFF"/>
                <w:sz w:val="16"/>
                <w:szCs w:val="16"/>
                <w:lang w:eastAsia="en-AU"/>
              </w:rPr>
              <w:t>-</w:t>
            </w:r>
            <w:r>
              <w:rPr>
                <w:rFonts w:ascii="Open Sans Semibold" w:eastAsia="Times New Roman" w:hAnsi="Open Sans Semibold" w:cs="Open Sans Semibold"/>
                <w:color w:val="FFFFFF"/>
                <w:sz w:val="16"/>
                <w:szCs w:val="16"/>
                <w:lang w:eastAsia="en-AU"/>
              </w:rPr>
              <w:t xml:space="preserve">funded </w:t>
            </w:r>
            <w:r w:rsidR="009E05C9">
              <w:rPr>
                <w:rFonts w:ascii="Open Sans Semibold" w:eastAsia="Times New Roman" w:hAnsi="Open Sans Semibold" w:cs="Open Sans Semibold"/>
                <w:color w:val="FFFFFF"/>
                <w:sz w:val="16"/>
                <w:szCs w:val="16"/>
                <w:lang w:eastAsia="en-AU"/>
              </w:rPr>
              <w:t>adjustment</w:t>
            </w:r>
          </w:p>
        </w:tc>
      </w:tr>
      <w:tr w:rsidR="00F30FE3" w:rsidRPr="00F30FE3" w14:paraId="25A55128" w14:textId="77777777" w:rsidTr="009F5EFD">
        <w:trPr>
          <w:trHeight w:val="259"/>
        </w:trPr>
        <w:tc>
          <w:tcPr>
            <w:tcW w:w="3940" w:type="dxa"/>
            <w:tcBorders>
              <w:top w:val="single" w:sz="8" w:space="0" w:color="ADD6EA"/>
              <w:left w:val="nil"/>
              <w:bottom w:val="nil"/>
              <w:right w:val="nil"/>
            </w:tcBorders>
            <w:shd w:val="clear" w:color="000000" w:fill="B6D5E4"/>
            <w:vAlign w:val="bottom"/>
            <w:hideMark/>
          </w:tcPr>
          <w:p w14:paraId="12414454" w14:textId="77777777" w:rsidR="00F30FE3" w:rsidRPr="00F30FE3" w:rsidRDefault="00F30FE3" w:rsidP="00F30FE3">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30FE3">
              <w:rPr>
                <w:rFonts w:ascii="Open Sans Semibold" w:eastAsia="Times New Roman" w:hAnsi="Open Sans Semibold" w:cs="Open Sans Semibold"/>
                <w:color w:val="000000"/>
                <w:sz w:val="16"/>
                <w:szCs w:val="16"/>
                <w:lang w:eastAsia="en-AU"/>
              </w:rPr>
              <w:t> </w:t>
            </w:r>
          </w:p>
        </w:tc>
        <w:tc>
          <w:tcPr>
            <w:tcW w:w="1600" w:type="dxa"/>
            <w:tcBorders>
              <w:top w:val="single" w:sz="8" w:space="0" w:color="ADD6EA"/>
              <w:left w:val="nil"/>
              <w:bottom w:val="nil"/>
              <w:right w:val="nil"/>
            </w:tcBorders>
            <w:shd w:val="clear" w:color="000000" w:fill="B6D5E4"/>
            <w:vAlign w:val="bottom"/>
            <w:hideMark/>
          </w:tcPr>
          <w:p w14:paraId="6CE6F7FF" w14:textId="77777777" w:rsidR="00F30FE3" w:rsidRPr="00F30FE3" w:rsidRDefault="00F30FE3" w:rsidP="00F30FE3">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0FE3">
              <w:rPr>
                <w:rFonts w:ascii="Open Sans Semibold" w:eastAsia="Times New Roman" w:hAnsi="Open Sans Semibold" w:cs="Open Sans Semibold"/>
                <w:color w:val="000000"/>
                <w:sz w:val="16"/>
                <w:szCs w:val="16"/>
                <w:lang w:eastAsia="en-AU"/>
              </w:rPr>
              <w:t>$m</w:t>
            </w:r>
          </w:p>
        </w:tc>
        <w:tc>
          <w:tcPr>
            <w:tcW w:w="1600" w:type="dxa"/>
            <w:tcBorders>
              <w:top w:val="single" w:sz="8" w:space="0" w:color="ADD6EA"/>
              <w:left w:val="nil"/>
              <w:bottom w:val="nil"/>
              <w:right w:val="nil"/>
            </w:tcBorders>
            <w:shd w:val="clear" w:color="000000" w:fill="B6D5E4"/>
            <w:vAlign w:val="bottom"/>
            <w:hideMark/>
          </w:tcPr>
          <w:p w14:paraId="73C4D54A" w14:textId="77777777" w:rsidR="00F30FE3" w:rsidRPr="00F30FE3" w:rsidRDefault="00F30FE3" w:rsidP="00F30FE3">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0FE3">
              <w:rPr>
                <w:rFonts w:ascii="Open Sans Semibold" w:eastAsia="Times New Roman" w:hAnsi="Open Sans Semibold" w:cs="Open Sans Semibold"/>
                <w:color w:val="000000"/>
                <w:sz w:val="16"/>
                <w:szCs w:val="16"/>
                <w:lang w:eastAsia="en-AU"/>
              </w:rPr>
              <w:t>$m</w:t>
            </w:r>
          </w:p>
        </w:tc>
        <w:tc>
          <w:tcPr>
            <w:tcW w:w="1791" w:type="dxa"/>
            <w:tcBorders>
              <w:top w:val="single" w:sz="8" w:space="0" w:color="ADD6EA"/>
              <w:left w:val="nil"/>
              <w:bottom w:val="nil"/>
              <w:right w:val="nil"/>
            </w:tcBorders>
            <w:shd w:val="clear" w:color="000000" w:fill="B6D5E4"/>
            <w:vAlign w:val="bottom"/>
            <w:hideMark/>
          </w:tcPr>
          <w:p w14:paraId="61376833" w14:textId="77777777" w:rsidR="00F30FE3" w:rsidRPr="00F30FE3" w:rsidRDefault="00F30FE3" w:rsidP="00F30FE3">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30FE3">
              <w:rPr>
                <w:rFonts w:ascii="Open Sans Semibold" w:eastAsia="Times New Roman" w:hAnsi="Open Sans Semibold" w:cs="Open Sans Semibold"/>
                <w:color w:val="000000"/>
                <w:sz w:val="16"/>
                <w:szCs w:val="16"/>
                <w:lang w:eastAsia="en-AU"/>
              </w:rPr>
              <w:t>ratio</w:t>
            </w:r>
          </w:p>
        </w:tc>
      </w:tr>
      <w:tr w:rsidR="00F30FE3" w:rsidRPr="00F30FE3" w14:paraId="0274C4A2" w14:textId="77777777" w:rsidTr="009F5EFD">
        <w:trPr>
          <w:trHeight w:val="315"/>
        </w:trPr>
        <w:tc>
          <w:tcPr>
            <w:tcW w:w="3940" w:type="dxa"/>
            <w:tcBorders>
              <w:top w:val="nil"/>
              <w:left w:val="nil"/>
              <w:bottom w:val="single" w:sz="4" w:space="0" w:color="ADD6EA"/>
              <w:right w:val="nil"/>
            </w:tcBorders>
            <w:shd w:val="clear" w:color="000000" w:fill="FFFFFF"/>
            <w:vAlign w:val="bottom"/>
            <w:hideMark/>
          </w:tcPr>
          <w:p w14:paraId="52274332" w14:textId="77777777" w:rsidR="00F30FE3" w:rsidRPr="00F30FE3" w:rsidRDefault="00F30FE3" w:rsidP="00F30FE3">
            <w:pPr>
              <w:keepNext/>
              <w:tabs>
                <w:tab w:val="clear" w:pos="567"/>
              </w:tabs>
              <w:spacing w:before="0" w:line="240" w:lineRule="auto"/>
              <w:rPr>
                <w:rFonts w:eastAsia="Times New Roman" w:cs="Open Sans Light"/>
                <w:color w:val="000000"/>
                <w:sz w:val="16"/>
                <w:szCs w:val="16"/>
                <w:lang w:eastAsia="en-AU"/>
              </w:rPr>
            </w:pPr>
            <w:r w:rsidRPr="00F30FE3">
              <w:rPr>
                <w:rFonts w:eastAsia="Times New Roman" w:cs="Open Sans Light"/>
                <w:color w:val="000000"/>
                <w:sz w:val="16"/>
                <w:szCs w:val="16"/>
                <w:lang w:eastAsia="en-AU"/>
              </w:rPr>
              <w:t>Inner regional</w:t>
            </w:r>
          </w:p>
        </w:tc>
        <w:tc>
          <w:tcPr>
            <w:tcW w:w="1600" w:type="dxa"/>
            <w:tcBorders>
              <w:top w:val="nil"/>
              <w:left w:val="nil"/>
              <w:bottom w:val="single" w:sz="4" w:space="0" w:color="ADD6EA"/>
              <w:right w:val="nil"/>
            </w:tcBorders>
            <w:shd w:val="clear" w:color="000000" w:fill="FFFFFF"/>
            <w:vAlign w:val="bottom"/>
            <w:hideMark/>
          </w:tcPr>
          <w:p w14:paraId="4749C2EF"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477</w:t>
            </w:r>
          </w:p>
        </w:tc>
        <w:tc>
          <w:tcPr>
            <w:tcW w:w="1600" w:type="dxa"/>
            <w:tcBorders>
              <w:top w:val="nil"/>
              <w:left w:val="nil"/>
              <w:bottom w:val="single" w:sz="4" w:space="0" w:color="ADD6EA"/>
              <w:right w:val="nil"/>
            </w:tcBorders>
            <w:shd w:val="clear" w:color="000000" w:fill="FFFFFF"/>
            <w:vAlign w:val="bottom"/>
            <w:hideMark/>
          </w:tcPr>
          <w:p w14:paraId="73C828A2"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644</w:t>
            </w:r>
          </w:p>
        </w:tc>
        <w:tc>
          <w:tcPr>
            <w:tcW w:w="1791" w:type="dxa"/>
            <w:tcBorders>
              <w:top w:val="nil"/>
              <w:left w:val="nil"/>
              <w:bottom w:val="single" w:sz="4" w:space="0" w:color="ADD6EA"/>
              <w:right w:val="nil"/>
            </w:tcBorders>
            <w:shd w:val="clear" w:color="000000" w:fill="FFFFFF"/>
            <w:vAlign w:val="bottom"/>
            <w:hideMark/>
          </w:tcPr>
          <w:p w14:paraId="60CBB893"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1.35</w:t>
            </w:r>
          </w:p>
        </w:tc>
      </w:tr>
      <w:tr w:rsidR="00F30FE3" w:rsidRPr="00F30FE3" w14:paraId="3CC1B19E" w14:textId="77777777" w:rsidTr="009F5EFD">
        <w:trPr>
          <w:trHeight w:val="315"/>
        </w:trPr>
        <w:tc>
          <w:tcPr>
            <w:tcW w:w="3940" w:type="dxa"/>
            <w:tcBorders>
              <w:top w:val="nil"/>
              <w:left w:val="nil"/>
              <w:bottom w:val="nil"/>
              <w:right w:val="nil"/>
            </w:tcBorders>
            <w:shd w:val="clear" w:color="000000" w:fill="FFFFFF"/>
            <w:vAlign w:val="bottom"/>
            <w:hideMark/>
          </w:tcPr>
          <w:p w14:paraId="54A83D89" w14:textId="77777777" w:rsidR="00F30FE3" w:rsidRPr="00F30FE3" w:rsidRDefault="00F30FE3" w:rsidP="00F30FE3">
            <w:pPr>
              <w:keepNext/>
              <w:tabs>
                <w:tab w:val="clear" w:pos="567"/>
              </w:tabs>
              <w:spacing w:before="0" w:line="240" w:lineRule="auto"/>
              <w:rPr>
                <w:rFonts w:eastAsia="Times New Roman" w:cs="Open Sans Light"/>
                <w:color w:val="000000"/>
                <w:sz w:val="16"/>
                <w:szCs w:val="16"/>
                <w:lang w:eastAsia="en-AU"/>
              </w:rPr>
            </w:pPr>
            <w:r w:rsidRPr="00F30FE3">
              <w:rPr>
                <w:rFonts w:eastAsia="Times New Roman" w:cs="Open Sans Light"/>
                <w:color w:val="000000"/>
                <w:sz w:val="16"/>
                <w:szCs w:val="16"/>
                <w:lang w:eastAsia="en-AU"/>
              </w:rPr>
              <w:t>Outer regional</w:t>
            </w:r>
          </w:p>
        </w:tc>
        <w:tc>
          <w:tcPr>
            <w:tcW w:w="1600" w:type="dxa"/>
            <w:tcBorders>
              <w:top w:val="nil"/>
              <w:left w:val="nil"/>
              <w:bottom w:val="nil"/>
              <w:right w:val="nil"/>
            </w:tcBorders>
            <w:shd w:val="clear" w:color="000000" w:fill="FFFFFF"/>
            <w:vAlign w:val="bottom"/>
            <w:hideMark/>
          </w:tcPr>
          <w:p w14:paraId="554DA3F0"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666</w:t>
            </w:r>
          </w:p>
        </w:tc>
        <w:tc>
          <w:tcPr>
            <w:tcW w:w="1600" w:type="dxa"/>
            <w:tcBorders>
              <w:top w:val="nil"/>
              <w:left w:val="nil"/>
              <w:bottom w:val="nil"/>
              <w:right w:val="nil"/>
            </w:tcBorders>
            <w:shd w:val="clear" w:color="000000" w:fill="FFFFFF"/>
            <w:vAlign w:val="bottom"/>
            <w:hideMark/>
          </w:tcPr>
          <w:p w14:paraId="1E96FFA3"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963</w:t>
            </w:r>
          </w:p>
        </w:tc>
        <w:tc>
          <w:tcPr>
            <w:tcW w:w="1791" w:type="dxa"/>
            <w:tcBorders>
              <w:top w:val="nil"/>
              <w:left w:val="nil"/>
              <w:bottom w:val="nil"/>
              <w:right w:val="nil"/>
            </w:tcBorders>
            <w:shd w:val="clear" w:color="000000" w:fill="FFFFFF"/>
            <w:vAlign w:val="bottom"/>
            <w:hideMark/>
          </w:tcPr>
          <w:p w14:paraId="21D9D4B4"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1.45</w:t>
            </w:r>
          </w:p>
        </w:tc>
      </w:tr>
      <w:tr w:rsidR="00F30FE3" w:rsidRPr="00F30FE3" w14:paraId="31B8C17C" w14:textId="77777777" w:rsidTr="009F5EFD">
        <w:trPr>
          <w:trHeight w:val="315"/>
        </w:trPr>
        <w:tc>
          <w:tcPr>
            <w:tcW w:w="3940" w:type="dxa"/>
            <w:tcBorders>
              <w:top w:val="single" w:sz="4" w:space="0" w:color="ADD6EA"/>
              <w:left w:val="nil"/>
              <w:bottom w:val="single" w:sz="4" w:space="0" w:color="ADD6EA"/>
              <w:right w:val="nil"/>
            </w:tcBorders>
            <w:shd w:val="clear" w:color="000000" w:fill="FFFFFF"/>
            <w:vAlign w:val="bottom"/>
            <w:hideMark/>
          </w:tcPr>
          <w:p w14:paraId="6DC7C506" w14:textId="77777777" w:rsidR="00F30FE3" w:rsidRPr="00F30FE3" w:rsidRDefault="00F30FE3" w:rsidP="00F30FE3">
            <w:pPr>
              <w:keepNext/>
              <w:tabs>
                <w:tab w:val="clear" w:pos="567"/>
              </w:tabs>
              <w:spacing w:before="0" w:line="240" w:lineRule="auto"/>
              <w:rPr>
                <w:rFonts w:eastAsia="Times New Roman" w:cs="Open Sans Light"/>
                <w:color w:val="000000"/>
                <w:sz w:val="16"/>
                <w:szCs w:val="16"/>
                <w:lang w:eastAsia="en-AU"/>
              </w:rPr>
            </w:pPr>
            <w:r w:rsidRPr="00F30FE3">
              <w:rPr>
                <w:rFonts w:eastAsia="Times New Roman" w:cs="Open Sans Light"/>
                <w:color w:val="000000"/>
                <w:sz w:val="16"/>
                <w:szCs w:val="16"/>
                <w:lang w:eastAsia="en-AU"/>
              </w:rPr>
              <w:t>Remote</w:t>
            </w:r>
          </w:p>
        </w:tc>
        <w:tc>
          <w:tcPr>
            <w:tcW w:w="1600" w:type="dxa"/>
            <w:tcBorders>
              <w:top w:val="single" w:sz="4" w:space="0" w:color="ADD6EA"/>
              <w:left w:val="nil"/>
              <w:bottom w:val="single" w:sz="4" w:space="0" w:color="ADD6EA"/>
              <w:right w:val="nil"/>
            </w:tcBorders>
            <w:shd w:val="clear" w:color="000000" w:fill="FFFFFF"/>
            <w:vAlign w:val="bottom"/>
            <w:hideMark/>
          </w:tcPr>
          <w:p w14:paraId="23DE7416"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166</w:t>
            </w:r>
          </w:p>
        </w:tc>
        <w:tc>
          <w:tcPr>
            <w:tcW w:w="1600" w:type="dxa"/>
            <w:tcBorders>
              <w:top w:val="single" w:sz="4" w:space="0" w:color="ADD6EA"/>
              <w:left w:val="nil"/>
              <w:bottom w:val="single" w:sz="4" w:space="0" w:color="ADD6EA"/>
              <w:right w:val="nil"/>
            </w:tcBorders>
            <w:shd w:val="clear" w:color="000000" w:fill="FFFFFF"/>
            <w:vAlign w:val="bottom"/>
            <w:hideMark/>
          </w:tcPr>
          <w:p w14:paraId="2818420A"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258</w:t>
            </w:r>
          </w:p>
        </w:tc>
        <w:tc>
          <w:tcPr>
            <w:tcW w:w="1791" w:type="dxa"/>
            <w:tcBorders>
              <w:top w:val="single" w:sz="4" w:space="0" w:color="ADD6EA"/>
              <w:left w:val="nil"/>
              <w:bottom w:val="single" w:sz="4" w:space="0" w:color="ADD6EA"/>
              <w:right w:val="nil"/>
            </w:tcBorders>
            <w:shd w:val="clear" w:color="000000" w:fill="FFFFFF"/>
            <w:vAlign w:val="bottom"/>
            <w:hideMark/>
          </w:tcPr>
          <w:p w14:paraId="45AA4F80"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1.55</w:t>
            </w:r>
          </w:p>
        </w:tc>
      </w:tr>
      <w:tr w:rsidR="00F30FE3" w:rsidRPr="00F30FE3" w14:paraId="2BD8B6E1" w14:textId="77777777" w:rsidTr="009F5EFD">
        <w:trPr>
          <w:trHeight w:val="315"/>
        </w:trPr>
        <w:tc>
          <w:tcPr>
            <w:tcW w:w="3940" w:type="dxa"/>
            <w:tcBorders>
              <w:top w:val="single" w:sz="4" w:space="0" w:color="ADD6EA"/>
              <w:left w:val="nil"/>
              <w:bottom w:val="single" w:sz="4" w:space="0" w:color="ADD6EA"/>
              <w:right w:val="nil"/>
            </w:tcBorders>
            <w:shd w:val="clear" w:color="000000" w:fill="FFFFFF"/>
            <w:vAlign w:val="bottom"/>
            <w:hideMark/>
          </w:tcPr>
          <w:p w14:paraId="17E37FAD" w14:textId="77777777" w:rsidR="00F30FE3" w:rsidRPr="00F30FE3" w:rsidRDefault="00F30FE3" w:rsidP="00F30FE3">
            <w:pPr>
              <w:keepNext/>
              <w:tabs>
                <w:tab w:val="clear" w:pos="567"/>
              </w:tabs>
              <w:spacing w:before="0" w:line="240" w:lineRule="auto"/>
              <w:rPr>
                <w:rFonts w:eastAsia="Times New Roman" w:cs="Open Sans Light"/>
                <w:color w:val="000000"/>
                <w:sz w:val="16"/>
                <w:szCs w:val="16"/>
                <w:lang w:eastAsia="en-AU"/>
              </w:rPr>
            </w:pPr>
            <w:r w:rsidRPr="00F30FE3">
              <w:rPr>
                <w:rFonts w:eastAsia="Times New Roman" w:cs="Open Sans Light"/>
                <w:color w:val="000000"/>
                <w:sz w:val="16"/>
                <w:szCs w:val="16"/>
                <w:lang w:eastAsia="en-AU"/>
              </w:rPr>
              <w:t>Very remote</w:t>
            </w:r>
          </w:p>
        </w:tc>
        <w:tc>
          <w:tcPr>
            <w:tcW w:w="1600" w:type="dxa"/>
            <w:tcBorders>
              <w:top w:val="single" w:sz="4" w:space="0" w:color="ADD6EA"/>
              <w:left w:val="nil"/>
              <w:bottom w:val="single" w:sz="4" w:space="0" w:color="ADD6EA"/>
              <w:right w:val="nil"/>
            </w:tcBorders>
            <w:shd w:val="clear" w:color="000000" w:fill="FFFFFF"/>
            <w:vAlign w:val="bottom"/>
            <w:hideMark/>
          </w:tcPr>
          <w:p w14:paraId="0DA5CA38"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202</w:t>
            </w:r>
          </w:p>
        </w:tc>
        <w:tc>
          <w:tcPr>
            <w:tcW w:w="1600" w:type="dxa"/>
            <w:tcBorders>
              <w:top w:val="single" w:sz="4" w:space="0" w:color="ADD6EA"/>
              <w:left w:val="nil"/>
              <w:bottom w:val="single" w:sz="4" w:space="0" w:color="ADD6EA"/>
              <w:right w:val="nil"/>
            </w:tcBorders>
            <w:shd w:val="clear" w:color="000000" w:fill="FFFFFF"/>
            <w:vAlign w:val="bottom"/>
            <w:hideMark/>
          </w:tcPr>
          <w:p w14:paraId="2C4B8CED"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318</w:t>
            </w:r>
          </w:p>
        </w:tc>
        <w:tc>
          <w:tcPr>
            <w:tcW w:w="1791" w:type="dxa"/>
            <w:tcBorders>
              <w:top w:val="single" w:sz="4" w:space="0" w:color="ADD6EA"/>
              <w:left w:val="nil"/>
              <w:bottom w:val="single" w:sz="4" w:space="0" w:color="ADD6EA"/>
              <w:right w:val="nil"/>
            </w:tcBorders>
            <w:shd w:val="clear" w:color="000000" w:fill="FFFFFF"/>
            <w:vAlign w:val="bottom"/>
            <w:hideMark/>
          </w:tcPr>
          <w:p w14:paraId="696A3DFB" w14:textId="77777777" w:rsidR="00F30FE3" w:rsidRPr="00F30FE3" w:rsidRDefault="00F30FE3" w:rsidP="00F30FE3">
            <w:pPr>
              <w:keepNext/>
              <w:tabs>
                <w:tab w:val="clear" w:pos="567"/>
              </w:tabs>
              <w:spacing w:before="0" w:line="240" w:lineRule="auto"/>
              <w:jc w:val="right"/>
              <w:rPr>
                <w:rFonts w:eastAsia="Times New Roman" w:cs="Open Sans Light"/>
                <w:color w:val="000000"/>
                <w:sz w:val="16"/>
                <w:szCs w:val="16"/>
                <w:lang w:eastAsia="en-AU"/>
              </w:rPr>
            </w:pPr>
            <w:r w:rsidRPr="00F30FE3">
              <w:rPr>
                <w:rFonts w:eastAsia="Times New Roman" w:cs="Open Sans Light"/>
                <w:color w:val="000000"/>
                <w:sz w:val="16"/>
                <w:szCs w:val="16"/>
                <w:lang w:eastAsia="en-AU"/>
              </w:rPr>
              <w:t>1.58</w:t>
            </w:r>
          </w:p>
        </w:tc>
      </w:tr>
    </w:tbl>
    <w:p w14:paraId="635D8215" w14:textId="6FBCAED0" w:rsidR="00C94DF4" w:rsidRPr="00E65646" w:rsidRDefault="00C527D5" w:rsidP="00704360">
      <w:pPr>
        <w:pStyle w:val="CGC2025TableNote"/>
        <w:tabs>
          <w:tab w:val="clear" w:pos="567"/>
          <w:tab w:val="clear" w:pos="680"/>
          <w:tab w:val="left" w:pos="851"/>
          <w:tab w:val="left" w:pos="1134"/>
        </w:tabs>
        <w:ind w:left="426" w:hanging="313"/>
      </w:pPr>
      <w:r w:rsidRPr="00E65646">
        <w:t>(</w:t>
      </w:r>
      <w:r w:rsidR="00C94DF4" w:rsidRPr="00E65646">
        <w:t>a)</w:t>
      </w:r>
      <w:r w:rsidR="0085751A">
        <w:t xml:space="preserve"> </w:t>
      </w:r>
      <w:r w:rsidR="00704360">
        <w:tab/>
      </w:r>
      <w:r w:rsidR="00C94DF4" w:rsidRPr="00E65646">
        <w:t xml:space="preserve">Calculated based on the </w:t>
      </w:r>
      <w:hyperlink r:id="rId11" w:history="1">
        <w:r w:rsidR="00C94DF4" w:rsidRPr="004A5E5F">
          <w:rPr>
            <w:rStyle w:val="Hyperlink"/>
          </w:rPr>
          <w:t>2022-23 National Efficient Price</w:t>
        </w:r>
      </w:hyperlink>
      <w:r w:rsidR="00C94DF4" w:rsidRPr="00E65646">
        <w:t xml:space="preserve"> (NEP) </w:t>
      </w:r>
      <w:r w:rsidR="002077F6" w:rsidRPr="00E65646">
        <w:t xml:space="preserve">multiplied by </w:t>
      </w:r>
      <w:r w:rsidR="00C94DF4" w:rsidRPr="00E65646">
        <w:t xml:space="preserve">NWAU </w:t>
      </w:r>
      <w:r w:rsidR="00F319F4" w:rsidRPr="00E65646">
        <w:t xml:space="preserve">for small rural </w:t>
      </w:r>
      <w:r w:rsidR="00253EEA" w:rsidRPr="00E65646">
        <w:t>b</w:t>
      </w:r>
      <w:r w:rsidR="00F319F4" w:rsidRPr="00E65646">
        <w:t>lock</w:t>
      </w:r>
      <w:r w:rsidR="00F92C24">
        <w:t>-</w:t>
      </w:r>
      <w:r w:rsidR="00F319F4" w:rsidRPr="00E65646">
        <w:t>funded hospitals.</w:t>
      </w:r>
    </w:p>
    <w:p w14:paraId="5F6371C4" w14:textId="3BE0864C" w:rsidR="00C94DF4" w:rsidRPr="00E65646" w:rsidRDefault="00C527D5" w:rsidP="00704360">
      <w:pPr>
        <w:pStyle w:val="CGC2025TableNote"/>
        <w:tabs>
          <w:tab w:val="clear" w:pos="567"/>
          <w:tab w:val="clear" w:pos="680"/>
          <w:tab w:val="left" w:pos="851"/>
          <w:tab w:val="left" w:pos="1134"/>
        </w:tabs>
        <w:ind w:left="426" w:hanging="313"/>
      </w:pPr>
      <w:r w:rsidRPr="00E65646">
        <w:t>(</w:t>
      </w:r>
      <w:r w:rsidR="00C94DF4" w:rsidRPr="00E65646">
        <w:t xml:space="preserve">b) </w:t>
      </w:r>
      <w:r w:rsidR="00704360">
        <w:tab/>
      </w:r>
      <w:r w:rsidR="00C94DF4" w:rsidRPr="00E65646">
        <w:t xml:space="preserve">Calculated based on the </w:t>
      </w:r>
      <w:hyperlink r:id="rId12" w:history="1">
        <w:r w:rsidR="00C94DF4" w:rsidRPr="008607BE">
          <w:rPr>
            <w:rStyle w:val="Hyperlink"/>
          </w:rPr>
          <w:t>2022-23 National Efficient Cost</w:t>
        </w:r>
      </w:hyperlink>
      <w:r w:rsidR="00C94DF4" w:rsidRPr="00E65646">
        <w:t xml:space="preserve"> (NEC) </w:t>
      </w:r>
      <w:r w:rsidR="006E0B84" w:rsidRPr="00E65646">
        <w:t xml:space="preserve">funding formula for </w:t>
      </w:r>
      <w:r w:rsidR="003F1F39">
        <w:t xml:space="preserve">small rural </w:t>
      </w:r>
      <w:r w:rsidR="00ED3D05">
        <w:t>block</w:t>
      </w:r>
      <w:r w:rsidR="00F92C24">
        <w:t>-</w:t>
      </w:r>
      <w:r w:rsidR="00ED3D05">
        <w:t xml:space="preserve">funded </w:t>
      </w:r>
      <w:r w:rsidR="00C94DF4" w:rsidRPr="00E65646">
        <w:t xml:space="preserve">hospitals. </w:t>
      </w:r>
    </w:p>
    <w:p w14:paraId="7E9419DB" w14:textId="266AD6F5" w:rsidR="00E1762F" w:rsidRPr="00E1762F" w:rsidRDefault="00C94DF4" w:rsidP="00A03214">
      <w:pPr>
        <w:pStyle w:val="CGC2025TableNote"/>
        <w:ind w:left="709" w:hanging="596"/>
      </w:pPr>
      <w:r>
        <w:t xml:space="preserve">Source: Commission calculation based on the </w:t>
      </w:r>
      <w:r w:rsidR="004E2A1C">
        <w:t>NEP</w:t>
      </w:r>
      <w:r w:rsidR="00C7190D">
        <w:t xml:space="preserve">, </w:t>
      </w:r>
      <w:r>
        <w:t>N</w:t>
      </w:r>
      <w:r w:rsidR="00976E82">
        <w:t xml:space="preserve">EC </w:t>
      </w:r>
      <w:r w:rsidR="00696C83">
        <w:t>funding formula</w:t>
      </w:r>
      <w:r>
        <w:t xml:space="preserve"> and IH</w:t>
      </w:r>
      <w:r w:rsidR="00D613F0">
        <w:t>AC</w:t>
      </w:r>
      <w:r>
        <w:t>PA un</w:t>
      </w:r>
      <w:r w:rsidR="00DE73CE">
        <w:t>published</w:t>
      </w:r>
      <w:r>
        <w:t xml:space="preserve"> data on </w:t>
      </w:r>
      <w:r w:rsidR="00D72BB0">
        <w:t>small rural block</w:t>
      </w:r>
      <w:r w:rsidR="00B66761">
        <w:t>-</w:t>
      </w:r>
      <w:r w:rsidR="00D72BB0">
        <w:t xml:space="preserve">funded </w:t>
      </w:r>
      <w:r>
        <w:t>hospitals</w:t>
      </w:r>
      <w:r w:rsidR="00264BFD">
        <w:t xml:space="preserve"> for 2022</w:t>
      </w:r>
      <w:r w:rsidR="00206FDE">
        <w:t>–</w:t>
      </w:r>
      <w:r w:rsidR="00264BFD">
        <w:t>23</w:t>
      </w:r>
      <w:r>
        <w:t>.</w:t>
      </w:r>
    </w:p>
    <w:p w14:paraId="43907778" w14:textId="05BF9BAD" w:rsidR="00E84E06" w:rsidRPr="005C098B" w:rsidRDefault="00E84E06" w:rsidP="00134475">
      <w:pPr>
        <w:pStyle w:val="CGC2025ParaNumbers"/>
      </w:pPr>
      <w:r w:rsidRPr="005C098B">
        <w:lastRenderedPageBreak/>
        <w:t xml:space="preserve">The </w:t>
      </w:r>
      <w:r w:rsidR="00B841E9" w:rsidRPr="005C098B">
        <w:t xml:space="preserve">service delivery scale adjustments </w:t>
      </w:r>
      <w:r w:rsidR="00E51E60">
        <w:t>are</w:t>
      </w:r>
      <w:r w:rsidR="00A40B8D" w:rsidRPr="005C098B">
        <w:t xml:space="preserve"> </w:t>
      </w:r>
      <w:r w:rsidR="00F84322" w:rsidRPr="005C098B">
        <w:t xml:space="preserve">updated </w:t>
      </w:r>
      <w:r w:rsidR="00377846" w:rsidRPr="005C098B">
        <w:t>each year</w:t>
      </w:r>
      <w:r w:rsidR="00070C75" w:rsidRPr="005C098B">
        <w:t>,</w:t>
      </w:r>
      <w:r w:rsidR="00377846" w:rsidRPr="005C098B">
        <w:t xml:space="preserve"> </w:t>
      </w:r>
      <w:r w:rsidRPr="005C098B">
        <w:t xml:space="preserve">as </w:t>
      </w:r>
      <w:r w:rsidR="004B5B46" w:rsidRPr="005C098B">
        <w:t xml:space="preserve">the Independent Health and Aged Care Pricing Authority </w:t>
      </w:r>
      <w:r w:rsidRPr="005C098B">
        <w:t xml:space="preserve">updates its </w:t>
      </w:r>
      <w:r w:rsidR="004B5B46" w:rsidRPr="005C098B">
        <w:t xml:space="preserve">National Efficient Price </w:t>
      </w:r>
      <w:r w:rsidR="000733A9" w:rsidRPr="005C098B">
        <w:t>and National Efficient Cost funding formula annually</w:t>
      </w:r>
      <w:r w:rsidR="0021337E" w:rsidRPr="005C098B">
        <w:t>.</w:t>
      </w:r>
    </w:p>
    <w:p w14:paraId="56809A79" w14:textId="10143A1F" w:rsidR="00D27AE4" w:rsidRDefault="001B52AC" w:rsidP="00CE11F1">
      <w:pPr>
        <w:pStyle w:val="Heading6"/>
      </w:pPr>
      <w:r>
        <w:t>Age</w:t>
      </w:r>
    </w:p>
    <w:p w14:paraId="359B770B" w14:textId="384B7344" w:rsidR="00732325" w:rsidRDefault="00732325" w:rsidP="00732325">
      <w:pPr>
        <w:pStyle w:val="CGC2025ParaNumbers"/>
      </w:pPr>
      <w:r>
        <w:t xml:space="preserve">Admitted patient, </w:t>
      </w:r>
      <w:r w:rsidR="004300BD">
        <w:t xml:space="preserve">emergency department and </w:t>
      </w:r>
      <w:r>
        <w:t xml:space="preserve">non-admitted </w:t>
      </w:r>
      <w:r w:rsidR="004300BD">
        <w:t xml:space="preserve">patient </w:t>
      </w:r>
      <w:r>
        <w:t xml:space="preserve">services all </w:t>
      </w:r>
      <w:r w:rsidR="00146917">
        <w:t>have higher expense per capita as age increases</w:t>
      </w:r>
      <w:r w:rsidR="003501A9">
        <w:t xml:space="preserve">. </w:t>
      </w:r>
      <w:r w:rsidR="00C2049D">
        <w:t>Figure 4</w:t>
      </w:r>
      <w:r w:rsidR="00992C68">
        <w:t xml:space="preserve"> </w:t>
      </w:r>
      <w:r w:rsidR="00D776E3">
        <w:t>shows that the 75+ and</w:t>
      </w:r>
      <w:r w:rsidR="00F04458">
        <w:t xml:space="preserve"> the</w:t>
      </w:r>
      <w:r w:rsidR="00D776E3">
        <w:t xml:space="preserve"> 65</w:t>
      </w:r>
      <w:r w:rsidR="00346982">
        <w:t>–</w:t>
      </w:r>
      <w:r w:rsidR="00346982">
        <w:rPr>
          <w:rFonts w:ascii="Times New Roman" w:hAnsi="Times New Roman" w:cs="Times New Roman" w:hint="eastAsia"/>
          <w:rtl/>
        </w:rPr>
        <w:t>‍</w:t>
      </w:r>
      <w:r w:rsidR="00D776E3">
        <w:t>7</w:t>
      </w:r>
      <w:r w:rsidR="0076537B">
        <w:t>4</w:t>
      </w:r>
      <w:r w:rsidR="00D776E3">
        <w:t xml:space="preserve"> age groups </w:t>
      </w:r>
      <w:r w:rsidR="004012A9">
        <w:t>have</w:t>
      </w:r>
      <w:r w:rsidR="00C074D5">
        <w:t xml:space="preserve"> the highest </w:t>
      </w:r>
      <w:r w:rsidR="00CF73CA">
        <w:t xml:space="preserve">expense </w:t>
      </w:r>
      <w:r w:rsidR="003427FA">
        <w:t>per ca</w:t>
      </w:r>
      <w:r w:rsidR="00AF3149">
        <w:t>p</w:t>
      </w:r>
      <w:r w:rsidR="003427FA">
        <w:t>ita</w:t>
      </w:r>
      <w:r w:rsidR="00447FA8">
        <w:t xml:space="preserve"> for all components</w:t>
      </w:r>
      <w:r w:rsidR="00861950">
        <w:t>.</w:t>
      </w:r>
      <w:r w:rsidR="00C074D5">
        <w:t xml:space="preserve"> </w:t>
      </w:r>
    </w:p>
    <w:p w14:paraId="56BCD3AB" w14:textId="3F93CDB9" w:rsidR="00AF3149" w:rsidRPr="002137BD" w:rsidRDefault="00917B0D" w:rsidP="00A47353">
      <w:pPr>
        <w:pStyle w:val="CGC2025Caption"/>
      </w:pPr>
      <w:bookmarkStart w:id="16" w:name="_Ref169269138"/>
      <w:r>
        <w:t xml:space="preserve">Figure </w:t>
      </w:r>
      <w:bookmarkEnd w:id="16"/>
      <w:r w:rsidR="003149B6">
        <w:t>4</w:t>
      </w:r>
      <w:r w:rsidR="00AF3149" w:rsidRPr="002137BD">
        <w:tab/>
      </w:r>
      <w:r w:rsidR="0072136A">
        <w:t>Public hospital e</w:t>
      </w:r>
      <w:r w:rsidR="00AF3149" w:rsidRPr="002137BD">
        <w:t>xpense</w:t>
      </w:r>
      <w:r w:rsidR="00A37095">
        <w:t>s</w:t>
      </w:r>
      <w:r w:rsidR="00AF3149" w:rsidRPr="002137BD">
        <w:t xml:space="preserve"> per capita by age</w:t>
      </w:r>
      <w:r w:rsidR="006B4E25">
        <w:t>, 2022</w:t>
      </w:r>
      <w:r w:rsidR="004D715F">
        <w:t>–</w:t>
      </w:r>
      <w:r w:rsidR="006B4E25">
        <w:t>23</w:t>
      </w:r>
    </w:p>
    <w:p w14:paraId="011E9496" w14:textId="453FA270" w:rsidR="00D168DF" w:rsidRDefault="00793C51" w:rsidP="00D168DF">
      <w:pPr>
        <w:pStyle w:val="NoSpacing"/>
      </w:pPr>
      <w:r w:rsidRPr="00793C51">
        <w:rPr>
          <w:noProof/>
        </w:rPr>
        <w:drawing>
          <wp:inline distT="0" distB="0" distL="0" distR="0" wp14:anchorId="58B4F5DD" wp14:editId="74AE3E23">
            <wp:extent cx="5677786" cy="20098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025" cy="2013433"/>
                    </a:xfrm>
                    <a:prstGeom prst="rect">
                      <a:avLst/>
                    </a:prstGeom>
                    <a:noFill/>
                    <a:ln>
                      <a:noFill/>
                    </a:ln>
                  </pic:spPr>
                </pic:pic>
              </a:graphicData>
            </a:graphic>
          </wp:inline>
        </w:drawing>
      </w:r>
    </w:p>
    <w:p w14:paraId="3A6DFFC4" w14:textId="29C6032F" w:rsidR="007E2536" w:rsidRDefault="00747E8F" w:rsidP="00A84338">
      <w:pPr>
        <w:pStyle w:val="CGC2025TableNote"/>
        <w:ind w:left="709" w:hanging="596"/>
      </w:pPr>
      <w:r>
        <w:t xml:space="preserve">Source: </w:t>
      </w:r>
      <w:r w:rsidR="00A84338">
        <w:tab/>
      </w:r>
      <w:r>
        <w:t xml:space="preserve">Commission calculation using </w:t>
      </w:r>
      <w:r w:rsidRPr="009C62E5">
        <w:t>I</w:t>
      </w:r>
      <w:r w:rsidR="00D85562">
        <w:t xml:space="preserve">HACPA </w:t>
      </w:r>
      <w:r w:rsidR="00B82A96">
        <w:t>national weighted ac</w:t>
      </w:r>
      <w:r w:rsidR="00672D36">
        <w:t>tivity unit data</w:t>
      </w:r>
      <w:r w:rsidR="0059247A">
        <w:t xml:space="preserve"> and ABS </w:t>
      </w:r>
      <w:r w:rsidR="00077BAF">
        <w:t xml:space="preserve">unpublished </w:t>
      </w:r>
      <w:r>
        <w:t>GFS expenses and population data.</w:t>
      </w:r>
    </w:p>
    <w:p w14:paraId="05FA7FC3" w14:textId="6D2334BF" w:rsidR="008867B0" w:rsidRDefault="008867B0" w:rsidP="00A84338">
      <w:pPr>
        <w:pStyle w:val="CGC2025TableNote"/>
        <w:ind w:left="709" w:hanging="596"/>
      </w:pPr>
    </w:p>
    <w:p w14:paraId="4E4D6106" w14:textId="7AAB816A" w:rsidR="008867B0" w:rsidRDefault="00566C4F" w:rsidP="00A84338">
      <w:pPr>
        <w:pStyle w:val="CGC2025TableNote"/>
        <w:ind w:left="709" w:hanging="596"/>
      </w:pPr>
      <w:r w:rsidRPr="001C4DF3">
        <w:rPr>
          <w:noProof/>
        </w:rPr>
        <mc:AlternateContent>
          <mc:Choice Requires="wps">
            <w:drawing>
              <wp:anchor distT="0" distB="0" distL="114300" distR="114300" simplePos="0" relativeHeight="251658240" behindDoc="0" locked="0" layoutInCell="1" allowOverlap="1" wp14:anchorId="7B259C75" wp14:editId="78165BA7">
                <wp:simplePos x="0" y="0"/>
                <wp:positionH relativeFrom="margin">
                  <wp:posOffset>0</wp:posOffset>
                </wp:positionH>
                <wp:positionV relativeFrom="paragraph">
                  <wp:posOffset>139700</wp:posOffset>
                </wp:positionV>
                <wp:extent cx="5760000" cy="4140000"/>
                <wp:effectExtent l="0" t="0" r="0" b="0"/>
                <wp:wrapSquare wrapText="bothSides"/>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4140000"/>
                        </a:xfrm>
                        <a:prstGeom prst="rect">
                          <a:avLst/>
                        </a:prstGeom>
                        <a:solidFill>
                          <a:srgbClr val="E5F8FF"/>
                        </a:solidFill>
                        <a:ln w="25400" cap="flat" cmpd="sng" algn="ctr">
                          <a:noFill/>
                          <a:prstDash val="solid"/>
                        </a:ln>
                        <a:effectLst/>
                      </wps:spPr>
                      <wps:txbx>
                        <w:txbxContent>
                          <w:p w14:paraId="15A75C26" w14:textId="5535576C" w:rsidR="00177AB2" w:rsidRDefault="00A42C43" w:rsidP="00566C4F">
                            <w:pPr>
                              <w:pStyle w:val="Heading4"/>
                              <w:tabs>
                                <w:tab w:val="left" w:pos="1134"/>
                              </w:tabs>
                              <w:spacing w:before="0"/>
                            </w:pPr>
                            <w:r>
                              <w:t>Box 1</w:t>
                            </w:r>
                            <w:r w:rsidR="00B02DF1">
                              <w:tab/>
                            </w:r>
                            <w:r w:rsidR="002C7A01">
                              <w:t>Calculating s</w:t>
                            </w:r>
                            <w:r w:rsidR="009110AF">
                              <w:t>ocio-demographic composition</w:t>
                            </w:r>
                            <w:r w:rsidR="001823FB">
                              <w:t xml:space="preserve"> assessed expenses</w:t>
                            </w:r>
                          </w:p>
                          <w:p w14:paraId="2A55F3A2" w14:textId="5DD1E6A5" w:rsidR="00B15033" w:rsidRDefault="003F1257" w:rsidP="00B36E32">
                            <w:pPr>
                              <w:pStyle w:val="CGC2025Bullet1"/>
                              <w:numPr>
                                <w:ilvl w:val="0"/>
                                <w:numId w:val="0"/>
                              </w:numPr>
                              <w:tabs>
                                <w:tab w:val="clear" w:pos="567"/>
                                <w:tab w:val="left" w:pos="1134"/>
                              </w:tabs>
                            </w:pPr>
                            <w:r w:rsidRPr="0055004E">
                              <w:t>Th</w:t>
                            </w:r>
                            <w:r w:rsidR="0037023A" w:rsidRPr="0055004E">
                              <w:t>e following calculation is</w:t>
                            </w:r>
                            <w:r w:rsidR="00D82A8B">
                              <w:t xml:space="preserve"> undertaken</w:t>
                            </w:r>
                            <w:r w:rsidR="00F94323">
                              <w:t xml:space="preserve"> </w:t>
                            </w:r>
                            <w:r w:rsidR="008C6162">
                              <w:t xml:space="preserve">for </w:t>
                            </w:r>
                            <w:r w:rsidR="00EE395B" w:rsidRPr="0055004E">
                              <w:t>the 3 hospital components</w:t>
                            </w:r>
                            <w:r w:rsidR="00D531B2" w:rsidRPr="0055004E">
                              <w:t xml:space="preserve"> as well as </w:t>
                            </w:r>
                            <w:r w:rsidR="0055004E">
                              <w:t xml:space="preserve">the </w:t>
                            </w:r>
                            <w:r w:rsidR="00885DBC" w:rsidRPr="0055004E">
                              <w:t>community and public health</w:t>
                            </w:r>
                            <w:r w:rsidR="0055004E">
                              <w:t xml:space="preserve"> component</w:t>
                            </w:r>
                            <w:r w:rsidRPr="0055004E">
                              <w:t>.</w:t>
                            </w:r>
                            <w:r w:rsidR="006D0027" w:rsidRPr="0055004E">
                              <w:t xml:space="preserve"> </w:t>
                            </w:r>
                          </w:p>
                          <w:p w14:paraId="7356E8BD" w14:textId="1AB61C89" w:rsidR="003F1257" w:rsidRDefault="0063677E" w:rsidP="00B36E32">
                            <w:pPr>
                              <w:pStyle w:val="CGC2025Bullet1"/>
                              <w:numPr>
                                <w:ilvl w:val="0"/>
                                <w:numId w:val="0"/>
                              </w:numPr>
                              <w:tabs>
                                <w:tab w:val="clear" w:pos="567"/>
                                <w:tab w:val="left" w:pos="1418"/>
                              </w:tabs>
                            </w:pPr>
                            <w:r w:rsidRPr="0055004E">
                              <w:t xml:space="preserve">The </w:t>
                            </w:r>
                            <w:r w:rsidR="00E01C55" w:rsidRPr="0055004E">
                              <w:t>socio-demographic composition</w:t>
                            </w:r>
                            <w:r w:rsidR="002059C6">
                              <w:t xml:space="preserve"> (SDC)</w:t>
                            </w:r>
                            <w:r w:rsidR="00E01C55" w:rsidRPr="0055004E">
                              <w:t xml:space="preserve"> </w:t>
                            </w:r>
                            <w:r w:rsidR="006A782F" w:rsidRPr="0055004E">
                              <w:t xml:space="preserve">assessed expenses </w:t>
                            </w:r>
                            <w:r w:rsidR="007E1435">
                              <w:t xml:space="preserve">for each state </w:t>
                            </w:r>
                            <w:r w:rsidR="006A782F" w:rsidRPr="0055004E">
                              <w:t>are derived by</w:t>
                            </w:r>
                            <w:r w:rsidR="001F33F5" w:rsidRPr="0055004E">
                              <w:t>:</w:t>
                            </w:r>
                            <w:r w:rsidR="001F33F5">
                              <w:t xml:space="preserve"> </w:t>
                            </w:r>
                          </w:p>
                          <w:p w14:paraId="6DE44DB7" w14:textId="3A5F5B4A" w:rsidR="008A39C4" w:rsidRDefault="006A782F" w:rsidP="00316537">
                            <w:pPr>
                              <w:pStyle w:val="CGC2025Bullet1"/>
                            </w:pPr>
                            <w:r>
                              <w:t>a</w:t>
                            </w:r>
                            <w:r w:rsidR="006A59ED">
                              <w:t>llocat</w:t>
                            </w:r>
                            <w:r w:rsidR="00E31D0E">
                              <w:t xml:space="preserve">ing </w:t>
                            </w:r>
                            <w:r w:rsidR="00354069">
                              <w:t xml:space="preserve">total </w:t>
                            </w:r>
                            <w:r w:rsidR="004F3704">
                              <w:t xml:space="preserve">national </w:t>
                            </w:r>
                            <w:r w:rsidR="00354069">
                              <w:t>exp</w:t>
                            </w:r>
                            <w:r w:rsidR="006E5A5C">
                              <w:t>ense</w:t>
                            </w:r>
                            <w:r w:rsidR="00354069">
                              <w:t>s</w:t>
                            </w:r>
                            <w:r w:rsidR="00F00EE0">
                              <w:t xml:space="preserve"> for each component </w:t>
                            </w:r>
                            <w:r w:rsidR="009124D1">
                              <w:t xml:space="preserve">to </w:t>
                            </w:r>
                            <w:r w:rsidR="00730160">
                              <w:t>each</w:t>
                            </w:r>
                            <w:r w:rsidR="008C623B">
                              <w:t xml:space="preserve"> of the </w:t>
                            </w:r>
                            <w:r w:rsidR="00E77873">
                              <w:t>socio</w:t>
                            </w:r>
                            <w:r w:rsidR="00E77873">
                              <w:noBreakHyphen/>
                              <w:t>demographic</w:t>
                            </w:r>
                            <w:r w:rsidR="009124D1">
                              <w:t xml:space="preserve"> groups</w:t>
                            </w:r>
                            <w:r w:rsidR="00BA456C">
                              <w:t xml:space="preserve"> </w:t>
                            </w:r>
                            <w:r w:rsidR="00E87EE8">
                              <w:t xml:space="preserve">in </w:t>
                            </w:r>
                            <w:r w:rsidR="004E65E1">
                              <w:fldChar w:fldCharType="begin"/>
                            </w:r>
                            <w:r w:rsidR="004E65E1">
                              <w:instrText xml:space="preserve"> REF _Ref169171311 \h </w:instrText>
                            </w:r>
                            <w:r w:rsidR="004E65E1">
                              <w:fldChar w:fldCharType="separate"/>
                            </w:r>
                            <w:r w:rsidR="00344599" w:rsidRPr="00C13123">
                              <w:t xml:space="preserve">Table </w:t>
                            </w:r>
                            <w:r w:rsidR="00344599">
                              <w:rPr>
                                <w:noProof/>
                              </w:rPr>
                              <w:t>5</w:t>
                            </w:r>
                            <w:r w:rsidR="004E65E1">
                              <w:fldChar w:fldCharType="end"/>
                            </w:r>
                            <w:r w:rsidR="00E87EE8">
                              <w:t xml:space="preserve"> </w:t>
                            </w:r>
                            <w:r w:rsidR="009124D1">
                              <w:t xml:space="preserve">based on the distribution of </w:t>
                            </w:r>
                            <w:r w:rsidR="00B0479D">
                              <w:t>NWAU</w:t>
                            </w:r>
                            <w:r w:rsidR="00E07E77">
                              <w:t xml:space="preserve"> </w:t>
                            </w:r>
                          </w:p>
                          <w:p w14:paraId="6EED56A3" w14:textId="18FB3ECD" w:rsidR="00DF5211" w:rsidRDefault="00431623" w:rsidP="00316537">
                            <w:pPr>
                              <w:pStyle w:val="CGC2025Bullet2"/>
                            </w:pPr>
                            <w:r>
                              <w:t xml:space="preserve">i.e. </w:t>
                            </w:r>
                            <w:r w:rsidR="00C42B80">
                              <w:t xml:space="preserve">SDC expenses = </w:t>
                            </w:r>
                            <w:r>
                              <w:t>total expenses</w:t>
                            </w:r>
                            <w:r w:rsidR="00C3335F">
                              <w:t xml:space="preserve"> </w:t>
                            </w:r>
                            <w:r w:rsidR="0053529F">
                              <w:t>*</w:t>
                            </w:r>
                            <w:r w:rsidR="00C3335F">
                              <w:t xml:space="preserve"> </w:t>
                            </w:r>
                            <w:r w:rsidR="0053529F">
                              <w:t>(SDC NWAU</w:t>
                            </w:r>
                            <w:r w:rsidR="00C93CBD">
                              <w:t xml:space="preserve"> </w:t>
                            </w:r>
                            <w:r w:rsidR="0053529F">
                              <w:t>/</w:t>
                            </w:r>
                            <w:r w:rsidR="00C93CBD">
                              <w:t xml:space="preserve"> </w:t>
                            </w:r>
                            <w:r w:rsidR="00C91690">
                              <w:t>t</w:t>
                            </w:r>
                            <w:r w:rsidR="0053529F">
                              <w:t xml:space="preserve">otal </w:t>
                            </w:r>
                            <w:r w:rsidR="00C91690">
                              <w:t>NWAU)</w:t>
                            </w:r>
                          </w:p>
                          <w:p w14:paraId="626DE89F" w14:textId="77777777" w:rsidR="0069770B" w:rsidRDefault="006A782F" w:rsidP="00316537">
                            <w:pPr>
                              <w:pStyle w:val="CGC2025Bullet1"/>
                            </w:pPr>
                            <w:r>
                              <w:t>d</w:t>
                            </w:r>
                            <w:r w:rsidR="001C03FC" w:rsidRPr="001C03FC">
                              <w:t xml:space="preserve">ividing </w:t>
                            </w:r>
                            <w:r w:rsidR="00863986">
                              <w:t xml:space="preserve">the </w:t>
                            </w:r>
                            <w:r w:rsidR="001C03FC" w:rsidRPr="001C03FC">
                              <w:t xml:space="preserve">expenses </w:t>
                            </w:r>
                            <w:r w:rsidR="00863986">
                              <w:t xml:space="preserve">attributable to each </w:t>
                            </w:r>
                            <w:r w:rsidR="00664F40" w:rsidRPr="0055004E">
                              <w:t xml:space="preserve">socio-demographic </w:t>
                            </w:r>
                            <w:r w:rsidR="00863986">
                              <w:t xml:space="preserve">group by the </w:t>
                            </w:r>
                            <w:r w:rsidR="001C03FC" w:rsidRPr="001C03FC">
                              <w:t xml:space="preserve">national population </w:t>
                            </w:r>
                            <w:r w:rsidR="009C50E6">
                              <w:t>in that</w:t>
                            </w:r>
                            <w:r w:rsidR="004B6A9F">
                              <w:t xml:space="preserve"> group</w:t>
                            </w:r>
                            <w:r w:rsidR="009C50E6">
                              <w:t xml:space="preserve"> </w:t>
                            </w:r>
                            <w:r w:rsidR="00BD5E61">
                              <w:t xml:space="preserve">to </w:t>
                            </w:r>
                            <w:r w:rsidR="00F234FF">
                              <w:t>obtain expenses per person for each socio</w:t>
                            </w:r>
                            <w:r w:rsidR="00F234FF">
                              <w:noBreakHyphen/>
                              <w:t>demographic</w:t>
                            </w:r>
                            <w:r w:rsidR="0069770B">
                              <w:t xml:space="preserve"> group</w:t>
                            </w:r>
                          </w:p>
                          <w:p w14:paraId="72133470" w14:textId="5775F273" w:rsidR="0069770B" w:rsidRDefault="0069770B" w:rsidP="00316537">
                            <w:pPr>
                              <w:pStyle w:val="CGC2025Bullet2"/>
                            </w:pPr>
                            <w:r>
                              <w:t xml:space="preserve">i.e. </w:t>
                            </w:r>
                            <w:r w:rsidR="00964604">
                              <w:t xml:space="preserve">SDC expenses per person = </w:t>
                            </w:r>
                            <w:r w:rsidR="00D07B33">
                              <w:t>SDC expenses / SDC population</w:t>
                            </w:r>
                          </w:p>
                          <w:p w14:paraId="4BCBEACB" w14:textId="5B76C047" w:rsidR="00270941" w:rsidRDefault="006A782F" w:rsidP="00316537">
                            <w:pPr>
                              <w:pStyle w:val="CGC2025Bullet1"/>
                            </w:pPr>
                            <w:r>
                              <w:t>m</w:t>
                            </w:r>
                            <w:r w:rsidR="00FC5090">
                              <w:t xml:space="preserve">ultiplying </w:t>
                            </w:r>
                            <w:r w:rsidR="003043B0">
                              <w:t xml:space="preserve">the </w:t>
                            </w:r>
                            <w:r w:rsidR="008D30F3">
                              <w:t>n</w:t>
                            </w:r>
                            <w:r w:rsidR="00E94570">
                              <w:t xml:space="preserve">ational average </w:t>
                            </w:r>
                            <w:r w:rsidR="00037A09">
                              <w:t xml:space="preserve">expense per </w:t>
                            </w:r>
                            <w:r w:rsidR="00D4327D">
                              <w:t>person</w:t>
                            </w:r>
                            <w:r w:rsidR="006E21A4">
                              <w:t xml:space="preserve"> </w:t>
                            </w:r>
                            <w:r w:rsidR="000E5607">
                              <w:t xml:space="preserve">for each </w:t>
                            </w:r>
                            <w:r w:rsidR="00D4327D" w:rsidRPr="0055004E">
                              <w:t>socio</w:t>
                            </w:r>
                            <w:r w:rsidR="001B7992">
                              <w:noBreakHyphen/>
                            </w:r>
                            <w:r w:rsidR="00D4327D" w:rsidRPr="0055004E">
                              <w:t>demographic</w:t>
                            </w:r>
                            <w:r w:rsidR="00D4327D">
                              <w:t xml:space="preserve"> </w:t>
                            </w:r>
                            <w:r w:rsidR="000E5607">
                              <w:t xml:space="preserve">group </w:t>
                            </w:r>
                            <w:r w:rsidR="00F25070">
                              <w:t xml:space="preserve">by </w:t>
                            </w:r>
                            <w:r w:rsidR="000E5607">
                              <w:t xml:space="preserve">the number of people </w:t>
                            </w:r>
                            <w:r w:rsidR="003409BC">
                              <w:t xml:space="preserve">in </w:t>
                            </w:r>
                            <w:r w:rsidR="00773C95">
                              <w:t xml:space="preserve">that </w:t>
                            </w:r>
                            <w:r w:rsidR="003B1878">
                              <w:t>group</w:t>
                            </w:r>
                            <w:r w:rsidR="0032048B">
                              <w:t xml:space="preserve"> in each </w:t>
                            </w:r>
                            <w:r w:rsidR="0037613B">
                              <w:t>state</w:t>
                            </w:r>
                          </w:p>
                          <w:p w14:paraId="0BC52AA0" w14:textId="71A73F97" w:rsidR="00F36B12" w:rsidRDefault="00F36B12" w:rsidP="00316537">
                            <w:pPr>
                              <w:pStyle w:val="CGC2025Bullet2"/>
                            </w:pPr>
                            <w:r>
                              <w:t xml:space="preserve">i.e. assessed spending </w:t>
                            </w:r>
                            <w:r w:rsidR="00A103AA">
                              <w:t xml:space="preserve">per SDC group </w:t>
                            </w:r>
                            <w:r>
                              <w:t xml:space="preserve">= </w:t>
                            </w:r>
                            <w:r w:rsidR="00DE1395">
                              <w:t xml:space="preserve">SDC expenses per person * </w:t>
                            </w:r>
                            <w:r w:rsidR="00E260A4">
                              <w:t>state population in SDC group</w:t>
                            </w:r>
                          </w:p>
                          <w:p w14:paraId="3BEA12D0" w14:textId="6EF0DBBF" w:rsidR="00603B21" w:rsidRDefault="0032048B" w:rsidP="00316537">
                            <w:pPr>
                              <w:pStyle w:val="CGC2025Bullet1"/>
                            </w:pPr>
                            <w:r>
                              <w:t>s</w:t>
                            </w:r>
                            <w:r w:rsidR="00270941">
                              <w:t xml:space="preserve">umming </w:t>
                            </w:r>
                            <w:r w:rsidR="00171E6C">
                              <w:t xml:space="preserve">assessed </w:t>
                            </w:r>
                            <w:r w:rsidR="00A103AA">
                              <w:t>spending</w:t>
                            </w:r>
                            <w:r w:rsidR="00171E6C">
                              <w:t xml:space="preserve"> for </w:t>
                            </w:r>
                            <w:r w:rsidR="00E42733">
                              <w:t xml:space="preserve">all </w:t>
                            </w:r>
                            <w:r w:rsidR="00AF2E95" w:rsidRPr="0055004E">
                              <w:t>socio-demographic</w:t>
                            </w:r>
                            <w:r w:rsidR="00AF2E95">
                              <w:t xml:space="preserve"> </w:t>
                            </w:r>
                            <w:r w:rsidR="00171E6C">
                              <w:t>group</w:t>
                            </w:r>
                            <w:r w:rsidR="00E42733">
                              <w:t>s</w:t>
                            </w:r>
                            <w:r w:rsidR="00171E6C">
                              <w:t xml:space="preserve"> </w:t>
                            </w:r>
                            <w:r w:rsidR="00AF2E95">
                              <w:t xml:space="preserve">to </w:t>
                            </w:r>
                            <w:r w:rsidR="002259CF">
                              <w:t xml:space="preserve">give </w:t>
                            </w:r>
                            <w:r w:rsidR="002F6EF0">
                              <w:t xml:space="preserve">total </w:t>
                            </w:r>
                            <w:r w:rsidR="00593A17">
                              <w:t xml:space="preserve">assessed </w:t>
                            </w:r>
                            <w:r w:rsidR="009C5A39">
                              <w:t>expenses</w:t>
                            </w:r>
                            <w:r w:rsidR="003A5450">
                              <w:t xml:space="preserve"> for each st</w:t>
                            </w:r>
                            <w:r w:rsidR="006534CC">
                              <w:t>ate</w:t>
                            </w:r>
                            <w:r w:rsidR="009B4B34">
                              <w:t>.</w:t>
                            </w:r>
                            <w:r w:rsidR="003406A3">
                              <w:t xml:space="preserve"> </w:t>
                            </w:r>
                          </w:p>
                          <w:p w14:paraId="06F908EB" w14:textId="4496612A" w:rsidR="00177AB2" w:rsidRPr="000C1A33" w:rsidRDefault="004823D7" w:rsidP="00B36E32">
                            <w:pPr>
                              <w:pStyle w:val="CGC2025Bullet1"/>
                              <w:numPr>
                                <w:ilvl w:val="0"/>
                                <w:numId w:val="0"/>
                              </w:numPr>
                            </w:pPr>
                            <w:r w:rsidRPr="000C1A33">
                              <w:t xml:space="preserve">See </w:t>
                            </w:r>
                            <w:r w:rsidR="00C2049D">
                              <w:t>Table 7</w:t>
                            </w:r>
                            <w:r w:rsidR="00A85B94">
                              <w:t xml:space="preserve"> </w:t>
                            </w:r>
                            <w:r w:rsidRPr="000C1A33">
                              <w:t>for</w:t>
                            </w:r>
                            <w:r w:rsidR="00F432A1" w:rsidRPr="000C1A33">
                              <w:t xml:space="preserve"> a sample of </w:t>
                            </w:r>
                            <w:r w:rsidRPr="000C1A33">
                              <w:t>this calculation</w:t>
                            </w:r>
                            <w:r w:rsidR="00980F39" w:rsidRPr="000C1A3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59C75" id="Rectangle 23" o:spid="_x0000_s1026" alt="&quot;&quot;" style="position:absolute;left:0;text-align:left;margin-left:0;margin-top:11pt;width:453.55pt;height:3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" fillcolor="#e5f8ff" stroked="f" strokeweight="2pt">
                <v:textbox>
                  <w:txbxContent>
                    <w:p w14:paraId="15A75C26" w14:textId="5535576C" w:rsidR="00177AB2" w:rsidRDefault="00A42C43" w:rsidP="00566C4F">
                      <w:pPr>
                        <w:pStyle w:val="Heading4"/>
                        <w:tabs>
                          <w:tab w:val="left" w:pos="1134"/>
                        </w:tabs>
                        <w:spacing w:before="0"/>
                      </w:pPr>
                      <w:r>
                        <w:t>Box 1</w:t>
                      </w:r>
                      <w:r w:rsidR="00B02DF1">
                        <w:tab/>
                      </w:r>
                      <w:r w:rsidR="002C7A01">
                        <w:t>Calculating s</w:t>
                      </w:r>
                      <w:r w:rsidR="009110AF">
                        <w:t>ocio-demographic composition</w:t>
                      </w:r>
                      <w:r w:rsidR="001823FB">
                        <w:t xml:space="preserve"> assessed expenses</w:t>
                      </w:r>
                    </w:p>
                    <w:p w14:paraId="2A55F3A2" w14:textId="5DD1E6A5" w:rsidR="00B15033" w:rsidRDefault="003F1257" w:rsidP="00B36E32">
                      <w:pPr>
                        <w:pStyle w:val="CGC2025Bullet1"/>
                        <w:numPr>
                          <w:ilvl w:val="0"/>
                          <w:numId w:val="0"/>
                        </w:numPr>
                        <w:tabs>
                          <w:tab w:val="clear" w:pos="567"/>
                          <w:tab w:val="left" w:pos="1134"/>
                        </w:tabs>
                      </w:pPr>
                      <w:r w:rsidRPr="0055004E">
                        <w:t>Th</w:t>
                      </w:r>
                      <w:r w:rsidR="0037023A" w:rsidRPr="0055004E">
                        <w:t>e following calculation is</w:t>
                      </w:r>
                      <w:r w:rsidR="00D82A8B">
                        <w:t xml:space="preserve"> undertaken</w:t>
                      </w:r>
                      <w:r w:rsidR="00F94323">
                        <w:t xml:space="preserve"> </w:t>
                      </w:r>
                      <w:r w:rsidR="008C6162">
                        <w:t xml:space="preserve">for </w:t>
                      </w:r>
                      <w:r w:rsidR="00EE395B" w:rsidRPr="0055004E">
                        <w:t>the 3 hospital components</w:t>
                      </w:r>
                      <w:r w:rsidR="00D531B2" w:rsidRPr="0055004E">
                        <w:t xml:space="preserve"> as well as </w:t>
                      </w:r>
                      <w:r w:rsidR="0055004E">
                        <w:t xml:space="preserve">the </w:t>
                      </w:r>
                      <w:r w:rsidR="00885DBC" w:rsidRPr="0055004E">
                        <w:t>community and public health</w:t>
                      </w:r>
                      <w:r w:rsidR="0055004E">
                        <w:t xml:space="preserve"> component</w:t>
                      </w:r>
                      <w:r w:rsidRPr="0055004E">
                        <w:t>.</w:t>
                      </w:r>
                      <w:r w:rsidR="006D0027" w:rsidRPr="0055004E">
                        <w:t xml:space="preserve"> </w:t>
                      </w:r>
                    </w:p>
                    <w:p w14:paraId="7356E8BD" w14:textId="1AB61C89" w:rsidR="003F1257" w:rsidRDefault="0063677E" w:rsidP="00B36E32">
                      <w:pPr>
                        <w:pStyle w:val="CGC2025Bullet1"/>
                        <w:numPr>
                          <w:ilvl w:val="0"/>
                          <w:numId w:val="0"/>
                        </w:numPr>
                        <w:tabs>
                          <w:tab w:val="clear" w:pos="567"/>
                          <w:tab w:val="left" w:pos="1418"/>
                        </w:tabs>
                      </w:pPr>
                      <w:r w:rsidRPr="0055004E">
                        <w:t xml:space="preserve">The </w:t>
                      </w:r>
                      <w:r w:rsidR="00E01C55" w:rsidRPr="0055004E">
                        <w:t>socio-demographic composition</w:t>
                      </w:r>
                      <w:r w:rsidR="002059C6">
                        <w:t xml:space="preserve"> (SDC)</w:t>
                      </w:r>
                      <w:r w:rsidR="00E01C55" w:rsidRPr="0055004E">
                        <w:t xml:space="preserve"> </w:t>
                      </w:r>
                      <w:r w:rsidR="006A782F" w:rsidRPr="0055004E">
                        <w:t xml:space="preserve">assessed expenses </w:t>
                      </w:r>
                      <w:r w:rsidR="007E1435">
                        <w:t xml:space="preserve">for each state </w:t>
                      </w:r>
                      <w:r w:rsidR="006A782F" w:rsidRPr="0055004E">
                        <w:t>are derived by</w:t>
                      </w:r>
                      <w:r w:rsidR="001F33F5" w:rsidRPr="0055004E">
                        <w:t>:</w:t>
                      </w:r>
                      <w:r w:rsidR="001F33F5">
                        <w:t xml:space="preserve"> </w:t>
                      </w:r>
                    </w:p>
                    <w:p w14:paraId="6DE44DB7" w14:textId="3A5F5B4A" w:rsidR="008A39C4" w:rsidRDefault="006A782F" w:rsidP="00316537">
                      <w:pPr>
                        <w:pStyle w:val="CGC2025Bullet1"/>
                      </w:pPr>
                      <w:r>
                        <w:t>a</w:t>
                      </w:r>
                      <w:r w:rsidR="006A59ED">
                        <w:t>llocat</w:t>
                      </w:r>
                      <w:r w:rsidR="00E31D0E">
                        <w:t xml:space="preserve">ing </w:t>
                      </w:r>
                      <w:r w:rsidR="00354069">
                        <w:t xml:space="preserve">total </w:t>
                      </w:r>
                      <w:r w:rsidR="004F3704">
                        <w:t xml:space="preserve">national </w:t>
                      </w:r>
                      <w:r w:rsidR="00354069">
                        <w:t>exp</w:t>
                      </w:r>
                      <w:r w:rsidR="006E5A5C">
                        <w:t>ense</w:t>
                      </w:r>
                      <w:r w:rsidR="00354069">
                        <w:t>s</w:t>
                      </w:r>
                      <w:r w:rsidR="00F00EE0">
                        <w:t xml:space="preserve"> for each component </w:t>
                      </w:r>
                      <w:r w:rsidR="009124D1">
                        <w:t xml:space="preserve">to </w:t>
                      </w:r>
                      <w:r w:rsidR="00730160">
                        <w:t>each</w:t>
                      </w:r>
                      <w:r w:rsidR="008C623B">
                        <w:t xml:space="preserve"> of the </w:t>
                      </w:r>
                      <w:r w:rsidR="00E77873">
                        <w:t>socio</w:t>
                      </w:r>
                      <w:r w:rsidR="00E77873">
                        <w:noBreakHyphen/>
                        <w:t>demographic</w:t>
                      </w:r>
                      <w:r w:rsidR="009124D1">
                        <w:t xml:space="preserve"> groups</w:t>
                      </w:r>
                      <w:r w:rsidR="00BA456C">
                        <w:t xml:space="preserve"> </w:t>
                      </w:r>
                      <w:r w:rsidR="00E87EE8">
                        <w:t xml:space="preserve">in </w:t>
                      </w:r>
                      <w:r w:rsidR="004E65E1">
                        <w:fldChar w:fldCharType="begin"/>
                      </w:r>
                      <w:r w:rsidR="004E65E1">
                        <w:instrText xml:space="preserve"> REF _Ref169171311 \h </w:instrText>
                      </w:r>
                      <w:r w:rsidR="004E65E1">
                        <w:fldChar w:fldCharType="separate"/>
                      </w:r>
                      <w:r w:rsidR="00344599" w:rsidRPr="00C13123">
                        <w:t xml:space="preserve">Table </w:t>
                      </w:r>
                      <w:r w:rsidR="00344599">
                        <w:rPr>
                          <w:noProof/>
                        </w:rPr>
                        <w:t>5</w:t>
                      </w:r>
                      <w:r w:rsidR="004E65E1">
                        <w:fldChar w:fldCharType="end"/>
                      </w:r>
                      <w:r w:rsidR="00E87EE8">
                        <w:t xml:space="preserve"> </w:t>
                      </w:r>
                      <w:r w:rsidR="009124D1">
                        <w:t xml:space="preserve">based on the distribution of </w:t>
                      </w:r>
                      <w:r w:rsidR="00B0479D">
                        <w:t>NWAU</w:t>
                      </w:r>
                      <w:r w:rsidR="00E07E77">
                        <w:t xml:space="preserve"> </w:t>
                      </w:r>
                    </w:p>
                    <w:p w14:paraId="6EED56A3" w14:textId="18FB3ECD" w:rsidR="00DF5211" w:rsidRDefault="00431623" w:rsidP="00316537">
                      <w:pPr>
                        <w:pStyle w:val="CGC2025Bullet2"/>
                      </w:pPr>
                      <w:r>
                        <w:t xml:space="preserve">i.e. </w:t>
                      </w:r>
                      <w:r w:rsidR="00C42B80">
                        <w:t xml:space="preserve">SDC expenses = </w:t>
                      </w:r>
                      <w:r>
                        <w:t>total expenses</w:t>
                      </w:r>
                      <w:r w:rsidR="00C3335F">
                        <w:t xml:space="preserve"> </w:t>
                      </w:r>
                      <w:r w:rsidR="0053529F">
                        <w:t>*</w:t>
                      </w:r>
                      <w:r w:rsidR="00C3335F">
                        <w:t xml:space="preserve"> </w:t>
                      </w:r>
                      <w:r w:rsidR="0053529F">
                        <w:t>(SDC NWAU</w:t>
                      </w:r>
                      <w:r w:rsidR="00C93CBD">
                        <w:t xml:space="preserve"> </w:t>
                      </w:r>
                      <w:r w:rsidR="0053529F">
                        <w:t>/</w:t>
                      </w:r>
                      <w:r w:rsidR="00C93CBD">
                        <w:t xml:space="preserve"> </w:t>
                      </w:r>
                      <w:r w:rsidR="00C91690">
                        <w:t>t</w:t>
                      </w:r>
                      <w:r w:rsidR="0053529F">
                        <w:t xml:space="preserve">otal </w:t>
                      </w:r>
                      <w:r w:rsidR="00C91690">
                        <w:t>NWAU)</w:t>
                      </w:r>
                    </w:p>
                    <w:p w14:paraId="626DE89F" w14:textId="77777777" w:rsidR="0069770B" w:rsidRDefault="006A782F" w:rsidP="00316537">
                      <w:pPr>
                        <w:pStyle w:val="CGC2025Bullet1"/>
                      </w:pPr>
                      <w:r>
                        <w:t>d</w:t>
                      </w:r>
                      <w:r w:rsidR="001C03FC" w:rsidRPr="001C03FC">
                        <w:t xml:space="preserve">ividing </w:t>
                      </w:r>
                      <w:r w:rsidR="00863986">
                        <w:t xml:space="preserve">the </w:t>
                      </w:r>
                      <w:r w:rsidR="001C03FC" w:rsidRPr="001C03FC">
                        <w:t xml:space="preserve">expenses </w:t>
                      </w:r>
                      <w:r w:rsidR="00863986">
                        <w:t xml:space="preserve">attributable to each </w:t>
                      </w:r>
                      <w:r w:rsidR="00664F40" w:rsidRPr="0055004E">
                        <w:t xml:space="preserve">socio-demographic </w:t>
                      </w:r>
                      <w:r w:rsidR="00863986">
                        <w:t xml:space="preserve">group by the </w:t>
                      </w:r>
                      <w:r w:rsidR="001C03FC" w:rsidRPr="001C03FC">
                        <w:t xml:space="preserve">national population </w:t>
                      </w:r>
                      <w:r w:rsidR="009C50E6">
                        <w:t>in that</w:t>
                      </w:r>
                      <w:r w:rsidR="004B6A9F">
                        <w:t xml:space="preserve"> group</w:t>
                      </w:r>
                      <w:r w:rsidR="009C50E6">
                        <w:t xml:space="preserve"> </w:t>
                      </w:r>
                      <w:r w:rsidR="00BD5E61">
                        <w:t xml:space="preserve">to </w:t>
                      </w:r>
                      <w:r w:rsidR="00F234FF">
                        <w:t>obtain expenses per person for each socio</w:t>
                      </w:r>
                      <w:r w:rsidR="00F234FF">
                        <w:noBreakHyphen/>
                        <w:t>demographic</w:t>
                      </w:r>
                      <w:r w:rsidR="0069770B">
                        <w:t xml:space="preserve"> group</w:t>
                      </w:r>
                    </w:p>
                    <w:p w14:paraId="72133470" w14:textId="5775F273" w:rsidR="0069770B" w:rsidRDefault="0069770B" w:rsidP="00316537">
                      <w:pPr>
                        <w:pStyle w:val="CGC2025Bullet2"/>
                      </w:pPr>
                      <w:r>
                        <w:t xml:space="preserve">i.e. </w:t>
                      </w:r>
                      <w:r w:rsidR="00964604">
                        <w:t xml:space="preserve">SDC expenses per person = </w:t>
                      </w:r>
                      <w:r w:rsidR="00D07B33">
                        <w:t>SDC expenses / SDC population</w:t>
                      </w:r>
                    </w:p>
                    <w:p w14:paraId="4BCBEACB" w14:textId="5B76C047" w:rsidR="00270941" w:rsidRDefault="006A782F" w:rsidP="00316537">
                      <w:pPr>
                        <w:pStyle w:val="CGC2025Bullet1"/>
                      </w:pPr>
                      <w:r>
                        <w:t>m</w:t>
                      </w:r>
                      <w:r w:rsidR="00FC5090">
                        <w:t xml:space="preserve">ultiplying </w:t>
                      </w:r>
                      <w:r w:rsidR="003043B0">
                        <w:t xml:space="preserve">the </w:t>
                      </w:r>
                      <w:r w:rsidR="008D30F3">
                        <w:t>n</w:t>
                      </w:r>
                      <w:r w:rsidR="00E94570">
                        <w:t xml:space="preserve">ational average </w:t>
                      </w:r>
                      <w:r w:rsidR="00037A09">
                        <w:t xml:space="preserve">expense per </w:t>
                      </w:r>
                      <w:r w:rsidR="00D4327D">
                        <w:t>person</w:t>
                      </w:r>
                      <w:r w:rsidR="006E21A4">
                        <w:t xml:space="preserve"> </w:t>
                      </w:r>
                      <w:r w:rsidR="000E5607">
                        <w:t xml:space="preserve">for each </w:t>
                      </w:r>
                      <w:r w:rsidR="00D4327D" w:rsidRPr="0055004E">
                        <w:t>socio</w:t>
                      </w:r>
                      <w:r w:rsidR="001B7992">
                        <w:noBreakHyphen/>
                      </w:r>
                      <w:r w:rsidR="00D4327D" w:rsidRPr="0055004E">
                        <w:t>demographic</w:t>
                      </w:r>
                      <w:r w:rsidR="00D4327D">
                        <w:t xml:space="preserve"> </w:t>
                      </w:r>
                      <w:r w:rsidR="000E5607">
                        <w:t xml:space="preserve">group </w:t>
                      </w:r>
                      <w:r w:rsidR="00F25070">
                        <w:t xml:space="preserve">by </w:t>
                      </w:r>
                      <w:r w:rsidR="000E5607">
                        <w:t xml:space="preserve">the number of people </w:t>
                      </w:r>
                      <w:r w:rsidR="003409BC">
                        <w:t xml:space="preserve">in </w:t>
                      </w:r>
                      <w:r w:rsidR="00773C95">
                        <w:t xml:space="preserve">that </w:t>
                      </w:r>
                      <w:r w:rsidR="003B1878">
                        <w:t>group</w:t>
                      </w:r>
                      <w:r w:rsidR="0032048B">
                        <w:t xml:space="preserve"> in each </w:t>
                      </w:r>
                      <w:r w:rsidR="0037613B">
                        <w:t>state</w:t>
                      </w:r>
                    </w:p>
                    <w:p w14:paraId="0BC52AA0" w14:textId="71A73F97" w:rsidR="00F36B12" w:rsidRDefault="00F36B12" w:rsidP="00316537">
                      <w:pPr>
                        <w:pStyle w:val="CGC2025Bullet2"/>
                      </w:pPr>
                      <w:r>
                        <w:t xml:space="preserve">i.e. assessed spending </w:t>
                      </w:r>
                      <w:r w:rsidR="00A103AA">
                        <w:t xml:space="preserve">per SDC group </w:t>
                      </w:r>
                      <w:r>
                        <w:t xml:space="preserve">= </w:t>
                      </w:r>
                      <w:r w:rsidR="00DE1395">
                        <w:t xml:space="preserve">SDC expenses per person * </w:t>
                      </w:r>
                      <w:r w:rsidR="00E260A4">
                        <w:t>state population in SDC group</w:t>
                      </w:r>
                    </w:p>
                    <w:p w14:paraId="3BEA12D0" w14:textId="6EF0DBBF" w:rsidR="00603B21" w:rsidRDefault="0032048B" w:rsidP="00316537">
                      <w:pPr>
                        <w:pStyle w:val="CGC2025Bullet1"/>
                      </w:pPr>
                      <w:r>
                        <w:t>s</w:t>
                      </w:r>
                      <w:r w:rsidR="00270941">
                        <w:t xml:space="preserve">umming </w:t>
                      </w:r>
                      <w:r w:rsidR="00171E6C">
                        <w:t xml:space="preserve">assessed </w:t>
                      </w:r>
                      <w:r w:rsidR="00A103AA">
                        <w:t>spending</w:t>
                      </w:r>
                      <w:r w:rsidR="00171E6C">
                        <w:t xml:space="preserve"> for </w:t>
                      </w:r>
                      <w:r w:rsidR="00E42733">
                        <w:t xml:space="preserve">all </w:t>
                      </w:r>
                      <w:r w:rsidR="00AF2E95" w:rsidRPr="0055004E">
                        <w:t>socio-demographic</w:t>
                      </w:r>
                      <w:r w:rsidR="00AF2E95">
                        <w:t xml:space="preserve"> </w:t>
                      </w:r>
                      <w:r w:rsidR="00171E6C">
                        <w:t>group</w:t>
                      </w:r>
                      <w:r w:rsidR="00E42733">
                        <w:t>s</w:t>
                      </w:r>
                      <w:r w:rsidR="00171E6C">
                        <w:t xml:space="preserve"> </w:t>
                      </w:r>
                      <w:r w:rsidR="00AF2E95">
                        <w:t xml:space="preserve">to </w:t>
                      </w:r>
                      <w:r w:rsidR="002259CF">
                        <w:t xml:space="preserve">give </w:t>
                      </w:r>
                      <w:r w:rsidR="002F6EF0">
                        <w:t xml:space="preserve">total </w:t>
                      </w:r>
                      <w:r w:rsidR="00593A17">
                        <w:t xml:space="preserve">assessed </w:t>
                      </w:r>
                      <w:r w:rsidR="009C5A39">
                        <w:t>expenses</w:t>
                      </w:r>
                      <w:r w:rsidR="003A5450">
                        <w:t xml:space="preserve"> for each st</w:t>
                      </w:r>
                      <w:r w:rsidR="006534CC">
                        <w:t>ate</w:t>
                      </w:r>
                      <w:r w:rsidR="009B4B34">
                        <w:t>.</w:t>
                      </w:r>
                      <w:r w:rsidR="003406A3">
                        <w:t xml:space="preserve"> </w:t>
                      </w:r>
                    </w:p>
                    <w:p w14:paraId="06F908EB" w14:textId="4496612A" w:rsidR="00177AB2" w:rsidRPr="000C1A33" w:rsidRDefault="004823D7" w:rsidP="00B36E32">
                      <w:pPr>
                        <w:pStyle w:val="CGC2025Bullet1"/>
                        <w:numPr>
                          <w:ilvl w:val="0"/>
                          <w:numId w:val="0"/>
                        </w:numPr>
                      </w:pPr>
                      <w:r w:rsidRPr="000C1A33">
                        <w:t xml:space="preserve">See </w:t>
                      </w:r>
                      <w:r w:rsidR="00C2049D">
                        <w:t>Table 7</w:t>
                      </w:r>
                      <w:r w:rsidR="00A85B94">
                        <w:t xml:space="preserve"> </w:t>
                      </w:r>
                      <w:r w:rsidRPr="000C1A33">
                        <w:t>for</w:t>
                      </w:r>
                      <w:r w:rsidR="00F432A1" w:rsidRPr="000C1A33">
                        <w:t xml:space="preserve"> a sample of </w:t>
                      </w:r>
                      <w:r w:rsidRPr="000C1A33">
                        <w:t>this calculation</w:t>
                      </w:r>
                      <w:r w:rsidR="00980F39" w:rsidRPr="000C1A33">
                        <w:t>.</w:t>
                      </w:r>
                    </w:p>
                  </w:txbxContent>
                </v:textbox>
                <w10:wrap type="square" anchorx="margin"/>
              </v:rect>
            </w:pict>
          </mc:Fallback>
        </mc:AlternateContent>
      </w:r>
    </w:p>
    <w:p w14:paraId="7A05AE4C" w14:textId="3E81718D" w:rsidR="00523745" w:rsidRDefault="00523745" w:rsidP="00297349">
      <w:pPr>
        <w:pStyle w:val="NoSpacing"/>
      </w:pPr>
    </w:p>
    <w:p w14:paraId="1655E151" w14:textId="7A2E4399" w:rsidR="00993739" w:rsidRPr="00B7731A" w:rsidRDefault="004E17E8" w:rsidP="0085751A">
      <w:pPr>
        <w:pStyle w:val="CGC2025Caption"/>
        <w:keepNext/>
        <w:ind w:left="1418" w:hanging="1418"/>
        <w:rPr>
          <w:bCs/>
        </w:rPr>
      </w:pPr>
      <w:bookmarkStart w:id="17" w:name="_Ref172022928"/>
      <w:r w:rsidRPr="00B7731A">
        <w:rPr>
          <w:bCs/>
        </w:rPr>
        <w:lastRenderedPageBreak/>
        <w:t xml:space="preserve">Table </w:t>
      </w:r>
      <w:bookmarkEnd w:id="17"/>
      <w:r w:rsidR="003149B6">
        <w:rPr>
          <w:bCs/>
        </w:rPr>
        <w:t>7</w:t>
      </w:r>
      <w:r w:rsidR="006C57DE" w:rsidRPr="00B7731A">
        <w:rPr>
          <w:bCs/>
        </w:rPr>
        <w:tab/>
        <w:t xml:space="preserve">Sample matrix </w:t>
      </w:r>
      <w:r w:rsidR="007C4EDF" w:rsidRPr="00B7731A">
        <w:rPr>
          <w:bCs/>
        </w:rPr>
        <w:t>illustrating the</w:t>
      </w:r>
      <w:r w:rsidR="006674D2" w:rsidRPr="00B7731A">
        <w:rPr>
          <w:bCs/>
        </w:rPr>
        <w:t xml:space="preserve"> </w:t>
      </w:r>
      <w:r w:rsidR="003C2FD9" w:rsidRPr="00B7731A">
        <w:rPr>
          <w:bCs/>
        </w:rPr>
        <w:t xml:space="preserve">socio-demographic </w:t>
      </w:r>
      <w:r w:rsidR="001B4769" w:rsidRPr="00B7731A">
        <w:rPr>
          <w:bCs/>
        </w:rPr>
        <w:t xml:space="preserve">composition </w:t>
      </w:r>
      <w:r w:rsidR="003C2FD9" w:rsidRPr="00B7731A">
        <w:rPr>
          <w:bCs/>
        </w:rPr>
        <w:t>assessed expenses</w:t>
      </w:r>
      <w:r w:rsidR="00CF6D71" w:rsidRPr="00B7731A">
        <w:rPr>
          <w:bCs/>
        </w:rPr>
        <w:t xml:space="preserve"> calculation</w:t>
      </w:r>
    </w:p>
    <w:p w14:paraId="62FCA3DC" w14:textId="215E3E4F" w:rsidR="00E00B7F" w:rsidRDefault="00B518E8" w:rsidP="00026429">
      <w:pPr>
        <w:pStyle w:val="NoSpacing"/>
        <w:keepNext/>
        <w:rPr>
          <w:noProof/>
        </w:rPr>
      </w:pPr>
      <w:r w:rsidRPr="00B518E8">
        <w:rPr>
          <w:noProof/>
        </w:rPr>
        <w:drawing>
          <wp:inline distT="0" distB="0" distL="0" distR="0" wp14:anchorId="79F6DA93" wp14:editId="335DA316">
            <wp:extent cx="5731510" cy="2637155"/>
            <wp:effectExtent l="0" t="0" r="2540" b="0"/>
            <wp:docPr id="1573747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637155"/>
                    </a:xfrm>
                    <a:prstGeom prst="rect">
                      <a:avLst/>
                    </a:prstGeom>
                    <a:noFill/>
                    <a:ln>
                      <a:noFill/>
                    </a:ln>
                  </pic:spPr>
                </pic:pic>
              </a:graphicData>
            </a:graphic>
          </wp:inline>
        </w:drawing>
      </w:r>
    </w:p>
    <w:p w14:paraId="64A7D325" w14:textId="075CED60" w:rsidR="00597C36" w:rsidRDefault="00597C36" w:rsidP="008F75B8">
      <w:pPr>
        <w:pStyle w:val="CGC2025TableNote"/>
      </w:pPr>
    </w:p>
    <w:p w14:paraId="1E3892C8" w14:textId="7BCC7048" w:rsidR="0049477E" w:rsidRDefault="000234CC" w:rsidP="00EC48C5">
      <w:pPr>
        <w:pStyle w:val="Heading4"/>
      </w:pPr>
      <w:r>
        <w:t>N</w:t>
      </w:r>
      <w:r w:rsidR="0049477E">
        <w:t>on-state sector</w:t>
      </w:r>
      <w:r>
        <w:t xml:space="preserve"> health </w:t>
      </w:r>
      <w:r w:rsidR="000B6DCB">
        <w:t>services</w:t>
      </w:r>
      <w:r w:rsidR="00B936C1">
        <w:t xml:space="preserve"> assessment</w:t>
      </w:r>
    </w:p>
    <w:p w14:paraId="0675589C" w14:textId="6C17F5F9" w:rsidR="00F816CA" w:rsidRDefault="00F50D90" w:rsidP="00134475">
      <w:pPr>
        <w:pStyle w:val="CGC2025ParaNumbers"/>
      </w:pPr>
      <w:r>
        <w:t>State government</w:t>
      </w:r>
      <w:r w:rsidR="0023164B">
        <w:t>s</w:t>
      </w:r>
      <w:r>
        <w:t xml:space="preserve"> are not the sole providers </w:t>
      </w:r>
      <w:r w:rsidR="00CD262D">
        <w:t xml:space="preserve">and funders </w:t>
      </w:r>
      <w:r>
        <w:t>of health services</w:t>
      </w:r>
      <w:r w:rsidR="0051706C">
        <w:t xml:space="preserve">. </w:t>
      </w:r>
      <w:r w:rsidR="00EC6105">
        <w:t>Health services are also provided by private</w:t>
      </w:r>
      <w:r w:rsidR="00836103">
        <w:t xml:space="preserve"> and community organisations</w:t>
      </w:r>
      <w:r w:rsidR="00C34BE1">
        <w:t xml:space="preserve"> and funded from private sources and/or the Commonwealth</w:t>
      </w:r>
      <w:r w:rsidR="00EC6105">
        <w:t xml:space="preserve">. The </w:t>
      </w:r>
      <w:r w:rsidR="0070413C">
        <w:t>h</w:t>
      </w:r>
      <w:r w:rsidR="00EC6105">
        <w:t>ealth assessment recognises the influence of non-</w:t>
      </w:r>
      <w:r w:rsidR="003F5E21">
        <w:t>s</w:t>
      </w:r>
      <w:r w:rsidR="00EC6105">
        <w:t xml:space="preserve">tate </w:t>
      </w:r>
      <w:r w:rsidR="00AD5635">
        <w:t>health services on state health expense needs</w:t>
      </w:r>
      <w:r w:rsidR="00EC6105">
        <w:t xml:space="preserve"> in </w:t>
      </w:r>
      <w:r w:rsidR="00E2490F">
        <w:t xml:space="preserve">2 </w:t>
      </w:r>
      <w:r w:rsidR="00EC6105">
        <w:t>ways</w:t>
      </w:r>
      <w:r w:rsidR="007925B5">
        <w:t>.</w:t>
      </w:r>
    </w:p>
    <w:p w14:paraId="35A52A62" w14:textId="766CD049" w:rsidR="006778E4" w:rsidRPr="000D552E" w:rsidRDefault="003E36C5" w:rsidP="008F67DA">
      <w:pPr>
        <w:pStyle w:val="CGC2025Bullet1"/>
        <w:rPr>
          <w:color w:val="000000" w:themeColor="text1"/>
        </w:rPr>
      </w:pPr>
      <w:r w:rsidRPr="000D552E">
        <w:rPr>
          <w:color w:val="000000" w:themeColor="text1"/>
        </w:rPr>
        <w:t xml:space="preserve">The </w:t>
      </w:r>
      <w:r w:rsidR="000E0A60" w:rsidRPr="000D552E">
        <w:rPr>
          <w:color w:val="000000" w:themeColor="text1"/>
        </w:rPr>
        <w:t xml:space="preserve">socio-demographic composition assessment </w:t>
      </w:r>
      <w:r w:rsidR="00081610" w:rsidRPr="000D552E">
        <w:rPr>
          <w:color w:val="000000" w:themeColor="text1"/>
        </w:rPr>
        <w:t>re</w:t>
      </w:r>
      <w:r w:rsidR="004B7F5E" w:rsidRPr="000D552E">
        <w:rPr>
          <w:color w:val="000000" w:themeColor="text1"/>
        </w:rPr>
        <w:t>cognises</w:t>
      </w:r>
      <w:r w:rsidR="00431E07" w:rsidRPr="000D552E">
        <w:rPr>
          <w:color w:val="000000" w:themeColor="text1"/>
        </w:rPr>
        <w:t xml:space="preserve"> </w:t>
      </w:r>
      <w:r w:rsidR="00A045C9" w:rsidRPr="000D552E">
        <w:rPr>
          <w:color w:val="000000" w:themeColor="text1"/>
        </w:rPr>
        <w:t xml:space="preserve">that the </w:t>
      </w:r>
      <w:r w:rsidR="00DF159E" w:rsidRPr="000D552E">
        <w:rPr>
          <w:color w:val="000000" w:themeColor="text1"/>
        </w:rPr>
        <w:t xml:space="preserve">level </w:t>
      </w:r>
      <w:r w:rsidR="00A045C9" w:rsidRPr="000D552E">
        <w:rPr>
          <w:color w:val="000000" w:themeColor="text1"/>
        </w:rPr>
        <w:t xml:space="preserve">of state services </w:t>
      </w:r>
      <w:r w:rsidR="003215D1" w:rsidRPr="000D552E">
        <w:rPr>
          <w:color w:val="000000" w:themeColor="text1"/>
        </w:rPr>
        <w:t xml:space="preserve">at the national level </w:t>
      </w:r>
      <w:r w:rsidR="000604B5" w:rsidRPr="000D552E">
        <w:rPr>
          <w:color w:val="000000" w:themeColor="text1"/>
        </w:rPr>
        <w:t>for socio-demographic groups</w:t>
      </w:r>
      <w:r w:rsidR="00B44F47" w:rsidRPr="000D552E">
        <w:rPr>
          <w:color w:val="000000" w:themeColor="text1"/>
        </w:rPr>
        <w:t xml:space="preserve"> may vary due to the provision of non-state </w:t>
      </w:r>
      <w:r w:rsidR="00392C6E" w:rsidRPr="000D552E">
        <w:rPr>
          <w:color w:val="000000" w:themeColor="text1"/>
        </w:rPr>
        <w:t xml:space="preserve">sector </w:t>
      </w:r>
      <w:r w:rsidR="00B44F47" w:rsidRPr="000D552E">
        <w:rPr>
          <w:color w:val="000000" w:themeColor="text1"/>
        </w:rPr>
        <w:t>services. For example</w:t>
      </w:r>
      <w:r w:rsidR="00392C6E" w:rsidRPr="000D552E">
        <w:rPr>
          <w:color w:val="000000" w:themeColor="text1"/>
        </w:rPr>
        <w:t xml:space="preserve">, the level of state services </w:t>
      </w:r>
      <w:r w:rsidR="007E50D5" w:rsidRPr="000D552E">
        <w:rPr>
          <w:color w:val="000000" w:themeColor="text1"/>
        </w:rPr>
        <w:t xml:space="preserve">is </w:t>
      </w:r>
      <w:r w:rsidR="00B94548" w:rsidRPr="000D552E">
        <w:rPr>
          <w:color w:val="000000" w:themeColor="text1"/>
        </w:rPr>
        <w:t>h</w:t>
      </w:r>
      <w:r w:rsidR="007E50D5" w:rsidRPr="000D552E">
        <w:rPr>
          <w:color w:val="000000" w:themeColor="text1"/>
        </w:rPr>
        <w:t xml:space="preserve">igher in remote areas </w:t>
      </w:r>
      <w:r w:rsidR="00586A72">
        <w:rPr>
          <w:color w:val="000000" w:themeColor="text1"/>
        </w:rPr>
        <w:t xml:space="preserve">in part </w:t>
      </w:r>
      <w:r w:rsidR="007E50D5" w:rsidRPr="000D552E">
        <w:rPr>
          <w:color w:val="000000" w:themeColor="text1"/>
        </w:rPr>
        <w:t>due to lower level</w:t>
      </w:r>
      <w:r w:rsidR="000B38AF" w:rsidRPr="000D552E">
        <w:rPr>
          <w:color w:val="000000" w:themeColor="text1"/>
        </w:rPr>
        <w:t>s</w:t>
      </w:r>
      <w:r w:rsidR="007E50D5" w:rsidRPr="000D552E">
        <w:rPr>
          <w:color w:val="000000" w:themeColor="text1"/>
        </w:rPr>
        <w:t xml:space="preserve"> of </w:t>
      </w:r>
      <w:r w:rsidR="000364E2" w:rsidRPr="000D552E">
        <w:rPr>
          <w:color w:val="000000" w:themeColor="text1"/>
        </w:rPr>
        <w:t xml:space="preserve">non-state sector </w:t>
      </w:r>
      <w:r w:rsidR="004A5E5A" w:rsidRPr="000D552E">
        <w:rPr>
          <w:color w:val="000000" w:themeColor="text1"/>
        </w:rPr>
        <w:t>services</w:t>
      </w:r>
      <w:r w:rsidR="007916A4" w:rsidRPr="000D552E">
        <w:rPr>
          <w:color w:val="000000" w:themeColor="text1"/>
        </w:rPr>
        <w:t xml:space="preserve"> </w:t>
      </w:r>
      <w:r w:rsidR="00030309">
        <w:rPr>
          <w:color w:val="000000" w:themeColor="text1"/>
        </w:rPr>
        <w:t>in these areas</w:t>
      </w:r>
      <w:r w:rsidR="00B00949" w:rsidRPr="000D552E">
        <w:rPr>
          <w:color w:val="000000" w:themeColor="text1"/>
        </w:rPr>
        <w:t>.</w:t>
      </w:r>
      <w:r w:rsidR="00254BF2" w:rsidRPr="000D552E">
        <w:rPr>
          <w:color w:val="000000" w:themeColor="text1"/>
        </w:rPr>
        <w:t xml:space="preserve"> </w:t>
      </w:r>
    </w:p>
    <w:p w14:paraId="19B2B0E4" w14:textId="1DB9A4A0" w:rsidR="00D2740D" w:rsidRDefault="00710222" w:rsidP="008F67DA">
      <w:pPr>
        <w:pStyle w:val="CGC2025Bullet1"/>
      </w:pPr>
      <w:r>
        <w:t xml:space="preserve">The </w:t>
      </w:r>
      <w:r w:rsidR="00EF629D">
        <w:t xml:space="preserve">non-state sector </w:t>
      </w:r>
      <w:r w:rsidR="00FE718C">
        <w:t>adjustment</w:t>
      </w:r>
      <w:r w:rsidR="00E86DF4">
        <w:t xml:space="preserve"> </w:t>
      </w:r>
      <w:r w:rsidR="00B01B10">
        <w:t>re</w:t>
      </w:r>
      <w:r w:rsidR="00B00949">
        <w:t xml:space="preserve">cognises that the </w:t>
      </w:r>
      <w:r w:rsidR="005D45C6">
        <w:t xml:space="preserve">different </w:t>
      </w:r>
      <w:r w:rsidR="00B00949">
        <w:t>level</w:t>
      </w:r>
      <w:r w:rsidR="005D45C6">
        <w:t>s</w:t>
      </w:r>
      <w:r w:rsidR="00B00949">
        <w:t xml:space="preserve"> of </w:t>
      </w:r>
      <w:r w:rsidR="00CC038E">
        <w:t>private</w:t>
      </w:r>
      <w:r w:rsidR="000C528B">
        <w:t xml:space="preserve"> health services </w:t>
      </w:r>
      <w:r w:rsidR="00B00949">
        <w:t xml:space="preserve">in </w:t>
      </w:r>
      <w:r w:rsidR="00A224E8">
        <w:t>each</w:t>
      </w:r>
      <w:r w:rsidR="00016209">
        <w:t xml:space="preserve"> </w:t>
      </w:r>
      <w:r w:rsidR="00B00949">
        <w:t xml:space="preserve">state </w:t>
      </w:r>
      <w:r w:rsidR="00702190">
        <w:t xml:space="preserve">affects </w:t>
      </w:r>
      <w:r w:rsidR="00BA4B41">
        <w:t>the need for state health spending</w:t>
      </w:r>
      <w:r w:rsidR="00B00949">
        <w:t>.</w:t>
      </w:r>
      <w:r w:rsidR="00F06CDE">
        <w:t xml:space="preserve"> </w:t>
      </w:r>
    </w:p>
    <w:p w14:paraId="26E2E10B" w14:textId="6EC0DF82" w:rsidR="00DD3A9E" w:rsidRDefault="004F4867" w:rsidP="00134475">
      <w:pPr>
        <w:pStyle w:val="CGC2025ParaNumbers"/>
      </w:pPr>
      <w:r>
        <w:t>The non-state sector adjustment</w:t>
      </w:r>
      <w:r w:rsidR="00973C5E">
        <w:t xml:space="preserve"> i</w:t>
      </w:r>
      <w:r w:rsidR="00881CFD">
        <w:t>s</w:t>
      </w:r>
      <w:r w:rsidR="00AD6C19">
        <w:t xml:space="preserve"> </w:t>
      </w:r>
      <w:r w:rsidR="00252C3C">
        <w:t xml:space="preserve">the difference between </w:t>
      </w:r>
      <w:r w:rsidR="008121C5">
        <w:t xml:space="preserve">the </w:t>
      </w:r>
      <w:r w:rsidR="00E33D9F">
        <w:t>value</w:t>
      </w:r>
      <w:r w:rsidR="00784E22">
        <w:t xml:space="preserve"> of non</w:t>
      </w:r>
      <w:r w:rsidR="00784E22">
        <w:noBreakHyphen/>
        <w:t xml:space="preserve">state services </w:t>
      </w:r>
      <w:r w:rsidR="000E682B">
        <w:t>state</w:t>
      </w:r>
      <w:r w:rsidR="005D210D">
        <w:t>s</w:t>
      </w:r>
      <w:r w:rsidR="000E682B">
        <w:t xml:space="preserve"> are assessed to need</w:t>
      </w:r>
      <w:r w:rsidR="0013435A">
        <w:t xml:space="preserve"> to achieve the national average level of provision, given their socio</w:t>
      </w:r>
      <w:r w:rsidR="0013435A">
        <w:noBreakHyphen/>
        <w:t>demographic profile</w:t>
      </w:r>
      <w:r w:rsidR="00316FBC">
        <w:t>, and the actual provision of substitutable non</w:t>
      </w:r>
      <w:r w:rsidR="00316FBC">
        <w:noBreakHyphen/>
        <w:t>state sector services.</w:t>
      </w:r>
    </w:p>
    <w:p w14:paraId="347B8FFA" w14:textId="4521C697" w:rsidR="00D05711" w:rsidRPr="0041586B" w:rsidRDefault="00A35428" w:rsidP="00134475">
      <w:pPr>
        <w:pStyle w:val="CGC2025ParaNumbers"/>
      </w:pPr>
      <w:r w:rsidRPr="0041586B">
        <w:t xml:space="preserve">The calculation </w:t>
      </w:r>
      <w:r w:rsidR="009329A6">
        <w:t>of the non</w:t>
      </w:r>
      <w:r w:rsidR="009329A6">
        <w:noBreakHyphen/>
        <w:t xml:space="preserve">state sector adjustment </w:t>
      </w:r>
      <w:r w:rsidRPr="0041586B">
        <w:t>requires estimates of:</w:t>
      </w:r>
    </w:p>
    <w:p w14:paraId="34E16D89" w14:textId="3BCC6F4A" w:rsidR="008E1A81" w:rsidRPr="0041586B" w:rsidRDefault="00632840" w:rsidP="00D05711">
      <w:pPr>
        <w:pStyle w:val="CGC2025Bullet1"/>
      </w:pPr>
      <w:r w:rsidRPr="0041586B">
        <w:t>t</w:t>
      </w:r>
      <w:r w:rsidR="008B2978" w:rsidRPr="0041586B">
        <w:t xml:space="preserve">he proportion of state spending </w:t>
      </w:r>
      <w:r w:rsidR="001F387B" w:rsidRPr="0041586B">
        <w:t xml:space="preserve">on </w:t>
      </w:r>
      <w:r w:rsidR="004E5F90" w:rsidRPr="0041586B">
        <w:t xml:space="preserve">health </w:t>
      </w:r>
      <w:r w:rsidR="001F387B" w:rsidRPr="0041586B">
        <w:t xml:space="preserve">services </w:t>
      </w:r>
      <w:r w:rsidR="001B3AA9" w:rsidRPr="0041586B">
        <w:t xml:space="preserve">for which </w:t>
      </w:r>
      <w:r w:rsidR="002F0B18" w:rsidRPr="0041586B">
        <w:t>‘substitutable services’ exist in the non</w:t>
      </w:r>
      <w:r w:rsidR="002F0B18" w:rsidRPr="0041586B">
        <w:noBreakHyphen/>
        <w:t>state sector</w:t>
      </w:r>
      <w:r w:rsidR="009C2A2D" w:rsidRPr="0041586B">
        <w:t xml:space="preserve"> </w:t>
      </w:r>
    </w:p>
    <w:p w14:paraId="4513A959" w14:textId="44330C27" w:rsidR="00A823B3" w:rsidRPr="0041586B" w:rsidRDefault="003D7787" w:rsidP="008E1A81">
      <w:pPr>
        <w:pStyle w:val="CGC2025Bullet2"/>
      </w:pPr>
      <w:r w:rsidRPr="0041586B">
        <w:t xml:space="preserve">For a </w:t>
      </w:r>
      <w:r w:rsidR="00EA75DB" w:rsidRPr="0041586B">
        <w:t xml:space="preserve">health service to be considered ‘substitutable’ it needs to be </w:t>
      </w:r>
      <w:r w:rsidR="008E1A81" w:rsidRPr="0041586B">
        <w:t>‘comparable</w:t>
      </w:r>
      <w:r w:rsidR="00546B92" w:rsidRPr="0041586B">
        <w:t xml:space="preserve">’ </w:t>
      </w:r>
      <w:r w:rsidR="00845FEF" w:rsidRPr="0041586B">
        <w:t>with a service provided by the non</w:t>
      </w:r>
      <w:r w:rsidR="00845FEF" w:rsidRPr="0041586B">
        <w:noBreakHyphen/>
        <w:t xml:space="preserve">state sector and </w:t>
      </w:r>
      <w:r w:rsidR="00282434" w:rsidRPr="0041586B">
        <w:t xml:space="preserve">potentially used by patients </w:t>
      </w:r>
      <w:r w:rsidR="00B779FE" w:rsidRPr="0041586B">
        <w:t>instead of the equivalent service in the state sector</w:t>
      </w:r>
      <w:r w:rsidR="00A823B3" w:rsidRPr="0041586B">
        <w:t>.</w:t>
      </w:r>
    </w:p>
    <w:p w14:paraId="7071A291" w14:textId="14DB6ED4" w:rsidR="00CB2570" w:rsidRDefault="00351914" w:rsidP="00D05711">
      <w:pPr>
        <w:pStyle w:val="CGC2025Bullet1"/>
      </w:pPr>
      <w:r>
        <w:t xml:space="preserve">an indicator </w:t>
      </w:r>
      <w:r w:rsidR="001D7433">
        <w:t>o</w:t>
      </w:r>
      <w:r w:rsidR="00FD20F9">
        <w:t xml:space="preserve">f </w:t>
      </w:r>
      <w:r>
        <w:t>non-state sector activity</w:t>
      </w:r>
      <w:r w:rsidR="00732D58">
        <w:t>.</w:t>
      </w:r>
      <w:r w:rsidR="00292F70">
        <w:t xml:space="preserve"> </w:t>
      </w:r>
    </w:p>
    <w:p w14:paraId="0AA2B0F0" w14:textId="2E31B9FA" w:rsidR="00C766CA" w:rsidRDefault="006539EA" w:rsidP="00D10EC9">
      <w:pPr>
        <w:pStyle w:val="Heading5"/>
        <w:spacing w:before="0"/>
      </w:pPr>
      <w:r>
        <w:lastRenderedPageBreak/>
        <w:t>Level</w:t>
      </w:r>
      <w:r w:rsidR="006743EE">
        <w:t>s</w:t>
      </w:r>
      <w:r w:rsidR="00C766CA">
        <w:t xml:space="preserve"> of </w:t>
      </w:r>
      <w:r w:rsidR="006743EE">
        <w:t xml:space="preserve">non-state sector </w:t>
      </w:r>
      <w:r w:rsidR="00D30CB8">
        <w:t>substitutability</w:t>
      </w:r>
    </w:p>
    <w:p w14:paraId="064E7D5F" w14:textId="71D4208A" w:rsidR="00280A8B" w:rsidRPr="00F56352" w:rsidRDefault="00280A8B" w:rsidP="00D10EC9">
      <w:pPr>
        <w:pStyle w:val="Heading6"/>
        <w:spacing w:before="80"/>
      </w:pPr>
      <w:r w:rsidRPr="00F56352">
        <w:t>Admitted patient</w:t>
      </w:r>
      <w:r w:rsidR="00C25039" w:rsidRPr="00F56352">
        <w:t>s</w:t>
      </w:r>
    </w:p>
    <w:p w14:paraId="43C30305" w14:textId="62E91739" w:rsidR="00996B46" w:rsidRDefault="00996B46" w:rsidP="00266926">
      <w:pPr>
        <w:pStyle w:val="CGC2025ParaNumbers"/>
        <w:keepNext/>
        <w:spacing w:before="60" w:after="60"/>
      </w:pPr>
      <w:r w:rsidRPr="00996B46">
        <w:t xml:space="preserve">The admitted patient substitutability level is determined using the average result from </w:t>
      </w:r>
      <w:r w:rsidR="00C2049D">
        <w:t>2</w:t>
      </w:r>
      <w:r w:rsidR="00C2049D" w:rsidRPr="00996B46">
        <w:t xml:space="preserve"> </w:t>
      </w:r>
      <w:r w:rsidRPr="00996B46">
        <w:t xml:space="preserve">methods. </w:t>
      </w:r>
    </w:p>
    <w:p w14:paraId="1BBE454D" w14:textId="7DBAC5F0" w:rsidR="008145C2" w:rsidRPr="00C40A36" w:rsidRDefault="00C40A36" w:rsidP="00B85508">
      <w:pPr>
        <w:pStyle w:val="Heading65"/>
        <w:spacing w:before="80"/>
      </w:pPr>
      <w:r>
        <w:t>Method 1</w:t>
      </w:r>
    </w:p>
    <w:p w14:paraId="42B08F12" w14:textId="66C1838A" w:rsidR="008E7196" w:rsidRDefault="00FF52B5" w:rsidP="00B85508">
      <w:pPr>
        <w:pStyle w:val="CGC2025ParaNumbers"/>
        <w:spacing w:before="60" w:after="0"/>
      </w:pPr>
      <w:r w:rsidRPr="00FF52B5">
        <w:t>The</w:t>
      </w:r>
      <w:r w:rsidRPr="00FF52B5" w:rsidDel="00766E34">
        <w:t xml:space="preserve"> </w:t>
      </w:r>
      <w:r w:rsidRPr="00FF52B5">
        <w:t xml:space="preserve">level of substitutability </w:t>
      </w:r>
      <w:r w:rsidR="00B63F5D">
        <w:t xml:space="preserve">between state and </w:t>
      </w:r>
      <w:r w:rsidRPr="00FF52B5">
        <w:t>non</w:t>
      </w:r>
      <w:r w:rsidR="00F75B9E">
        <w:noBreakHyphen/>
      </w:r>
      <w:r w:rsidRPr="00FF52B5">
        <w:t xml:space="preserve">state admitted patient services </w:t>
      </w:r>
      <w:r w:rsidR="00D17A0C">
        <w:t>is influenced</w:t>
      </w:r>
      <w:r w:rsidR="0012655B">
        <w:t xml:space="preserve"> by</w:t>
      </w:r>
      <w:r w:rsidR="00D17A0C">
        <w:t xml:space="preserve"> </w:t>
      </w:r>
      <w:r w:rsidR="00AA1BAD">
        <w:t xml:space="preserve">similar </w:t>
      </w:r>
      <w:r w:rsidRPr="00FF52B5">
        <w:t>activity in the state and non-state sectors</w:t>
      </w:r>
      <w:r w:rsidR="00C53522">
        <w:t xml:space="preserve"> (comparable services)</w:t>
      </w:r>
      <w:r w:rsidR="00E27410">
        <w:t xml:space="preserve">, </w:t>
      </w:r>
      <w:r w:rsidR="002320C7">
        <w:t xml:space="preserve">and </w:t>
      </w:r>
      <w:r w:rsidRPr="00FF52B5">
        <w:t xml:space="preserve">the </w:t>
      </w:r>
      <w:r w:rsidR="002320C7">
        <w:t xml:space="preserve">proportion of the population </w:t>
      </w:r>
      <w:r w:rsidR="00863A06">
        <w:t xml:space="preserve">with </w:t>
      </w:r>
      <w:r w:rsidRPr="00FF52B5">
        <w:t>private</w:t>
      </w:r>
      <w:r w:rsidR="00471AFB">
        <w:t xml:space="preserve"> </w:t>
      </w:r>
      <w:r w:rsidRPr="00FF52B5">
        <w:t xml:space="preserve">hospital </w:t>
      </w:r>
      <w:r w:rsidR="00836C65">
        <w:t>health insurance</w:t>
      </w:r>
      <w:r w:rsidR="003858C6">
        <w:t xml:space="preserve"> </w:t>
      </w:r>
      <w:r w:rsidR="005135AB">
        <w:t xml:space="preserve">or </w:t>
      </w:r>
      <w:r w:rsidR="00087F56">
        <w:t>prepared to</w:t>
      </w:r>
      <w:r w:rsidR="0083309B">
        <w:t xml:space="preserve"> </w:t>
      </w:r>
      <w:r w:rsidR="00CC0D11">
        <w:t xml:space="preserve">pay for their </w:t>
      </w:r>
      <w:r w:rsidR="00BD6F66">
        <w:t>own hospital expense</w:t>
      </w:r>
      <w:r w:rsidR="00112AD3">
        <w:t>s</w:t>
      </w:r>
      <w:r w:rsidR="00D9751B">
        <w:t xml:space="preserve"> (self-funded</w:t>
      </w:r>
      <w:r w:rsidR="00087F56">
        <w:t xml:space="preserve"> patients</w:t>
      </w:r>
      <w:r w:rsidR="00D9751B">
        <w:t>)</w:t>
      </w:r>
      <w:r w:rsidRPr="00FF52B5">
        <w:t xml:space="preserve">. </w:t>
      </w:r>
    </w:p>
    <w:p w14:paraId="75D304DD" w14:textId="28484B07" w:rsidR="005B2BCD" w:rsidRPr="00597C5A" w:rsidRDefault="00560CC5" w:rsidP="00D041B5">
      <w:pPr>
        <w:pStyle w:val="CGC2025Bullet1"/>
      </w:pPr>
      <w:r w:rsidRPr="00597C5A">
        <w:t xml:space="preserve">The </w:t>
      </w:r>
      <w:r w:rsidR="00604691">
        <w:t xml:space="preserve">average </w:t>
      </w:r>
      <w:r w:rsidR="00AB4EF3" w:rsidRPr="00597C5A">
        <w:t>estimated share of comparable services (</w:t>
      </w:r>
      <w:r w:rsidR="00C515AB" w:rsidRPr="00597C5A">
        <w:t xml:space="preserve">the </w:t>
      </w:r>
      <w:r w:rsidRPr="00597C5A">
        <w:t xml:space="preserve">proportion of </w:t>
      </w:r>
      <w:r w:rsidR="00C515AB" w:rsidRPr="00597C5A">
        <w:t xml:space="preserve">admitted patient services </w:t>
      </w:r>
      <w:r w:rsidR="004370B7" w:rsidRPr="00597C5A">
        <w:t xml:space="preserve">that </w:t>
      </w:r>
      <w:r w:rsidR="003643F6">
        <w:t xml:space="preserve">are </w:t>
      </w:r>
      <w:r w:rsidR="004370B7" w:rsidRPr="00597C5A">
        <w:t xml:space="preserve">also </w:t>
      </w:r>
      <w:r w:rsidR="00854397" w:rsidRPr="00597C5A">
        <w:t xml:space="preserve">provided </w:t>
      </w:r>
      <w:r w:rsidR="004370B7" w:rsidRPr="00597C5A">
        <w:t xml:space="preserve">in the </w:t>
      </w:r>
      <w:r w:rsidRPr="00597C5A">
        <w:t>non-</w:t>
      </w:r>
      <w:r w:rsidR="00F84ABF" w:rsidRPr="00597C5A">
        <w:t>state sector</w:t>
      </w:r>
      <w:r w:rsidR="00884102" w:rsidRPr="00597C5A">
        <w:t>)</w:t>
      </w:r>
      <w:r w:rsidR="0022123D" w:rsidRPr="00597C5A">
        <w:t xml:space="preserve"> </w:t>
      </w:r>
      <w:r w:rsidRPr="00597C5A">
        <w:t xml:space="preserve">is </w:t>
      </w:r>
      <w:r w:rsidR="00095B1F">
        <w:t>5</w:t>
      </w:r>
      <w:r w:rsidR="005478AD">
        <w:t>4</w:t>
      </w:r>
      <w:r w:rsidRPr="00597C5A">
        <w:t>%.</w:t>
      </w:r>
      <w:r w:rsidRPr="00597C5A">
        <w:rPr>
          <w:vertAlign w:val="superscript"/>
        </w:rPr>
        <w:t xml:space="preserve"> </w:t>
      </w:r>
    </w:p>
    <w:p w14:paraId="4DD6F215" w14:textId="0626554F" w:rsidR="006D541F" w:rsidRDefault="6917C66E" w:rsidP="00352DF8">
      <w:pPr>
        <w:pStyle w:val="CGC2025Bullet1"/>
        <w:spacing w:before="80"/>
      </w:pPr>
      <w:r>
        <w:t>T</w:t>
      </w:r>
      <w:r w:rsidR="337B0ED4">
        <w:t xml:space="preserve">he proportion of </w:t>
      </w:r>
      <w:r w:rsidR="4D594AD0">
        <w:t xml:space="preserve">the population </w:t>
      </w:r>
      <w:r w:rsidR="337B0ED4">
        <w:t>with private health insurance</w:t>
      </w:r>
      <w:r w:rsidR="00F8AD3E">
        <w:t xml:space="preserve"> hospital coverage</w:t>
      </w:r>
      <w:r w:rsidR="337B0ED4">
        <w:t xml:space="preserve"> </w:t>
      </w:r>
      <w:r w:rsidR="0008341B">
        <w:t>is</w:t>
      </w:r>
      <w:r w:rsidR="4D594AD0">
        <w:t xml:space="preserve"> </w:t>
      </w:r>
      <w:r w:rsidR="101742FE">
        <w:t xml:space="preserve">around </w:t>
      </w:r>
      <w:r w:rsidR="6575DC19">
        <w:t>45%</w:t>
      </w:r>
      <w:r w:rsidR="72F4C1A0">
        <w:t>,</w:t>
      </w:r>
      <w:r w:rsidR="6575DC19">
        <w:t xml:space="preserve"> </w:t>
      </w:r>
      <w:r w:rsidR="6ABB9B06">
        <w:t>whi</w:t>
      </w:r>
      <w:r w:rsidR="2F043296">
        <w:t xml:space="preserve">le </w:t>
      </w:r>
      <w:r w:rsidR="11B43728">
        <w:t>p</w:t>
      </w:r>
      <w:r w:rsidR="67E3DE4D">
        <w:t xml:space="preserve">atients </w:t>
      </w:r>
      <w:r w:rsidR="5C5CB209">
        <w:t xml:space="preserve">who </w:t>
      </w:r>
      <w:r w:rsidR="67E3DE4D">
        <w:t>self-</w:t>
      </w:r>
      <w:r w:rsidR="0A01D38C">
        <w:t xml:space="preserve">insure </w:t>
      </w:r>
      <w:r w:rsidR="67E3DE4D">
        <w:t xml:space="preserve">constitute about </w:t>
      </w:r>
      <w:r w:rsidR="0B6A5623">
        <w:t>4%</w:t>
      </w:r>
      <w:r w:rsidR="52F809A0">
        <w:t>.</w:t>
      </w:r>
      <w:r w:rsidR="2CFE497E">
        <w:t xml:space="preserve"> </w:t>
      </w:r>
      <w:r w:rsidR="4C3CA7B2">
        <w:t xml:space="preserve">In </w:t>
      </w:r>
      <w:r w:rsidR="1D022393">
        <w:t xml:space="preserve">total </w:t>
      </w:r>
      <w:r w:rsidR="46DAC387">
        <w:t xml:space="preserve">around </w:t>
      </w:r>
      <w:r w:rsidR="783E7480">
        <w:t xml:space="preserve">49% of </w:t>
      </w:r>
      <w:r w:rsidR="0216513E">
        <w:t xml:space="preserve">people </w:t>
      </w:r>
      <w:r w:rsidR="78A9093C">
        <w:t xml:space="preserve">can </w:t>
      </w:r>
      <w:r w:rsidR="5C4240A1">
        <w:t xml:space="preserve">potentially </w:t>
      </w:r>
      <w:r w:rsidR="78A9093C">
        <w:t xml:space="preserve">afford </w:t>
      </w:r>
      <w:r w:rsidR="19DF0BC2">
        <w:t xml:space="preserve">to use </w:t>
      </w:r>
      <w:r w:rsidR="580FD90B">
        <w:t>private admitted patient services.</w:t>
      </w:r>
    </w:p>
    <w:p w14:paraId="01929185" w14:textId="01019360" w:rsidR="004F6449" w:rsidRPr="006B224C" w:rsidRDefault="7ED300D2" w:rsidP="006A184C">
      <w:pPr>
        <w:pStyle w:val="CGC2025ParaNumbers"/>
        <w:spacing w:before="60"/>
      </w:pPr>
      <w:r>
        <w:t>This suggests a</w:t>
      </w:r>
      <w:r w:rsidR="00654482">
        <w:t>n average</w:t>
      </w:r>
      <w:r>
        <w:t xml:space="preserve"> potential substitutability level </w:t>
      </w:r>
      <w:r w:rsidR="00654482">
        <w:t xml:space="preserve">of 26% </w:t>
      </w:r>
      <w:r w:rsidR="0012549C">
        <w:t>(</w:t>
      </w:r>
      <w:r w:rsidR="00D5305D">
        <w:t>5</w:t>
      </w:r>
      <w:r w:rsidR="005478AD">
        <w:t>4</w:t>
      </w:r>
      <w:r w:rsidR="00D5305D">
        <w:t xml:space="preserve">% </w:t>
      </w:r>
      <w:r w:rsidR="130933DF">
        <w:t>* 49%)</w:t>
      </w:r>
      <w:r>
        <w:t>. This range would be an upper bound, as patients do not always choose to utilise their private health insurance due to policy excesses and gap payments</w:t>
      </w:r>
      <w:r w:rsidR="00DD2FD8">
        <w:t xml:space="preserve"> (Table 8)</w:t>
      </w:r>
      <w:r>
        <w:t xml:space="preserve">. </w:t>
      </w:r>
    </w:p>
    <w:p w14:paraId="2082EC0A" w14:textId="33575384" w:rsidR="008773CD" w:rsidRPr="008773CD" w:rsidRDefault="008773CD" w:rsidP="00266926">
      <w:pPr>
        <w:pStyle w:val="Heading65"/>
        <w:spacing w:before="100"/>
      </w:pPr>
      <w:r w:rsidRPr="008773CD">
        <w:t>Method 2</w:t>
      </w:r>
    </w:p>
    <w:p w14:paraId="0C4A02A5" w14:textId="45F7CAD1" w:rsidR="003B57E2" w:rsidRPr="00DC3DD8" w:rsidRDefault="003B57E2" w:rsidP="00B85508">
      <w:pPr>
        <w:pStyle w:val="CGC2025ParaNumbers"/>
        <w:spacing w:before="0"/>
      </w:pPr>
      <w:r w:rsidRPr="00DC3DD8">
        <w:t xml:space="preserve">An alternative approach </w:t>
      </w:r>
      <w:r w:rsidR="00856BDE">
        <w:t>is</w:t>
      </w:r>
      <w:r w:rsidRPr="00DC3DD8">
        <w:t xml:space="preserve"> to limit the concept of substitutability to private patients treated in public hospitals. </w:t>
      </w:r>
      <w:r w:rsidR="008C4453">
        <w:t xml:space="preserve">Between </w:t>
      </w:r>
      <w:r w:rsidR="00972D58">
        <w:t>2018</w:t>
      </w:r>
      <w:r w:rsidR="00DE456F">
        <w:t>–</w:t>
      </w:r>
      <w:r w:rsidR="00972D58">
        <w:t>19 to 202</w:t>
      </w:r>
      <w:r w:rsidR="00616001">
        <w:t>1</w:t>
      </w:r>
      <w:r w:rsidR="00FB4337">
        <w:t>–</w:t>
      </w:r>
      <w:r w:rsidR="00616001">
        <w:t>22</w:t>
      </w:r>
      <w:r w:rsidRPr="00DC3DD8">
        <w:t xml:space="preserve">, around 12% of public hospital separations were privately funded, representing around 8% of public hospital funding. </w:t>
      </w:r>
      <w:r w:rsidR="00C8389D">
        <w:t xml:space="preserve">This would </w:t>
      </w:r>
      <w:r w:rsidR="00AD5678">
        <w:t>be a</w:t>
      </w:r>
      <w:r w:rsidRPr="00DC3DD8">
        <w:t xml:space="preserve"> lower bound for the admitted patient non-state sector substitutability level. Activity in private hospitals would relieve some pressure on public hospitals even though the extent</w:t>
      </w:r>
      <w:r w:rsidR="00033F58">
        <w:t xml:space="preserve"> of such </w:t>
      </w:r>
      <w:r w:rsidR="00856466">
        <w:t>relief</w:t>
      </w:r>
      <w:r w:rsidRPr="00DC3DD8">
        <w:t xml:space="preserve"> is uncertain.</w:t>
      </w:r>
    </w:p>
    <w:p w14:paraId="735B2FE9" w14:textId="199CBB82" w:rsidR="003B57E2" w:rsidRPr="007563A3" w:rsidRDefault="003B57E2" w:rsidP="006A184C">
      <w:pPr>
        <w:pStyle w:val="CGC2025ParaNumbers"/>
        <w:spacing w:before="80"/>
      </w:pPr>
      <w:r w:rsidRPr="007563A3">
        <w:t>Considering the upper bound of 2</w:t>
      </w:r>
      <w:r w:rsidR="00FE1393">
        <w:t>6</w:t>
      </w:r>
      <w:r w:rsidRPr="007563A3">
        <w:t xml:space="preserve">% and the lower bound of 8%, the substitutability level </w:t>
      </w:r>
      <w:r w:rsidR="00C44DC1">
        <w:t>is</w:t>
      </w:r>
      <w:r w:rsidRPr="007563A3">
        <w:t xml:space="preserve"> set at </w:t>
      </w:r>
      <w:r w:rsidR="00964ED0">
        <w:t>the midpoint</w:t>
      </w:r>
      <w:r w:rsidR="00856466">
        <w:t>,</w:t>
      </w:r>
      <w:r w:rsidR="00964ED0">
        <w:t xml:space="preserve"> </w:t>
      </w:r>
      <w:r w:rsidRPr="007563A3">
        <w:t>1</w:t>
      </w:r>
      <w:r w:rsidR="00964ED0">
        <w:t>7</w:t>
      </w:r>
      <w:r w:rsidRPr="007563A3">
        <w:t>%</w:t>
      </w:r>
      <w:r w:rsidR="006A188E" w:rsidRPr="007563A3">
        <w:t xml:space="preserve"> (</w:t>
      </w:r>
      <w:r w:rsidR="00C2049D">
        <w:t>Table 8</w:t>
      </w:r>
      <w:r w:rsidR="006A188E" w:rsidRPr="007563A3">
        <w:t>).</w:t>
      </w:r>
      <w:r w:rsidR="00B52BD1">
        <w:t xml:space="preserve"> T</w:t>
      </w:r>
      <w:r w:rsidR="000D78FB" w:rsidRPr="00BE4B9E">
        <w:t xml:space="preserve">his </w:t>
      </w:r>
      <w:r w:rsidR="009D1D33">
        <w:t xml:space="preserve">level </w:t>
      </w:r>
      <w:r w:rsidR="000D78FB" w:rsidRPr="00BE4B9E">
        <w:t>will be maintained for the 2025 Review</w:t>
      </w:r>
      <w:r w:rsidR="000C1E1B">
        <w:t>.</w:t>
      </w:r>
      <w:r w:rsidR="00E310AB">
        <w:t xml:space="preserve"> </w:t>
      </w:r>
    </w:p>
    <w:p w14:paraId="0CE4A22B" w14:textId="5ED3A8E7" w:rsidR="003D5467" w:rsidRPr="00B62126" w:rsidRDefault="003D5467" w:rsidP="00B85508">
      <w:pPr>
        <w:pStyle w:val="CGC2025Caption"/>
        <w:spacing w:before="100" w:after="100"/>
      </w:pPr>
      <w:bookmarkStart w:id="18" w:name="_Ref173484752"/>
      <w:r>
        <w:t xml:space="preserve">Table </w:t>
      </w:r>
      <w:bookmarkEnd w:id="18"/>
      <w:r w:rsidR="003149B6">
        <w:t>8</w:t>
      </w:r>
      <w:r>
        <w:tab/>
      </w:r>
      <w:r w:rsidR="000E5C5C">
        <w:t>Admitted patients s</w:t>
      </w:r>
      <w:r>
        <w:t>ubstitutability level</w:t>
      </w:r>
    </w:p>
    <w:tbl>
      <w:tblPr>
        <w:tblW w:w="8942" w:type="dxa"/>
        <w:tblLook w:val="04A0" w:firstRow="1" w:lastRow="0" w:firstColumn="1" w:lastColumn="0" w:noHBand="0" w:noVBand="1"/>
      </w:tblPr>
      <w:tblGrid>
        <w:gridCol w:w="400"/>
        <w:gridCol w:w="4480"/>
        <w:gridCol w:w="932"/>
        <w:gridCol w:w="948"/>
        <w:gridCol w:w="1120"/>
        <w:gridCol w:w="1120"/>
      </w:tblGrid>
      <w:tr w:rsidR="00E81585" w:rsidRPr="00E81585" w14:paraId="206918C9" w14:textId="77777777" w:rsidTr="00CF6BE3">
        <w:trPr>
          <w:trHeight w:val="375"/>
        </w:trPr>
        <w:tc>
          <w:tcPr>
            <w:tcW w:w="400" w:type="dxa"/>
            <w:tcBorders>
              <w:top w:val="nil"/>
              <w:left w:val="nil"/>
              <w:right w:val="nil"/>
            </w:tcBorders>
            <w:shd w:val="clear" w:color="000000" w:fill="006991"/>
            <w:vAlign w:val="center"/>
            <w:hideMark/>
          </w:tcPr>
          <w:p w14:paraId="3E814264" w14:textId="77777777" w:rsidR="00E81585" w:rsidRPr="00E81585" w:rsidRDefault="00E81585" w:rsidP="00B85508">
            <w:pPr>
              <w:tabs>
                <w:tab w:val="clear" w:pos="567"/>
              </w:tabs>
              <w:spacing w:before="0" w:line="240" w:lineRule="auto"/>
              <w:rPr>
                <w:rFonts w:ascii="Open Sans Semibold" w:eastAsia="Times New Roman" w:hAnsi="Open Sans Semibold" w:cs="Open Sans Semibold"/>
                <w:color w:val="FFFFFF"/>
                <w:sz w:val="16"/>
                <w:szCs w:val="16"/>
                <w:lang w:eastAsia="en-AU"/>
              </w:rPr>
            </w:pPr>
            <w:r w:rsidRPr="00E81585">
              <w:rPr>
                <w:rFonts w:ascii="Open Sans Semibold" w:eastAsia="Times New Roman" w:hAnsi="Open Sans Semibold" w:cs="Open Sans Semibold"/>
                <w:color w:val="FFFFFF"/>
                <w:sz w:val="16"/>
                <w:szCs w:val="16"/>
                <w:lang w:eastAsia="en-AU"/>
              </w:rPr>
              <w:t> </w:t>
            </w:r>
          </w:p>
        </w:tc>
        <w:tc>
          <w:tcPr>
            <w:tcW w:w="4480" w:type="dxa"/>
            <w:tcBorders>
              <w:top w:val="nil"/>
              <w:left w:val="nil"/>
              <w:right w:val="nil"/>
            </w:tcBorders>
            <w:shd w:val="clear" w:color="000000" w:fill="006991"/>
            <w:vAlign w:val="center"/>
            <w:hideMark/>
          </w:tcPr>
          <w:p w14:paraId="7FDCBEA1" w14:textId="77777777" w:rsidR="00E81585" w:rsidRPr="00E81585" w:rsidRDefault="00E81585" w:rsidP="00B85508">
            <w:pPr>
              <w:tabs>
                <w:tab w:val="clear" w:pos="567"/>
              </w:tabs>
              <w:spacing w:before="0" w:line="240" w:lineRule="auto"/>
              <w:rPr>
                <w:rFonts w:ascii="Open Sans Semibold" w:eastAsia="Times New Roman" w:hAnsi="Open Sans Semibold" w:cs="Open Sans Semibold"/>
                <w:color w:val="FFFFFF"/>
                <w:sz w:val="16"/>
                <w:szCs w:val="16"/>
                <w:lang w:eastAsia="en-AU"/>
              </w:rPr>
            </w:pPr>
            <w:r w:rsidRPr="00E81585">
              <w:rPr>
                <w:rFonts w:ascii="Open Sans Semibold" w:eastAsia="Times New Roman" w:hAnsi="Open Sans Semibold" w:cs="Open Sans Semibold"/>
                <w:color w:val="FFFFFF"/>
                <w:sz w:val="16"/>
                <w:szCs w:val="16"/>
                <w:lang w:eastAsia="en-AU"/>
              </w:rPr>
              <w:t> </w:t>
            </w:r>
          </w:p>
        </w:tc>
        <w:tc>
          <w:tcPr>
            <w:tcW w:w="932" w:type="dxa"/>
            <w:tcBorders>
              <w:top w:val="nil"/>
              <w:left w:val="nil"/>
              <w:right w:val="nil"/>
            </w:tcBorders>
            <w:shd w:val="clear" w:color="000000" w:fill="006991"/>
            <w:vAlign w:val="center"/>
            <w:hideMark/>
          </w:tcPr>
          <w:p w14:paraId="528A318E"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1585">
              <w:rPr>
                <w:rFonts w:ascii="Open Sans Semibold" w:eastAsia="Times New Roman" w:hAnsi="Open Sans Semibold" w:cs="Open Sans Semibold"/>
                <w:color w:val="FFFFFF"/>
                <w:sz w:val="16"/>
                <w:szCs w:val="16"/>
                <w:lang w:eastAsia="en-AU"/>
              </w:rPr>
              <w:t>2020-21</w:t>
            </w:r>
          </w:p>
        </w:tc>
        <w:tc>
          <w:tcPr>
            <w:tcW w:w="948" w:type="dxa"/>
            <w:tcBorders>
              <w:top w:val="nil"/>
              <w:left w:val="nil"/>
              <w:right w:val="nil"/>
            </w:tcBorders>
            <w:shd w:val="clear" w:color="000000" w:fill="006991"/>
            <w:vAlign w:val="center"/>
            <w:hideMark/>
          </w:tcPr>
          <w:p w14:paraId="1A9BF339"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1585">
              <w:rPr>
                <w:rFonts w:ascii="Open Sans Semibold" w:eastAsia="Times New Roman" w:hAnsi="Open Sans Semibold" w:cs="Open Sans Semibold"/>
                <w:color w:val="FFFFFF"/>
                <w:sz w:val="16"/>
                <w:szCs w:val="16"/>
                <w:lang w:eastAsia="en-AU"/>
              </w:rPr>
              <w:t>2021-22</w:t>
            </w:r>
          </w:p>
        </w:tc>
        <w:tc>
          <w:tcPr>
            <w:tcW w:w="1120" w:type="dxa"/>
            <w:tcBorders>
              <w:top w:val="nil"/>
              <w:left w:val="nil"/>
              <w:right w:val="nil"/>
            </w:tcBorders>
            <w:shd w:val="clear" w:color="000000" w:fill="006991"/>
            <w:vAlign w:val="center"/>
            <w:hideMark/>
          </w:tcPr>
          <w:p w14:paraId="6BCE94FE"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1585">
              <w:rPr>
                <w:rFonts w:ascii="Open Sans Semibold" w:eastAsia="Times New Roman" w:hAnsi="Open Sans Semibold" w:cs="Open Sans Semibold"/>
                <w:color w:val="FFFFFF"/>
                <w:sz w:val="16"/>
                <w:szCs w:val="16"/>
                <w:lang w:eastAsia="en-AU"/>
              </w:rPr>
              <w:t>2022-23</w:t>
            </w:r>
          </w:p>
        </w:tc>
        <w:tc>
          <w:tcPr>
            <w:tcW w:w="1120" w:type="dxa"/>
            <w:tcBorders>
              <w:top w:val="nil"/>
              <w:left w:val="nil"/>
              <w:right w:val="nil"/>
            </w:tcBorders>
            <w:shd w:val="clear" w:color="000000" w:fill="006991"/>
            <w:vAlign w:val="center"/>
            <w:hideMark/>
          </w:tcPr>
          <w:p w14:paraId="6F36B275"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1585">
              <w:rPr>
                <w:rFonts w:ascii="Open Sans Semibold" w:eastAsia="Times New Roman" w:hAnsi="Open Sans Semibold" w:cs="Open Sans Semibold"/>
                <w:color w:val="FFFFFF"/>
                <w:sz w:val="16"/>
                <w:szCs w:val="16"/>
                <w:lang w:eastAsia="en-AU"/>
              </w:rPr>
              <w:t>Average</w:t>
            </w:r>
          </w:p>
        </w:tc>
      </w:tr>
      <w:tr w:rsidR="00E81585" w:rsidRPr="00E81585" w14:paraId="589C3A03" w14:textId="77777777" w:rsidTr="00CF6BE3">
        <w:trPr>
          <w:trHeight w:val="259"/>
        </w:trPr>
        <w:tc>
          <w:tcPr>
            <w:tcW w:w="400" w:type="dxa"/>
            <w:tcBorders>
              <w:left w:val="nil"/>
              <w:bottom w:val="single" w:sz="4" w:space="0" w:color="ADD6EA"/>
              <w:right w:val="nil"/>
            </w:tcBorders>
            <w:shd w:val="clear" w:color="000000" w:fill="B6D5E4"/>
            <w:vAlign w:val="center"/>
            <w:hideMark/>
          </w:tcPr>
          <w:p w14:paraId="7AE8883F" w14:textId="443A079B" w:rsidR="00E81585" w:rsidRPr="00E81585" w:rsidRDefault="00E81585" w:rsidP="00B8550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c>
          <w:tcPr>
            <w:tcW w:w="4480" w:type="dxa"/>
            <w:tcBorders>
              <w:left w:val="nil"/>
              <w:bottom w:val="single" w:sz="4" w:space="0" w:color="ADD6EA"/>
              <w:right w:val="nil"/>
            </w:tcBorders>
            <w:shd w:val="clear" w:color="000000" w:fill="B6D5E4"/>
            <w:vAlign w:val="center"/>
            <w:hideMark/>
          </w:tcPr>
          <w:p w14:paraId="45BFBFB0" w14:textId="77777777" w:rsidR="00E81585" w:rsidRPr="00E81585" w:rsidRDefault="00E81585" w:rsidP="00B85508">
            <w:pPr>
              <w:tabs>
                <w:tab w:val="clear" w:pos="567"/>
              </w:tabs>
              <w:spacing w:before="0" w:line="240" w:lineRule="auto"/>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 </w:t>
            </w:r>
          </w:p>
        </w:tc>
        <w:tc>
          <w:tcPr>
            <w:tcW w:w="932" w:type="dxa"/>
            <w:tcBorders>
              <w:left w:val="nil"/>
              <w:bottom w:val="single" w:sz="4" w:space="0" w:color="ADD6EA"/>
              <w:right w:val="nil"/>
            </w:tcBorders>
            <w:shd w:val="clear" w:color="000000" w:fill="B6D5E4"/>
            <w:vAlign w:val="center"/>
            <w:hideMark/>
          </w:tcPr>
          <w:p w14:paraId="6829A4DE"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w:t>
            </w:r>
          </w:p>
        </w:tc>
        <w:tc>
          <w:tcPr>
            <w:tcW w:w="948" w:type="dxa"/>
            <w:tcBorders>
              <w:left w:val="nil"/>
              <w:bottom w:val="single" w:sz="4" w:space="0" w:color="ADD6EA"/>
              <w:right w:val="nil"/>
            </w:tcBorders>
            <w:shd w:val="clear" w:color="000000" w:fill="B6D5E4"/>
            <w:vAlign w:val="center"/>
            <w:hideMark/>
          </w:tcPr>
          <w:p w14:paraId="20A6C200"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w:t>
            </w:r>
          </w:p>
        </w:tc>
        <w:tc>
          <w:tcPr>
            <w:tcW w:w="1120" w:type="dxa"/>
            <w:tcBorders>
              <w:left w:val="nil"/>
              <w:bottom w:val="single" w:sz="4" w:space="0" w:color="ADD6EA"/>
              <w:right w:val="nil"/>
            </w:tcBorders>
            <w:shd w:val="clear" w:color="000000" w:fill="B6D5E4"/>
            <w:vAlign w:val="center"/>
            <w:hideMark/>
          </w:tcPr>
          <w:p w14:paraId="386D3C50"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w:t>
            </w:r>
          </w:p>
        </w:tc>
        <w:tc>
          <w:tcPr>
            <w:tcW w:w="1120" w:type="dxa"/>
            <w:tcBorders>
              <w:left w:val="nil"/>
              <w:bottom w:val="single" w:sz="4" w:space="0" w:color="ADD6EA"/>
              <w:right w:val="nil"/>
            </w:tcBorders>
            <w:shd w:val="clear" w:color="000000" w:fill="B6D5E4"/>
            <w:vAlign w:val="center"/>
            <w:hideMark/>
          </w:tcPr>
          <w:p w14:paraId="51AF9963"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w:t>
            </w:r>
          </w:p>
        </w:tc>
      </w:tr>
      <w:tr w:rsidR="00E81585" w:rsidRPr="00E81585" w14:paraId="79A35A65" w14:textId="77777777" w:rsidTr="00CF6BE3">
        <w:trPr>
          <w:trHeight w:val="259"/>
        </w:trPr>
        <w:tc>
          <w:tcPr>
            <w:tcW w:w="4880" w:type="dxa"/>
            <w:gridSpan w:val="2"/>
            <w:tcBorders>
              <w:top w:val="single" w:sz="4" w:space="0" w:color="ADD6EA"/>
              <w:left w:val="nil"/>
              <w:bottom w:val="single" w:sz="4" w:space="0" w:color="ADD6EA"/>
              <w:right w:val="nil"/>
            </w:tcBorders>
            <w:shd w:val="clear" w:color="000000" w:fill="FFFFFF"/>
            <w:noWrap/>
            <w:vAlign w:val="center"/>
            <w:hideMark/>
          </w:tcPr>
          <w:p w14:paraId="7C6A7721" w14:textId="77777777" w:rsidR="00E81585" w:rsidRPr="00E81585" w:rsidRDefault="00E81585" w:rsidP="00B85508">
            <w:pPr>
              <w:tabs>
                <w:tab w:val="clear" w:pos="567"/>
              </w:tabs>
              <w:spacing w:before="0" w:line="240" w:lineRule="auto"/>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Method 1</w:t>
            </w:r>
          </w:p>
        </w:tc>
        <w:tc>
          <w:tcPr>
            <w:tcW w:w="932" w:type="dxa"/>
            <w:tcBorders>
              <w:top w:val="nil"/>
              <w:left w:val="nil"/>
              <w:bottom w:val="single" w:sz="4" w:space="0" w:color="ADD6EA"/>
              <w:right w:val="nil"/>
            </w:tcBorders>
            <w:shd w:val="clear" w:color="000000" w:fill="FFFFFF"/>
            <w:vAlign w:val="center"/>
            <w:hideMark/>
          </w:tcPr>
          <w:p w14:paraId="1B69185D"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948" w:type="dxa"/>
            <w:tcBorders>
              <w:top w:val="nil"/>
              <w:left w:val="nil"/>
              <w:bottom w:val="single" w:sz="4" w:space="0" w:color="ADD6EA"/>
              <w:right w:val="nil"/>
            </w:tcBorders>
            <w:shd w:val="clear" w:color="000000" w:fill="FFFFFF"/>
            <w:vAlign w:val="center"/>
            <w:hideMark/>
          </w:tcPr>
          <w:p w14:paraId="29D86680"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1120" w:type="dxa"/>
            <w:tcBorders>
              <w:top w:val="nil"/>
              <w:left w:val="nil"/>
              <w:bottom w:val="single" w:sz="4" w:space="0" w:color="ADD6EA"/>
              <w:right w:val="nil"/>
            </w:tcBorders>
            <w:shd w:val="clear" w:color="000000" w:fill="FFFFFF"/>
            <w:vAlign w:val="center"/>
            <w:hideMark/>
          </w:tcPr>
          <w:p w14:paraId="6DE1179C"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1120" w:type="dxa"/>
            <w:tcBorders>
              <w:top w:val="nil"/>
              <w:left w:val="nil"/>
              <w:bottom w:val="single" w:sz="4" w:space="0" w:color="ADD6EA"/>
              <w:right w:val="nil"/>
            </w:tcBorders>
            <w:shd w:val="clear" w:color="000000" w:fill="FFFFFF"/>
            <w:vAlign w:val="center"/>
            <w:hideMark/>
          </w:tcPr>
          <w:p w14:paraId="6F53B714"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r>
      <w:tr w:rsidR="00E81585" w:rsidRPr="00E81585" w14:paraId="28F95622" w14:textId="77777777" w:rsidTr="00CF6BE3">
        <w:trPr>
          <w:trHeight w:val="300"/>
        </w:trPr>
        <w:tc>
          <w:tcPr>
            <w:tcW w:w="4880" w:type="dxa"/>
            <w:gridSpan w:val="2"/>
            <w:tcBorders>
              <w:top w:val="single" w:sz="4" w:space="0" w:color="ADD6EA"/>
              <w:left w:val="nil"/>
              <w:bottom w:val="single" w:sz="4" w:space="0" w:color="ADD6EA"/>
              <w:right w:val="nil"/>
            </w:tcBorders>
            <w:shd w:val="clear" w:color="000000" w:fill="FFFFFF"/>
            <w:noWrap/>
            <w:vAlign w:val="center"/>
            <w:hideMark/>
          </w:tcPr>
          <w:p w14:paraId="0ACFD6B2" w14:textId="67CABFD6"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Public hospital services with similar non-state sector services</w:t>
            </w:r>
          </w:p>
        </w:tc>
        <w:tc>
          <w:tcPr>
            <w:tcW w:w="932" w:type="dxa"/>
            <w:tcBorders>
              <w:top w:val="nil"/>
              <w:left w:val="nil"/>
              <w:bottom w:val="single" w:sz="4" w:space="0" w:color="ADD6EA"/>
              <w:right w:val="nil"/>
            </w:tcBorders>
            <w:shd w:val="clear" w:color="000000" w:fill="FFFFFF"/>
            <w:vAlign w:val="center"/>
            <w:hideMark/>
          </w:tcPr>
          <w:p w14:paraId="626C23D5"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53</w:t>
            </w:r>
          </w:p>
        </w:tc>
        <w:tc>
          <w:tcPr>
            <w:tcW w:w="948" w:type="dxa"/>
            <w:tcBorders>
              <w:top w:val="nil"/>
              <w:left w:val="nil"/>
              <w:bottom w:val="single" w:sz="4" w:space="0" w:color="ADD6EA"/>
              <w:right w:val="nil"/>
            </w:tcBorders>
            <w:shd w:val="clear" w:color="000000" w:fill="FFFFFF"/>
            <w:vAlign w:val="center"/>
            <w:hideMark/>
          </w:tcPr>
          <w:p w14:paraId="69A792EB"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53</w:t>
            </w:r>
          </w:p>
        </w:tc>
        <w:tc>
          <w:tcPr>
            <w:tcW w:w="1120" w:type="dxa"/>
            <w:tcBorders>
              <w:top w:val="nil"/>
              <w:left w:val="nil"/>
              <w:bottom w:val="single" w:sz="4" w:space="0" w:color="ADD6EA"/>
              <w:right w:val="nil"/>
            </w:tcBorders>
            <w:shd w:val="clear" w:color="000000" w:fill="FFFFFF"/>
            <w:vAlign w:val="center"/>
            <w:hideMark/>
          </w:tcPr>
          <w:p w14:paraId="5CBC3AD4"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55</w:t>
            </w:r>
          </w:p>
        </w:tc>
        <w:tc>
          <w:tcPr>
            <w:tcW w:w="1120" w:type="dxa"/>
            <w:tcBorders>
              <w:top w:val="nil"/>
              <w:left w:val="nil"/>
              <w:bottom w:val="single" w:sz="4" w:space="0" w:color="ADD6EA"/>
              <w:right w:val="nil"/>
            </w:tcBorders>
            <w:shd w:val="clear" w:color="000000" w:fill="FFFFFF"/>
            <w:vAlign w:val="center"/>
            <w:hideMark/>
          </w:tcPr>
          <w:p w14:paraId="3C29C1B7" w14:textId="5F3DE711"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5</w:t>
            </w:r>
            <w:r w:rsidR="006544A8">
              <w:rPr>
                <w:rFonts w:eastAsia="Times New Roman" w:cs="Open Sans Light"/>
                <w:color w:val="000000"/>
                <w:sz w:val="16"/>
                <w:szCs w:val="16"/>
                <w:lang w:eastAsia="en-AU"/>
              </w:rPr>
              <w:t>4</w:t>
            </w:r>
          </w:p>
        </w:tc>
      </w:tr>
      <w:tr w:rsidR="00E81585" w:rsidRPr="00E81585" w14:paraId="388B3DA1" w14:textId="77777777" w:rsidTr="00CF6BE3">
        <w:trPr>
          <w:trHeight w:val="300"/>
        </w:trPr>
        <w:tc>
          <w:tcPr>
            <w:tcW w:w="4880" w:type="dxa"/>
            <w:gridSpan w:val="2"/>
            <w:tcBorders>
              <w:top w:val="single" w:sz="4" w:space="0" w:color="ADD6EA"/>
              <w:left w:val="nil"/>
              <w:bottom w:val="single" w:sz="4" w:space="0" w:color="ADD6EA"/>
              <w:right w:val="nil"/>
            </w:tcBorders>
            <w:shd w:val="clear" w:color="000000" w:fill="FFFFFF"/>
            <w:noWrap/>
            <w:vAlign w:val="center"/>
            <w:hideMark/>
          </w:tcPr>
          <w:p w14:paraId="006A293A" w14:textId="77777777"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Share of population</w:t>
            </w:r>
          </w:p>
        </w:tc>
        <w:tc>
          <w:tcPr>
            <w:tcW w:w="932" w:type="dxa"/>
            <w:tcBorders>
              <w:top w:val="nil"/>
              <w:left w:val="nil"/>
              <w:bottom w:val="single" w:sz="4" w:space="0" w:color="ADD6EA"/>
              <w:right w:val="nil"/>
            </w:tcBorders>
            <w:shd w:val="clear" w:color="000000" w:fill="FFFFFF"/>
            <w:vAlign w:val="center"/>
            <w:hideMark/>
          </w:tcPr>
          <w:p w14:paraId="03BC4581"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948" w:type="dxa"/>
            <w:tcBorders>
              <w:top w:val="nil"/>
              <w:left w:val="nil"/>
              <w:bottom w:val="single" w:sz="4" w:space="0" w:color="ADD6EA"/>
              <w:right w:val="nil"/>
            </w:tcBorders>
            <w:shd w:val="clear" w:color="000000" w:fill="FFFFFF"/>
            <w:vAlign w:val="center"/>
            <w:hideMark/>
          </w:tcPr>
          <w:p w14:paraId="68C31884"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1120" w:type="dxa"/>
            <w:tcBorders>
              <w:top w:val="nil"/>
              <w:left w:val="nil"/>
              <w:bottom w:val="single" w:sz="4" w:space="0" w:color="ADD6EA"/>
              <w:right w:val="nil"/>
            </w:tcBorders>
            <w:shd w:val="clear" w:color="000000" w:fill="FFFFFF"/>
            <w:vAlign w:val="center"/>
            <w:hideMark/>
          </w:tcPr>
          <w:p w14:paraId="1F905D33"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1120" w:type="dxa"/>
            <w:tcBorders>
              <w:top w:val="nil"/>
              <w:left w:val="nil"/>
              <w:bottom w:val="single" w:sz="4" w:space="0" w:color="ADD6EA"/>
              <w:right w:val="nil"/>
            </w:tcBorders>
            <w:shd w:val="clear" w:color="000000" w:fill="FFFFFF"/>
            <w:vAlign w:val="center"/>
            <w:hideMark/>
          </w:tcPr>
          <w:p w14:paraId="00542E92" w14:textId="77777777"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r>
      <w:tr w:rsidR="00E81585" w:rsidRPr="00E81585" w14:paraId="3D860592" w14:textId="77777777" w:rsidTr="00CF6BE3">
        <w:trPr>
          <w:trHeight w:val="300"/>
        </w:trPr>
        <w:tc>
          <w:tcPr>
            <w:tcW w:w="400" w:type="dxa"/>
            <w:tcBorders>
              <w:top w:val="nil"/>
              <w:left w:val="nil"/>
              <w:bottom w:val="single" w:sz="4" w:space="0" w:color="ADD6EA"/>
              <w:right w:val="nil"/>
            </w:tcBorders>
            <w:shd w:val="clear" w:color="000000" w:fill="FFFFFF"/>
            <w:vAlign w:val="center"/>
            <w:hideMark/>
          </w:tcPr>
          <w:p w14:paraId="50C811DF" w14:textId="77777777"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4480" w:type="dxa"/>
            <w:tcBorders>
              <w:top w:val="nil"/>
              <w:left w:val="nil"/>
              <w:bottom w:val="single" w:sz="4" w:space="0" w:color="ADD6EA"/>
              <w:right w:val="nil"/>
            </w:tcBorders>
            <w:shd w:val="clear" w:color="000000" w:fill="FFFFFF"/>
            <w:vAlign w:val="center"/>
            <w:hideMark/>
          </w:tcPr>
          <w:p w14:paraId="26626BB5" w14:textId="7D48AA76"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With private health insurance (PHI)</w:t>
            </w:r>
          </w:p>
        </w:tc>
        <w:tc>
          <w:tcPr>
            <w:tcW w:w="932" w:type="dxa"/>
            <w:tcBorders>
              <w:top w:val="nil"/>
              <w:left w:val="nil"/>
              <w:bottom w:val="single" w:sz="4" w:space="0" w:color="ADD6EA"/>
              <w:right w:val="nil"/>
            </w:tcBorders>
            <w:shd w:val="clear" w:color="000000" w:fill="FFFFFF"/>
            <w:vAlign w:val="center"/>
            <w:hideMark/>
          </w:tcPr>
          <w:p w14:paraId="28CAD479"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44</w:t>
            </w:r>
          </w:p>
        </w:tc>
        <w:tc>
          <w:tcPr>
            <w:tcW w:w="948" w:type="dxa"/>
            <w:tcBorders>
              <w:top w:val="nil"/>
              <w:left w:val="nil"/>
              <w:bottom w:val="single" w:sz="4" w:space="0" w:color="ADD6EA"/>
              <w:right w:val="nil"/>
            </w:tcBorders>
            <w:shd w:val="clear" w:color="000000" w:fill="FFFFFF"/>
            <w:vAlign w:val="center"/>
            <w:hideMark/>
          </w:tcPr>
          <w:p w14:paraId="0845F802"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45</w:t>
            </w:r>
          </w:p>
        </w:tc>
        <w:tc>
          <w:tcPr>
            <w:tcW w:w="1120" w:type="dxa"/>
            <w:tcBorders>
              <w:top w:val="nil"/>
              <w:left w:val="nil"/>
              <w:bottom w:val="single" w:sz="4" w:space="0" w:color="ADD6EA"/>
              <w:right w:val="nil"/>
            </w:tcBorders>
            <w:shd w:val="clear" w:color="000000" w:fill="FFFFFF"/>
            <w:vAlign w:val="center"/>
            <w:hideMark/>
          </w:tcPr>
          <w:p w14:paraId="7F48143A"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45</w:t>
            </w:r>
          </w:p>
        </w:tc>
        <w:tc>
          <w:tcPr>
            <w:tcW w:w="1120" w:type="dxa"/>
            <w:tcBorders>
              <w:top w:val="nil"/>
              <w:left w:val="nil"/>
              <w:bottom w:val="single" w:sz="4" w:space="0" w:color="ADD6EA"/>
              <w:right w:val="nil"/>
            </w:tcBorders>
            <w:shd w:val="clear" w:color="000000" w:fill="FFFFFF"/>
            <w:vAlign w:val="center"/>
            <w:hideMark/>
          </w:tcPr>
          <w:p w14:paraId="0B3CFB6C" w14:textId="77777777"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r>
      <w:tr w:rsidR="00E81585" w:rsidRPr="00E81585" w14:paraId="467B5DCB" w14:textId="77777777" w:rsidTr="00CF6BE3">
        <w:trPr>
          <w:trHeight w:val="300"/>
        </w:trPr>
        <w:tc>
          <w:tcPr>
            <w:tcW w:w="400" w:type="dxa"/>
            <w:tcBorders>
              <w:top w:val="nil"/>
              <w:left w:val="nil"/>
              <w:bottom w:val="single" w:sz="4" w:space="0" w:color="ADD6EA"/>
              <w:right w:val="nil"/>
            </w:tcBorders>
            <w:shd w:val="clear" w:color="000000" w:fill="FFFFFF"/>
            <w:vAlign w:val="center"/>
            <w:hideMark/>
          </w:tcPr>
          <w:p w14:paraId="599099BD" w14:textId="77777777"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4480" w:type="dxa"/>
            <w:tcBorders>
              <w:top w:val="nil"/>
              <w:left w:val="nil"/>
              <w:bottom w:val="single" w:sz="4" w:space="0" w:color="ADD6EA"/>
              <w:right w:val="nil"/>
            </w:tcBorders>
            <w:shd w:val="clear" w:color="000000" w:fill="FFFFFF"/>
            <w:vAlign w:val="center"/>
            <w:hideMark/>
          </w:tcPr>
          <w:p w14:paraId="1B66D07D" w14:textId="71C9CB56"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Self-funded</w:t>
            </w:r>
          </w:p>
        </w:tc>
        <w:tc>
          <w:tcPr>
            <w:tcW w:w="932" w:type="dxa"/>
            <w:tcBorders>
              <w:top w:val="nil"/>
              <w:left w:val="nil"/>
              <w:bottom w:val="single" w:sz="4" w:space="0" w:color="ADD6EA"/>
              <w:right w:val="nil"/>
            </w:tcBorders>
            <w:shd w:val="clear" w:color="000000" w:fill="FFFFFF"/>
            <w:vAlign w:val="center"/>
            <w:hideMark/>
          </w:tcPr>
          <w:p w14:paraId="5259034E"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4</w:t>
            </w:r>
          </w:p>
        </w:tc>
        <w:tc>
          <w:tcPr>
            <w:tcW w:w="948" w:type="dxa"/>
            <w:tcBorders>
              <w:top w:val="nil"/>
              <w:left w:val="nil"/>
              <w:bottom w:val="single" w:sz="4" w:space="0" w:color="ADD6EA"/>
              <w:right w:val="nil"/>
            </w:tcBorders>
            <w:shd w:val="clear" w:color="000000" w:fill="FFFFFF"/>
            <w:vAlign w:val="center"/>
            <w:hideMark/>
          </w:tcPr>
          <w:p w14:paraId="3BE0B482"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4</w:t>
            </w:r>
          </w:p>
        </w:tc>
        <w:tc>
          <w:tcPr>
            <w:tcW w:w="1120" w:type="dxa"/>
            <w:tcBorders>
              <w:top w:val="nil"/>
              <w:left w:val="nil"/>
              <w:bottom w:val="single" w:sz="4" w:space="0" w:color="ADD6EA"/>
              <w:right w:val="nil"/>
            </w:tcBorders>
            <w:shd w:val="clear" w:color="000000" w:fill="FFFFFF"/>
            <w:vAlign w:val="center"/>
            <w:hideMark/>
          </w:tcPr>
          <w:p w14:paraId="3679ABA8"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4</w:t>
            </w:r>
          </w:p>
        </w:tc>
        <w:tc>
          <w:tcPr>
            <w:tcW w:w="1120" w:type="dxa"/>
            <w:tcBorders>
              <w:top w:val="nil"/>
              <w:left w:val="nil"/>
              <w:bottom w:val="single" w:sz="4" w:space="0" w:color="ADD6EA"/>
              <w:right w:val="nil"/>
            </w:tcBorders>
            <w:shd w:val="clear" w:color="000000" w:fill="FFFFFF"/>
            <w:vAlign w:val="center"/>
            <w:hideMark/>
          </w:tcPr>
          <w:p w14:paraId="74BB09FE" w14:textId="77777777"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r>
      <w:tr w:rsidR="00E81585" w:rsidRPr="00E81585" w14:paraId="7A64512F" w14:textId="77777777" w:rsidTr="00CF6BE3">
        <w:trPr>
          <w:trHeight w:val="300"/>
        </w:trPr>
        <w:tc>
          <w:tcPr>
            <w:tcW w:w="400" w:type="dxa"/>
            <w:tcBorders>
              <w:top w:val="nil"/>
              <w:left w:val="nil"/>
              <w:bottom w:val="single" w:sz="4" w:space="0" w:color="ADD6EA"/>
              <w:right w:val="nil"/>
            </w:tcBorders>
            <w:shd w:val="clear" w:color="000000" w:fill="FFFFFF"/>
            <w:vAlign w:val="center"/>
            <w:hideMark/>
          </w:tcPr>
          <w:p w14:paraId="05CA0CCA" w14:textId="77777777"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4480" w:type="dxa"/>
            <w:tcBorders>
              <w:top w:val="nil"/>
              <w:left w:val="nil"/>
              <w:bottom w:val="single" w:sz="4" w:space="0" w:color="ADD6EA"/>
              <w:right w:val="nil"/>
            </w:tcBorders>
            <w:shd w:val="clear" w:color="000000" w:fill="FFFFFF"/>
            <w:vAlign w:val="center"/>
            <w:hideMark/>
          </w:tcPr>
          <w:p w14:paraId="33596545" w14:textId="77777777"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Total</w:t>
            </w:r>
          </w:p>
        </w:tc>
        <w:tc>
          <w:tcPr>
            <w:tcW w:w="932" w:type="dxa"/>
            <w:tcBorders>
              <w:top w:val="nil"/>
              <w:left w:val="nil"/>
              <w:bottom w:val="single" w:sz="4" w:space="0" w:color="ADD6EA"/>
              <w:right w:val="nil"/>
            </w:tcBorders>
            <w:shd w:val="clear" w:color="000000" w:fill="FFFFFF"/>
            <w:vAlign w:val="center"/>
            <w:hideMark/>
          </w:tcPr>
          <w:p w14:paraId="078ED146"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48</w:t>
            </w:r>
          </w:p>
        </w:tc>
        <w:tc>
          <w:tcPr>
            <w:tcW w:w="948" w:type="dxa"/>
            <w:tcBorders>
              <w:top w:val="nil"/>
              <w:left w:val="nil"/>
              <w:bottom w:val="single" w:sz="4" w:space="0" w:color="ADD6EA"/>
              <w:right w:val="nil"/>
            </w:tcBorders>
            <w:shd w:val="clear" w:color="000000" w:fill="FFFFFF"/>
            <w:vAlign w:val="center"/>
            <w:hideMark/>
          </w:tcPr>
          <w:p w14:paraId="0CFF2FAB"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49</w:t>
            </w:r>
          </w:p>
        </w:tc>
        <w:tc>
          <w:tcPr>
            <w:tcW w:w="1120" w:type="dxa"/>
            <w:tcBorders>
              <w:top w:val="nil"/>
              <w:left w:val="nil"/>
              <w:bottom w:val="single" w:sz="4" w:space="0" w:color="ADD6EA"/>
              <w:right w:val="nil"/>
            </w:tcBorders>
            <w:shd w:val="clear" w:color="000000" w:fill="FFFFFF"/>
            <w:vAlign w:val="center"/>
            <w:hideMark/>
          </w:tcPr>
          <w:p w14:paraId="34D4604E"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49</w:t>
            </w:r>
          </w:p>
        </w:tc>
        <w:tc>
          <w:tcPr>
            <w:tcW w:w="1120" w:type="dxa"/>
            <w:tcBorders>
              <w:top w:val="nil"/>
              <w:left w:val="nil"/>
              <w:bottom w:val="single" w:sz="4" w:space="0" w:color="ADD6EA"/>
              <w:right w:val="nil"/>
            </w:tcBorders>
            <w:shd w:val="clear" w:color="000000" w:fill="FFFFFF"/>
            <w:vAlign w:val="center"/>
            <w:hideMark/>
          </w:tcPr>
          <w:p w14:paraId="527F581E" w14:textId="77777777"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r>
      <w:tr w:rsidR="00E81585" w:rsidRPr="00E81585" w14:paraId="18A4C422" w14:textId="77777777" w:rsidTr="00CF6BE3">
        <w:trPr>
          <w:trHeight w:val="300"/>
        </w:trPr>
        <w:tc>
          <w:tcPr>
            <w:tcW w:w="4880" w:type="dxa"/>
            <w:gridSpan w:val="2"/>
            <w:tcBorders>
              <w:top w:val="single" w:sz="4" w:space="0" w:color="ADD6EA"/>
              <w:left w:val="nil"/>
              <w:right w:val="nil"/>
            </w:tcBorders>
            <w:shd w:val="clear" w:color="000000" w:fill="D6E7F0"/>
            <w:noWrap/>
            <w:vAlign w:val="center"/>
            <w:hideMark/>
          </w:tcPr>
          <w:p w14:paraId="758B738E" w14:textId="77777777" w:rsidR="00E81585" w:rsidRPr="00E81585" w:rsidRDefault="00E81585" w:rsidP="00B85508">
            <w:pPr>
              <w:tabs>
                <w:tab w:val="clear" w:pos="567"/>
              </w:tabs>
              <w:spacing w:before="0" w:line="240" w:lineRule="auto"/>
              <w:ind w:firstLineChars="100" w:firstLine="160"/>
              <w:rPr>
                <w:rFonts w:eastAsia="Times New Roman" w:cs="Open Sans Light"/>
                <w:color w:val="000000"/>
                <w:sz w:val="16"/>
                <w:szCs w:val="16"/>
                <w:lang w:eastAsia="en-AU"/>
              </w:rPr>
            </w:pPr>
            <w:r w:rsidRPr="00E81585">
              <w:rPr>
                <w:rFonts w:eastAsia="Times New Roman" w:cs="Open Sans Light"/>
                <w:color w:val="000000"/>
                <w:sz w:val="16"/>
                <w:szCs w:val="16"/>
                <w:lang w:eastAsia="en-AU"/>
              </w:rPr>
              <w:t>Method 1 substitutability range</w:t>
            </w:r>
          </w:p>
        </w:tc>
        <w:tc>
          <w:tcPr>
            <w:tcW w:w="932" w:type="dxa"/>
            <w:tcBorders>
              <w:top w:val="nil"/>
              <w:left w:val="nil"/>
              <w:right w:val="nil"/>
            </w:tcBorders>
            <w:shd w:val="clear" w:color="000000" w:fill="D6E7F0"/>
            <w:vAlign w:val="center"/>
            <w:hideMark/>
          </w:tcPr>
          <w:p w14:paraId="01DCF59E" w14:textId="6520F313"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2</w:t>
            </w:r>
            <w:r w:rsidR="007A05A4">
              <w:rPr>
                <w:rFonts w:ascii="Open Sans Semibold" w:eastAsia="Times New Roman" w:hAnsi="Open Sans Semibold" w:cs="Open Sans Semibold"/>
                <w:color w:val="000000"/>
                <w:sz w:val="16"/>
                <w:szCs w:val="16"/>
                <w:lang w:eastAsia="en-AU"/>
              </w:rPr>
              <w:t>6</w:t>
            </w:r>
          </w:p>
        </w:tc>
        <w:tc>
          <w:tcPr>
            <w:tcW w:w="948" w:type="dxa"/>
            <w:tcBorders>
              <w:top w:val="nil"/>
              <w:left w:val="nil"/>
              <w:right w:val="nil"/>
            </w:tcBorders>
            <w:shd w:val="clear" w:color="000000" w:fill="D6E7F0"/>
            <w:vAlign w:val="center"/>
            <w:hideMark/>
          </w:tcPr>
          <w:p w14:paraId="14C75896"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26</w:t>
            </w:r>
          </w:p>
        </w:tc>
        <w:tc>
          <w:tcPr>
            <w:tcW w:w="1120" w:type="dxa"/>
            <w:tcBorders>
              <w:top w:val="nil"/>
              <w:left w:val="nil"/>
              <w:right w:val="nil"/>
            </w:tcBorders>
            <w:shd w:val="clear" w:color="000000" w:fill="D6E7F0"/>
            <w:vAlign w:val="center"/>
            <w:hideMark/>
          </w:tcPr>
          <w:p w14:paraId="3E9E3016"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27</w:t>
            </w:r>
          </w:p>
        </w:tc>
        <w:tc>
          <w:tcPr>
            <w:tcW w:w="1120" w:type="dxa"/>
            <w:tcBorders>
              <w:top w:val="nil"/>
              <w:left w:val="nil"/>
              <w:right w:val="nil"/>
            </w:tcBorders>
            <w:shd w:val="clear" w:color="000000" w:fill="D6E7F0"/>
            <w:vAlign w:val="center"/>
            <w:hideMark/>
          </w:tcPr>
          <w:p w14:paraId="55A7924F" w14:textId="0D0E76B5"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2</w:t>
            </w:r>
            <w:r w:rsidR="007A05A4">
              <w:rPr>
                <w:rFonts w:ascii="Open Sans Semibold" w:eastAsia="Times New Roman" w:hAnsi="Open Sans Semibold" w:cs="Open Sans Semibold"/>
                <w:color w:val="000000"/>
                <w:sz w:val="16"/>
                <w:szCs w:val="16"/>
                <w:lang w:eastAsia="en-AU"/>
              </w:rPr>
              <w:t>6</w:t>
            </w:r>
          </w:p>
        </w:tc>
      </w:tr>
      <w:tr w:rsidR="00917E30" w:rsidRPr="00E81585" w14:paraId="7B43FAAD" w14:textId="77777777" w:rsidTr="00CF6BE3">
        <w:trPr>
          <w:trHeight w:val="284"/>
        </w:trPr>
        <w:tc>
          <w:tcPr>
            <w:tcW w:w="4880" w:type="dxa"/>
            <w:gridSpan w:val="2"/>
            <w:tcBorders>
              <w:left w:val="nil"/>
              <w:right w:val="nil"/>
            </w:tcBorders>
            <w:shd w:val="clear" w:color="auto" w:fill="006991"/>
            <w:noWrap/>
            <w:vAlign w:val="center"/>
          </w:tcPr>
          <w:p w14:paraId="32324C1C" w14:textId="77777777" w:rsidR="00917E30" w:rsidRPr="00E81585" w:rsidRDefault="00917E30" w:rsidP="00B85508">
            <w:pPr>
              <w:tabs>
                <w:tab w:val="clear" w:pos="567"/>
              </w:tabs>
              <w:spacing w:before="0" w:line="240" w:lineRule="auto"/>
              <w:rPr>
                <w:rFonts w:ascii="Open Sans Semibold" w:eastAsia="Times New Roman" w:hAnsi="Open Sans Semibold" w:cs="Open Sans Semibold"/>
                <w:color w:val="000000"/>
                <w:sz w:val="16"/>
                <w:szCs w:val="16"/>
                <w:lang w:eastAsia="en-AU"/>
              </w:rPr>
            </w:pPr>
          </w:p>
        </w:tc>
        <w:tc>
          <w:tcPr>
            <w:tcW w:w="932" w:type="dxa"/>
            <w:tcBorders>
              <w:left w:val="nil"/>
              <w:right w:val="nil"/>
            </w:tcBorders>
            <w:shd w:val="clear" w:color="auto" w:fill="006991"/>
            <w:vAlign w:val="center"/>
          </w:tcPr>
          <w:p w14:paraId="4E9E9B1F" w14:textId="2FB54FFF" w:rsidR="00917E30" w:rsidRPr="008D54CB" w:rsidRDefault="00917E30" w:rsidP="00B85508">
            <w:pPr>
              <w:tabs>
                <w:tab w:val="clear" w:pos="567"/>
              </w:tabs>
              <w:spacing w:before="0" w:line="240" w:lineRule="auto"/>
              <w:jc w:val="right"/>
              <w:rPr>
                <w:rFonts w:ascii="Open Sans Semibold" w:eastAsia="Times New Roman" w:hAnsi="Open Sans Semibold" w:cs="Open Sans Semibold"/>
                <w:color w:val="FFFFFF" w:themeColor="background1"/>
                <w:sz w:val="16"/>
                <w:szCs w:val="16"/>
                <w:lang w:eastAsia="en-AU"/>
              </w:rPr>
            </w:pPr>
            <w:r w:rsidRPr="008D54CB">
              <w:rPr>
                <w:rFonts w:ascii="Open Sans Semibold" w:eastAsia="Times New Roman" w:hAnsi="Open Sans Semibold" w:cs="Open Sans Semibold"/>
                <w:color w:val="FFFFFF" w:themeColor="background1"/>
                <w:sz w:val="16"/>
                <w:szCs w:val="16"/>
                <w:lang w:eastAsia="en-AU"/>
              </w:rPr>
              <w:t>2019-20</w:t>
            </w:r>
          </w:p>
        </w:tc>
        <w:tc>
          <w:tcPr>
            <w:tcW w:w="948" w:type="dxa"/>
            <w:tcBorders>
              <w:left w:val="nil"/>
              <w:right w:val="nil"/>
            </w:tcBorders>
            <w:shd w:val="clear" w:color="auto" w:fill="006991"/>
            <w:vAlign w:val="center"/>
          </w:tcPr>
          <w:p w14:paraId="35B1E302" w14:textId="274A312B" w:rsidR="00917E30" w:rsidRPr="008D54CB" w:rsidRDefault="008D54CB" w:rsidP="00B85508">
            <w:pPr>
              <w:tabs>
                <w:tab w:val="clear" w:pos="567"/>
              </w:tabs>
              <w:spacing w:before="0" w:line="240" w:lineRule="auto"/>
              <w:jc w:val="right"/>
              <w:rPr>
                <w:rFonts w:ascii="Open Sans Semibold" w:eastAsia="Times New Roman" w:hAnsi="Open Sans Semibold" w:cs="Open Sans Semibold"/>
                <w:color w:val="FFFFFF" w:themeColor="background1"/>
                <w:sz w:val="16"/>
                <w:szCs w:val="16"/>
                <w:lang w:eastAsia="en-AU"/>
              </w:rPr>
            </w:pPr>
            <w:r>
              <w:rPr>
                <w:rFonts w:ascii="Open Sans Semibold" w:eastAsia="Times New Roman" w:hAnsi="Open Sans Semibold" w:cs="Open Sans Semibold"/>
                <w:color w:val="FFFFFF" w:themeColor="background1"/>
                <w:sz w:val="16"/>
                <w:szCs w:val="16"/>
                <w:lang w:eastAsia="en-AU"/>
              </w:rPr>
              <w:t>2020-21</w:t>
            </w:r>
          </w:p>
        </w:tc>
        <w:tc>
          <w:tcPr>
            <w:tcW w:w="1120" w:type="dxa"/>
            <w:tcBorders>
              <w:left w:val="nil"/>
              <w:right w:val="nil"/>
            </w:tcBorders>
            <w:shd w:val="clear" w:color="auto" w:fill="006991"/>
            <w:vAlign w:val="center"/>
          </w:tcPr>
          <w:p w14:paraId="045E890A" w14:textId="50CF701B" w:rsidR="00917E30" w:rsidRPr="008D54CB" w:rsidRDefault="008D54CB" w:rsidP="00B85508">
            <w:pPr>
              <w:tabs>
                <w:tab w:val="clear" w:pos="567"/>
              </w:tabs>
              <w:spacing w:before="0" w:line="240" w:lineRule="auto"/>
              <w:jc w:val="right"/>
              <w:rPr>
                <w:rFonts w:ascii="Open Sans Semibold" w:eastAsia="Times New Roman" w:hAnsi="Open Sans Semibold" w:cs="Open Sans Semibold"/>
                <w:color w:val="FFFFFF" w:themeColor="background1"/>
                <w:sz w:val="16"/>
                <w:szCs w:val="16"/>
                <w:lang w:eastAsia="en-AU"/>
              </w:rPr>
            </w:pPr>
            <w:r>
              <w:rPr>
                <w:rFonts w:ascii="Open Sans Semibold" w:eastAsia="Times New Roman" w:hAnsi="Open Sans Semibold" w:cs="Open Sans Semibold"/>
                <w:color w:val="FFFFFF" w:themeColor="background1"/>
                <w:sz w:val="16"/>
                <w:szCs w:val="16"/>
                <w:lang w:eastAsia="en-AU"/>
              </w:rPr>
              <w:t>2021-22</w:t>
            </w:r>
          </w:p>
        </w:tc>
        <w:tc>
          <w:tcPr>
            <w:tcW w:w="1120" w:type="dxa"/>
            <w:tcBorders>
              <w:left w:val="nil"/>
              <w:right w:val="nil"/>
            </w:tcBorders>
            <w:shd w:val="clear" w:color="auto" w:fill="006991"/>
            <w:vAlign w:val="center"/>
          </w:tcPr>
          <w:p w14:paraId="39BBF8C9" w14:textId="77777777" w:rsidR="00917E30" w:rsidRPr="008D54CB" w:rsidRDefault="00917E30" w:rsidP="00B85508">
            <w:pPr>
              <w:tabs>
                <w:tab w:val="clear" w:pos="567"/>
              </w:tabs>
              <w:spacing w:before="0" w:line="240" w:lineRule="auto"/>
              <w:jc w:val="right"/>
              <w:rPr>
                <w:rFonts w:ascii="Open Sans Semibold" w:eastAsia="Times New Roman" w:hAnsi="Open Sans Semibold" w:cs="Open Sans Semibold"/>
                <w:color w:val="FFFFFF" w:themeColor="background1"/>
                <w:sz w:val="16"/>
                <w:szCs w:val="16"/>
                <w:lang w:eastAsia="en-AU"/>
              </w:rPr>
            </w:pPr>
          </w:p>
        </w:tc>
      </w:tr>
      <w:tr w:rsidR="00E81585" w:rsidRPr="00E81585" w14:paraId="578B737E" w14:textId="77777777" w:rsidTr="00CF6BE3">
        <w:trPr>
          <w:trHeight w:val="300"/>
        </w:trPr>
        <w:tc>
          <w:tcPr>
            <w:tcW w:w="4880" w:type="dxa"/>
            <w:gridSpan w:val="2"/>
            <w:tcBorders>
              <w:left w:val="nil"/>
              <w:bottom w:val="single" w:sz="4" w:space="0" w:color="ADD6EA"/>
              <w:right w:val="nil"/>
            </w:tcBorders>
            <w:shd w:val="clear" w:color="000000" w:fill="FFFFFF"/>
            <w:noWrap/>
            <w:vAlign w:val="center"/>
            <w:hideMark/>
          </w:tcPr>
          <w:p w14:paraId="04050141" w14:textId="77777777" w:rsidR="00E81585" w:rsidRPr="00E81585" w:rsidRDefault="00E81585" w:rsidP="00B85508">
            <w:pPr>
              <w:tabs>
                <w:tab w:val="clear" w:pos="567"/>
              </w:tabs>
              <w:spacing w:before="0" w:line="240" w:lineRule="auto"/>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Method 2</w:t>
            </w:r>
          </w:p>
        </w:tc>
        <w:tc>
          <w:tcPr>
            <w:tcW w:w="932" w:type="dxa"/>
            <w:tcBorders>
              <w:left w:val="nil"/>
              <w:bottom w:val="single" w:sz="4" w:space="0" w:color="ADD6EA"/>
              <w:right w:val="nil"/>
            </w:tcBorders>
            <w:shd w:val="clear" w:color="000000" w:fill="FFFFFF"/>
            <w:vAlign w:val="center"/>
            <w:hideMark/>
          </w:tcPr>
          <w:p w14:paraId="4F0DD73B"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948" w:type="dxa"/>
            <w:tcBorders>
              <w:left w:val="nil"/>
              <w:bottom w:val="single" w:sz="4" w:space="0" w:color="ADD6EA"/>
              <w:right w:val="nil"/>
            </w:tcBorders>
            <w:shd w:val="clear" w:color="000000" w:fill="FFFFFF"/>
            <w:vAlign w:val="center"/>
            <w:hideMark/>
          </w:tcPr>
          <w:p w14:paraId="6106CA3F"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1120" w:type="dxa"/>
            <w:tcBorders>
              <w:left w:val="nil"/>
              <w:bottom w:val="single" w:sz="4" w:space="0" w:color="ADD6EA"/>
              <w:right w:val="nil"/>
            </w:tcBorders>
            <w:shd w:val="clear" w:color="000000" w:fill="FFFFFF"/>
            <w:vAlign w:val="center"/>
            <w:hideMark/>
          </w:tcPr>
          <w:p w14:paraId="5C89CE98"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c>
          <w:tcPr>
            <w:tcW w:w="1120" w:type="dxa"/>
            <w:tcBorders>
              <w:left w:val="nil"/>
              <w:bottom w:val="single" w:sz="4" w:space="0" w:color="ADD6EA"/>
              <w:right w:val="nil"/>
            </w:tcBorders>
            <w:shd w:val="clear" w:color="000000" w:fill="FFFFFF"/>
            <w:vAlign w:val="center"/>
            <w:hideMark/>
          </w:tcPr>
          <w:p w14:paraId="2DC772CA"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p>
        </w:tc>
      </w:tr>
      <w:tr w:rsidR="00E81585" w:rsidRPr="00E81585" w14:paraId="2216E621" w14:textId="77777777" w:rsidTr="00CF6BE3">
        <w:trPr>
          <w:trHeight w:val="300"/>
        </w:trPr>
        <w:tc>
          <w:tcPr>
            <w:tcW w:w="4880" w:type="dxa"/>
            <w:gridSpan w:val="2"/>
            <w:tcBorders>
              <w:top w:val="single" w:sz="4" w:space="0" w:color="ADD6EA"/>
              <w:left w:val="nil"/>
              <w:bottom w:val="single" w:sz="4" w:space="0" w:color="ADD6EA"/>
              <w:right w:val="nil"/>
            </w:tcBorders>
            <w:shd w:val="clear" w:color="000000" w:fill="FFFFFF"/>
            <w:noWrap/>
            <w:vAlign w:val="center"/>
            <w:hideMark/>
          </w:tcPr>
          <w:p w14:paraId="4D792262" w14:textId="448F4183" w:rsidR="00E81585" w:rsidRPr="00E81585" w:rsidRDefault="00E81585" w:rsidP="00B85508">
            <w:pPr>
              <w:tabs>
                <w:tab w:val="clear" w:pos="567"/>
              </w:tabs>
              <w:spacing w:before="0" w:line="240" w:lineRule="auto"/>
              <w:rPr>
                <w:rFonts w:eastAsia="Times New Roman" w:cs="Open Sans Light"/>
                <w:color w:val="000000"/>
                <w:sz w:val="16"/>
                <w:szCs w:val="16"/>
                <w:lang w:eastAsia="en-AU"/>
              </w:rPr>
            </w:pPr>
            <w:r w:rsidRPr="00E81585">
              <w:rPr>
                <w:rFonts w:eastAsia="Times New Roman" w:cs="Open Sans Light"/>
                <w:color w:val="000000"/>
                <w:sz w:val="16"/>
                <w:szCs w:val="16"/>
                <w:lang w:eastAsia="en-AU"/>
              </w:rPr>
              <w:t>Share of privately funded public hospital separations (cost)</w:t>
            </w:r>
          </w:p>
        </w:tc>
        <w:tc>
          <w:tcPr>
            <w:tcW w:w="932" w:type="dxa"/>
            <w:tcBorders>
              <w:top w:val="nil"/>
              <w:left w:val="nil"/>
              <w:bottom w:val="single" w:sz="4" w:space="0" w:color="ADD6EA"/>
              <w:right w:val="nil"/>
            </w:tcBorders>
            <w:shd w:val="clear" w:color="000000" w:fill="FFFFFF"/>
            <w:vAlign w:val="center"/>
            <w:hideMark/>
          </w:tcPr>
          <w:p w14:paraId="3B28D7E7" w14:textId="77777777"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8</w:t>
            </w:r>
          </w:p>
        </w:tc>
        <w:tc>
          <w:tcPr>
            <w:tcW w:w="948" w:type="dxa"/>
            <w:tcBorders>
              <w:top w:val="nil"/>
              <w:left w:val="nil"/>
              <w:bottom w:val="single" w:sz="4" w:space="0" w:color="ADD6EA"/>
              <w:right w:val="nil"/>
            </w:tcBorders>
            <w:shd w:val="clear" w:color="000000" w:fill="FFFFFF"/>
            <w:vAlign w:val="center"/>
            <w:hideMark/>
          </w:tcPr>
          <w:p w14:paraId="28EF8BA4" w14:textId="410C9A4B" w:rsidR="00E81585" w:rsidRPr="00E81585" w:rsidRDefault="00E81585" w:rsidP="00B85508">
            <w:pPr>
              <w:tabs>
                <w:tab w:val="clear" w:pos="567"/>
              </w:tabs>
              <w:spacing w:before="0" w:line="240" w:lineRule="auto"/>
              <w:jc w:val="right"/>
              <w:rPr>
                <w:rFonts w:eastAsia="Times New Roman" w:cs="Open Sans Light"/>
                <w:color w:val="000000"/>
                <w:sz w:val="16"/>
                <w:szCs w:val="16"/>
                <w:lang w:eastAsia="en-AU"/>
              </w:rPr>
            </w:pPr>
            <w:r w:rsidRPr="00E81585">
              <w:rPr>
                <w:rFonts w:eastAsia="Times New Roman" w:cs="Open Sans Light"/>
                <w:color w:val="000000"/>
                <w:sz w:val="16"/>
                <w:szCs w:val="16"/>
                <w:lang w:eastAsia="en-AU"/>
              </w:rPr>
              <w:t> </w:t>
            </w:r>
            <w:r w:rsidR="008D54CB">
              <w:rPr>
                <w:rFonts w:eastAsia="Times New Roman" w:cs="Open Sans Light"/>
                <w:color w:val="000000"/>
                <w:sz w:val="16"/>
                <w:szCs w:val="16"/>
                <w:lang w:eastAsia="en-AU"/>
              </w:rPr>
              <w:t>8</w:t>
            </w:r>
          </w:p>
        </w:tc>
        <w:tc>
          <w:tcPr>
            <w:tcW w:w="1120" w:type="dxa"/>
            <w:tcBorders>
              <w:top w:val="nil"/>
              <w:left w:val="nil"/>
              <w:bottom w:val="single" w:sz="4" w:space="0" w:color="ADD6EA"/>
              <w:right w:val="nil"/>
            </w:tcBorders>
            <w:shd w:val="clear" w:color="000000" w:fill="FFFFFF"/>
            <w:vAlign w:val="center"/>
            <w:hideMark/>
          </w:tcPr>
          <w:p w14:paraId="08CCDA70" w14:textId="1B880AF6" w:rsidR="00E81585" w:rsidRPr="00E81585" w:rsidRDefault="008D54CB" w:rsidP="00B85508">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7</w:t>
            </w:r>
            <w:r w:rsidR="00E81585" w:rsidRPr="00E81585">
              <w:rPr>
                <w:rFonts w:eastAsia="Times New Roman" w:cs="Open Sans Light"/>
                <w:color w:val="000000"/>
                <w:sz w:val="16"/>
                <w:szCs w:val="16"/>
                <w:lang w:eastAsia="en-AU"/>
              </w:rPr>
              <w:t> </w:t>
            </w:r>
          </w:p>
        </w:tc>
        <w:tc>
          <w:tcPr>
            <w:tcW w:w="1120" w:type="dxa"/>
            <w:tcBorders>
              <w:top w:val="nil"/>
              <w:left w:val="nil"/>
              <w:bottom w:val="single" w:sz="4" w:space="0" w:color="ADD6EA"/>
              <w:right w:val="nil"/>
            </w:tcBorders>
            <w:shd w:val="clear" w:color="000000" w:fill="FFFFFF"/>
            <w:vAlign w:val="center"/>
            <w:hideMark/>
          </w:tcPr>
          <w:p w14:paraId="35E4B595" w14:textId="62D3C17C" w:rsidR="00E81585" w:rsidRPr="00E81585" w:rsidRDefault="00F818F0" w:rsidP="00B85508">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 xml:space="preserve"> </w:t>
            </w:r>
            <w:r w:rsidR="00E81585" w:rsidRPr="00E81585">
              <w:rPr>
                <w:rFonts w:eastAsia="Times New Roman" w:cs="Open Sans Light"/>
                <w:color w:val="000000"/>
                <w:sz w:val="16"/>
                <w:szCs w:val="16"/>
                <w:lang w:eastAsia="en-AU"/>
              </w:rPr>
              <w:t> </w:t>
            </w:r>
          </w:p>
        </w:tc>
      </w:tr>
      <w:tr w:rsidR="00E81585" w:rsidRPr="00E81585" w14:paraId="2D842C1C" w14:textId="77777777" w:rsidTr="00CF6BE3">
        <w:trPr>
          <w:trHeight w:val="300"/>
        </w:trPr>
        <w:tc>
          <w:tcPr>
            <w:tcW w:w="4880" w:type="dxa"/>
            <w:gridSpan w:val="2"/>
            <w:tcBorders>
              <w:top w:val="single" w:sz="4" w:space="0" w:color="ADD6EA"/>
              <w:left w:val="nil"/>
              <w:right w:val="nil"/>
            </w:tcBorders>
            <w:shd w:val="clear" w:color="000000" w:fill="D6E7F0"/>
            <w:noWrap/>
            <w:vAlign w:val="center"/>
            <w:hideMark/>
          </w:tcPr>
          <w:p w14:paraId="63874106" w14:textId="77777777" w:rsidR="00E81585" w:rsidRPr="00E81585" w:rsidRDefault="00E81585" w:rsidP="00B85508">
            <w:pPr>
              <w:tabs>
                <w:tab w:val="clear" w:pos="567"/>
              </w:tabs>
              <w:spacing w:before="0" w:line="240" w:lineRule="auto"/>
              <w:ind w:firstLineChars="100" w:firstLine="160"/>
              <w:rPr>
                <w:rFonts w:eastAsia="Times New Roman" w:cs="Open Sans Light"/>
                <w:color w:val="000000"/>
                <w:sz w:val="16"/>
                <w:szCs w:val="16"/>
                <w:lang w:eastAsia="en-AU"/>
              </w:rPr>
            </w:pPr>
            <w:r w:rsidRPr="00E81585">
              <w:rPr>
                <w:rFonts w:eastAsia="Times New Roman" w:cs="Open Sans Light"/>
                <w:color w:val="000000"/>
                <w:sz w:val="16"/>
                <w:szCs w:val="16"/>
                <w:lang w:eastAsia="en-AU"/>
              </w:rPr>
              <w:t>Method 2 substitutability level</w:t>
            </w:r>
          </w:p>
        </w:tc>
        <w:tc>
          <w:tcPr>
            <w:tcW w:w="932" w:type="dxa"/>
            <w:tcBorders>
              <w:top w:val="nil"/>
              <w:left w:val="nil"/>
              <w:right w:val="nil"/>
            </w:tcBorders>
            <w:shd w:val="clear" w:color="000000" w:fill="D6E7F0"/>
            <w:vAlign w:val="center"/>
            <w:hideMark/>
          </w:tcPr>
          <w:p w14:paraId="56D6767E"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 </w:t>
            </w:r>
          </w:p>
        </w:tc>
        <w:tc>
          <w:tcPr>
            <w:tcW w:w="948" w:type="dxa"/>
            <w:tcBorders>
              <w:top w:val="nil"/>
              <w:left w:val="nil"/>
              <w:right w:val="nil"/>
            </w:tcBorders>
            <w:shd w:val="clear" w:color="000000" w:fill="D6E7F0"/>
            <w:vAlign w:val="center"/>
            <w:hideMark/>
          </w:tcPr>
          <w:p w14:paraId="7C8CAE84"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 </w:t>
            </w:r>
          </w:p>
        </w:tc>
        <w:tc>
          <w:tcPr>
            <w:tcW w:w="1120" w:type="dxa"/>
            <w:tcBorders>
              <w:top w:val="nil"/>
              <w:left w:val="nil"/>
              <w:right w:val="nil"/>
            </w:tcBorders>
            <w:shd w:val="clear" w:color="000000" w:fill="D6E7F0"/>
            <w:vAlign w:val="center"/>
            <w:hideMark/>
          </w:tcPr>
          <w:p w14:paraId="3C0FE9A0" w14:textId="77777777"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 </w:t>
            </w:r>
          </w:p>
        </w:tc>
        <w:tc>
          <w:tcPr>
            <w:tcW w:w="1120" w:type="dxa"/>
            <w:tcBorders>
              <w:top w:val="nil"/>
              <w:left w:val="nil"/>
              <w:right w:val="nil"/>
            </w:tcBorders>
            <w:shd w:val="clear" w:color="000000" w:fill="D6E7F0"/>
            <w:vAlign w:val="center"/>
            <w:hideMark/>
          </w:tcPr>
          <w:p w14:paraId="498279B7" w14:textId="5DE313FF"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8</w:t>
            </w:r>
            <w:r w:rsidR="00F818F0">
              <w:rPr>
                <w:rFonts w:ascii="Open Sans Semibold" w:eastAsia="Times New Roman" w:hAnsi="Open Sans Semibold" w:cs="Open Sans Semibold"/>
                <w:color w:val="000000"/>
                <w:sz w:val="16"/>
                <w:szCs w:val="16"/>
                <w:lang w:eastAsia="en-AU"/>
              </w:rPr>
              <w:t xml:space="preserve"> </w:t>
            </w:r>
          </w:p>
        </w:tc>
      </w:tr>
      <w:tr w:rsidR="00E81585" w:rsidRPr="00E81585" w14:paraId="1E1513FA" w14:textId="77777777" w:rsidTr="00CF6BE3">
        <w:trPr>
          <w:trHeight w:val="300"/>
        </w:trPr>
        <w:tc>
          <w:tcPr>
            <w:tcW w:w="4880" w:type="dxa"/>
            <w:gridSpan w:val="2"/>
            <w:tcBorders>
              <w:top w:val="nil"/>
              <w:left w:val="nil"/>
              <w:bottom w:val="single" w:sz="4" w:space="0" w:color="ADD6EA"/>
              <w:right w:val="nil"/>
            </w:tcBorders>
            <w:shd w:val="clear" w:color="000000" w:fill="B6D5E4"/>
            <w:noWrap/>
            <w:vAlign w:val="center"/>
            <w:hideMark/>
          </w:tcPr>
          <w:p w14:paraId="429D04B7" w14:textId="33E8C215" w:rsidR="00E81585" w:rsidRPr="00E81585" w:rsidRDefault="00807E0D" w:rsidP="00B85508">
            <w:pPr>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AP s</w:t>
            </w:r>
            <w:r w:rsidR="00E81585" w:rsidRPr="00E81585">
              <w:rPr>
                <w:rFonts w:ascii="Open Sans Semibold" w:eastAsia="Times New Roman" w:hAnsi="Open Sans Semibold" w:cs="Open Sans Semibold"/>
                <w:color w:val="000000"/>
                <w:sz w:val="16"/>
                <w:szCs w:val="16"/>
                <w:lang w:eastAsia="en-AU"/>
              </w:rPr>
              <w:t>ubstitutability level</w:t>
            </w:r>
          </w:p>
        </w:tc>
        <w:tc>
          <w:tcPr>
            <w:tcW w:w="932" w:type="dxa"/>
            <w:tcBorders>
              <w:top w:val="nil"/>
              <w:left w:val="nil"/>
              <w:bottom w:val="single" w:sz="4" w:space="0" w:color="ADD6EA"/>
              <w:right w:val="nil"/>
            </w:tcBorders>
            <w:shd w:val="clear" w:color="000000" w:fill="B6D5E4"/>
            <w:noWrap/>
            <w:vAlign w:val="center"/>
            <w:hideMark/>
          </w:tcPr>
          <w:p w14:paraId="1CCAB274" w14:textId="77777777" w:rsidR="00E81585" w:rsidRPr="00E81585" w:rsidRDefault="00E81585" w:rsidP="00B85508">
            <w:pPr>
              <w:tabs>
                <w:tab w:val="clear" w:pos="567"/>
              </w:tabs>
              <w:spacing w:before="0" w:line="240" w:lineRule="auto"/>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 </w:t>
            </w:r>
          </w:p>
        </w:tc>
        <w:tc>
          <w:tcPr>
            <w:tcW w:w="948" w:type="dxa"/>
            <w:tcBorders>
              <w:top w:val="nil"/>
              <w:left w:val="nil"/>
              <w:bottom w:val="single" w:sz="4" w:space="0" w:color="ADD6EA"/>
              <w:right w:val="nil"/>
            </w:tcBorders>
            <w:shd w:val="clear" w:color="000000" w:fill="B6D5E4"/>
            <w:noWrap/>
            <w:vAlign w:val="center"/>
            <w:hideMark/>
          </w:tcPr>
          <w:p w14:paraId="272CDB0B" w14:textId="77777777" w:rsidR="00E81585" w:rsidRPr="00E81585" w:rsidRDefault="00E81585" w:rsidP="00B85508">
            <w:pPr>
              <w:tabs>
                <w:tab w:val="clear" w:pos="567"/>
              </w:tabs>
              <w:spacing w:before="0" w:line="240" w:lineRule="auto"/>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 </w:t>
            </w:r>
          </w:p>
        </w:tc>
        <w:tc>
          <w:tcPr>
            <w:tcW w:w="1120" w:type="dxa"/>
            <w:tcBorders>
              <w:top w:val="nil"/>
              <w:left w:val="nil"/>
              <w:bottom w:val="single" w:sz="4" w:space="0" w:color="ADD6EA"/>
              <w:right w:val="nil"/>
            </w:tcBorders>
            <w:shd w:val="clear" w:color="000000" w:fill="B6D5E4"/>
            <w:noWrap/>
            <w:vAlign w:val="center"/>
            <w:hideMark/>
          </w:tcPr>
          <w:p w14:paraId="7EDBF2BC" w14:textId="77777777" w:rsidR="00E81585" w:rsidRPr="00E81585" w:rsidRDefault="00E81585" w:rsidP="00B85508">
            <w:pPr>
              <w:tabs>
                <w:tab w:val="clear" w:pos="567"/>
              </w:tabs>
              <w:spacing w:before="0" w:line="240" w:lineRule="auto"/>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 </w:t>
            </w:r>
          </w:p>
        </w:tc>
        <w:tc>
          <w:tcPr>
            <w:tcW w:w="1120" w:type="dxa"/>
            <w:tcBorders>
              <w:top w:val="nil"/>
              <w:left w:val="nil"/>
              <w:bottom w:val="single" w:sz="4" w:space="0" w:color="ADD6EA"/>
              <w:right w:val="nil"/>
            </w:tcBorders>
            <w:shd w:val="clear" w:color="000000" w:fill="B6D5E4"/>
            <w:noWrap/>
            <w:vAlign w:val="center"/>
            <w:hideMark/>
          </w:tcPr>
          <w:p w14:paraId="56FC09E9" w14:textId="138945CF" w:rsidR="00E81585" w:rsidRPr="00E81585" w:rsidRDefault="00E81585" w:rsidP="00B855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81585">
              <w:rPr>
                <w:rFonts w:ascii="Open Sans Semibold" w:eastAsia="Times New Roman" w:hAnsi="Open Sans Semibold" w:cs="Open Sans Semibold"/>
                <w:color w:val="000000"/>
                <w:sz w:val="16"/>
                <w:szCs w:val="16"/>
                <w:lang w:eastAsia="en-AU"/>
              </w:rPr>
              <w:t>1</w:t>
            </w:r>
            <w:r w:rsidR="004A76A0">
              <w:rPr>
                <w:rFonts w:ascii="Open Sans Semibold" w:eastAsia="Times New Roman" w:hAnsi="Open Sans Semibold" w:cs="Open Sans Semibold"/>
                <w:color w:val="000000"/>
                <w:sz w:val="16"/>
                <w:szCs w:val="16"/>
                <w:lang w:eastAsia="en-AU"/>
              </w:rPr>
              <w:t>7</w:t>
            </w:r>
          </w:p>
        </w:tc>
      </w:tr>
    </w:tbl>
    <w:p w14:paraId="6CF7FCB0" w14:textId="4B4C855A" w:rsidR="001E14AA" w:rsidRDefault="001E14AA" w:rsidP="00B85508">
      <w:pPr>
        <w:pStyle w:val="CGC2025TableNote"/>
      </w:pPr>
      <w:r>
        <w:t>Source:</w:t>
      </w:r>
      <w:r w:rsidR="00C503D4">
        <w:tab/>
      </w:r>
      <w:r>
        <w:t>Commission calculation using AIHW</w:t>
      </w:r>
      <w:r w:rsidR="001F23DC">
        <w:t xml:space="preserve"> and APRA data</w:t>
      </w:r>
      <w:r w:rsidR="00DB5B63">
        <w:t>.</w:t>
      </w:r>
    </w:p>
    <w:p w14:paraId="38848F7B" w14:textId="51E63079" w:rsidR="00BC3C0B" w:rsidRPr="003126E3" w:rsidRDefault="00334A43" w:rsidP="003126E3">
      <w:pPr>
        <w:pStyle w:val="Heading6"/>
      </w:pPr>
      <w:r w:rsidRPr="003126E3">
        <w:lastRenderedPageBreak/>
        <w:t>Emergency departments</w:t>
      </w:r>
    </w:p>
    <w:p w14:paraId="0C8D6A5B" w14:textId="5C932E25" w:rsidR="00497E64" w:rsidRPr="00034493" w:rsidRDefault="00D24F98" w:rsidP="00034493">
      <w:pPr>
        <w:pStyle w:val="CGC2025ParaNumbers"/>
        <w:rPr>
          <w:rFonts w:cs="Calibri"/>
          <w:color w:val="000000"/>
          <w:szCs w:val="20"/>
          <w:shd w:val="clear" w:color="auto" w:fill="FFFFFF"/>
        </w:rPr>
      </w:pPr>
      <w:r w:rsidRPr="002F601B">
        <w:rPr>
          <w:rFonts w:cs="Calibri"/>
          <w:color w:val="000000"/>
          <w:szCs w:val="20"/>
          <w:shd w:val="clear" w:color="auto" w:fill="FFFFFF"/>
        </w:rPr>
        <w:t>Similar to admitted patients, the non-</w:t>
      </w:r>
      <w:r w:rsidR="00A873DE" w:rsidRPr="002F601B">
        <w:rPr>
          <w:rFonts w:cs="Calibri"/>
          <w:color w:val="000000"/>
          <w:szCs w:val="20"/>
          <w:shd w:val="clear" w:color="auto" w:fill="FFFFFF"/>
        </w:rPr>
        <w:t>s</w:t>
      </w:r>
      <w:r w:rsidRPr="002F601B">
        <w:rPr>
          <w:rFonts w:cs="Calibri"/>
          <w:color w:val="000000"/>
          <w:szCs w:val="20"/>
          <w:shd w:val="clear" w:color="auto" w:fill="FFFFFF"/>
        </w:rPr>
        <w:t xml:space="preserve">tate sector can provide some emergency </w:t>
      </w:r>
      <w:r w:rsidR="00C6521F">
        <w:rPr>
          <w:rFonts w:cs="Calibri"/>
          <w:color w:val="000000"/>
          <w:szCs w:val="20"/>
          <w:shd w:val="clear" w:color="auto" w:fill="FFFFFF"/>
        </w:rPr>
        <w:t>typ</w:t>
      </w:r>
      <w:r w:rsidR="00A9174C">
        <w:rPr>
          <w:rFonts w:cs="Calibri"/>
          <w:color w:val="000000"/>
          <w:szCs w:val="20"/>
          <w:shd w:val="clear" w:color="auto" w:fill="FFFFFF"/>
        </w:rPr>
        <w:t xml:space="preserve">e </w:t>
      </w:r>
      <w:r w:rsidRPr="002F601B">
        <w:rPr>
          <w:rFonts w:cs="Calibri"/>
          <w:color w:val="000000"/>
          <w:szCs w:val="20"/>
          <w:shd w:val="clear" w:color="auto" w:fill="FFFFFF"/>
        </w:rPr>
        <w:t>services.</w:t>
      </w:r>
      <w:r w:rsidR="002F601B" w:rsidRPr="002F601B">
        <w:rPr>
          <w:rFonts w:cs="Calibri"/>
          <w:color w:val="000000"/>
          <w:szCs w:val="20"/>
          <w:shd w:val="clear" w:color="auto" w:fill="FFFFFF"/>
        </w:rPr>
        <w:t xml:space="preserve"> </w:t>
      </w:r>
      <w:r w:rsidR="00A5763F">
        <w:rPr>
          <w:rFonts w:cs="Calibri"/>
          <w:color w:val="000000"/>
          <w:szCs w:val="20"/>
          <w:shd w:val="clear" w:color="auto" w:fill="FFFFFF"/>
        </w:rPr>
        <w:t xml:space="preserve">For example, </w:t>
      </w:r>
      <w:r w:rsidR="00497E64" w:rsidRPr="001A2F6C">
        <w:rPr>
          <w:rFonts w:cs="Calibri"/>
          <w:color w:val="000000"/>
          <w:szCs w:val="20"/>
          <w:shd w:val="clear" w:color="auto" w:fill="FFFFFF"/>
        </w:rPr>
        <w:t>General Practitioner (GP) clinics can treat many of the less severe emergency department presentations</w:t>
      </w:r>
      <w:r w:rsidR="001A2F6C">
        <w:rPr>
          <w:rFonts w:cs="Calibri"/>
          <w:color w:val="000000"/>
          <w:szCs w:val="20"/>
          <w:shd w:val="clear" w:color="auto" w:fill="FFFFFF"/>
        </w:rPr>
        <w:t xml:space="preserve">. </w:t>
      </w:r>
    </w:p>
    <w:p w14:paraId="6CE2CE09" w14:textId="7908DF01" w:rsidR="00A6355A" w:rsidRPr="00DE34C9" w:rsidRDefault="1868BE8E" w:rsidP="007C100A">
      <w:pPr>
        <w:pStyle w:val="CGC2025ParaNumbers"/>
      </w:pPr>
      <w:r w:rsidRPr="00DE34C9">
        <w:t xml:space="preserve">The </w:t>
      </w:r>
      <w:r w:rsidR="5166ABB2" w:rsidRPr="00DE34C9">
        <w:t xml:space="preserve">AIHW </w:t>
      </w:r>
      <w:r w:rsidR="0AFDCD25" w:rsidRPr="00DE34C9">
        <w:t xml:space="preserve">has developed a measure </w:t>
      </w:r>
      <w:r w:rsidR="364A8CB7" w:rsidRPr="00DE34C9">
        <w:t>o</w:t>
      </w:r>
      <w:r w:rsidR="7DF4C3A7" w:rsidRPr="00DE34C9">
        <w:t>f</w:t>
      </w:r>
      <w:r w:rsidR="364A8CB7" w:rsidRPr="00DE34C9">
        <w:t xml:space="preserve"> </w:t>
      </w:r>
      <w:r w:rsidR="232165D7" w:rsidRPr="00DE34C9">
        <w:t xml:space="preserve">the </w:t>
      </w:r>
      <w:r w:rsidR="7C826386" w:rsidRPr="00DE34C9">
        <w:t xml:space="preserve">use of </w:t>
      </w:r>
      <w:r w:rsidR="0F9E9043" w:rsidRPr="00DE34C9">
        <w:t>emergency department</w:t>
      </w:r>
      <w:r w:rsidR="7C826386" w:rsidRPr="00DE34C9">
        <w:t>s for lower urgency care</w:t>
      </w:r>
      <w:r w:rsidR="5E6543A3" w:rsidRPr="00DE34C9">
        <w:t xml:space="preserve">. </w:t>
      </w:r>
      <w:r w:rsidR="71F8D459" w:rsidRPr="00DE34C9">
        <w:t>T</w:t>
      </w:r>
      <w:r w:rsidR="773B975C" w:rsidRPr="00DE34C9">
        <w:t xml:space="preserve">he most recent data </w:t>
      </w:r>
      <w:r w:rsidR="7D0C5AA1" w:rsidRPr="00DE34C9">
        <w:t>(</w:t>
      </w:r>
      <w:r w:rsidR="183E8569" w:rsidRPr="00DE34C9">
        <w:t>Table 9</w:t>
      </w:r>
      <w:r w:rsidR="7D0C5AA1" w:rsidRPr="00DE34C9">
        <w:t xml:space="preserve">) </w:t>
      </w:r>
      <w:r w:rsidR="773B975C" w:rsidRPr="00DE34C9">
        <w:t xml:space="preserve">show </w:t>
      </w:r>
      <w:r w:rsidR="0EE0F1EB" w:rsidRPr="00DE34C9">
        <w:t>that</w:t>
      </w:r>
      <w:r w:rsidR="7DF4C3A7" w:rsidRPr="00DE34C9">
        <w:t>,</w:t>
      </w:r>
      <w:r w:rsidR="0EE0F1EB" w:rsidRPr="00DE34C9">
        <w:t xml:space="preserve"> on average</w:t>
      </w:r>
      <w:r w:rsidR="7DF4C3A7" w:rsidRPr="00DE34C9">
        <w:t>,</w:t>
      </w:r>
      <w:r w:rsidR="0EE0F1EB" w:rsidRPr="00DE34C9">
        <w:t xml:space="preserve"> 35</w:t>
      </w:r>
      <w:r w:rsidR="773B975C" w:rsidRPr="00DE34C9">
        <w:t xml:space="preserve">% </w:t>
      </w:r>
      <w:r w:rsidR="7356EF7F" w:rsidRPr="00DE34C9">
        <w:t>of</w:t>
      </w:r>
      <w:r w:rsidR="5F941599" w:rsidRPr="00DE34C9">
        <w:t xml:space="preserve"> </w:t>
      </w:r>
      <w:r w:rsidR="58B52759" w:rsidRPr="00DE34C9">
        <w:t>emergency department</w:t>
      </w:r>
      <w:r w:rsidR="510EE13F" w:rsidRPr="00DE34C9">
        <w:t xml:space="preserve"> presentations</w:t>
      </w:r>
      <w:r w:rsidR="460FD027" w:rsidRPr="00DE34C9">
        <w:t xml:space="preserve"> </w:t>
      </w:r>
      <w:r w:rsidR="76DC0E6E" w:rsidRPr="00DE34C9">
        <w:t xml:space="preserve">may be characterised as </w:t>
      </w:r>
      <w:r w:rsidR="3CC2F9AB" w:rsidRPr="00DE34C9">
        <w:t>lower urgency</w:t>
      </w:r>
      <w:r w:rsidR="6BDC8D3F" w:rsidRPr="00DE34C9">
        <w:t xml:space="preserve"> presentations</w:t>
      </w:r>
      <w:r w:rsidR="3CC2F9AB" w:rsidRPr="00DE34C9">
        <w:t>.</w:t>
      </w:r>
      <w:r w:rsidR="007B206A" w:rsidRPr="00CA6817">
        <w:rPr>
          <w:rStyle w:val="FootnoteReference"/>
        </w:rPr>
        <w:footnoteReference w:id="7"/>
      </w:r>
      <w:r w:rsidR="3CC2F9AB" w:rsidRPr="007C100A">
        <w:rPr>
          <w:rStyle w:val="FootnoteReference"/>
        </w:rPr>
        <w:t xml:space="preserve"> </w:t>
      </w:r>
    </w:p>
    <w:p w14:paraId="3CD85B06" w14:textId="00AC902A" w:rsidR="00C43825" w:rsidRPr="005078A0" w:rsidRDefault="00F963E4">
      <w:pPr>
        <w:pStyle w:val="CGC2025ParaNumbers"/>
        <w:rPr>
          <w:szCs w:val="20"/>
        </w:rPr>
      </w:pPr>
      <w:r w:rsidRPr="005078A0">
        <w:t xml:space="preserve">The </w:t>
      </w:r>
      <w:r w:rsidR="00F9378F">
        <w:t>AIHW</w:t>
      </w:r>
      <w:r w:rsidR="00510865" w:rsidRPr="005078A0">
        <w:t xml:space="preserve"> </w:t>
      </w:r>
      <w:r w:rsidR="00EF63A8" w:rsidRPr="005078A0">
        <w:t xml:space="preserve">data </w:t>
      </w:r>
      <w:r w:rsidR="00EF7B41" w:rsidRPr="005078A0">
        <w:t>on low</w:t>
      </w:r>
      <w:r w:rsidR="00924310">
        <w:t>er</w:t>
      </w:r>
      <w:r w:rsidR="00EF7B41" w:rsidRPr="005078A0">
        <w:t xml:space="preserve"> urgency presentations </w:t>
      </w:r>
      <w:r w:rsidR="00BF7DB2" w:rsidRPr="005078A0">
        <w:t>are</w:t>
      </w:r>
      <w:r w:rsidR="00327D7B" w:rsidRPr="005078A0">
        <w:t xml:space="preserve"> </w:t>
      </w:r>
      <w:r w:rsidR="00BE182D" w:rsidRPr="005078A0">
        <w:t xml:space="preserve">translated </w:t>
      </w:r>
      <w:r w:rsidR="00F676B9" w:rsidRPr="005078A0">
        <w:t xml:space="preserve">into the </w:t>
      </w:r>
      <w:r w:rsidR="009B77E9" w:rsidRPr="005078A0">
        <w:t>equivalent proportion of GP</w:t>
      </w:r>
      <w:r w:rsidR="0082025D" w:rsidRPr="005078A0">
        <w:t xml:space="preserve"> </w:t>
      </w:r>
      <w:r w:rsidR="009B77E9" w:rsidRPr="005078A0">
        <w:t>t</w:t>
      </w:r>
      <w:r w:rsidR="008177AE" w:rsidRPr="005078A0">
        <w:t xml:space="preserve">ype </w:t>
      </w:r>
      <w:r w:rsidR="009B77E9" w:rsidRPr="005078A0">
        <w:t>presentations</w:t>
      </w:r>
      <w:r w:rsidR="009000E2" w:rsidRPr="005078A0">
        <w:t>.</w:t>
      </w:r>
      <w:r w:rsidR="00D16799" w:rsidRPr="005078A0">
        <w:rPr>
          <w:rStyle w:val="FootnoteReference"/>
        </w:rPr>
        <w:footnoteReference w:id="8"/>
      </w:r>
      <w:r w:rsidR="00D366AB" w:rsidRPr="005078A0">
        <w:t xml:space="preserve"> </w:t>
      </w:r>
      <w:r w:rsidR="009A7C7E" w:rsidRPr="005078A0">
        <w:t xml:space="preserve">Based on </w:t>
      </w:r>
      <w:r w:rsidR="00D366AB" w:rsidRPr="005078A0">
        <w:t xml:space="preserve">the </w:t>
      </w:r>
      <w:r w:rsidR="008B6C9D" w:rsidRPr="005078A0">
        <w:t xml:space="preserve">Australasian College for Emergency Medicine </w:t>
      </w:r>
      <w:r w:rsidR="0099410F" w:rsidRPr="005078A0">
        <w:t>(ACEM)</w:t>
      </w:r>
      <w:r w:rsidR="00D2054A" w:rsidRPr="005078A0">
        <w:t xml:space="preserve"> concept</w:t>
      </w:r>
      <w:r w:rsidR="00183EC8" w:rsidRPr="005078A0">
        <w:t xml:space="preserve">, </w:t>
      </w:r>
      <w:r w:rsidR="00970076" w:rsidRPr="005078A0">
        <w:t>GP</w:t>
      </w:r>
      <w:r w:rsidR="003C4125">
        <w:t>-</w:t>
      </w:r>
      <w:r w:rsidR="00970076" w:rsidRPr="005078A0">
        <w:t>t</w:t>
      </w:r>
      <w:r w:rsidR="008177AE" w:rsidRPr="005078A0">
        <w:t xml:space="preserve">ype </w:t>
      </w:r>
      <w:r w:rsidR="00C51704" w:rsidRPr="005078A0">
        <w:t>presentations w</w:t>
      </w:r>
      <w:r w:rsidR="00AC3B64" w:rsidRPr="005078A0">
        <w:t xml:space="preserve">ere </w:t>
      </w:r>
      <w:r w:rsidR="00C51704" w:rsidRPr="005078A0">
        <w:t xml:space="preserve">estimated </w:t>
      </w:r>
      <w:r w:rsidR="006F512C" w:rsidRPr="005078A0">
        <w:t xml:space="preserve">at </w:t>
      </w:r>
      <w:r w:rsidR="00FA2EEB">
        <w:t xml:space="preserve">Australian Institute of Health and Welfare (AIHW), </w:t>
      </w:r>
      <w:r w:rsidR="00C51704" w:rsidRPr="005078A0">
        <w:t xml:space="preserve">50% of </w:t>
      </w:r>
      <w:r w:rsidR="000F55C7" w:rsidRPr="005078A0">
        <w:t>low</w:t>
      </w:r>
      <w:r w:rsidR="00A67D49">
        <w:t>er</w:t>
      </w:r>
      <w:r w:rsidR="000F55C7" w:rsidRPr="005078A0">
        <w:t xml:space="preserve"> urgency presentations </w:t>
      </w:r>
      <w:r w:rsidR="003676E0">
        <w:t xml:space="preserve">in </w:t>
      </w:r>
      <w:r w:rsidR="00C51704" w:rsidRPr="005078A0">
        <w:t xml:space="preserve">major cities and 60% </w:t>
      </w:r>
      <w:r w:rsidR="003676E0">
        <w:t xml:space="preserve">in </w:t>
      </w:r>
      <w:r w:rsidR="00C51704" w:rsidRPr="005078A0">
        <w:t xml:space="preserve">other remoteness regions. </w:t>
      </w:r>
      <w:r w:rsidR="00F93FB8" w:rsidRPr="005078A0">
        <w:t xml:space="preserve">On average </w:t>
      </w:r>
      <w:r w:rsidR="00F768EA" w:rsidRPr="005078A0">
        <w:t xml:space="preserve">about a fifth (19%) </w:t>
      </w:r>
      <w:r w:rsidR="00F93FB8" w:rsidRPr="005078A0">
        <w:t xml:space="preserve">of all emergency department presentations </w:t>
      </w:r>
      <w:r w:rsidR="00AE162B" w:rsidRPr="005078A0">
        <w:t xml:space="preserve">are </w:t>
      </w:r>
      <w:r w:rsidR="00C51704" w:rsidRPr="005078A0">
        <w:t>G</w:t>
      </w:r>
      <w:r w:rsidR="00201CB2" w:rsidRPr="005078A0">
        <w:t>P</w:t>
      </w:r>
      <w:r w:rsidR="0095793D">
        <w:noBreakHyphen/>
      </w:r>
      <w:r w:rsidR="00C51704" w:rsidRPr="005078A0">
        <w:t>t</w:t>
      </w:r>
      <w:r w:rsidR="008177AE" w:rsidRPr="005078A0">
        <w:t>ype</w:t>
      </w:r>
      <w:r w:rsidR="009B1819" w:rsidRPr="005078A0">
        <w:t xml:space="preserve"> </w:t>
      </w:r>
      <w:r w:rsidR="00CA0FC0" w:rsidRPr="005078A0">
        <w:t xml:space="preserve">services (i.e comparable services) </w:t>
      </w:r>
      <w:r w:rsidR="009B1819" w:rsidRPr="005078A0">
        <w:t>(</w:t>
      </w:r>
      <w:r w:rsidR="00C2049D">
        <w:t>Table 9</w:t>
      </w:r>
      <w:r w:rsidR="009B1819" w:rsidRPr="005078A0">
        <w:t>)</w:t>
      </w:r>
      <w:r w:rsidR="00C51704" w:rsidRPr="005078A0">
        <w:t>.</w:t>
      </w:r>
    </w:p>
    <w:p w14:paraId="60DF1A11" w14:textId="19C6FEEE" w:rsidR="00D529DA" w:rsidRPr="004557D5" w:rsidRDefault="00D529DA" w:rsidP="005078A0">
      <w:pPr>
        <w:pStyle w:val="CGC2025Caption"/>
        <w:keepNext/>
      </w:pPr>
      <w:bookmarkStart w:id="19" w:name="_Ref172554595"/>
      <w:r w:rsidRPr="004557D5">
        <w:t xml:space="preserve">Table </w:t>
      </w:r>
      <w:bookmarkEnd w:id="19"/>
      <w:r w:rsidR="003149B6">
        <w:t>9</w:t>
      </w:r>
      <w:r w:rsidRPr="004557D5">
        <w:tab/>
        <w:t>Proportion of GP treatable emergency department presentations, 2021</w:t>
      </w:r>
      <w:r w:rsidR="00096671">
        <w:t>–</w:t>
      </w:r>
      <w:r w:rsidRPr="004557D5">
        <w:t>22</w:t>
      </w:r>
    </w:p>
    <w:tbl>
      <w:tblPr>
        <w:tblW w:w="8942" w:type="dxa"/>
        <w:tblLook w:val="04A0" w:firstRow="1" w:lastRow="0" w:firstColumn="1" w:lastColumn="0" w:noHBand="0" w:noVBand="1"/>
      </w:tblPr>
      <w:tblGrid>
        <w:gridCol w:w="3314"/>
        <w:gridCol w:w="816"/>
        <w:gridCol w:w="1727"/>
        <w:gridCol w:w="258"/>
        <w:gridCol w:w="1354"/>
        <w:gridCol w:w="1473"/>
      </w:tblGrid>
      <w:tr w:rsidR="00022391" w:rsidRPr="003652B5" w14:paraId="290452AC" w14:textId="77777777" w:rsidTr="00CF6BE3">
        <w:trPr>
          <w:trHeight w:val="375"/>
        </w:trPr>
        <w:tc>
          <w:tcPr>
            <w:tcW w:w="3342" w:type="dxa"/>
            <w:vMerge w:val="restart"/>
            <w:tcBorders>
              <w:top w:val="nil"/>
              <w:left w:val="nil"/>
              <w:bottom w:val="nil"/>
              <w:right w:val="nil"/>
            </w:tcBorders>
            <w:shd w:val="clear" w:color="000000" w:fill="006991"/>
            <w:vAlign w:val="center"/>
            <w:hideMark/>
          </w:tcPr>
          <w:p w14:paraId="69F7E1E7"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652B5">
              <w:rPr>
                <w:rFonts w:ascii="Open Sans Semibold" w:eastAsia="Times New Roman" w:hAnsi="Open Sans Semibold" w:cs="Open Sans Semibold"/>
                <w:color w:val="FFFFFF"/>
                <w:sz w:val="16"/>
                <w:szCs w:val="16"/>
                <w:lang w:eastAsia="en-AU"/>
              </w:rPr>
              <w:t> </w:t>
            </w:r>
          </w:p>
        </w:tc>
        <w:tc>
          <w:tcPr>
            <w:tcW w:w="2550" w:type="dxa"/>
            <w:gridSpan w:val="2"/>
            <w:tcBorders>
              <w:top w:val="nil"/>
              <w:left w:val="nil"/>
              <w:bottom w:val="single" w:sz="4" w:space="0" w:color="ADD6EA"/>
              <w:right w:val="nil"/>
            </w:tcBorders>
            <w:shd w:val="clear" w:color="000000" w:fill="006991"/>
            <w:vAlign w:val="center"/>
            <w:hideMark/>
          </w:tcPr>
          <w:p w14:paraId="65A2520D" w14:textId="77777777" w:rsidR="00D529DA" w:rsidRPr="003652B5" w:rsidRDefault="00D529DA" w:rsidP="00134475">
            <w:pPr>
              <w:keepNext/>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652B5">
              <w:rPr>
                <w:rFonts w:ascii="Open Sans Semibold" w:eastAsia="Times New Roman" w:hAnsi="Open Sans Semibold" w:cs="Open Sans Semibold"/>
                <w:color w:val="FFFFFF"/>
                <w:sz w:val="16"/>
                <w:szCs w:val="16"/>
                <w:lang w:eastAsia="en-AU"/>
              </w:rPr>
              <w:t>No. of ED presentations</w:t>
            </w:r>
          </w:p>
        </w:tc>
        <w:tc>
          <w:tcPr>
            <w:tcW w:w="258" w:type="dxa"/>
            <w:tcBorders>
              <w:top w:val="nil"/>
              <w:left w:val="nil"/>
              <w:bottom w:val="nil"/>
              <w:right w:val="nil"/>
            </w:tcBorders>
            <w:shd w:val="clear" w:color="000000" w:fill="006991"/>
            <w:vAlign w:val="center"/>
            <w:hideMark/>
          </w:tcPr>
          <w:p w14:paraId="1F32B596" w14:textId="77777777" w:rsidR="00D529DA" w:rsidRPr="003652B5" w:rsidRDefault="00D529DA" w:rsidP="00134475">
            <w:pPr>
              <w:keepNext/>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652B5">
              <w:rPr>
                <w:rFonts w:ascii="Open Sans Semibold" w:eastAsia="Times New Roman" w:hAnsi="Open Sans Semibold" w:cs="Open Sans Semibold"/>
                <w:color w:val="FFFFFF"/>
                <w:sz w:val="16"/>
                <w:szCs w:val="16"/>
                <w:lang w:eastAsia="en-AU"/>
              </w:rPr>
              <w:t> </w:t>
            </w:r>
          </w:p>
        </w:tc>
        <w:tc>
          <w:tcPr>
            <w:tcW w:w="2830" w:type="dxa"/>
            <w:gridSpan w:val="2"/>
            <w:tcBorders>
              <w:top w:val="nil"/>
              <w:left w:val="nil"/>
              <w:bottom w:val="single" w:sz="4" w:space="0" w:color="ADD6EA"/>
              <w:right w:val="nil"/>
            </w:tcBorders>
            <w:shd w:val="clear" w:color="000000" w:fill="006991"/>
            <w:vAlign w:val="center"/>
            <w:hideMark/>
          </w:tcPr>
          <w:p w14:paraId="776CEE71" w14:textId="77777777" w:rsidR="00D529DA" w:rsidRPr="003652B5" w:rsidRDefault="00D529DA" w:rsidP="00134475">
            <w:pPr>
              <w:keepNext/>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652B5">
              <w:rPr>
                <w:rFonts w:ascii="Open Sans Semibold" w:eastAsia="Times New Roman" w:hAnsi="Open Sans Semibold" w:cs="Open Sans Semibold"/>
                <w:color w:val="FFFFFF"/>
                <w:sz w:val="16"/>
                <w:szCs w:val="16"/>
                <w:lang w:eastAsia="en-AU"/>
              </w:rPr>
              <w:t>% total presentations</w:t>
            </w:r>
          </w:p>
        </w:tc>
      </w:tr>
      <w:tr w:rsidR="00022391" w:rsidRPr="003652B5" w14:paraId="5FF0C5F6" w14:textId="77777777" w:rsidTr="00CF6BE3">
        <w:trPr>
          <w:trHeight w:val="555"/>
        </w:trPr>
        <w:tc>
          <w:tcPr>
            <w:tcW w:w="3342" w:type="dxa"/>
            <w:vMerge/>
            <w:tcBorders>
              <w:top w:val="nil"/>
              <w:left w:val="nil"/>
              <w:bottom w:val="nil"/>
              <w:right w:val="nil"/>
            </w:tcBorders>
            <w:vAlign w:val="center"/>
            <w:hideMark/>
          </w:tcPr>
          <w:p w14:paraId="25E4606F" w14:textId="77777777" w:rsidR="00D529DA" w:rsidRPr="003652B5" w:rsidRDefault="00D529DA" w:rsidP="00134475">
            <w:pPr>
              <w:keepNext/>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818" w:type="dxa"/>
            <w:tcBorders>
              <w:top w:val="nil"/>
              <w:left w:val="nil"/>
              <w:bottom w:val="nil"/>
              <w:right w:val="nil"/>
            </w:tcBorders>
            <w:shd w:val="clear" w:color="000000" w:fill="006991"/>
            <w:vAlign w:val="center"/>
            <w:hideMark/>
          </w:tcPr>
          <w:p w14:paraId="455454E5"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652B5">
              <w:rPr>
                <w:rFonts w:ascii="Open Sans Semibold" w:eastAsia="Times New Roman" w:hAnsi="Open Sans Semibold" w:cs="Open Sans Semibold"/>
                <w:color w:val="FFFFFF"/>
                <w:sz w:val="16"/>
                <w:szCs w:val="16"/>
                <w:lang w:eastAsia="en-AU"/>
              </w:rPr>
              <w:t>Total</w:t>
            </w:r>
          </w:p>
        </w:tc>
        <w:tc>
          <w:tcPr>
            <w:tcW w:w="1732" w:type="dxa"/>
            <w:tcBorders>
              <w:top w:val="nil"/>
              <w:left w:val="nil"/>
              <w:bottom w:val="nil"/>
              <w:right w:val="nil"/>
            </w:tcBorders>
            <w:shd w:val="clear" w:color="000000" w:fill="006991"/>
            <w:vAlign w:val="center"/>
            <w:hideMark/>
          </w:tcPr>
          <w:p w14:paraId="4F49B579" w14:textId="3C2B9BB1"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652B5">
              <w:rPr>
                <w:rFonts w:ascii="Open Sans Semibold" w:eastAsia="Times New Roman" w:hAnsi="Open Sans Semibold" w:cs="Open Sans Semibold"/>
                <w:color w:val="FFFFFF"/>
                <w:sz w:val="16"/>
                <w:szCs w:val="16"/>
                <w:lang w:eastAsia="en-AU"/>
              </w:rPr>
              <w:t xml:space="preserve">Lower urgency </w:t>
            </w:r>
            <w:r w:rsidRPr="003652B5">
              <w:rPr>
                <w:rFonts w:ascii="Open Sans Semibold" w:eastAsia="Times New Roman" w:hAnsi="Open Sans Semibold" w:cs="Open Sans Semibold"/>
                <w:color w:val="FFFFFF"/>
                <w:sz w:val="16"/>
                <w:szCs w:val="16"/>
                <w:lang w:eastAsia="en-AU"/>
              </w:rPr>
              <w:br/>
            </w:r>
            <w:r w:rsidR="00084E8B">
              <w:rPr>
                <w:rFonts w:ascii="Open Sans Semibold" w:eastAsia="Times New Roman" w:hAnsi="Open Sans Semibold" w:cs="Open Sans Semibold"/>
                <w:color w:val="FFFFFF"/>
                <w:sz w:val="16"/>
                <w:szCs w:val="16"/>
                <w:lang w:eastAsia="en-AU"/>
              </w:rPr>
              <w:t>presentations</w:t>
            </w:r>
          </w:p>
        </w:tc>
        <w:tc>
          <w:tcPr>
            <w:tcW w:w="258" w:type="dxa"/>
            <w:tcBorders>
              <w:top w:val="nil"/>
              <w:left w:val="nil"/>
              <w:bottom w:val="nil"/>
              <w:right w:val="nil"/>
            </w:tcBorders>
            <w:shd w:val="clear" w:color="000000" w:fill="006991"/>
            <w:vAlign w:val="center"/>
            <w:hideMark/>
          </w:tcPr>
          <w:p w14:paraId="59C3CC74"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652B5">
              <w:rPr>
                <w:rFonts w:ascii="Open Sans Semibold" w:eastAsia="Times New Roman" w:hAnsi="Open Sans Semibold" w:cs="Open Sans Semibold"/>
                <w:color w:val="FFFFFF"/>
                <w:sz w:val="16"/>
                <w:szCs w:val="16"/>
                <w:lang w:eastAsia="en-AU"/>
              </w:rPr>
              <w:t> </w:t>
            </w:r>
          </w:p>
        </w:tc>
        <w:tc>
          <w:tcPr>
            <w:tcW w:w="1355" w:type="dxa"/>
            <w:tcBorders>
              <w:top w:val="nil"/>
              <w:left w:val="nil"/>
              <w:bottom w:val="nil"/>
              <w:right w:val="nil"/>
            </w:tcBorders>
            <w:shd w:val="clear" w:color="000000" w:fill="006991"/>
            <w:vAlign w:val="center"/>
            <w:hideMark/>
          </w:tcPr>
          <w:p w14:paraId="478774C1" w14:textId="138ABFC2"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652B5">
              <w:rPr>
                <w:rFonts w:ascii="Open Sans Semibold" w:eastAsia="Times New Roman" w:hAnsi="Open Sans Semibold" w:cs="Open Sans Semibold"/>
                <w:color w:val="FFFFFF"/>
                <w:sz w:val="16"/>
                <w:szCs w:val="16"/>
                <w:lang w:eastAsia="en-AU"/>
              </w:rPr>
              <w:t xml:space="preserve">Lower urgency </w:t>
            </w:r>
            <w:r w:rsidRPr="003652B5">
              <w:rPr>
                <w:rFonts w:ascii="Open Sans Semibold" w:eastAsia="Times New Roman" w:hAnsi="Open Sans Semibold" w:cs="Open Sans Semibold"/>
                <w:color w:val="FFFFFF"/>
                <w:sz w:val="16"/>
                <w:szCs w:val="16"/>
                <w:lang w:eastAsia="en-AU"/>
              </w:rPr>
              <w:br/>
            </w:r>
            <w:r w:rsidR="00022391">
              <w:rPr>
                <w:rFonts w:ascii="Open Sans Semibold" w:eastAsia="Times New Roman" w:hAnsi="Open Sans Semibold" w:cs="Open Sans Semibold"/>
                <w:color w:val="FFFFFF"/>
                <w:sz w:val="16"/>
                <w:szCs w:val="16"/>
                <w:lang w:eastAsia="en-AU"/>
              </w:rPr>
              <w:t>presentations</w:t>
            </w:r>
          </w:p>
        </w:tc>
        <w:tc>
          <w:tcPr>
            <w:tcW w:w="1475" w:type="dxa"/>
            <w:tcBorders>
              <w:top w:val="nil"/>
              <w:left w:val="nil"/>
              <w:bottom w:val="nil"/>
              <w:right w:val="nil"/>
            </w:tcBorders>
            <w:shd w:val="clear" w:color="000000" w:fill="006991"/>
            <w:vAlign w:val="center"/>
            <w:hideMark/>
          </w:tcPr>
          <w:p w14:paraId="3296D832" w14:textId="07F0622B"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652B5">
              <w:rPr>
                <w:rFonts w:ascii="Open Sans Semibold" w:eastAsia="Times New Roman" w:hAnsi="Open Sans Semibold" w:cs="Open Sans Semibold"/>
                <w:color w:val="FFFFFF"/>
                <w:sz w:val="16"/>
                <w:szCs w:val="16"/>
                <w:lang w:eastAsia="en-AU"/>
              </w:rPr>
              <w:t>GP</w:t>
            </w:r>
            <w:r w:rsidR="00F31B1C">
              <w:rPr>
                <w:rFonts w:ascii="Open Sans Semibold" w:eastAsia="Times New Roman" w:hAnsi="Open Sans Semibold" w:cs="Open Sans Semibold"/>
                <w:color w:val="FFFFFF"/>
                <w:sz w:val="16"/>
                <w:szCs w:val="16"/>
                <w:lang w:eastAsia="en-AU"/>
              </w:rPr>
              <w:t>-</w:t>
            </w:r>
            <w:r w:rsidRPr="003652B5">
              <w:rPr>
                <w:rFonts w:ascii="Open Sans Semibold" w:eastAsia="Times New Roman" w:hAnsi="Open Sans Semibold" w:cs="Open Sans Semibold"/>
                <w:color w:val="FFFFFF"/>
                <w:sz w:val="16"/>
                <w:szCs w:val="16"/>
                <w:lang w:eastAsia="en-AU"/>
              </w:rPr>
              <w:t xml:space="preserve">treatable </w:t>
            </w:r>
            <w:r w:rsidR="00022391">
              <w:rPr>
                <w:rFonts w:ascii="Open Sans Semibold" w:eastAsia="Times New Roman" w:hAnsi="Open Sans Semibold" w:cs="Open Sans Semibold"/>
                <w:color w:val="FFFFFF"/>
                <w:sz w:val="16"/>
                <w:szCs w:val="16"/>
                <w:lang w:eastAsia="en-AU"/>
              </w:rPr>
              <w:t>presentations</w:t>
            </w:r>
          </w:p>
        </w:tc>
      </w:tr>
      <w:tr w:rsidR="00022391" w:rsidRPr="003652B5" w14:paraId="6ECB68F0" w14:textId="77777777" w:rsidTr="00CF6BE3">
        <w:trPr>
          <w:trHeight w:val="259"/>
        </w:trPr>
        <w:tc>
          <w:tcPr>
            <w:tcW w:w="3342" w:type="dxa"/>
            <w:tcBorders>
              <w:top w:val="single" w:sz="4" w:space="0" w:color="ADD6EA"/>
              <w:left w:val="nil"/>
              <w:bottom w:val="single" w:sz="4" w:space="0" w:color="ADD6EA"/>
              <w:right w:val="nil"/>
            </w:tcBorders>
            <w:shd w:val="clear" w:color="000000" w:fill="B6D5E4"/>
            <w:vAlign w:val="center"/>
            <w:hideMark/>
          </w:tcPr>
          <w:p w14:paraId="32E7595E" w14:textId="77777777" w:rsidR="00D529DA" w:rsidRPr="003652B5" w:rsidRDefault="00D529DA" w:rsidP="00134475">
            <w:pPr>
              <w:keepNext/>
              <w:tabs>
                <w:tab w:val="clear" w:pos="567"/>
              </w:tabs>
              <w:spacing w:before="0" w:line="240" w:lineRule="auto"/>
              <w:rPr>
                <w:rFonts w:ascii="Open Sans Semibold" w:eastAsia="Times New Roman" w:hAnsi="Open Sans Semibold" w:cs="Open Sans Semibold"/>
                <w:b/>
                <w:bCs/>
                <w:color w:val="000000"/>
                <w:sz w:val="16"/>
                <w:szCs w:val="16"/>
                <w:lang w:eastAsia="en-AU"/>
              </w:rPr>
            </w:pPr>
            <w:r w:rsidRPr="003652B5">
              <w:rPr>
                <w:rFonts w:ascii="Open Sans Semibold" w:eastAsia="Times New Roman" w:hAnsi="Open Sans Semibold" w:cs="Open Sans Semibold"/>
                <w:b/>
                <w:bCs/>
                <w:color w:val="000000"/>
                <w:sz w:val="16"/>
                <w:szCs w:val="16"/>
                <w:lang w:eastAsia="en-AU"/>
              </w:rPr>
              <w:t> </w:t>
            </w:r>
          </w:p>
        </w:tc>
        <w:tc>
          <w:tcPr>
            <w:tcW w:w="818" w:type="dxa"/>
            <w:tcBorders>
              <w:top w:val="single" w:sz="4" w:space="0" w:color="ADD6EA"/>
              <w:left w:val="nil"/>
              <w:bottom w:val="single" w:sz="4" w:space="0" w:color="ADD6EA"/>
              <w:right w:val="nil"/>
            </w:tcBorders>
            <w:shd w:val="clear" w:color="000000" w:fill="B6D5E4"/>
            <w:vAlign w:val="center"/>
            <w:hideMark/>
          </w:tcPr>
          <w:p w14:paraId="705C2D4F"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000</w:t>
            </w:r>
          </w:p>
        </w:tc>
        <w:tc>
          <w:tcPr>
            <w:tcW w:w="1732" w:type="dxa"/>
            <w:tcBorders>
              <w:top w:val="single" w:sz="4" w:space="0" w:color="ADD6EA"/>
              <w:left w:val="nil"/>
              <w:bottom w:val="single" w:sz="4" w:space="0" w:color="ADD6EA"/>
              <w:right w:val="nil"/>
            </w:tcBorders>
            <w:shd w:val="clear" w:color="000000" w:fill="B6D5E4"/>
            <w:vAlign w:val="center"/>
            <w:hideMark/>
          </w:tcPr>
          <w:p w14:paraId="1B431874"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000</w:t>
            </w:r>
          </w:p>
        </w:tc>
        <w:tc>
          <w:tcPr>
            <w:tcW w:w="258" w:type="dxa"/>
            <w:tcBorders>
              <w:top w:val="single" w:sz="4" w:space="0" w:color="ADD6EA"/>
              <w:left w:val="nil"/>
              <w:bottom w:val="single" w:sz="4" w:space="0" w:color="ADD6EA"/>
              <w:right w:val="nil"/>
            </w:tcBorders>
            <w:shd w:val="clear" w:color="000000" w:fill="B6D5E4"/>
            <w:vAlign w:val="center"/>
            <w:hideMark/>
          </w:tcPr>
          <w:p w14:paraId="780DCB37"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 </w:t>
            </w:r>
          </w:p>
        </w:tc>
        <w:tc>
          <w:tcPr>
            <w:tcW w:w="1355" w:type="dxa"/>
            <w:tcBorders>
              <w:top w:val="single" w:sz="4" w:space="0" w:color="ADD6EA"/>
              <w:left w:val="nil"/>
              <w:bottom w:val="single" w:sz="4" w:space="0" w:color="ADD6EA"/>
              <w:right w:val="nil"/>
            </w:tcBorders>
            <w:shd w:val="clear" w:color="000000" w:fill="B6D5E4"/>
            <w:vAlign w:val="center"/>
            <w:hideMark/>
          </w:tcPr>
          <w:p w14:paraId="4439FC35"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w:t>
            </w:r>
          </w:p>
        </w:tc>
        <w:tc>
          <w:tcPr>
            <w:tcW w:w="1475" w:type="dxa"/>
            <w:tcBorders>
              <w:top w:val="single" w:sz="4" w:space="0" w:color="ADD6EA"/>
              <w:left w:val="nil"/>
              <w:bottom w:val="single" w:sz="4" w:space="0" w:color="ADD6EA"/>
              <w:right w:val="nil"/>
            </w:tcBorders>
            <w:shd w:val="clear" w:color="000000" w:fill="B6D5E4"/>
            <w:vAlign w:val="center"/>
            <w:hideMark/>
          </w:tcPr>
          <w:p w14:paraId="7F8D6793"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w:t>
            </w:r>
          </w:p>
        </w:tc>
      </w:tr>
      <w:tr w:rsidR="00022391" w:rsidRPr="003652B5" w14:paraId="4BC0A9A9" w14:textId="77777777" w:rsidTr="00CF6BE3">
        <w:trPr>
          <w:trHeight w:val="300"/>
        </w:trPr>
        <w:tc>
          <w:tcPr>
            <w:tcW w:w="3342" w:type="dxa"/>
            <w:tcBorders>
              <w:top w:val="nil"/>
              <w:left w:val="nil"/>
              <w:bottom w:val="single" w:sz="4" w:space="0" w:color="ADD6EA"/>
              <w:right w:val="nil"/>
            </w:tcBorders>
            <w:shd w:val="clear" w:color="000000" w:fill="FFFFFF"/>
            <w:vAlign w:val="center"/>
            <w:hideMark/>
          </w:tcPr>
          <w:p w14:paraId="0C85A6D1" w14:textId="77777777" w:rsidR="00D529DA" w:rsidRPr="003652B5" w:rsidRDefault="00D529DA" w:rsidP="00134475">
            <w:pPr>
              <w:keepNext/>
              <w:tabs>
                <w:tab w:val="clear" w:pos="567"/>
              </w:tabs>
              <w:spacing w:before="0" w:line="240" w:lineRule="auto"/>
              <w:rPr>
                <w:rFonts w:eastAsia="Times New Roman" w:cs="Open Sans Light"/>
                <w:color w:val="000000"/>
                <w:sz w:val="16"/>
                <w:szCs w:val="16"/>
                <w:lang w:eastAsia="en-AU"/>
              </w:rPr>
            </w:pPr>
            <w:r w:rsidRPr="003652B5">
              <w:rPr>
                <w:rFonts w:eastAsia="Times New Roman" w:cs="Open Sans Light"/>
                <w:color w:val="000000"/>
                <w:sz w:val="16"/>
                <w:szCs w:val="16"/>
                <w:lang w:eastAsia="en-AU"/>
              </w:rPr>
              <w:t>Major cities</w:t>
            </w:r>
          </w:p>
        </w:tc>
        <w:tc>
          <w:tcPr>
            <w:tcW w:w="818" w:type="dxa"/>
            <w:tcBorders>
              <w:top w:val="nil"/>
              <w:left w:val="nil"/>
              <w:bottom w:val="single" w:sz="4" w:space="0" w:color="ADD6EA"/>
              <w:right w:val="nil"/>
            </w:tcBorders>
            <w:shd w:val="clear" w:color="000000" w:fill="FFFFFF"/>
            <w:vAlign w:val="center"/>
            <w:hideMark/>
          </w:tcPr>
          <w:p w14:paraId="7E5D5B7E"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5,525</w:t>
            </w:r>
          </w:p>
        </w:tc>
        <w:tc>
          <w:tcPr>
            <w:tcW w:w="1732" w:type="dxa"/>
            <w:tcBorders>
              <w:top w:val="nil"/>
              <w:left w:val="nil"/>
              <w:bottom w:val="single" w:sz="4" w:space="0" w:color="ADD6EA"/>
              <w:right w:val="nil"/>
            </w:tcBorders>
            <w:shd w:val="clear" w:color="000000" w:fill="FFFFFF"/>
            <w:vAlign w:val="center"/>
            <w:hideMark/>
          </w:tcPr>
          <w:p w14:paraId="5E8BDA1F"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1,861</w:t>
            </w:r>
          </w:p>
        </w:tc>
        <w:tc>
          <w:tcPr>
            <w:tcW w:w="258" w:type="dxa"/>
            <w:tcBorders>
              <w:top w:val="nil"/>
              <w:left w:val="nil"/>
              <w:bottom w:val="single" w:sz="4" w:space="0" w:color="ADD6EA"/>
              <w:right w:val="nil"/>
            </w:tcBorders>
            <w:shd w:val="clear" w:color="000000" w:fill="FFFFFF"/>
            <w:vAlign w:val="center"/>
            <w:hideMark/>
          </w:tcPr>
          <w:p w14:paraId="363BC016"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 </w:t>
            </w:r>
          </w:p>
        </w:tc>
        <w:tc>
          <w:tcPr>
            <w:tcW w:w="1355" w:type="dxa"/>
            <w:tcBorders>
              <w:top w:val="nil"/>
              <w:left w:val="nil"/>
              <w:bottom w:val="single" w:sz="4" w:space="0" w:color="ADD6EA"/>
              <w:right w:val="nil"/>
            </w:tcBorders>
            <w:shd w:val="clear" w:color="000000" w:fill="FFFFFF"/>
            <w:vAlign w:val="center"/>
            <w:hideMark/>
          </w:tcPr>
          <w:p w14:paraId="2D44EA41"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34</w:t>
            </w:r>
          </w:p>
        </w:tc>
        <w:tc>
          <w:tcPr>
            <w:tcW w:w="1475" w:type="dxa"/>
            <w:tcBorders>
              <w:top w:val="nil"/>
              <w:left w:val="nil"/>
              <w:bottom w:val="single" w:sz="4" w:space="0" w:color="ADD6EA"/>
              <w:right w:val="nil"/>
            </w:tcBorders>
            <w:shd w:val="clear" w:color="000000" w:fill="FFFFFF"/>
            <w:vAlign w:val="center"/>
            <w:hideMark/>
          </w:tcPr>
          <w:p w14:paraId="47DB866C" w14:textId="5975D251" w:rsidR="00D529DA" w:rsidRPr="003652B5" w:rsidRDefault="00FC0696" w:rsidP="00134475">
            <w:pPr>
              <w:keepNext/>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r w:rsidR="00E45DA4">
              <w:rPr>
                <w:rFonts w:eastAsia="Times New Roman" w:cs="Open Sans Light"/>
                <w:color w:val="000000"/>
                <w:sz w:val="16"/>
                <w:szCs w:val="16"/>
                <w:lang w:eastAsia="en-AU"/>
              </w:rPr>
              <w:t>7</w:t>
            </w:r>
          </w:p>
        </w:tc>
      </w:tr>
      <w:tr w:rsidR="00022391" w:rsidRPr="003652B5" w14:paraId="251475EF" w14:textId="77777777" w:rsidTr="00CF6BE3">
        <w:trPr>
          <w:trHeight w:val="300"/>
        </w:trPr>
        <w:tc>
          <w:tcPr>
            <w:tcW w:w="3342" w:type="dxa"/>
            <w:tcBorders>
              <w:top w:val="nil"/>
              <w:left w:val="nil"/>
              <w:bottom w:val="single" w:sz="4" w:space="0" w:color="ADD6EA"/>
              <w:right w:val="nil"/>
            </w:tcBorders>
            <w:shd w:val="clear" w:color="000000" w:fill="FFFFFF"/>
            <w:vAlign w:val="center"/>
            <w:hideMark/>
          </w:tcPr>
          <w:p w14:paraId="39399CB9" w14:textId="77777777" w:rsidR="00D529DA" w:rsidRPr="003652B5" w:rsidRDefault="00D529DA" w:rsidP="00134475">
            <w:pPr>
              <w:keepNext/>
              <w:tabs>
                <w:tab w:val="clear" w:pos="567"/>
              </w:tabs>
              <w:spacing w:before="0" w:line="240" w:lineRule="auto"/>
              <w:rPr>
                <w:rFonts w:eastAsia="Times New Roman" w:cs="Open Sans Light"/>
                <w:color w:val="000000"/>
                <w:sz w:val="16"/>
                <w:szCs w:val="16"/>
                <w:lang w:eastAsia="en-AU"/>
              </w:rPr>
            </w:pPr>
            <w:r w:rsidRPr="003652B5">
              <w:rPr>
                <w:rFonts w:eastAsia="Times New Roman" w:cs="Open Sans Light"/>
                <w:color w:val="000000"/>
                <w:sz w:val="16"/>
                <w:szCs w:val="16"/>
                <w:lang w:eastAsia="en-AU"/>
              </w:rPr>
              <w:t>Inner regional</w:t>
            </w:r>
          </w:p>
        </w:tc>
        <w:tc>
          <w:tcPr>
            <w:tcW w:w="818" w:type="dxa"/>
            <w:tcBorders>
              <w:top w:val="nil"/>
              <w:left w:val="nil"/>
              <w:bottom w:val="single" w:sz="4" w:space="0" w:color="ADD6EA"/>
              <w:right w:val="nil"/>
            </w:tcBorders>
            <w:shd w:val="clear" w:color="000000" w:fill="FFFFFF"/>
            <w:vAlign w:val="center"/>
            <w:hideMark/>
          </w:tcPr>
          <w:p w14:paraId="723E475C"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1,940</w:t>
            </w:r>
          </w:p>
        </w:tc>
        <w:tc>
          <w:tcPr>
            <w:tcW w:w="1732" w:type="dxa"/>
            <w:tcBorders>
              <w:top w:val="nil"/>
              <w:left w:val="nil"/>
              <w:bottom w:val="single" w:sz="4" w:space="0" w:color="ADD6EA"/>
              <w:right w:val="nil"/>
            </w:tcBorders>
            <w:shd w:val="clear" w:color="000000" w:fill="FFFFFF"/>
            <w:vAlign w:val="center"/>
            <w:hideMark/>
          </w:tcPr>
          <w:p w14:paraId="5A4492AD"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733</w:t>
            </w:r>
          </w:p>
        </w:tc>
        <w:tc>
          <w:tcPr>
            <w:tcW w:w="258" w:type="dxa"/>
            <w:tcBorders>
              <w:top w:val="nil"/>
              <w:left w:val="nil"/>
              <w:bottom w:val="single" w:sz="4" w:space="0" w:color="ADD6EA"/>
              <w:right w:val="nil"/>
            </w:tcBorders>
            <w:shd w:val="clear" w:color="000000" w:fill="FFFFFF"/>
            <w:vAlign w:val="center"/>
            <w:hideMark/>
          </w:tcPr>
          <w:p w14:paraId="13BBD33D"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 </w:t>
            </w:r>
          </w:p>
        </w:tc>
        <w:tc>
          <w:tcPr>
            <w:tcW w:w="1355" w:type="dxa"/>
            <w:tcBorders>
              <w:top w:val="nil"/>
              <w:left w:val="nil"/>
              <w:bottom w:val="single" w:sz="4" w:space="0" w:color="ADD6EA"/>
              <w:right w:val="nil"/>
            </w:tcBorders>
            <w:shd w:val="clear" w:color="000000" w:fill="FFFFFF"/>
            <w:vAlign w:val="center"/>
            <w:hideMark/>
          </w:tcPr>
          <w:p w14:paraId="27A37D37"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38</w:t>
            </w:r>
          </w:p>
        </w:tc>
        <w:tc>
          <w:tcPr>
            <w:tcW w:w="1475" w:type="dxa"/>
            <w:tcBorders>
              <w:top w:val="nil"/>
              <w:left w:val="nil"/>
              <w:bottom w:val="single" w:sz="4" w:space="0" w:color="ADD6EA"/>
              <w:right w:val="nil"/>
            </w:tcBorders>
            <w:shd w:val="clear" w:color="000000" w:fill="FFFFFF"/>
            <w:vAlign w:val="center"/>
            <w:hideMark/>
          </w:tcPr>
          <w:p w14:paraId="46076758" w14:textId="0BC2835E"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2</w:t>
            </w:r>
            <w:r w:rsidR="0051050F">
              <w:rPr>
                <w:rFonts w:eastAsia="Times New Roman" w:cs="Open Sans Light"/>
                <w:color w:val="000000"/>
                <w:sz w:val="16"/>
                <w:szCs w:val="16"/>
                <w:lang w:eastAsia="en-AU"/>
              </w:rPr>
              <w:t>3</w:t>
            </w:r>
          </w:p>
        </w:tc>
      </w:tr>
      <w:tr w:rsidR="00022391" w:rsidRPr="003652B5" w14:paraId="2917A51B" w14:textId="77777777" w:rsidTr="00CF6BE3">
        <w:trPr>
          <w:trHeight w:val="300"/>
        </w:trPr>
        <w:tc>
          <w:tcPr>
            <w:tcW w:w="3342" w:type="dxa"/>
            <w:tcBorders>
              <w:top w:val="nil"/>
              <w:left w:val="nil"/>
              <w:bottom w:val="single" w:sz="4" w:space="0" w:color="ADD6EA"/>
              <w:right w:val="nil"/>
            </w:tcBorders>
            <w:shd w:val="clear" w:color="000000" w:fill="FFFFFF"/>
            <w:vAlign w:val="center"/>
            <w:hideMark/>
          </w:tcPr>
          <w:p w14:paraId="1CFD18EF" w14:textId="77777777" w:rsidR="00D529DA" w:rsidRPr="003652B5" w:rsidRDefault="00D529DA" w:rsidP="00134475">
            <w:pPr>
              <w:keepNext/>
              <w:tabs>
                <w:tab w:val="clear" w:pos="567"/>
              </w:tabs>
              <w:spacing w:before="0" w:line="240" w:lineRule="auto"/>
              <w:rPr>
                <w:rFonts w:eastAsia="Times New Roman" w:cs="Open Sans Light"/>
                <w:color w:val="000000"/>
                <w:sz w:val="16"/>
                <w:szCs w:val="16"/>
                <w:lang w:eastAsia="en-AU"/>
              </w:rPr>
            </w:pPr>
            <w:r w:rsidRPr="003652B5">
              <w:rPr>
                <w:rFonts w:eastAsia="Times New Roman" w:cs="Open Sans Light"/>
                <w:color w:val="000000"/>
                <w:sz w:val="16"/>
                <w:szCs w:val="16"/>
                <w:lang w:eastAsia="en-AU"/>
              </w:rPr>
              <w:t>Outer regional</w:t>
            </w:r>
          </w:p>
        </w:tc>
        <w:tc>
          <w:tcPr>
            <w:tcW w:w="818" w:type="dxa"/>
            <w:tcBorders>
              <w:top w:val="nil"/>
              <w:left w:val="nil"/>
              <w:bottom w:val="single" w:sz="4" w:space="0" w:color="ADD6EA"/>
              <w:right w:val="nil"/>
            </w:tcBorders>
            <w:shd w:val="clear" w:color="000000" w:fill="FFFFFF"/>
            <w:vAlign w:val="center"/>
            <w:hideMark/>
          </w:tcPr>
          <w:p w14:paraId="34B24AC3"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913</w:t>
            </w:r>
          </w:p>
        </w:tc>
        <w:tc>
          <w:tcPr>
            <w:tcW w:w="1732" w:type="dxa"/>
            <w:tcBorders>
              <w:top w:val="nil"/>
              <w:left w:val="nil"/>
              <w:bottom w:val="single" w:sz="4" w:space="0" w:color="ADD6EA"/>
              <w:right w:val="nil"/>
            </w:tcBorders>
            <w:shd w:val="clear" w:color="000000" w:fill="FFFFFF"/>
            <w:vAlign w:val="center"/>
            <w:hideMark/>
          </w:tcPr>
          <w:p w14:paraId="36EAEEAF"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276</w:t>
            </w:r>
          </w:p>
        </w:tc>
        <w:tc>
          <w:tcPr>
            <w:tcW w:w="258" w:type="dxa"/>
            <w:tcBorders>
              <w:top w:val="nil"/>
              <w:left w:val="nil"/>
              <w:bottom w:val="single" w:sz="4" w:space="0" w:color="ADD6EA"/>
              <w:right w:val="nil"/>
            </w:tcBorders>
            <w:shd w:val="clear" w:color="000000" w:fill="FFFFFF"/>
            <w:vAlign w:val="center"/>
            <w:hideMark/>
          </w:tcPr>
          <w:p w14:paraId="6DD3933A"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 </w:t>
            </w:r>
          </w:p>
        </w:tc>
        <w:tc>
          <w:tcPr>
            <w:tcW w:w="1355" w:type="dxa"/>
            <w:tcBorders>
              <w:top w:val="nil"/>
              <w:left w:val="nil"/>
              <w:bottom w:val="single" w:sz="4" w:space="0" w:color="ADD6EA"/>
              <w:right w:val="nil"/>
            </w:tcBorders>
            <w:shd w:val="clear" w:color="000000" w:fill="FFFFFF"/>
            <w:vAlign w:val="center"/>
            <w:hideMark/>
          </w:tcPr>
          <w:p w14:paraId="68C4083C"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30</w:t>
            </w:r>
          </w:p>
        </w:tc>
        <w:tc>
          <w:tcPr>
            <w:tcW w:w="1475" w:type="dxa"/>
            <w:tcBorders>
              <w:top w:val="nil"/>
              <w:left w:val="nil"/>
              <w:bottom w:val="single" w:sz="4" w:space="0" w:color="ADD6EA"/>
              <w:right w:val="nil"/>
            </w:tcBorders>
            <w:shd w:val="clear" w:color="000000" w:fill="FFFFFF"/>
            <w:vAlign w:val="center"/>
            <w:hideMark/>
          </w:tcPr>
          <w:p w14:paraId="437CE2DA" w14:textId="031135B0"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18</w:t>
            </w:r>
          </w:p>
        </w:tc>
      </w:tr>
      <w:tr w:rsidR="00022391" w:rsidRPr="003652B5" w14:paraId="3869B6EB" w14:textId="77777777" w:rsidTr="00CF6BE3">
        <w:trPr>
          <w:trHeight w:val="300"/>
        </w:trPr>
        <w:tc>
          <w:tcPr>
            <w:tcW w:w="3342" w:type="dxa"/>
            <w:tcBorders>
              <w:top w:val="nil"/>
              <w:left w:val="nil"/>
              <w:bottom w:val="single" w:sz="4" w:space="0" w:color="ADD6EA"/>
              <w:right w:val="nil"/>
            </w:tcBorders>
            <w:shd w:val="clear" w:color="000000" w:fill="FFFFFF"/>
            <w:vAlign w:val="center"/>
            <w:hideMark/>
          </w:tcPr>
          <w:p w14:paraId="0B25C378" w14:textId="77777777" w:rsidR="00D529DA" w:rsidRPr="003652B5" w:rsidRDefault="00D529DA" w:rsidP="00134475">
            <w:pPr>
              <w:keepNext/>
              <w:tabs>
                <w:tab w:val="clear" w:pos="567"/>
              </w:tabs>
              <w:spacing w:before="0" w:line="240" w:lineRule="auto"/>
              <w:rPr>
                <w:rFonts w:eastAsia="Times New Roman" w:cs="Open Sans Light"/>
                <w:color w:val="000000"/>
                <w:sz w:val="16"/>
                <w:szCs w:val="16"/>
                <w:lang w:eastAsia="en-AU"/>
              </w:rPr>
            </w:pPr>
            <w:r w:rsidRPr="003652B5">
              <w:rPr>
                <w:rFonts w:eastAsia="Times New Roman" w:cs="Open Sans Light"/>
                <w:color w:val="000000"/>
                <w:sz w:val="16"/>
                <w:szCs w:val="16"/>
                <w:lang w:eastAsia="en-AU"/>
              </w:rPr>
              <w:t>Remote/very remote</w:t>
            </w:r>
          </w:p>
        </w:tc>
        <w:tc>
          <w:tcPr>
            <w:tcW w:w="818" w:type="dxa"/>
            <w:tcBorders>
              <w:top w:val="nil"/>
              <w:left w:val="nil"/>
              <w:bottom w:val="single" w:sz="4" w:space="0" w:color="ADD6EA"/>
              <w:right w:val="nil"/>
            </w:tcBorders>
            <w:shd w:val="clear" w:color="000000" w:fill="FFFFFF"/>
            <w:vAlign w:val="center"/>
            <w:hideMark/>
          </w:tcPr>
          <w:p w14:paraId="42C89116"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298</w:t>
            </w:r>
          </w:p>
        </w:tc>
        <w:tc>
          <w:tcPr>
            <w:tcW w:w="1732" w:type="dxa"/>
            <w:tcBorders>
              <w:top w:val="nil"/>
              <w:left w:val="nil"/>
              <w:bottom w:val="single" w:sz="4" w:space="0" w:color="ADD6EA"/>
              <w:right w:val="nil"/>
            </w:tcBorders>
            <w:shd w:val="clear" w:color="000000" w:fill="FFFFFF"/>
            <w:vAlign w:val="center"/>
            <w:hideMark/>
          </w:tcPr>
          <w:p w14:paraId="2372BF34"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177</w:t>
            </w:r>
          </w:p>
        </w:tc>
        <w:tc>
          <w:tcPr>
            <w:tcW w:w="258" w:type="dxa"/>
            <w:tcBorders>
              <w:top w:val="nil"/>
              <w:left w:val="nil"/>
              <w:bottom w:val="single" w:sz="4" w:space="0" w:color="ADD6EA"/>
              <w:right w:val="nil"/>
            </w:tcBorders>
            <w:shd w:val="clear" w:color="000000" w:fill="FFFFFF"/>
            <w:vAlign w:val="center"/>
            <w:hideMark/>
          </w:tcPr>
          <w:p w14:paraId="041DE8F0"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 </w:t>
            </w:r>
          </w:p>
        </w:tc>
        <w:tc>
          <w:tcPr>
            <w:tcW w:w="1355" w:type="dxa"/>
            <w:tcBorders>
              <w:top w:val="nil"/>
              <w:left w:val="nil"/>
              <w:bottom w:val="single" w:sz="4" w:space="0" w:color="ADD6EA"/>
              <w:right w:val="nil"/>
            </w:tcBorders>
            <w:shd w:val="clear" w:color="000000" w:fill="FFFFFF"/>
            <w:vAlign w:val="center"/>
            <w:hideMark/>
          </w:tcPr>
          <w:p w14:paraId="0A7DF7C3" w14:textId="77777777"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59</w:t>
            </w:r>
          </w:p>
        </w:tc>
        <w:tc>
          <w:tcPr>
            <w:tcW w:w="1475" w:type="dxa"/>
            <w:tcBorders>
              <w:top w:val="nil"/>
              <w:left w:val="nil"/>
              <w:bottom w:val="single" w:sz="4" w:space="0" w:color="ADD6EA"/>
              <w:right w:val="nil"/>
            </w:tcBorders>
            <w:shd w:val="clear" w:color="000000" w:fill="FFFFFF"/>
            <w:vAlign w:val="center"/>
            <w:hideMark/>
          </w:tcPr>
          <w:p w14:paraId="1D96ACA3" w14:textId="6A93B166" w:rsidR="00D529DA" w:rsidRPr="003652B5" w:rsidRDefault="00D529DA" w:rsidP="00134475">
            <w:pPr>
              <w:keepNext/>
              <w:tabs>
                <w:tab w:val="clear" w:pos="567"/>
              </w:tabs>
              <w:spacing w:before="0" w:line="240" w:lineRule="auto"/>
              <w:jc w:val="right"/>
              <w:rPr>
                <w:rFonts w:eastAsia="Times New Roman" w:cs="Open Sans Light"/>
                <w:color w:val="000000"/>
                <w:sz w:val="16"/>
                <w:szCs w:val="16"/>
                <w:lang w:eastAsia="en-AU"/>
              </w:rPr>
            </w:pPr>
            <w:r w:rsidRPr="003652B5">
              <w:rPr>
                <w:rFonts w:eastAsia="Times New Roman" w:cs="Open Sans Light"/>
                <w:color w:val="000000"/>
                <w:sz w:val="16"/>
                <w:szCs w:val="16"/>
                <w:lang w:eastAsia="en-AU"/>
              </w:rPr>
              <w:t>3</w:t>
            </w:r>
            <w:r w:rsidR="00F5068F">
              <w:rPr>
                <w:rFonts w:eastAsia="Times New Roman" w:cs="Open Sans Light"/>
                <w:color w:val="000000"/>
                <w:sz w:val="16"/>
                <w:szCs w:val="16"/>
                <w:lang w:eastAsia="en-AU"/>
              </w:rPr>
              <w:t>6</w:t>
            </w:r>
          </w:p>
        </w:tc>
      </w:tr>
      <w:tr w:rsidR="00022391" w:rsidRPr="003652B5" w14:paraId="62E31202" w14:textId="77777777" w:rsidTr="00CF6BE3">
        <w:trPr>
          <w:trHeight w:val="300"/>
        </w:trPr>
        <w:tc>
          <w:tcPr>
            <w:tcW w:w="3342" w:type="dxa"/>
            <w:tcBorders>
              <w:top w:val="single" w:sz="4" w:space="0" w:color="ADD6EA"/>
              <w:left w:val="nil"/>
              <w:bottom w:val="single" w:sz="4" w:space="0" w:color="ADD6EA"/>
              <w:right w:val="nil"/>
            </w:tcBorders>
            <w:shd w:val="clear" w:color="000000" w:fill="D6E7F0"/>
            <w:vAlign w:val="center"/>
            <w:hideMark/>
          </w:tcPr>
          <w:p w14:paraId="4A9B16B5" w14:textId="77777777" w:rsidR="00D529DA" w:rsidRPr="003652B5" w:rsidRDefault="00D529DA" w:rsidP="00134475">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Total</w:t>
            </w:r>
          </w:p>
        </w:tc>
        <w:tc>
          <w:tcPr>
            <w:tcW w:w="818" w:type="dxa"/>
            <w:tcBorders>
              <w:top w:val="single" w:sz="4" w:space="0" w:color="ADD6EA"/>
              <w:left w:val="nil"/>
              <w:bottom w:val="single" w:sz="4" w:space="0" w:color="ADD6EA"/>
              <w:right w:val="nil"/>
            </w:tcBorders>
            <w:shd w:val="clear" w:color="000000" w:fill="D6E7F0"/>
            <w:vAlign w:val="center"/>
            <w:hideMark/>
          </w:tcPr>
          <w:p w14:paraId="3AC30694"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8,676</w:t>
            </w:r>
          </w:p>
        </w:tc>
        <w:tc>
          <w:tcPr>
            <w:tcW w:w="1732" w:type="dxa"/>
            <w:tcBorders>
              <w:top w:val="single" w:sz="4" w:space="0" w:color="ADD6EA"/>
              <w:left w:val="nil"/>
              <w:bottom w:val="single" w:sz="4" w:space="0" w:color="ADD6EA"/>
              <w:right w:val="nil"/>
            </w:tcBorders>
            <w:shd w:val="clear" w:color="000000" w:fill="D6E7F0"/>
            <w:vAlign w:val="center"/>
            <w:hideMark/>
          </w:tcPr>
          <w:p w14:paraId="66E03A06" w14:textId="4B5C0952"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3,04</w:t>
            </w:r>
            <w:r w:rsidR="00C5456C">
              <w:rPr>
                <w:rFonts w:ascii="Open Sans Semibold" w:eastAsia="Times New Roman" w:hAnsi="Open Sans Semibold" w:cs="Open Sans Semibold"/>
                <w:color w:val="000000"/>
                <w:sz w:val="16"/>
                <w:szCs w:val="16"/>
                <w:lang w:eastAsia="en-AU"/>
              </w:rPr>
              <w:t>8</w:t>
            </w:r>
          </w:p>
        </w:tc>
        <w:tc>
          <w:tcPr>
            <w:tcW w:w="258" w:type="dxa"/>
            <w:tcBorders>
              <w:top w:val="single" w:sz="4" w:space="0" w:color="ADD6EA"/>
              <w:left w:val="nil"/>
              <w:bottom w:val="single" w:sz="4" w:space="0" w:color="ADD6EA"/>
              <w:right w:val="nil"/>
            </w:tcBorders>
            <w:shd w:val="clear" w:color="000000" w:fill="D6E7F0"/>
            <w:vAlign w:val="center"/>
            <w:hideMark/>
          </w:tcPr>
          <w:p w14:paraId="431EE55A"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 </w:t>
            </w:r>
          </w:p>
        </w:tc>
        <w:tc>
          <w:tcPr>
            <w:tcW w:w="1355" w:type="dxa"/>
            <w:tcBorders>
              <w:top w:val="single" w:sz="4" w:space="0" w:color="ADD6EA"/>
              <w:left w:val="nil"/>
              <w:bottom w:val="single" w:sz="4" w:space="0" w:color="ADD6EA"/>
              <w:right w:val="nil"/>
            </w:tcBorders>
            <w:shd w:val="clear" w:color="000000" w:fill="D6E7F0"/>
            <w:vAlign w:val="center"/>
            <w:hideMark/>
          </w:tcPr>
          <w:p w14:paraId="13517A20" w14:textId="77777777"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35</w:t>
            </w:r>
          </w:p>
        </w:tc>
        <w:tc>
          <w:tcPr>
            <w:tcW w:w="1475" w:type="dxa"/>
            <w:tcBorders>
              <w:top w:val="single" w:sz="4" w:space="0" w:color="ADD6EA"/>
              <w:left w:val="nil"/>
              <w:bottom w:val="single" w:sz="4" w:space="0" w:color="ADD6EA"/>
              <w:right w:val="nil"/>
            </w:tcBorders>
            <w:shd w:val="clear" w:color="000000" w:fill="D6E7F0"/>
            <w:vAlign w:val="center"/>
            <w:hideMark/>
          </w:tcPr>
          <w:p w14:paraId="37C6DB97" w14:textId="6B2A126D" w:rsidR="00D529DA" w:rsidRPr="003652B5" w:rsidRDefault="00D529DA" w:rsidP="00134475">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652B5">
              <w:rPr>
                <w:rFonts w:ascii="Open Sans Semibold" w:eastAsia="Times New Roman" w:hAnsi="Open Sans Semibold" w:cs="Open Sans Semibold"/>
                <w:color w:val="000000"/>
                <w:sz w:val="16"/>
                <w:szCs w:val="16"/>
                <w:lang w:eastAsia="en-AU"/>
              </w:rPr>
              <w:t>1</w:t>
            </w:r>
            <w:r w:rsidR="00F5068F">
              <w:rPr>
                <w:rFonts w:ascii="Open Sans Semibold" w:eastAsia="Times New Roman" w:hAnsi="Open Sans Semibold" w:cs="Open Sans Semibold"/>
                <w:color w:val="000000"/>
                <w:sz w:val="16"/>
                <w:szCs w:val="16"/>
                <w:lang w:eastAsia="en-AU"/>
              </w:rPr>
              <w:t>9</w:t>
            </w:r>
          </w:p>
        </w:tc>
      </w:tr>
    </w:tbl>
    <w:p w14:paraId="3C36D4FB" w14:textId="7929598B" w:rsidR="00D529DA" w:rsidRDefault="00D529DA" w:rsidP="002C3381">
      <w:pPr>
        <w:pStyle w:val="CGC2025TableNote"/>
        <w:ind w:left="709" w:hanging="596"/>
      </w:pPr>
      <w:r>
        <w:t>Note:</w:t>
      </w:r>
      <w:r>
        <w:tab/>
      </w:r>
      <w:r w:rsidR="002C3381">
        <w:tab/>
      </w:r>
      <w:r w:rsidR="009B023A">
        <w:tab/>
      </w:r>
      <w:r>
        <w:t>GP</w:t>
      </w:r>
      <w:r w:rsidR="00F31B1C">
        <w:t>-</w:t>
      </w:r>
      <w:r>
        <w:t xml:space="preserve">treatable presentations </w:t>
      </w:r>
      <w:r w:rsidR="00B26E78">
        <w:t>w</w:t>
      </w:r>
      <w:r w:rsidR="00C314F9">
        <w:t xml:space="preserve">ere </w:t>
      </w:r>
      <w:r>
        <w:t xml:space="preserve">estimated at 50% of </w:t>
      </w:r>
      <w:r w:rsidR="008D4584">
        <w:t xml:space="preserve">lower urgency presentations </w:t>
      </w:r>
      <w:r w:rsidR="000A0256">
        <w:t>in</w:t>
      </w:r>
      <w:r>
        <w:t xml:space="preserve"> major cities and 60% </w:t>
      </w:r>
      <w:r w:rsidR="0086112D">
        <w:t xml:space="preserve">in </w:t>
      </w:r>
      <w:r>
        <w:t>other remoteness regions.</w:t>
      </w:r>
    </w:p>
    <w:p w14:paraId="6C256DB0" w14:textId="7A8371D6" w:rsidR="0040226E" w:rsidRDefault="00D529DA" w:rsidP="002C3381">
      <w:pPr>
        <w:pStyle w:val="CGC2025TableNote"/>
        <w:ind w:left="709" w:hanging="596"/>
      </w:pPr>
      <w:r>
        <w:t xml:space="preserve">Source: </w:t>
      </w:r>
      <w:r w:rsidR="009E0AD5">
        <w:tab/>
      </w:r>
      <w:r w:rsidR="009B023A">
        <w:tab/>
      </w:r>
      <w:r>
        <w:t>Commission calculation using AIHW data</w:t>
      </w:r>
      <w:r w:rsidR="008B108F">
        <w:t>.</w:t>
      </w:r>
    </w:p>
    <w:p w14:paraId="5F87A74A" w14:textId="05BBAEE3" w:rsidR="00F43F26" w:rsidRDefault="00CC6B8B" w:rsidP="003717E4">
      <w:pPr>
        <w:pStyle w:val="CGC2025ParaNumbers"/>
      </w:pPr>
      <w:r w:rsidRPr="003C5BE5">
        <w:t xml:space="preserve">Independent Health and Aged Care Pricing Authority data </w:t>
      </w:r>
      <w:r w:rsidR="00190ABF" w:rsidRPr="003C5BE5">
        <w:t>for 2021</w:t>
      </w:r>
      <w:r w:rsidR="00CF0889">
        <w:t>–</w:t>
      </w:r>
      <w:r w:rsidR="00190ABF" w:rsidRPr="003C5BE5">
        <w:t xml:space="preserve">22 </w:t>
      </w:r>
      <w:r w:rsidR="0023454B" w:rsidRPr="003C5BE5">
        <w:t xml:space="preserve">show </w:t>
      </w:r>
      <w:r w:rsidRPr="003C5BE5">
        <w:t xml:space="preserve">that emergency department triage 4 and 5 </w:t>
      </w:r>
      <w:r w:rsidR="00AA3D45" w:rsidRPr="003C5BE5">
        <w:t>(semi-urgent or non-urgen</w:t>
      </w:r>
      <w:r w:rsidR="00734337" w:rsidRPr="003C5BE5">
        <w:t xml:space="preserve">t presentations) </w:t>
      </w:r>
      <w:r w:rsidRPr="003C5BE5">
        <w:t>make up 4</w:t>
      </w:r>
      <w:r w:rsidR="006E4C79" w:rsidRPr="003C5BE5">
        <w:t>6</w:t>
      </w:r>
      <w:r w:rsidRPr="003C5BE5">
        <w:t>% of total emergency department presentations, but only account for 3</w:t>
      </w:r>
      <w:r w:rsidR="00752102" w:rsidRPr="003C5BE5">
        <w:t>3</w:t>
      </w:r>
      <w:r w:rsidRPr="003C5BE5">
        <w:t>% of the cost</w:t>
      </w:r>
      <w:r w:rsidR="00D47B69">
        <w:t>s</w:t>
      </w:r>
      <w:r w:rsidRPr="003C5BE5">
        <w:t>, resulting in a cost to activity ratio of 0.</w:t>
      </w:r>
      <w:r w:rsidR="008165F2" w:rsidRPr="003C5BE5">
        <w:t>33</w:t>
      </w:r>
      <w:r w:rsidRPr="003C5BE5">
        <w:t>/0.4</w:t>
      </w:r>
      <w:r w:rsidR="006E4C79" w:rsidRPr="003C5BE5">
        <w:t>6</w:t>
      </w:r>
      <w:r w:rsidRPr="003C5BE5">
        <w:t>=0.</w:t>
      </w:r>
      <w:r w:rsidR="008165F2" w:rsidRPr="003C5BE5">
        <w:t>72</w:t>
      </w:r>
      <w:r w:rsidRPr="003C5BE5">
        <w:t xml:space="preserve">. </w:t>
      </w:r>
      <w:r w:rsidR="00EB5DC3" w:rsidRPr="003C5BE5">
        <w:t>Apply</w:t>
      </w:r>
      <w:r w:rsidRPr="003C5BE5">
        <w:t xml:space="preserve">ing this to the activity level of 19%, the proportion of emergency department </w:t>
      </w:r>
      <w:r w:rsidR="00844011" w:rsidRPr="003C5BE5">
        <w:t xml:space="preserve">spending </w:t>
      </w:r>
      <w:r w:rsidRPr="003C5BE5">
        <w:t>on GP</w:t>
      </w:r>
      <w:r w:rsidR="00E834FC">
        <w:noBreakHyphen/>
      </w:r>
      <w:r w:rsidRPr="003C5BE5">
        <w:t xml:space="preserve">type presentations </w:t>
      </w:r>
      <w:r w:rsidR="006C1C07" w:rsidRPr="003C5BE5">
        <w:t xml:space="preserve">is </w:t>
      </w:r>
      <w:r w:rsidR="002950DE" w:rsidRPr="003C5BE5">
        <w:t>1</w:t>
      </w:r>
      <w:r w:rsidR="00E660B7">
        <w:t>4</w:t>
      </w:r>
      <w:r w:rsidR="006C1C07" w:rsidRPr="003C5BE5">
        <w:t>%</w:t>
      </w:r>
      <w:r w:rsidR="004A30B5" w:rsidRPr="003C5BE5">
        <w:t xml:space="preserve"> for 2021</w:t>
      </w:r>
      <w:r w:rsidR="00CF0889">
        <w:t>–</w:t>
      </w:r>
      <w:r w:rsidR="004A30B5" w:rsidRPr="003C5BE5">
        <w:t>22</w:t>
      </w:r>
      <w:r w:rsidR="00C267D4" w:rsidRPr="003C5BE5">
        <w:t xml:space="preserve"> (</w:t>
      </w:r>
      <w:r w:rsidR="00C2049D">
        <w:t>Table 10</w:t>
      </w:r>
      <w:r w:rsidR="00C267D4" w:rsidRPr="003C5BE5">
        <w:t>).</w:t>
      </w:r>
    </w:p>
    <w:p w14:paraId="785A4A88" w14:textId="08F069FF" w:rsidR="0015119E" w:rsidRPr="00BE4B9E" w:rsidRDefault="00CC06E0" w:rsidP="003717E4">
      <w:pPr>
        <w:pStyle w:val="CGC2025ParaNumbers"/>
      </w:pPr>
      <w:r>
        <w:lastRenderedPageBreak/>
        <w:t>From</w:t>
      </w:r>
      <w:r w:rsidR="007772F2" w:rsidRPr="00BE4B9E">
        <w:t xml:space="preserve"> </w:t>
      </w:r>
      <w:r w:rsidR="00276416">
        <w:t>2018</w:t>
      </w:r>
      <w:r w:rsidR="00E81A5C">
        <w:t>–</w:t>
      </w:r>
      <w:r w:rsidR="00276416">
        <w:t>19 to 2021</w:t>
      </w:r>
      <w:r w:rsidR="00E81A5C">
        <w:t>–</w:t>
      </w:r>
      <w:r w:rsidR="00276416">
        <w:t>22</w:t>
      </w:r>
      <w:r w:rsidR="007772F2" w:rsidRPr="00BE4B9E">
        <w:t xml:space="preserve"> </w:t>
      </w:r>
      <w:r w:rsidR="00AD71F4" w:rsidRPr="00BE4B9E">
        <w:t>t</w:t>
      </w:r>
      <w:r w:rsidR="0095381E" w:rsidRPr="00BE4B9E">
        <w:t>h</w:t>
      </w:r>
      <w:r w:rsidR="00AD71F4" w:rsidRPr="00BE4B9E">
        <w:t>e</w:t>
      </w:r>
      <w:r w:rsidR="0095381E" w:rsidRPr="00BE4B9E">
        <w:t xml:space="preserve"> method produces an average </w:t>
      </w:r>
      <w:r w:rsidR="00417514" w:rsidRPr="00BE4B9E">
        <w:t xml:space="preserve">value </w:t>
      </w:r>
      <w:r w:rsidR="00E92148" w:rsidRPr="00BE4B9E">
        <w:t xml:space="preserve">of </w:t>
      </w:r>
      <w:r w:rsidR="0095381E" w:rsidRPr="00BE4B9E">
        <w:t>13%</w:t>
      </w:r>
      <w:r w:rsidR="00133273" w:rsidRPr="00BE4B9E">
        <w:t>. T</w:t>
      </w:r>
      <w:r w:rsidR="00382639" w:rsidRPr="00BE4B9E">
        <w:t>he</w:t>
      </w:r>
      <w:r w:rsidR="00133273" w:rsidRPr="00BE4B9E" w:rsidDel="006524A4">
        <w:t xml:space="preserve"> </w:t>
      </w:r>
      <w:r w:rsidR="00133273" w:rsidRPr="00BE4B9E">
        <w:t xml:space="preserve">substitutability level </w:t>
      </w:r>
      <w:r w:rsidR="0085681C">
        <w:t xml:space="preserve">is set </w:t>
      </w:r>
      <w:r w:rsidR="00133273" w:rsidRPr="00BE4B9E">
        <w:t xml:space="preserve">at </w:t>
      </w:r>
      <w:r w:rsidR="00D47D63" w:rsidRPr="00BE4B9E">
        <w:t>1</w:t>
      </w:r>
      <w:r w:rsidR="007D164B">
        <w:t>3</w:t>
      </w:r>
      <w:r w:rsidR="00D47D63" w:rsidRPr="00BE4B9E">
        <w:t>%</w:t>
      </w:r>
      <w:r w:rsidR="00AC7EBA" w:rsidRPr="00BE4B9E">
        <w:t xml:space="preserve"> and this </w:t>
      </w:r>
      <w:r w:rsidR="00903793" w:rsidRPr="00BE4B9E">
        <w:t xml:space="preserve">level </w:t>
      </w:r>
      <w:r w:rsidR="004443D2" w:rsidRPr="00BE4B9E">
        <w:t xml:space="preserve">will be maintained </w:t>
      </w:r>
      <w:r w:rsidR="000A7404" w:rsidRPr="00BE4B9E">
        <w:t>for the 2025</w:t>
      </w:r>
      <w:r w:rsidR="00AC7EBA" w:rsidRPr="00BE4B9E">
        <w:t> </w:t>
      </w:r>
      <w:r w:rsidR="000A7404" w:rsidRPr="00BE4B9E">
        <w:t>Review</w:t>
      </w:r>
      <w:r w:rsidR="0015119E" w:rsidRPr="00BE4B9E">
        <w:t>.</w:t>
      </w:r>
    </w:p>
    <w:p w14:paraId="4817BF62" w14:textId="5982B7BB" w:rsidR="009C0DCC" w:rsidRPr="004557D5" w:rsidRDefault="009C0DCC" w:rsidP="0085681C">
      <w:pPr>
        <w:pStyle w:val="CGC2025Caption"/>
        <w:keepNext/>
      </w:pPr>
      <w:bookmarkStart w:id="20" w:name="_Ref172559167"/>
      <w:r w:rsidRPr="004557D5">
        <w:t xml:space="preserve">Table </w:t>
      </w:r>
      <w:bookmarkEnd w:id="20"/>
      <w:r w:rsidR="003149B6">
        <w:t>10</w:t>
      </w:r>
      <w:r w:rsidR="00C355D6" w:rsidRPr="004557D5">
        <w:tab/>
      </w:r>
      <w:r w:rsidR="00AE6D6E">
        <w:t>Emergency departments s</w:t>
      </w:r>
      <w:r w:rsidR="00053205" w:rsidRPr="004557D5">
        <w:t>u</w:t>
      </w:r>
      <w:r w:rsidR="00C355D6" w:rsidRPr="004557D5">
        <w:t>bstitutability level</w:t>
      </w:r>
    </w:p>
    <w:tbl>
      <w:tblPr>
        <w:tblW w:w="8980" w:type="dxa"/>
        <w:tblLook w:val="04A0" w:firstRow="1" w:lastRow="0" w:firstColumn="1" w:lastColumn="0" w:noHBand="0" w:noVBand="1"/>
      </w:tblPr>
      <w:tblGrid>
        <w:gridCol w:w="2900"/>
        <w:gridCol w:w="1600"/>
        <w:gridCol w:w="1120"/>
        <w:gridCol w:w="1120"/>
        <w:gridCol w:w="1120"/>
        <w:gridCol w:w="1120"/>
      </w:tblGrid>
      <w:tr w:rsidR="00940733" w:rsidRPr="00940733" w14:paraId="51C08E35" w14:textId="77777777" w:rsidTr="00940733">
        <w:trPr>
          <w:trHeight w:val="375"/>
        </w:trPr>
        <w:tc>
          <w:tcPr>
            <w:tcW w:w="2900" w:type="dxa"/>
            <w:tcBorders>
              <w:top w:val="nil"/>
              <w:left w:val="nil"/>
              <w:bottom w:val="nil"/>
              <w:right w:val="nil"/>
            </w:tcBorders>
            <w:shd w:val="clear" w:color="000000" w:fill="006991"/>
            <w:vAlign w:val="center"/>
            <w:hideMark/>
          </w:tcPr>
          <w:p w14:paraId="512AB0B8"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0733">
              <w:rPr>
                <w:rFonts w:ascii="Open Sans Semibold" w:eastAsia="Times New Roman" w:hAnsi="Open Sans Semibold" w:cs="Open Sans Semibold"/>
                <w:color w:val="FFFFFF"/>
                <w:sz w:val="16"/>
                <w:szCs w:val="16"/>
                <w:lang w:eastAsia="en-AU"/>
              </w:rPr>
              <w:t> </w:t>
            </w:r>
          </w:p>
        </w:tc>
        <w:tc>
          <w:tcPr>
            <w:tcW w:w="1600" w:type="dxa"/>
            <w:tcBorders>
              <w:top w:val="nil"/>
              <w:left w:val="nil"/>
              <w:bottom w:val="nil"/>
              <w:right w:val="nil"/>
            </w:tcBorders>
            <w:shd w:val="clear" w:color="000000" w:fill="006991"/>
            <w:vAlign w:val="center"/>
            <w:hideMark/>
          </w:tcPr>
          <w:p w14:paraId="6DCA64B3"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0733">
              <w:rPr>
                <w:rFonts w:ascii="Open Sans Semibold" w:eastAsia="Times New Roman" w:hAnsi="Open Sans Semibold" w:cs="Open Sans Semibold"/>
                <w:color w:val="FFFFFF"/>
                <w:sz w:val="16"/>
                <w:szCs w:val="16"/>
                <w:lang w:eastAsia="en-AU"/>
              </w:rPr>
              <w:t> </w:t>
            </w:r>
          </w:p>
        </w:tc>
        <w:tc>
          <w:tcPr>
            <w:tcW w:w="1120" w:type="dxa"/>
            <w:tcBorders>
              <w:top w:val="nil"/>
              <w:left w:val="nil"/>
              <w:bottom w:val="nil"/>
              <w:right w:val="nil"/>
            </w:tcBorders>
            <w:shd w:val="clear" w:color="000000" w:fill="006991"/>
            <w:vAlign w:val="center"/>
            <w:hideMark/>
          </w:tcPr>
          <w:p w14:paraId="08860969"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0733">
              <w:rPr>
                <w:rFonts w:ascii="Open Sans Semibold" w:eastAsia="Times New Roman" w:hAnsi="Open Sans Semibold" w:cs="Open Sans Semibold"/>
                <w:color w:val="FFFFFF"/>
                <w:sz w:val="16"/>
                <w:szCs w:val="16"/>
                <w:lang w:eastAsia="en-AU"/>
              </w:rPr>
              <w:t>2018-19</w:t>
            </w:r>
          </w:p>
        </w:tc>
        <w:tc>
          <w:tcPr>
            <w:tcW w:w="1120" w:type="dxa"/>
            <w:tcBorders>
              <w:top w:val="nil"/>
              <w:left w:val="nil"/>
              <w:bottom w:val="nil"/>
              <w:right w:val="nil"/>
            </w:tcBorders>
            <w:shd w:val="clear" w:color="000000" w:fill="006991"/>
            <w:vAlign w:val="center"/>
            <w:hideMark/>
          </w:tcPr>
          <w:p w14:paraId="1923C7A8"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0733">
              <w:rPr>
                <w:rFonts w:ascii="Open Sans Semibold" w:eastAsia="Times New Roman" w:hAnsi="Open Sans Semibold" w:cs="Open Sans Semibold"/>
                <w:color w:val="FFFFFF"/>
                <w:sz w:val="16"/>
                <w:szCs w:val="16"/>
                <w:lang w:eastAsia="en-AU"/>
              </w:rPr>
              <w:t>2020-21</w:t>
            </w:r>
          </w:p>
        </w:tc>
        <w:tc>
          <w:tcPr>
            <w:tcW w:w="1120" w:type="dxa"/>
            <w:tcBorders>
              <w:top w:val="nil"/>
              <w:left w:val="nil"/>
              <w:bottom w:val="nil"/>
              <w:right w:val="nil"/>
            </w:tcBorders>
            <w:shd w:val="clear" w:color="000000" w:fill="006991"/>
            <w:vAlign w:val="center"/>
            <w:hideMark/>
          </w:tcPr>
          <w:p w14:paraId="0CAF2897"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0733">
              <w:rPr>
                <w:rFonts w:ascii="Open Sans Semibold" w:eastAsia="Times New Roman" w:hAnsi="Open Sans Semibold" w:cs="Open Sans Semibold"/>
                <w:color w:val="FFFFFF"/>
                <w:sz w:val="16"/>
                <w:szCs w:val="16"/>
                <w:lang w:eastAsia="en-AU"/>
              </w:rPr>
              <w:t>2021-22</w:t>
            </w:r>
          </w:p>
        </w:tc>
        <w:tc>
          <w:tcPr>
            <w:tcW w:w="1120" w:type="dxa"/>
            <w:tcBorders>
              <w:top w:val="nil"/>
              <w:left w:val="nil"/>
              <w:bottom w:val="nil"/>
              <w:right w:val="nil"/>
            </w:tcBorders>
            <w:shd w:val="clear" w:color="000000" w:fill="006991"/>
            <w:vAlign w:val="center"/>
            <w:hideMark/>
          </w:tcPr>
          <w:p w14:paraId="36B4D0F1"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0733">
              <w:rPr>
                <w:rFonts w:ascii="Open Sans Semibold" w:eastAsia="Times New Roman" w:hAnsi="Open Sans Semibold" w:cs="Open Sans Semibold"/>
                <w:color w:val="FFFFFF"/>
                <w:sz w:val="16"/>
                <w:szCs w:val="16"/>
                <w:lang w:eastAsia="en-AU"/>
              </w:rPr>
              <w:t>Average</w:t>
            </w:r>
          </w:p>
        </w:tc>
      </w:tr>
      <w:tr w:rsidR="00940733" w:rsidRPr="00940733" w14:paraId="5D159C9C" w14:textId="77777777" w:rsidTr="00940733">
        <w:trPr>
          <w:trHeight w:val="259"/>
        </w:trPr>
        <w:tc>
          <w:tcPr>
            <w:tcW w:w="2900" w:type="dxa"/>
            <w:tcBorders>
              <w:top w:val="single" w:sz="4" w:space="0" w:color="ADD6EA"/>
              <w:left w:val="nil"/>
              <w:bottom w:val="single" w:sz="4" w:space="0" w:color="ADD6EA"/>
              <w:right w:val="nil"/>
            </w:tcBorders>
            <w:shd w:val="clear" w:color="000000" w:fill="B6D5E4"/>
            <w:vAlign w:val="center"/>
            <w:hideMark/>
          </w:tcPr>
          <w:p w14:paraId="631C6D3B"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 </w:t>
            </w:r>
          </w:p>
        </w:tc>
        <w:tc>
          <w:tcPr>
            <w:tcW w:w="1600" w:type="dxa"/>
            <w:tcBorders>
              <w:top w:val="single" w:sz="4" w:space="0" w:color="ADD6EA"/>
              <w:left w:val="nil"/>
              <w:bottom w:val="single" w:sz="4" w:space="0" w:color="ADD6EA"/>
              <w:right w:val="nil"/>
            </w:tcBorders>
            <w:shd w:val="clear" w:color="000000" w:fill="B6D5E4"/>
            <w:vAlign w:val="center"/>
            <w:hideMark/>
          </w:tcPr>
          <w:p w14:paraId="54975270"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 </w:t>
            </w:r>
          </w:p>
        </w:tc>
        <w:tc>
          <w:tcPr>
            <w:tcW w:w="1120" w:type="dxa"/>
            <w:tcBorders>
              <w:top w:val="single" w:sz="4" w:space="0" w:color="ADD6EA"/>
              <w:left w:val="nil"/>
              <w:bottom w:val="single" w:sz="4" w:space="0" w:color="ADD6EA"/>
              <w:right w:val="nil"/>
            </w:tcBorders>
            <w:shd w:val="clear" w:color="000000" w:fill="B6D5E4"/>
            <w:vAlign w:val="center"/>
            <w:hideMark/>
          </w:tcPr>
          <w:p w14:paraId="4C428301"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w:t>
            </w:r>
          </w:p>
        </w:tc>
        <w:tc>
          <w:tcPr>
            <w:tcW w:w="1120" w:type="dxa"/>
            <w:tcBorders>
              <w:top w:val="single" w:sz="4" w:space="0" w:color="ADD6EA"/>
              <w:left w:val="nil"/>
              <w:bottom w:val="single" w:sz="4" w:space="0" w:color="ADD6EA"/>
              <w:right w:val="nil"/>
            </w:tcBorders>
            <w:shd w:val="clear" w:color="000000" w:fill="B6D5E4"/>
            <w:vAlign w:val="center"/>
            <w:hideMark/>
          </w:tcPr>
          <w:p w14:paraId="2EA8A1EB"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w:t>
            </w:r>
          </w:p>
        </w:tc>
        <w:tc>
          <w:tcPr>
            <w:tcW w:w="1120" w:type="dxa"/>
            <w:tcBorders>
              <w:top w:val="single" w:sz="4" w:space="0" w:color="ADD6EA"/>
              <w:left w:val="nil"/>
              <w:bottom w:val="single" w:sz="4" w:space="0" w:color="ADD6EA"/>
              <w:right w:val="nil"/>
            </w:tcBorders>
            <w:shd w:val="clear" w:color="000000" w:fill="B6D5E4"/>
            <w:vAlign w:val="center"/>
            <w:hideMark/>
          </w:tcPr>
          <w:p w14:paraId="16588512"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w:t>
            </w:r>
          </w:p>
        </w:tc>
        <w:tc>
          <w:tcPr>
            <w:tcW w:w="1120" w:type="dxa"/>
            <w:tcBorders>
              <w:top w:val="single" w:sz="4" w:space="0" w:color="ADD6EA"/>
              <w:left w:val="nil"/>
              <w:bottom w:val="single" w:sz="4" w:space="0" w:color="ADD6EA"/>
              <w:right w:val="nil"/>
            </w:tcBorders>
            <w:shd w:val="clear" w:color="000000" w:fill="B6D5E4"/>
            <w:vAlign w:val="center"/>
            <w:hideMark/>
          </w:tcPr>
          <w:p w14:paraId="5CF5CF11" w14:textId="77777777"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w:t>
            </w:r>
          </w:p>
        </w:tc>
      </w:tr>
      <w:tr w:rsidR="00940733" w:rsidRPr="00940733" w14:paraId="123D20ED" w14:textId="77777777" w:rsidTr="00940733">
        <w:trPr>
          <w:trHeight w:val="300"/>
        </w:trPr>
        <w:tc>
          <w:tcPr>
            <w:tcW w:w="4500" w:type="dxa"/>
            <w:gridSpan w:val="2"/>
            <w:tcBorders>
              <w:top w:val="single" w:sz="4" w:space="0" w:color="ADD6EA"/>
              <w:left w:val="nil"/>
              <w:bottom w:val="single" w:sz="4" w:space="0" w:color="ADD6EA"/>
              <w:right w:val="nil"/>
            </w:tcBorders>
            <w:shd w:val="clear" w:color="000000" w:fill="FFFFFF"/>
            <w:noWrap/>
            <w:vAlign w:val="center"/>
            <w:hideMark/>
          </w:tcPr>
          <w:p w14:paraId="2125F9EB" w14:textId="442EF39C" w:rsidR="00940733" w:rsidRPr="00940733" w:rsidRDefault="00940733" w:rsidP="00224E76">
            <w:pPr>
              <w:keepNext/>
              <w:tabs>
                <w:tab w:val="clear" w:pos="567"/>
              </w:tabs>
              <w:spacing w:before="0" w:line="240" w:lineRule="auto"/>
              <w:rPr>
                <w:rFonts w:eastAsia="Times New Roman" w:cs="Open Sans Light"/>
                <w:color w:val="000000"/>
                <w:sz w:val="16"/>
                <w:szCs w:val="16"/>
                <w:lang w:eastAsia="en-AU"/>
              </w:rPr>
            </w:pPr>
            <w:r w:rsidRPr="00940733">
              <w:rPr>
                <w:rFonts w:eastAsia="Times New Roman" w:cs="Open Sans Light"/>
                <w:color w:val="000000"/>
                <w:sz w:val="16"/>
                <w:szCs w:val="16"/>
                <w:lang w:eastAsia="en-AU"/>
              </w:rPr>
              <w:t>Proportion of GP</w:t>
            </w:r>
            <w:r w:rsidR="00AB6874">
              <w:rPr>
                <w:rFonts w:eastAsia="Times New Roman" w:cs="Open Sans Light"/>
                <w:color w:val="000000"/>
                <w:sz w:val="16"/>
                <w:szCs w:val="16"/>
                <w:lang w:eastAsia="en-AU"/>
              </w:rPr>
              <w:t>-</w:t>
            </w:r>
            <w:r w:rsidRPr="00940733">
              <w:rPr>
                <w:rFonts w:eastAsia="Times New Roman" w:cs="Open Sans Light"/>
                <w:color w:val="000000"/>
                <w:sz w:val="16"/>
                <w:szCs w:val="16"/>
                <w:lang w:eastAsia="en-AU"/>
              </w:rPr>
              <w:t>t</w:t>
            </w:r>
            <w:r w:rsidR="00B95376">
              <w:rPr>
                <w:rFonts w:eastAsia="Times New Roman" w:cs="Open Sans Light"/>
                <w:color w:val="000000"/>
                <w:sz w:val="16"/>
                <w:szCs w:val="16"/>
                <w:lang w:eastAsia="en-AU"/>
              </w:rPr>
              <w:t>ype</w:t>
            </w:r>
            <w:r w:rsidRPr="00940733">
              <w:rPr>
                <w:rFonts w:eastAsia="Times New Roman" w:cs="Open Sans Light"/>
                <w:color w:val="000000"/>
                <w:sz w:val="16"/>
                <w:szCs w:val="16"/>
                <w:lang w:eastAsia="en-AU"/>
              </w:rPr>
              <w:t xml:space="preserve"> presentations (activity)</w:t>
            </w:r>
          </w:p>
        </w:tc>
        <w:tc>
          <w:tcPr>
            <w:tcW w:w="1120" w:type="dxa"/>
            <w:tcBorders>
              <w:top w:val="nil"/>
              <w:left w:val="nil"/>
              <w:bottom w:val="single" w:sz="4" w:space="0" w:color="ADD6EA"/>
              <w:right w:val="nil"/>
            </w:tcBorders>
            <w:shd w:val="clear" w:color="000000" w:fill="FFFFFF"/>
            <w:vAlign w:val="center"/>
            <w:hideMark/>
          </w:tcPr>
          <w:p w14:paraId="48F17FC4" w14:textId="7777777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19</w:t>
            </w:r>
          </w:p>
        </w:tc>
        <w:tc>
          <w:tcPr>
            <w:tcW w:w="1120" w:type="dxa"/>
            <w:tcBorders>
              <w:top w:val="nil"/>
              <w:left w:val="nil"/>
              <w:bottom w:val="single" w:sz="4" w:space="0" w:color="ADD6EA"/>
              <w:right w:val="nil"/>
            </w:tcBorders>
            <w:shd w:val="clear" w:color="000000" w:fill="FFFFFF"/>
            <w:vAlign w:val="center"/>
            <w:hideMark/>
          </w:tcPr>
          <w:p w14:paraId="73BF6269" w14:textId="7777777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20</w:t>
            </w:r>
          </w:p>
        </w:tc>
        <w:tc>
          <w:tcPr>
            <w:tcW w:w="1120" w:type="dxa"/>
            <w:tcBorders>
              <w:top w:val="nil"/>
              <w:left w:val="nil"/>
              <w:bottom w:val="single" w:sz="4" w:space="0" w:color="ADD6EA"/>
              <w:right w:val="nil"/>
            </w:tcBorders>
            <w:shd w:val="clear" w:color="000000" w:fill="FFFFFF"/>
            <w:vAlign w:val="center"/>
            <w:hideMark/>
          </w:tcPr>
          <w:p w14:paraId="102F38AE" w14:textId="7777777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19</w:t>
            </w:r>
          </w:p>
        </w:tc>
        <w:tc>
          <w:tcPr>
            <w:tcW w:w="1120" w:type="dxa"/>
            <w:tcBorders>
              <w:top w:val="nil"/>
              <w:left w:val="nil"/>
              <w:bottom w:val="single" w:sz="4" w:space="0" w:color="ADD6EA"/>
              <w:right w:val="nil"/>
            </w:tcBorders>
            <w:shd w:val="clear" w:color="000000" w:fill="FFFFFF"/>
            <w:vAlign w:val="center"/>
            <w:hideMark/>
          </w:tcPr>
          <w:p w14:paraId="7E9E194A" w14:textId="7777777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 </w:t>
            </w:r>
          </w:p>
        </w:tc>
      </w:tr>
      <w:tr w:rsidR="00940733" w:rsidRPr="00940733" w14:paraId="13E5C02F" w14:textId="77777777" w:rsidTr="00940733">
        <w:trPr>
          <w:trHeight w:val="300"/>
        </w:trPr>
        <w:tc>
          <w:tcPr>
            <w:tcW w:w="2900" w:type="dxa"/>
            <w:tcBorders>
              <w:top w:val="nil"/>
              <w:left w:val="nil"/>
              <w:bottom w:val="single" w:sz="4" w:space="0" w:color="ADD6EA"/>
              <w:right w:val="nil"/>
            </w:tcBorders>
            <w:shd w:val="clear" w:color="000000" w:fill="FFFFFF"/>
            <w:vAlign w:val="center"/>
            <w:hideMark/>
          </w:tcPr>
          <w:p w14:paraId="4E24CD15" w14:textId="129E62BD" w:rsidR="00940733" w:rsidRPr="00940733" w:rsidRDefault="00460914" w:rsidP="00224E76">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w:t>
            </w:r>
            <w:r w:rsidR="00940733" w:rsidRPr="00940733">
              <w:rPr>
                <w:rFonts w:eastAsia="Times New Roman" w:cs="Open Sans Light"/>
                <w:color w:val="000000"/>
                <w:sz w:val="16"/>
                <w:szCs w:val="16"/>
                <w:lang w:eastAsia="en-AU"/>
              </w:rPr>
              <w:t>atio of cost to activity</w:t>
            </w:r>
          </w:p>
        </w:tc>
        <w:tc>
          <w:tcPr>
            <w:tcW w:w="1600" w:type="dxa"/>
            <w:tcBorders>
              <w:top w:val="nil"/>
              <w:left w:val="nil"/>
              <w:bottom w:val="single" w:sz="4" w:space="0" w:color="ADD6EA"/>
              <w:right w:val="nil"/>
            </w:tcBorders>
            <w:shd w:val="clear" w:color="000000" w:fill="FFFFFF"/>
            <w:vAlign w:val="center"/>
            <w:hideMark/>
          </w:tcPr>
          <w:p w14:paraId="74DC862D" w14:textId="7777777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 </w:t>
            </w:r>
          </w:p>
        </w:tc>
        <w:tc>
          <w:tcPr>
            <w:tcW w:w="1120" w:type="dxa"/>
            <w:tcBorders>
              <w:top w:val="nil"/>
              <w:left w:val="nil"/>
              <w:bottom w:val="single" w:sz="4" w:space="0" w:color="ADD6EA"/>
              <w:right w:val="nil"/>
            </w:tcBorders>
            <w:shd w:val="clear" w:color="000000" w:fill="FFFFFF"/>
            <w:vAlign w:val="center"/>
            <w:hideMark/>
          </w:tcPr>
          <w:p w14:paraId="4B146D99" w14:textId="7777777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66</w:t>
            </w:r>
          </w:p>
        </w:tc>
        <w:tc>
          <w:tcPr>
            <w:tcW w:w="1120" w:type="dxa"/>
            <w:tcBorders>
              <w:top w:val="nil"/>
              <w:left w:val="nil"/>
              <w:bottom w:val="single" w:sz="4" w:space="0" w:color="ADD6EA"/>
              <w:right w:val="nil"/>
            </w:tcBorders>
            <w:shd w:val="clear" w:color="000000" w:fill="FFFFFF"/>
            <w:vAlign w:val="center"/>
            <w:hideMark/>
          </w:tcPr>
          <w:p w14:paraId="69BD6D28" w14:textId="7777777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67</w:t>
            </w:r>
          </w:p>
        </w:tc>
        <w:tc>
          <w:tcPr>
            <w:tcW w:w="1120" w:type="dxa"/>
            <w:tcBorders>
              <w:top w:val="nil"/>
              <w:left w:val="nil"/>
              <w:bottom w:val="single" w:sz="4" w:space="0" w:color="ADD6EA"/>
              <w:right w:val="nil"/>
            </w:tcBorders>
            <w:shd w:val="clear" w:color="000000" w:fill="FFFFFF"/>
            <w:vAlign w:val="center"/>
            <w:hideMark/>
          </w:tcPr>
          <w:p w14:paraId="23118AEC" w14:textId="7777777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72</w:t>
            </w:r>
          </w:p>
        </w:tc>
        <w:tc>
          <w:tcPr>
            <w:tcW w:w="1120" w:type="dxa"/>
            <w:tcBorders>
              <w:top w:val="nil"/>
              <w:left w:val="nil"/>
              <w:bottom w:val="single" w:sz="4" w:space="0" w:color="ADD6EA"/>
              <w:right w:val="nil"/>
            </w:tcBorders>
            <w:shd w:val="clear" w:color="000000" w:fill="FFFFFF"/>
            <w:vAlign w:val="center"/>
            <w:hideMark/>
          </w:tcPr>
          <w:p w14:paraId="730B4F15" w14:textId="7777777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 </w:t>
            </w:r>
          </w:p>
        </w:tc>
      </w:tr>
      <w:tr w:rsidR="00940733" w:rsidRPr="00940733" w14:paraId="29D57873" w14:textId="77777777" w:rsidTr="00224E76">
        <w:trPr>
          <w:trHeight w:val="300"/>
        </w:trPr>
        <w:tc>
          <w:tcPr>
            <w:tcW w:w="4500" w:type="dxa"/>
            <w:gridSpan w:val="2"/>
            <w:tcBorders>
              <w:top w:val="single" w:sz="4" w:space="0" w:color="ADD6EA"/>
              <w:left w:val="nil"/>
              <w:right w:val="nil"/>
            </w:tcBorders>
            <w:shd w:val="clear" w:color="000000" w:fill="FFFFFF"/>
            <w:noWrap/>
            <w:vAlign w:val="center"/>
            <w:hideMark/>
          </w:tcPr>
          <w:p w14:paraId="700A7FBF" w14:textId="14292623" w:rsidR="00940733" w:rsidRPr="00940733" w:rsidRDefault="00940733" w:rsidP="00224E76">
            <w:pPr>
              <w:keepNext/>
              <w:tabs>
                <w:tab w:val="clear" w:pos="567"/>
              </w:tabs>
              <w:spacing w:before="0" w:line="240" w:lineRule="auto"/>
              <w:rPr>
                <w:rFonts w:eastAsia="Times New Roman" w:cs="Open Sans Light"/>
                <w:color w:val="000000"/>
                <w:sz w:val="16"/>
                <w:szCs w:val="16"/>
                <w:lang w:eastAsia="en-AU"/>
              </w:rPr>
            </w:pPr>
            <w:r w:rsidRPr="00940733">
              <w:rPr>
                <w:rFonts w:eastAsia="Times New Roman" w:cs="Open Sans Light"/>
                <w:color w:val="000000"/>
                <w:sz w:val="16"/>
                <w:szCs w:val="16"/>
                <w:lang w:eastAsia="en-AU"/>
              </w:rPr>
              <w:t>Proportion of GP</w:t>
            </w:r>
            <w:r w:rsidR="00AB6874">
              <w:rPr>
                <w:rFonts w:eastAsia="Times New Roman" w:cs="Open Sans Light"/>
                <w:color w:val="000000"/>
                <w:sz w:val="16"/>
                <w:szCs w:val="16"/>
                <w:lang w:eastAsia="en-AU"/>
              </w:rPr>
              <w:t>-</w:t>
            </w:r>
            <w:r w:rsidRPr="00940733">
              <w:rPr>
                <w:rFonts w:eastAsia="Times New Roman" w:cs="Open Sans Light"/>
                <w:color w:val="000000"/>
                <w:sz w:val="16"/>
                <w:szCs w:val="16"/>
                <w:lang w:eastAsia="en-AU"/>
              </w:rPr>
              <w:t>t</w:t>
            </w:r>
            <w:r w:rsidR="00B95376">
              <w:rPr>
                <w:rFonts w:eastAsia="Times New Roman" w:cs="Open Sans Light"/>
                <w:color w:val="000000"/>
                <w:sz w:val="16"/>
                <w:szCs w:val="16"/>
                <w:lang w:eastAsia="en-AU"/>
              </w:rPr>
              <w:t xml:space="preserve">ype </w:t>
            </w:r>
            <w:r w:rsidRPr="00940733">
              <w:rPr>
                <w:rFonts w:eastAsia="Times New Roman" w:cs="Open Sans Light"/>
                <w:color w:val="000000"/>
                <w:sz w:val="16"/>
                <w:szCs w:val="16"/>
                <w:lang w:eastAsia="en-AU"/>
              </w:rPr>
              <w:t>presentations (cost)</w:t>
            </w:r>
          </w:p>
        </w:tc>
        <w:tc>
          <w:tcPr>
            <w:tcW w:w="1120" w:type="dxa"/>
            <w:tcBorders>
              <w:top w:val="nil"/>
              <w:left w:val="nil"/>
              <w:right w:val="nil"/>
            </w:tcBorders>
            <w:shd w:val="clear" w:color="000000" w:fill="FFFFFF"/>
            <w:vAlign w:val="center"/>
            <w:hideMark/>
          </w:tcPr>
          <w:p w14:paraId="5DD3B6D3" w14:textId="60475806"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1</w:t>
            </w:r>
            <w:r w:rsidR="00733940">
              <w:rPr>
                <w:rFonts w:eastAsia="Times New Roman" w:cs="Open Sans Light"/>
                <w:color w:val="000000"/>
                <w:sz w:val="16"/>
                <w:szCs w:val="16"/>
                <w:lang w:eastAsia="en-AU"/>
              </w:rPr>
              <w:t>3</w:t>
            </w:r>
          </w:p>
        </w:tc>
        <w:tc>
          <w:tcPr>
            <w:tcW w:w="1120" w:type="dxa"/>
            <w:tcBorders>
              <w:top w:val="nil"/>
              <w:left w:val="nil"/>
              <w:right w:val="nil"/>
            </w:tcBorders>
            <w:shd w:val="clear" w:color="000000" w:fill="FFFFFF"/>
            <w:vAlign w:val="center"/>
            <w:hideMark/>
          </w:tcPr>
          <w:p w14:paraId="1E19A0FC" w14:textId="2C08D697"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13</w:t>
            </w:r>
          </w:p>
        </w:tc>
        <w:tc>
          <w:tcPr>
            <w:tcW w:w="1120" w:type="dxa"/>
            <w:tcBorders>
              <w:top w:val="nil"/>
              <w:left w:val="nil"/>
              <w:right w:val="nil"/>
            </w:tcBorders>
            <w:shd w:val="clear" w:color="000000" w:fill="FFFFFF"/>
            <w:vAlign w:val="center"/>
            <w:hideMark/>
          </w:tcPr>
          <w:p w14:paraId="58419F57" w14:textId="6A1D34B9"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r w:rsidRPr="00940733">
              <w:rPr>
                <w:rFonts w:eastAsia="Times New Roman" w:cs="Open Sans Light"/>
                <w:color w:val="000000"/>
                <w:sz w:val="16"/>
                <w:szCs w:val="16"/>
                <w:lang w:eastAsia="en-AU"/>
              </w:rPr>
              <w:t>1</w:t>
            </w:r>
            <w:r w:rsidR="00E553A0">
              <w:rPr>
                <w:rFonts w:eastAsia="Times New Roman" w:cs="Open Sans Light"/>
                <w:color w:val="000000"/>
                <w:sz w:val="16"/>
                <w:szCs w:val="16"/>
                <w:lang w:eastAsia="en-AU"/>
              </w:rPr>
              <w:t>4</w:t>
            </w:r>
          </w:p>
        </w:tc>
        <w:tc>
          <w:tcPr>
            <w:tcW w:w="1120" w:type="dxa"/>
            <w:tcBorders>
              <w:top w:val="nil"/>
              <w:left w:val="nil"/>
              <w:right w:val="nil"/>
            </w:tcBorders>
            <w:shd w:val="clear" w:color="000000" w:fill="FFFFFF"/>
            <w:vAlign w:val="center"/>
            <w:hideMark/>
          </w:tcPr>
          <w:p w14:paraId="688AA47F" w14:textId="1D46EFBE" w:rsidR="00940733" w:rsidRPr="00940733" w:rsidRDefault="00940733" w:rsidP="00224E76">
            <w:pPr>
              <w:keepNext/>
              <w:tabs>
                <w:tab w:val="clear" w:pos="567"/>
              </w:tabs>
              <w:spacing w:before="0" w:line="240" w:lineRule="auto"/>
              <w:jc w:val="right"/>
              <w:rPr>
                <w:rFonts w:eastAsia="Times New Roman" w:cs="Open Sans Light"/>
                <w:color w:val="000000"/>
                <w:sz w:val="16"/>
                <w:szCs w:val="16"/>
                <w:lang w:eastAsia="en-AU"/>
              </w:rPr>
            </w:pPr>
          </w:p>
        </w:tc>
      </w:tr>
      <w:tr w:rsidR="00940733" w:rsidRPr="00940733" w14:paraId="6921FA1D" w14:textId="77777777" w:rsidTr="00224E76">
        <w:trPr>
          <w:trHeight w:val="315"/>
        </w:trPr>
        <w:tc>
          <w:tcPr>
            <w:tcW w:w="2900" w:type="dxa"/>
            <w:tcBorders>
              <w:top w:val="nil"/>
              <w:left w:val="nil"/>
              <w:right w:val="nil"/>
            </w:tcBorders>
            <w:shd w:val="clear" w:color="000000" w:fill="B6D5E4"/>
            <w:noWrap/>
            <w:vAlign w:val="center"/>
            <w:hideMark/>
          </w:tcPr>
          <w:p w14:paraId="7D7AA539" w14:textId="613BED4C" w:rsidR="00940733" w:rsidRPr="00940733" w:rsidRDefault="00807E0D" w:rsidP="00224E76">
            <w:pPr>
              <w:keepNext/>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ED s</w:t>
            </w:r>
            <w:r w:rsidR="00940733" w:rsidRPr="00940733">
              <w:rPr>
                <w:rFonts w:ascii="Open Sans Semibold" w:eastAsia="Times New Roman" w:hAnsi="Open Sans Semibold" w:cs="Open Sans Semibold"/>
                <w:color w:val="000000"/>
                <w:sz w:val="16"/>
                <w:szCs w:val="16"/>
                <w:lang w:eastAsia="en-AU"/>
              </w:rPr>
              <w:t>ubstitutability level</w:t>
            </w:r>
          </w:p>
        </w:tc>
        <w:tc>
          <w:tcPr>
            <w:tcW w:w="1600" w:type="dxa"/>
            <w:tcBorders>
              <w:top w:val="nil"/>
              <w:left w:val="nil"/>
              <w:right w:val="nil"/>
            </w:tcBorders>
            <w:shd w:val="clear" w:color="000000" w:fill="B6D5E4"/>
            <w:noWrap/>
            <w:vAlign w:val="center"/>
            <w:hideMark/>
          </w:tcPr>
          <w:p w14:paraId="6521668E" w14:textId="77777777" w:rsidR="00940733" w:rsidRPr="00940733" w:rsidRDefault="00940733" w:rsidP="00224E76">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 </w:t>
            </w:r>
          </w:p>
        </w:tc>
        <w:tc>
          <w:tcPr>
            <w:tcW w:w="1120" w:type="dxa"/>
            <w:tcBorders>
              <w:top w:val="nil"/>
              <w:left w:val="nil"/>
              <w:right w:val="nil"/>
            </w:tcBorders>
            <w:shd w:val="clear" w:color="000000" w:fill="B6D5E4"/>
            <w:noWrap/>
            <w:vAlign w:val="center"/>
            <w:hideMark/>
          </w:tcPr>
          <w:p w14:paraId="4D683053" w14:textId="77777777" w:rsidR="00940733" w:rsidRPr="00940733" w:rsidRDefault="00940733" w:rsidP="00224E76">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 </w:t>
            </w:r>
          </w:p>
        </w:tc>
        <w:tc>
          <w:tcPr>
            <w:tcW w:w="1120" w:type="dxa"/>
            <w:tcBorders>
              <w:top w:val="nil"/>
              <w:left w:val="nil"/>
              <w:right w:val="nil"/>
            </w:tcBorders>
            <w:shd w:val="clear" w:color="000000" w:fill="B6D5E4"/>
            <w:noWrap/>
            <w:vAlign w:val="center"/>
            <w:hideMark/>
          </w:tcPr>
          <w:p w14:paraId="3112B8B8" w14:textId="77777777" w:rsidR="00940733" w:rsidRPr="00940733" w:rsidRDefault="00940733" w:rsidP="00224E76">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 </w:t>
            </w:r>
          </w:p>
        </w:tc>
        <w:tc>
          <w:tcPr>
            <w:tcW w:w="1120" w:type="dxa"/>
            <w:tcBorders>
              <w:top w:val="nil"/>
              <w:left w:val="nil"/>
              <w:right w:val="nil"/>
            </w:tcBorders>
            <w:shd w:val="clear" w:color="000000" w:fill="B6D5E4"/>
            <w:noWrap/>
            <w:vAlign w:val="center"/>
            <w:hideMark/>
          </w:tcPr>
          <w:p w14:paraId="36453925" w14:textId="77777777" w:rsidR="00940733" w:rsidRPr="00940733" w:rsidRDefault="00940733" w:rsidP="00224E76">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 </w:t>
            </w:r>
          </w:p>
        </w:tc>
        <w:tc>
          <w:tcPr>
            <w:tcW w:w="1120" w:type="dxa"/>
            <w:tcBorders>
              <w:top w:val="nil"/>
              <w:left w:val="nil"/>
              <w:right w:val="nil"/>
            </w:tcBorders>
            <w:shd w:val="clear" w:color="000000" w:fill="B6D5E4"/>
            <w:noWrap/>
            <w:vAlign w:val="center"/>
            <w:hideMark/>
          </w:tcPr>
          <w:p w14:paraId="18AE132A" w14:textId="4B7B6D79" w:rsidR="00940733" w:rsidRPr="00940733" w:rsidRDefault="00940733" w:rsidP="00224E76">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0733">
              <w:rPr>
                <w:rFonts w:ascii="Open Sans Semibold" w:eastAsia="Times New Roman" w:hAnsi="Open Sans Semibold" w:cs="Open Sans Semibold"/>
                <w:color w:val="000000"/>
                <w:sz w:val="16"/>
                <w:szCs w:val="16"/>
                <w:lang w:eastAsia="en-AU"/>
              </w:rPr>
              <w:t>1</w:t>
            </w:r>
            <w:r w:rsidR="00B7712F">
              <w:rPr>
                <w:rFonts w:ascii="Open Sans Semibold" w:eastAsia="Times New Roman" w:hAnsi="Open Sans Semibold" w:cs="Open Sans Semibold"/>
                <w:color w:val="000000"/>
                <w:sz w:val="16"/>
                <w:szCs w:val="16"/>
                <w:lang w:eastAsia="en-AU"/>
              </w:rPr>
              <w:t>3</w:t>
            </w:r>
          </w:p>
        </w:tc>
      </w:tr>
    </w:tbl>
    <w:p w14:paraId="0E800BCA" w14:textId="5DED113E" w:rsidR="00A33136" w:rsidRDefault="00A33136" w:rsidP="003A7C28">
      <w:pPr>
        <w:pStyle w:val="CGC2025TableNote"/>
        <w:ind w:left="709" w:hanging="596"/>
      </w:pPr>
      <w:r>
        <w:t>Note</w:t>
      </w:r>
      <w:r w:rsidR="00D15041">
        <w:t>:</w:t>
      </w:r>
      <w:r w:rsidR="003A7C28">
        <w:tab/>
      </w:r>
      <w:r w:rsidR="003A7C28">
        <w:tab/>
      </w:r>
      <w:r w:rsidR="003A7C28">
        <w:tab/>
      </w:r>
      <w:r w:rsidR="00A625A5">
        <w:t xml:space="preserve">Data </w:t>
      </w:r>
      <w:r w:rsidR="00A625A5" w:rsidRPr="00A625A5">
        <w:t>on low urgency ED presentations from AIHW were not available for 2019</w:t>
      </w:r>
      <w:r w:rsidR="00E81A5C">
        <w:t>–</w:t>
      </w:r>
      <w:r w:rsidR="00A625A5" w:rsidRPr="00A625A5">
        <w:t>20.</w:t>
      </w:r>
    </w:p>
    <w:p w14:paraId="71410163" w14:textId="0AEAECB3" w:rsidR="00A35E30" w:rsidRDefault="00A33136" w:rsidP="00264C18">
      <w:pPr>
        <w:pStyle w:val="CGC2025TableNote"/>
        <w:ind w:left="709" w:hanging="596"/>
      </w:pPr>
      <w:r>
        <w:t>S</w:t>
      </w:r>
      <w:r w:rsidR="006B7522">
        <w:t>ource:</w:t>
      </w:r>
      <w:r w:rsidR="006B7522">
        <w:tab/>
      </w:r>
      <w:r w:rsidR="003A7C28">
        <w:tab/>
      </w:r>
      <w:r w:rsidR="006B7522">
        <w:t xml:space="preserve">Commission calculation </w:t>
      </w:r>
      <w:r w:rsidR="00563671">
        <w:t xml:space="preserve">using </w:t>
      </w:r>
      <w:r w:rsidR="006B7522">
        <w:t>AIHW data</w:t>
      </w:r>
      <w:r w:rsidR="00E553ED">
        <w:t xml:space="preserve"> and IHACPA unpublished data on the proportion of ED triage 4 and 5 NWAU (presentations) to total NWAU (presentations).</w:t>
      </w:r>
    </w:p>
    <w:p w14:paraId="08DCCB6C" w14:textId="35B9760B" w:rsidR="00020DA2" w:rsidRPr="00B8194C" w:rsidRDefault="00020DA2" w:rsidP="00B8194C">
      <w:pPr>
        <w:pStyle w:val="Heading6"/>
      </w:pPr>
      <w:r w:rsidRPr="00B8194C">
        <w:t>Non-admitted patients</w:t>
      </w:r>
    </w:p>
    <w:p w14:paraId="5BA42CB0" w14:textId="050436FF" w:rsidR="007C0959" w:rsidRPr="00BE4B9E" w:rsidRDefault="00B725E1">
      <w:pPr>
        <w:pStyle w:val="CGC2025ParaNumbers"/>
        <w:rPr>
          <w:szCs w:val="20"/>
          <w:shd w:val="clear" w:color="auto" w:fill="FFFFFF"/>
        </w:rPr>
      </w:pPr>
      <w:r w:rsidRPr="00BE4B9E">
        <w:rPr>
          <w:shd w:val="clear" w:color="auto" w:fill="FFFFFF"/>
        </w:rPr>
        <w:t>State</w:t>
      </w:r>
      <w:r w:rsidR="00A819F5" w:rsidRPr="00BE4B9E">
        <w:rPr>
          <w:shd w:val="clear" w:color="auto" w:fill="FFFFFF"/>
        </w:rPr>
        <w:t xml:space="preserve"> </w:t>
      </w:r>
      <w:r w:rsidRPr="00BE4B9E">
        <w:rPr>
          <w:shd w:val="clear" w:color="auto" w:fill="FFFFFF"/>
        </w:rPr>
        <w:t>provided non-admitted patient services include a wide range of pre-hospital, post-hospital and clinical treatments. The majority of these services are also provided by the non-</w:t>
      </w:r>
      <w:r w:rsidR="00D2693A" w:rsidRPr="00BE4B9E">
        <w:rPr>
          <w:shd w:val="clear" w:color="auto" w:fill="FFFFFF"/>
        </w:rPr>
        <w:t>s</w:t>
      </w:r>
      <w:r w:rsidRPr="00BE4B9E">
        <w:rPr>
          <w:shd w:val="clear" w:color="auto" w:fill="FFFFFF"/>
        </w:rPr>
        <w:t>tate sector</w:t>
      </w:r>
      <w:r w:rsidR="001D063B" w:rsidRPr="00BE4B9E">
        <w:rPr>
          <w:shd w:val="clear" w:color="auto" w:fill="FFFFFF"/>
        </w:rPr>
        <w:t>,</w:t>
      </w:r>
      <w:r w:rsidR="0058616D" w:rsidRPr="00BE4B9E">
        <w:rPr>
          <w:shd w:val="clear" w:color="auto" w:fill="FFFFFF"/>
        </w:rPr>
        <w:t xml:space="preserve"> so </w:t>
      </w:r>
      <w:r w:rsidRPr="00BE4B9E">
        <w:rPr>
          <w:shd w:val="clear" w:color="auto" w:fill="FFFFFF"/>
        </w:rPr>
        <w:t>potential substitutability is high</w:t>
      </w:r>
      <w:r w:rsidR="0058616D" w:rsidRPr="00BE4B9E">
        <w:rPr>
          <w:shd w:val="clear" w:color="auto" w:fill="FFFFFF"/>
        </w:rPr>
        <w:t>.</w:t>
      </w:r>
      <w:r w:rsidR="00B5147F" w:rsidRPr="00BE4B9E">
        <w:rPr>
          <w:shd w:val="clear" w:color="auto" w:fill="FFFFFF"/>
        </w:rPr>
        <w:t xml:space="preserve"> However</w:t>
      </w:r>
      <w:r w:rsidR="00D36D8B" w:rsidRPr="00BE4B9E">
        <w:rPr>
          <w:shd w:val="clear" w:color="auto" w:fill="FFFFFF"/>
        </w:rPr>
        <w:t>,</w:t>
      </w:r>
      <w:r w:rsidR="00B5147F" w:rsidRPr="00BE4B9E">
        <w:rPr>
          <w:shd w:val="clear" w:color="auto" w:fill="FFFFFF"/>
        </w:rPr>
        <w:t xml:space="preserve"> </w:t>
      </w:r>
      <w:r w:rsidRPr="00BE4B9E">
        <w:rPr>
          <w:shd w:val="clear" w:color="auto" w:fill="FFFFFF"/>
        </w:rPr>
        <w:t xml:space="preserve">actual </w:t>
      </w:r>
      <w:r w:rsidR="00D36D8B" w:rsidRPr="00BE4B9E">
        <w:rPr>
          <w:shd w:val="clear" w:color="auto" w:fill="FFFFFF"/>
        </w:rPr>
        <w:t xml:space="preserve">substitutability </w:t>
      </w:r>
      <w:r w:rsidRPr="00BE4B9E">
        <w:rPr>
          <w:shd w:val="clear" w:color="auto" w:fill="FFFFFF"/>
        </w:rPr>
        <w:t xml:space="preserve">is lower </w:t>
      </w:r>
      <w:r w:rsidR="0034781E" w:rsidRPr="00BE4B9E">
        <w:rPr>
          <w:shd w:val="clear" w:color="auto" w:fill="FFFFFF"/>
        </w:rPr>
        <w:t>because</w:t>
      </w:r>
      <w:r w:rsidR="008B1D84" w:rsidRPr="00BE4B9E">
        <w:rPr>
          <w:szCs w:val="20"/>
          <w:shd w:val="clear" w:color="auto" w:fill="FFFFFF"/>
        </w:rPr>
        <w:t xml:space="preserve"> </w:t>
      </w:r>
      <w:r w:rsidR="004360C5" w:rsidRPr="00BE4B9E">
        <w:rPr>
          <w:szCs w:val="20"/>
          <w:shd w:val="clear" w:color="auto" w:fill="FFFFFF"/>
        </w:rPr>
        <w:t xml:space="preserve">the demand for </w:t>
      </w:r>
      <w:r w:rsidR="00A511A3" w:rsidRPr="00BE4B9E">
        <w:rPr>
          <w:szCs w:val="20"/>
          <w:shd w:val="clear" w:color="auto" w:fill="FFFFFF"/>
        </w:rPr>
        <w:t>many s</w:t>
      </w:r>
      <w:r w:rsidR="008B1D84" w:rsidRPr="00BE4B9E">
        <w:rPr>
          <w:szCs w:val="20"/>
          <w:shd w:val="clear" w:color="auto" w:fill="FFFFFF"/>
        </w:rPr>
        <w:t>tate</w:t>
      </w:r>
      <w:r w:rsidR="00A74F2B" w:rsidRPr="00BE4B9E">
        <w:rPr>
          <w:szCs w:val="20"/>
          <w:shd w:val="clear" w:color="auto" w:fill="FFFFFF"/>
        </w:rPr>
        <w:noBreakHyphen/>
      </w:r>
      <w:r w:rsidR="008B1D84" w:rsidRPr="00BE4B9E">
        <w:rPr>
          <w:szCs w:val="20"/>
          <w:shd w:val="clear" w:color="auto" w:fill="FFFFFF"/>
        </w:rPr>
        <w:t xml:space="preserve">provided </w:t>
      </w:r>
      <w:r w:rsidR="00075B39" w:rsidRPr="00BE4B9E">
        <w:rPr>
          <w:szCs w:val="20"/>
          <w:shd w:val="clear" w:color="auto" w:fill="FFFFFF"/>
        </w:rPr>
        <w:t>non</w:t>
      </w:r>
      <w:r w:rsidR="00075B39" w:rsidRPr="00BE4B9E">
        <w:rPr>
          <w:szCs w:val="20"/>
          <w:shd w:val="clear" w:color="auto" w:fill="FFFFFF"/>
        </w:rPr>
        <w:noBreakHyphen/>
        <w:t xml:space="preserve">admitted patient </w:t>
      </w:r>
      <w:r w:rsidR="008B1D84" w:rsidRPr="00BE4B9E">
        <w:rPr>
          <w:szCs w:val="20"/>
          <w:shd w:val="clear" w:color="auto" w:fill="FFFFFF"/>
        </w:rPr>
        <w:t xml:space="preserve">services </w:t>
      </w:r>
      <w:r w:rsidR="0064057A" w:rsidRPr="00BE4B9E">
        <w:rPr>
          <w:szCs w:val="20"/>
          <w:shd w:val="clear" w:color="auto" w:fill="FFFFFF"/>
        </w:rPr>
        <w:t xml:space="preserve">that </w:t>
      </w:r>
      <w:r w:rsidR="008B1D84" w:rsidRPr="00BE4B9E">
        <w:rPr>
          <w:szCs w:val="20"/>
          <w:shd w:val="clear" w:color="auto" w:fill="FFFFFF"/>
        </w:rPr>
        <w:t xml:space="preserve">are directly linked to </w:t>
      </w:r>
      <w:r w:rsidR="005A21E9" w:rsidRPr="00BE4B9E">
        <w:rPr>
          <w:szCs w:val="20"/>
          <w:shd w:val="clear" w:color="auto" w:fill="FFFFFF"/>
        </w:rPr>
        <w:t xml:space="preserve">a previous </w:t>
      </w:r>
      <w:r w:rsidR="001D063B" w:rsidRPr="00BE4B9E">
        <w:rPr>
          <w:szCs w:val="20"/>
          <w:shd w:val="clear" w:color="auto" w:fill="FFFFFF"/>
        </w:rPr>
        <w:t xml:space="preserve">public </w:t>
      </w:r>
      <w:r w:rsidR="005A21E9" w:rsidRPr="00BE4B9E">
        <w:rPr>
          <w:szCs w:val="20"/>
          <w:shd w:val="clear" w:color="auto" w:fill="FFFFFF"/>
        </w:rPr>
        <w:t>hospital admission</w:t>
      </w:r>
      <w:r w:rsidR="00E57616" w:rsidRPr="00BE4B9E">
        <w:rPr>
          <w:szCs w:val="20"/>
          <w:shd w:val="clear" w:color="auto" w:fill="FFFFFF"/>
        </w:rPr>
        <w:t xml:space="preserve"> would be less likely to be affected by </w:t>
      </w:r>
      <w:r w:rsidR="00022E66" w:rsidRPr="00BE4B9E">
        <w:rPr>
          <w:szCs w:val="20"/>
          <w:shd w:val="clear" w:color="auto" w:fill="FFFFFF"/>
        </w:rPr>
        <w:t xml:space="preserve">the availability of </w:t>
      </w:r>
      <w:r w:rsidR="00E57616" w:rsidRPr="00BE4B9E">
        <w:rPr>
          <w:szCs w:val="20"/>
          <w:shd w:val="clear" w:color="auto" w:fill="FFFFFF"/>
        </w:rPr>
        <w:t>similar services provided by the non-state sector</w:t>
      </w:r>
      <w:r w:rsidR="00E519F6">
        <w:rPr>
          <w:szCs w:val="20"/>
          <w:shd w:val="clear" w:color="auto" w:fill="FFFFFF"/>
        </w:rPr>
        <w:t xml:space="preserve"> – that is, </w:t>
      </w:r>
      <w:r w:rsidR="00060771" w:rsidRPr="00BE4B9E">
        <w:rPr>
          <w:szCs w:val="20"/>
          <w:shd w:val="clear" w:color="auto" w:fill="FFFFFF"/>
        </w:rPr>
        <w:t>p</w:t>
      </w:r>
      <w:r w:rsidR="003A3BBD" w:rsidRPr="00BE4B9E">
        <w:rPr>
          <w:szCs w:val="20"/>
          <w:shd w:val="clear" w:color="auto" w:fill="FFFFFF"/>
        </w:rPr>
        <w:t>atients are likely to</w:t>
      </w:r>
      <w:r w:rsidR="00F40328" w:rsidRPr="00BE4B9E">
        <w:rPr>
          <w:szCs w:val="20"/>
          <w:shd w:val="clear" w:color="auto" w:fill="FFFFFF"/>
        </w:rPr>
        <w:t xml:space="preserve"> use the </w:t>
      </w:r>
      <w:r w:rsidR="001D374B" w:rsidRPr="00BE4B9E">
        <w:rPr>
          <w:szCs w:val="20"/>
          <w:shd w:val="clear" w:color="auto" w:fill="FFFFFF"/>
        </w:rPr>
        <w:t xml:space="preserve">public </w:t>
      </w:r>
      <w:r w:rsidR="002D4E01" w:rsidRPr="00BE4B9E">
        <w:rPr>
          <w:szCs w:val="20"/>
          <w:shd w:val="clear" w:color="auto" w:fill="FFFFFF"/>
        </w:rPr>
        <w:t>non</w:t>
      </w:r>
      <w:r w:rsidR="00BE4B9E" w:rsidRPr="00BE4B9E">
        <w:rPr>
          <w:szCs w:val="20"/>
          <w:shd w:val="clear" w:color="auto" w:fill="FFFFFF"/>
        </w:rPr>
        <w:noBreakHyphen/>
      </w:r>
      <w:r w:rsidR="002D4E01" w:rsidRPr="00BE4B9E">
        <w:rPr>
          <w:szCs w:val="20"/>
          <w:shd w:val="clear" w:color="auto" w:fill="FFFFFF"/>
        </w:rPr>
        <w:t xml:space="preserve">admitted patient </w:t>
      </w:r>
      <w:r w:rsidR="001D374B" w:rsidRPr="00BE4B9E">
        <w:rPr>
          <w:szCs w:val="20"/>
          <w:shd w:val="clear" w:color="auto" w:fill="FFFFFF"/>
        </w:rPr>
        <w:t>service</w:t>
      </w:r>
      <w:r w:rsidR="00F761E6" w:rsidRPr="00BE4B9E">
        <w:rPr>
          <w:szCs w:val="20"/>
          <w:shd w:val="clear" w:color="auto" w:fill="FFFFFF"/>
        </w:rPr>
        <w:t xml:space="preserve"> if they</w:t>
      </w:r>
      <w:r w:rsidR="00BE4B9E" w:rsidRPr="00BE4B9E">
        <w:rPr>
          <w:szCs w:val="20"/>
          <w:shd w:val="clear" w:color="auto" w:fill="FFFFFF"/>
        </w:rPr>
        <w:t xml:space="preserve"> have</w:t>
      </w:r>
      <w:r w:rsidR="00F761E6" w:rsidRPr="00BE4B9E">
        <w:rPr>
          <w:szCs w:val="20"/>
          <w:shd w:val="clear" w:color="auto" w:fill="FFFFFF"/>
        </w:rPr>
        <w:t xml:space="preserve"> already received a related </w:t>
      </w:r>
      <w:r w:rsidR="003D7FD5" w:rsidRPr="00BE4B9E">
        <w:rPr>
          <w:szCs w:val="20"/>
          <w:shd w:val="clear" w:color="auto" w:fill="FFFFFF"/>
        </w:rPr>
        <w:t xml:space="preserve">admitted patient </w:t>
      </w:r>
      <w:r w:rsidR="00B65CD0" w:rsidRPr="00BE4B9E">
        <w:rPr>
          <w:szCs w:val="20"/>
          <w:shd w:val="clear" w:color="auto" w:fill="FFFFFF"/>
        </w:rPr>
        <w:t>service in a public hospital.</w:t>
      </w:r>
    </w:p>
    <w:p w14:paraId="6D4706F9" w14:textId="0DBE8E56" w:rsidR="00336757" w:rsidRPr="00477776" w:rsidRDefault="0046504D" w:rsidP="00336757">
      <w:pPr>
        <w:pStyle w:val="CGC2025ParaNumbers"/>
        <w:rPr>
          <w:color w:val="000000"/>
          <w:szCs w:val="20"/>
          <w:shd w:val="clear" w:color="auto" w:fill="FFFFFF"/>
        </w:rPr>
      </w:pPr>
      <w:bookmarkStart w:id="21" w:name="_Hlk177646778"/>
      <w:r w:rsidRPr="00477776">
        <w:rPr>
          <w:szCs w:val="20"/>
        </w:rPr>
        <w:t xml:space="preserve">The </w:t>
      </w:r>
      <w:r w:rsidR="006C3825" w:rsidRPr="00477776">
        <w:rPr>
          <w:szCs w:val="20"/>
        </w:rPr>
        <w:t xml:space="preserve">non-admitted </w:t>
      </w:r>
      <w:r w:rsidR="00E87E3D" w:rsidRPr="00477776">
        <w:rPr>
          <w:szCs w:val="20"/>
        </w:rPr>
        <w:t>patient</w:t>
      </w:r>
      <w:r w:rsidR="006C3825" w:rsidRPr="00477776">
        <w:rPr>
          <w:szCs w:val="20"/>
        </w:rPr>
        <w:t xml:space="preserve"> substitut</w:t>
      </w:r>
      <w:r w:rsidR="00277EDE" w:rsidRPr="00477776">
        <w:rPr>
          <w:szCs w:val="20"/>
        </w:rPr>
        <w:t xml:space="preserve">ability </w:t>
      </w:r>
      <w:r w:rsidR="006C3825" w:rsidRPr="00477776">
        <w:rPr>
          <w:szCs w:val="20"/>
        </w:rPr>
        <w:t xml:space="preserve">level is determined using </w:t>
      </w:r>
      <w:r w:rsidR="00BD2C56" w:rsidRPr="00477776">
        <w:rPr>
          <w:szCs w:val="20"/>
        </w:rPr>
        <w:t xml:space="preserve">the average result from </w:t>
      </w:r>
      <w:r w:rsidR="00413CEA">
        <w:rPr>
          <w:szCs w:val="20"/>
        </w:rPr>
        <w:t>2</w:t>
      </w:r>
      <w:r w:rsidR="00413CEA" w:rsidRPr="00477776">
        <w:rPr>
          <w:szCs w:val="20"/>
        </w:rPr>
        <w:t xml:space="preserve"> </w:t>
      </w:r>
      <w:r w:rsidR="006C3825" w:rsidRPr="00477776">
        <w:rPr>
          <w:szCs w:val="20"/>
        </w:rPr>
        <w:t>methods</w:t>
      </w:r>
      <w:r w:rsidR="00704167" w:rsidRPr="00477776">
        <w:rPr>
          <w:szCs w:val="20"/>
        </w:rPr>
        <w:t>.</w:t>
      </w:r>
    </w:p>
    <w:bookmarkEnd w:id="21"/>
    <w:p w14:paraId="657A16AB" w14:textId="7DCE6401" w:rsidR="00336757" w:rsidRPr="00B8194C" w:rsidRDefault="00336757" w:rsidP="00A30AFD">
      <w:pPr>
        <w:pStyle w:val="Heading65"/>
      </w:pPr>
      <w:r w:rsidRPr="00B8194C">
        <w:t>Method 1: comparable state services</w:t>
      </w:r>
    </w:p>
    <w:p w14:paraId="5A0EB2F2" w14:textId="62672779" w:rsidR="00EC4E03" w:rsidRPr="00F2684D" w:rsidRDefault="00274592" w:rsidP="007611CE">
      <w:pPr>
        <w:pStyle w:val="CGC2025ParaNumbers"/>
        <w:rPr>
          <w:color w:val="000000"/>
          <w:szCs w:val="20"/>
          <w:shd w:val="clear" w:color="auto" w:fill="FFFFFF"/>
        </w:rPr>
      </w:pPr>
      <w:r w:rsidRPr="007611CE">
        <w:rPr>
          <w:color w:val="000000"/>
          <w:shd w:val="clear" w:color="auto" w:fill="FFFFFF"/>
        </w:rPr>
        <w:t>Th</w:t>
      </w:r>
      <w:r w:rsidR="007A62AC">
        <w:rPr>
          <w:color w:val="000000"/>
          <w:shd w:val="clear" w:color="auto" w:fill="FFFFFF"/>
        </w:rPr>
        <w:t>e first</w:t>
      </w:r>
      <w:r w:rsidRPr="007611CE">
        <w:rPr>
          <w:color w:val="000000"/>
          <w:shd w:val="clear" w:color="auto" w:fill="FFFFFF"/>
        </w:rPr>
        <w:t xml:space="preserve"> method</w:t>
      </w:r>
      <w:r w:rsidR="001A0F2D">
        <w:rPr>
          <w:color w:val="000000"/>
          <w:shd w:val="clear" w:color="auto" w:fill="FFFFFF"/>
        </w:rPr>
        <w:t xml:space="preserve"> </w:t>
      </w:r>
      <w:r w:rsidR="006514F6" w:rsidRPr="007611CE">
        <w:rPr>
          <w:color w:val="000000"/>
          <w:shd w:val="clear" w:color="auto" w:fill="FFFFFF"/>
        </w:rPr>
        <w:t xml:space="preserve">estimates ‘comparable’ services based on </w:t>
      </w:r>
      <w:r w:rsidR="00E51C97">
        <w:rPr>
          <w:color w:val="000000"/>
          <w:shd w:val="clear" w:color="auto" w:fill="FFFFFF"/>
        </w:rPr>
        <w:t>similar</w:t>
      </w:r>
      <w:r w:rsidR="006514F6" w:rsidRPr="007611CE">
        <w:rPr>
          <w:color w:val="000000"/>
          <w:shd w:val="clear" w:color="auto" w:fill="FFFFFF"/>
        </w:rPr>
        <w:t xml:space="preserve"> services undertaken in public hospitals and the non</w:t>
      </w:r>
      <w:r w:rsidR="006514F6" w:rsidRPr="007611CE">
        <w:rPr>
          <w:color w:val="000000"/>
          <w:shd w:val="clear" w:color="auto" w:fill="FFFFFF"/>
        </w:rPr>
        <w:noBreakHyphen/>
        <w:t>state sector</w:t>
      </w:r>
      <w:r w:rsidR="00DD77EB">
        <w:rPr>
          <w:color w:val="000000"/>
          <w:shd w:val="clear" w:color="auto" w:fill="FFFFFF"/>
        </w:rPr>
        <w:t xml:space="preserve">. It </w:t>
      </w:r>
      <w:r w:rsidR="001A0F2D">
        <w:rPr>
          <w:color w:val="000000"/>
          <w:shd w:val="clear" w:color="auto" w:fill="FFFFFF"/>
        </w:rPr>
        <w:t>involves</w:t>
      </w:r>
      <w:r w:rsidR="00AE0AB4">
        <w:rPr>
          <w:color w:val="000000"/>
          <w:shd w:val="clear" w:color="auto" w:fill="FFFFFF"/>
        </w:rPr>
        <w:t xml:space="preserve"> </w:t>
      </w:r>
      <w:r w:rsidR="00195BCE">
        <w:rPr>
          <w:color w:val="000000"/>
          <w:shd w:val="clear" w:color="auto" w:fill="FFFFFF"/>
        </w:rPr>
        <w:t>the following steps</w:t>
      </w:r>
      <w:r w:rsidR="00031CCB">
        <w:rPr>
          <w:color w:val="000000"/>
          <w:shd w:val="clear" w:color="auto" w:fill="FFFFFF"/>
        </w:rPr>
        <w:t>.</w:t>
      </w:r>
    </w:p>
    <w:p w14:paraId="09B1E1DE" w14:textId="73517AB2" w:rsidR="00EC1DE6" w:rsidRDefault="001624E2" w:rsidP="00F2684D">
      <w:pPr>
        <w:pStyle w:val="CGC2025ParaNumbers"/>
        <w:numPr>
          <w:ilvl w:val="0"/>
          <w:numId w:val="0"/>
        </w:numPr>
        <w:ind w:left="567"/>
        <w:rPr>
          <w:color w:val="000000"/>
          <w:shd w:val="clear" w:color="auto" w:fill="FFFFFF"/>
        </w:rPr>
      </w:pPr>
      <w:r w:rsidRPr="00F5668C">
        <w:rPr>
          <w:b/>
          <w:bCs/>
          <w:color w:val="000000"/>
          <w:shd w:val="clear" w:color="auto" w:fill="FFFFFF"/>
        </w:rPr>
        <w:t>S</w:t>
      </w:r>
      <w:r w:rsidR="00F2684D" w:rsidRPr="00F5668C">
        <w:rPr>
          <w:b/>
          <w:bCs/>
          <w:color w:val="000000"/>
          <w:shd w:val="clear" w:color="auto" w:fill="FFFFFF"/>
        </w:rPr>
        <w:t>tep 1</w:t>
      </w:r>
      <w:r w:rsidR="00194192">
        <w:rPr>
          <w:color w:val="000000"/>
          <w:shd w:val="clear" w:color="auto" w:fill="FFFFFF"/>
        </w:rPr>
        <w:t xml:space="preserve">. </w:t>
      </w:r>
      <w:r w:rsidR="00031CCB">
        <w:rPr>
          <w:color w:val="000000"/>
          <w:shd w:val="clear" w:color="auto" w:fill="FFFFFF"/>
        </w:rPr>
        <w:t>I</w:t>
      </w:r>
      <w:r w:rsidR="00194192">
        <w:rPr>
          <w:color w:val="000000"/>
          <w:shd w:val="clear" w:color="auto" w:fill="FFFFFF"/>
        </w:rPr>
        <w:t>dentify and assess the level of substitutability for each group of servic</w:t>
      </w:r>
      <w:r w:rsidR="00EC1DE6">
        <w:rPr>
          <w:color w:val="000000"/>
          <w:shd w:val="clear" w:color="auto" w:fill="FFFFFF"/>
        </w:rPr>
        <w:t>e</w:t>
      </w:r>
      <w:r w:rsidR="00194192">
        <w:rPr>
          <w:color w:val="000000"/>
          <w:shd w:val="clear" w:color="auto" w:fill="FFFFFF"/>
        </w:rPr>
        <w:t>s</w:t>
      </w:r>
      <w:r w:rsidR="00EC1DE6">
        <w:rPr>
          <w:color w:val="000000"/>
          <w:shd w:val="clear" w:color="auto" w:fill="FFFFFF"/>
        </w:rPr>
        <w:t xml:space="preserve"> considering the range of services provided by the state and non-state sectors</w:t>
      </w:r>
      <w:r w:rsidR="00031CCB">
        <w:rPr>
          <w:color w:val="000000"/>
          <w:shd w:val="clear" w:color="auto" w:fill="FFFFFF"/>
        </w:rPr>
        <w:t>.</w:t>
      </w:r>
      <w:r w:rsidR="00EC02DD">
        <w:rPr>
          <w:color w:val="000000"/>
          <w:shd w:val="clear" w:color="auto" w:fill="FFFFFF"/>
        </w:rPr>
        <w:t xml:space="preserve"> </w:t>
      </w:r>
      <w:r w:rsidR="001F3D43">
        <w:rPr>
          <w:color w:val="000000"/>
          <w:shd w:val="clear" w:color="auto" w:fill="FFFFFF"/>
        </w:rPr>
        <w:t>The level of substitutability varies</w:t>
      </w:r>
      <w:r w:rsidR="00E561E2">
        <w:rPr>
          <w:color w:val="000000"/>
          <w:shd w:val="clear" w:color="auto" w:fill="FFFFFF"/>
        </w:rPr>
        <w:t xml:space="preserve"> for </w:t>
      </w:r>
      <w:r w:rsidR="00DA22B6">
        <w:rPr>
          <w:color w:val="000000"/>
          <w:shd w:val="clear" w:color="auto" w:fill="FFFFFF"/>
        </w:rPr>
        <w:t>each group of services.</w:t>
      </w:r>
    </w:p>
    <w:p w14:paraId="1322C4FB" w14:textId="6AC6CAF2" w:rsidR="007557B5" w:rsidRPr="001624E2" w:rsidRDefault="007557B5" w:rsidP="001624E2">
      <w:pPr>
        <w:pStyle w:val="CGC2025Bullet1"/>
      </w:pPr>
      <w:r w:rsidRPr="001624E2">
        <w:t>Procedure clinics, where surgeons or other medical specialists are the main service providers. Some private surgeons and medical specialists offer bulk billed services, so there is a non-state sector alternative. The relevant Medical Benefits Scheme services are operations and assistance at operations. The bulk billing rate for these services out of hospital is 64% and the average out-of-pocket cost is about $101 per service.</w:t>
      </w:r>
    </w:p>
    <w:p w14:paraId="37EB9FC9" w14:textId="1B6AFCE4" w:rsidR="007557B5" w:rsidRPr="001624E2" w:rsidRDefault="007557B5" w:rsidP="001624E2">
      <w:pPr>
        <w:pStyle w:val="CGC2025Bullet1"/>
      </w:pPr>
      <w:r w:rsidRPr="001624E2">
        <w:t xml:space="preserve">Medical consultation clinics, where general physicians or medical specialists are the main service providers. Some private specialists offer bulk billed services, so there is a potential non-state sector alternative. The relevant Medical Benefits Scheme (MBS) services are specialist attendances. The bulk billing rate for these services out of hospital is 43% and the average out-of-pocket cost is about $97 per service. </w:t>
      </w:r>
    </w:p>
    <w:p w14:paraId="655DAA40" w14:textId="7A85FCD2" w:rsidR="007557B5" w:rsidRPr="001624E2" w:rsidRDefault="007557B5" w:rsidP="001624E2">
      <w:pPr>
        <w:pStyle w:val="CGC2025Bullet1"/>
      </w:pPr>
      <w:r w:rsidRPr="001624E2">
        <w:lastRenderedPageBreak/>
        <w:t xml:space="preserve">Diagnostic clinics, which states advise are generally bundled with the requesting specialist. In the calculation that follows, diagnostic services are bundled with medical consultation clinics. </w:t>
      </w:r>
    </w:p>
    <w:p w14:paraId="65A053E2" w14:textId="2309FA19" w:rsidR="0084286A" w:rsidRPr="001624E2" w:rsidRDefault="007557B5" w:rsidP="001624E2">
      <w:pPr>
        <w:pStyle w:val="CGC2025Bullet1"/>
      </w:pPr>
      <w:r w:rsidRPr="001624E2">
        <w:t xml:space="preserve">Allied health clinics, where allied health professionals or clinical nurse specialists are the main service providers. Although all state-provided allied health services are also available in the private sector, most are linked to an earlier </w:t>
      </w:r>
      <w:r w:rsidR="00E947A3">
        <w:t xml:space="preserve">admitted patient </w:t>
      </w:r>
      <w:r w:rsidRPr="001624E2">
        <w:t>episode. In addition, only a very limited number of patients who meet specific eligibility requirements (for example, those with a chronic medical condition or with an assessed mental disorder) are eligible for Medicare allied health items. State provided allied health services are generally not substitutable.</w:t>
      </w:r>
    </w:p>
    <w:p w14:paraId="3786675F" w14:textId="2A622992" w:rsidR="00E229E7" w:rsidRDefault="00543BFE" w:rsidP="00F2684D">
      <w:pPr>
        <w:pStyle w:val="CGC2025ParaNumbers"/>
        <w:numPr>
          <w:ilvl w:val="0"/>
          <w:numId w:val="0"/>
        </w:numPr>
        <w:ind w:left="567"/>
        <w:rPr>
          <w:color w:val="000000"/>
          <w:shd w:val="clear" w:color="auto" w:fill="FFFFFF"/>
        </w:rPr>
      </w:pPr>
      <w:r w:rsidRPr="00F5668C">
        <w:rPr>
          <w:b/>
          <w:bCs/>
          <w:color w:val="000000"/>
          <w:shd w:val="clear" w:color="auto" w:fill="FFFFFF"/>
        </w:rPr>
        <w:t>S</w:t>
      </w:r>
      <w:r w:rsidR="00EC1DE6" w:rsidRPr="00F5668C">
        <w:rPr>
          <w:b/>
          <w:bCs/>
          <w:color w:val="000000"/>
          <w:shd w:val="clear" w:color="auto" w:fill="FFFFFF"/>
        </w:rPr>
        <w:t>tep 2</w:t>
      </w:r>
      <w:r w:rsidR="00EC1DE6">
        <w:rPr>
          <w:color w:val="000000"/>
          <w:shd w:val="clear" w:color="auto" w:fill="FFFFFF"/>
        </w:rPr>
        <w:t>.</w:t>
      </w:r>
      <w:r w:rsidR="00E229E7">
        <w:rPr>
          <w:color w:val="000000"/>
          <w:shd w:val="clear" w:color="auto" w:fill="FFFFFF"/>
        </w:rPr>
        <w:t xml:space="preserve"> </w:t>
      </w:r>
      <w:r w:rsidR="00031CCB">
        <w:rPr>
          <w:color w:val="000000"/>
          <w:shd w:val="clear" w:color="auto" w:fill="FFFFFF"/>
        </w:rPr>
        <w:t>E</w:t>
      </w:r>
      <w:r w:rsidR="00E229E7">
        <w:rPr>
          <w:color w:val="000000"/>
          <w:shd w:val="clear" w:color="auto" w:fill="FFFFFF"/>
        </w:rPr>
        <w:t>stimat</w:t>
      </w:r>
      <w:r w:rsidR="00E77493">
        <w:rPr>
          <w:color w:val="000000"/>
          <w:shd w:val="clear" w:color="auto" w:fill="FFFFFF"/>
        </w:rPr>
        <w:t>e</w:t>
      </w:r>
      <w:r w:rsidR="00E229E7">
        <w:rPr>
          <w:color w:val="000000"/>
          <w:shd w:val="clear" w:color="auto" w:fill="FFFFFF"/>
        </w:rPr>
        <w:t xml:space="preserve"> the expense weight </w:t>
      </w:r>
      <w:r w:rsidR="00A575BD">
        <w:rPr>
          <w:color w:val="000000"/>
          <w:shd w:val="clear" w:color="auto" w:fill="FFFFFF"/>
        </w:rPr>
        <w:t xml:space="preserve">or share of expenses </w:t>
      </w:r>
      <w:r w:rsidR="00E229E7">
        <w:rPr>
          <w:color w:val="000000"/>
          <w:shd w:val="clear" w:color="auto" w:fill="FFFFFF"/>
        </w:rPr>
        <w:t>for each group of services</w:t>
      </w:r>
      <w:r w:rsidR="00A575BD">
        <w:rPr>
          <w:color w:val="000000"/>
          <w:shd w:val="clear" w:color="auto" w:fill="FFFFFF"/>
        </w:rPr>
        <w:t xml:space="preserve">. This is </w:t>
      </w:r>
      <w:r w:rsidR="00841676">
        <w:rPr>
          <w:color w:val="000000"/>
          <w:shd w:val="clear" w:color="auto" w:fill="FFFFFF"/>
        </w:rPr>
        <w:t xml:space="preserve">calculated based on </w:t>
      </w:r>
      <w:r w:rsidR="00C10352">
        <w:rPr>
          <w:color w:val="000000"/>
          <w:shd w:val="clear" w:color="auto" w:fill="FFFFFF"/>
        </w:rPr>
        <w:t xml:space="preserve">each group’s share of activity </w:t>
      </w:r>
      <w:r w:rsidR="00F42337">
        <w:rPr>
          <w:color w:val="000000"/>
          <w:shd w:val="clear" w:color="auto" w:fill="FFFFFF"/>
        </w:rPr>
        <w:t xml:space="preserve">weighted by </w:t>
      </w:r>
      <w:r w:rsidR="00BE3E52">
        <w:rPr>
          <w:color w:val="000000"/>
          <w:shd w:val="clear" w:color="auto" w:fill="FFFFFF"/>
        </w:rPr>
        <w:t>average expense</w:t>
      </w:r>
      <w:r w:rsidR="004E3753">
        <w:rPr>
          <w:color w:val="000000"/>
          <w:shd w:val="clear" w:color="auto" w:fill="FFFFFF"/>
        </w:rPr>
        <w:t>s</w:t>
      </w:r>
      <w:r w:rsidR="00245A11">
        <w:rPr>
          <w:color w:val="000000"/>
          <w:shd w:val="clear" w:color="auto" w:fill="FFFFFF"/>
        </w:rPr>
        <w:t>.</w:t>
      </w:r>
    </w:p>
    <w:p w14:paraId="4B6F2404" w14:textId="0DCE8243" w:rsidR="00E229E7" w:rsidRPr="002E255A" w:rsidRDefault="007F48A3" w:rsidP="002E255A">
      <w:pPr>
        <w:pStyle w:val="CGC2025ParaNumbers"/>
        <w:numPr>
          <w:ilvl w:val="0"/>
          <w:numId w:val="0"/>
        </w:numPr>
        <w:ind w:left="567"/>
        <w:rPr>
          <w:color w:val="000000"/>
          <w:shd w:val="clear" w:color="auto" w:fill="FFFFFF"/>
        </w:rPr>
      </w:pPr>
      <w:r w:rsidRPr="00A84E5E">
        <w:rPr>
          <w:b/>
          <w:bCs/>
          <w:color w:val="000000"/>
          <w:shd w:val="clear" w:color="auto" w:fill="FFFFFF"/>
        </w:rPr>
        <w:t>S</w:t>
      </w:r>
      <w:r w:rsidR="00E229E7" w:rsidRPr="00A84E5E">
        <w:rPr>
          <w:b/>
          <w:bCs/>
          <w:color w:val="000000"/>
          <w:shd w:val="clear" w:color="auto" w:fill="FFFFFF"/>
        </w:rPr>
        <w:t>tep 3</w:t>
      </w:r>
      <w:r w:rsidR="00E229E7" w:rsidRPr="002E255A">
        <w:rPr>
          <w:color w:val="000000"/>
          <w:shd w:val="clear" w:color="auto" w:fill="FFFFFF"/>
        </w:rPr>
        <w:t xml:space="preserve">. </w:t>
      </w:r>
      <w:r w:rsidR="00031CCB">
        <w:rPr>
          <w:color w:val="000000"/>
          <w:shd w:val="clear" w:color="auto" w:fill="FFFFFF"/>
        </w:rPr>
        <w:t>C</w:t>
      </w:r>
      <w:r w:rsidR="00744CB1" w:rsidRPr="002E255A">
        <w:rPr>
          <w:color w:val="000000"/>
          <w:shd w:val="clear" w:color="auto" w:fill="FFFFFF"/>
        </w:rPr>
        <w:t>ombin</w:t>
      </w:r>
      <w:r w:rsidR="00740FE0">
        <w:rPr>
          <w:color w:val="000000"/>
          <w:shd w:val="clear" w:color="auto" w:fill="FFFFFF"/>
        </w:rPr>
        <w:t>e</w:t>
      </w:r>
      <w:r w:rsidR="00744CB1" w:rsidRPr="002E255A">
        <w:rPr>
          <w:color w:val="000000"/>
          <w:shd w:val="clear" w:color="auto" w:fill="FFFFFF"/>
        </w:rPr>
        <w:t xml:space="preserve"> substitutability (from step 1) and expense weights (from step 2) for each </w:t>
      </w:r>
      <w:r w:rsidR="002E255A" w:rsidRPr="002E255A">
        <w:rPr>
          <w:color w:val="000000"/>
          <w:shd w:val="clear" w:color="auto" w:fill="FFFFFF"/>
        </w:rPr>
        <w:t xml:space="preserve">group </w:t>
      </w:r>
      <w:r w:rsidR="00744CB1" w:rsidRPr="002E255A">
        <w:rPr>
          <w:color w:val="000000"/>
          <w:shd w:val="clear" w:color="auto" w:fill="FFFFFF"/>
        </w:rPr>
        <w:t>of service</w:t>
      </w:r>
      <w:r w:rsidR="002E255A" w:rsidRPr="002E255A">
        <w:rPr>
          <w:color w:val="000000"/>
          <w:shd w:val="clear" w:color="auto" w:fill="FFFFFF"/>
        </w:rPr>
        <w:t>s</w:t>
      </w:r>
      <w:r w:rsidR="00744CB1" w:rsidRPr="002E255A">
        <w:rPr>
          <w:color w:val="000000"/>
          <w:shd w:val="clear" w:color="auto" w:fill="FFFFFF"/>
        </w:rPr>
        <w:t xml:space="preserve"> and sum the expenditure-weighted substitutability to obtain an estimate of the proportion of </w:t>
      </w:r>
      <w:r w:rsidR="002E255A">
        <w:rPr>
          <w:color w:val="000000"/>
          <w:shd w:val="clear" w:color="auto" w:fill="FFFFFF"/>
        </w:rPr>
        <w:t>s</w:t>
      </w:r>
      <w:r w:rsidR="00744CB1" w:rsidRPr="002E255A">
        <w:rPr>
          <w:color w:val="000000"/>
          <w:shd w:val="clear" w:color="auto" w:fill="FFFFFF"/>
        </w:rPr>
        <w:t xml:space="preserve">tate services affected by </w:t>
      </w:r>
      <w:r w:rsidR="00B747FD">
        <w:rPr>
          <w:color w:val="000000"/>
          <w:shd w:val="clear" w:color="auto" w:fill="FFFFFF"/>
        </w:rPr>
        <w:t xml:space="preserve">the availability of comparable </w:t>
      </w:r>
      <w:r w:rsidR="00744CB1" w:rsidRPr="002E255A">
        <w:rPr>
          <w:color w:val="000000"/>
          <w:shd w:val="clear" w:color="auto" w:fill="FFFFFF"/>
        </w:rPr>
        <w:t>non-</w:t>
      </w:r>
      <w:r w:rsidR="002E255A">
        <w:rPr>
          <w:color w:val="000000"/>
          <w:shd w:val="clear" w:color="auto" w:fill="FFFFFF"/>
        </w:rPr>
        <w:t>s</w:t>
      </w:r>
      <w:r w:rsidR="00744CB1" w:rsidRPr="002E255A">
        <w:rPr>
          <w:color w:val="000000"/>
          <w:shd w:val="clear" w:color="auto" w:fill="FFFFFF"/>
        </w:rPr>
        <w:t>tate services</w:t>
      </w:r>
      <w:r w:rsidR="002E255A">
        <w:rPr>
          <w:color w:val="000000"/>
          <w:shd w:val="clear" w:color="auto" w:fill="FFFFFF"/>
        </w:rPr>
        <w:t>.</w:t>
      </w:r>
    </w:p>
    <w:p w14:paraId="379ED1FD" w14:textId="01E20573" w:rsidR="00EF0ED1" w:rsidRPr="002E255A" w:rsidRDefault="00455827" w:rsidP="002E255A">
      <w:pPr>
        <w:pStyle w:val="CGC2025ParaNumbers"/>
        <w:numPr>
          <w:ilvl w:val="0"/>
          <w:numId w:val="0"/>
        </w:numPr>
        <w:ind w:left="567"/>
        <w:rPr>
          <w:color w:val="000000"/>
          <w:shd w:val="clear" w:color="auto" w:fill="FFFFFF"/>
        </w:rPr>
      </w:pPr>
      <w:r w:rsidRPr="00455827">
        <w:rPr>
          <w:b/>
          <w:bCs/>
          <w:color w:val="000000"/>
          <w:shd w:val="clear" w:color="auto" w:fill="FFFFFF"/>
        </w:rPr>
        <w:t>S</w:t>
      </w:r>
      <w:r w:rsidR="00EF0ED1" w:rsidRPr="00455827">
        <w:rPr>
          <w:b/>
          <w:bCs/>
          <w:color w:val="000000"/>
          <w:shd w:val="clear" w:color="auto" w:fill="FFFFFF"/>
        </w:rPr>
        <w:t>tep 4</w:t>
      </w:r>
      <w:r w:rsidR="00EF0ED1">
        <w:rPr>
          <w:color w:val="000000"/>
          <w:shd w:val="clear" w:color="auto" w:fill="FFFFFF"/>
        </w:rPr>
        <w:t xml:space="preserve">. </w:t>
      </w:r>
      <w:r w:rsidR="00C1266E">
        <w:rPr>
          <w:color w:val="000000"/>
          <w:shd w:val="clear" w:color="auto" w:fill="FFFFFF"/>
        </w:rPr>
        <w:t>Ta</w:t>
      </w:r>
      <w:r w:rsidR="00766C85">
        <w:rPr>
          <w:color w:val="000000"/>
          <w:shd w:val="clear" w:color="auto" w:fill="FFFFFF"/>
        </w:rPr>
        <w:t xml:space="preserve">ke account </w:t>
      </w:r>
      <w:r w:rsidR="00B06093">
        <w:rPr>
          <w:color w:val="000000"/>
          <w:shd w:val="clear" w:color="auto" w:fill="FFFFFF"/>
        </w:rPr>
        <w:t>of the connection between</w:t>
      </w:r>
      <w:r w:rsidR="009A6383">
        <w:rPr>
          <w:color w:val="000000"/>
          <w:shd w:val="clear" w:color="auto" w:fill="FFFFFF"/>
        </w:rPr>
        <w:t xml:space="preserve"> the</w:t>
      </w:r>
      <w:r w:rsidR="00B06093">
        <w:rPr>
          <w:color w:val="000000"/>
          <w:shd w:val="clear" w:color="auto" w:fill="FFFFFF"/>
        </w:rPr>
        <w:t xml:space="preserve"> use of </w:t>
      </w:r>
      <w:r w:rsidR="00564BCA">
        <w:rPr>
          <w:color w:val="000000"/>
          <w:shd w:val="clear" w:color="auto" w:fill="FFFFFF"/>
        </w:rPr>
        <w:t>state non</w:t>
      </w:r>
      <w:r w:rsidR="00564BCA">
        <w:rPr>
          <w:color w:val="000000"/>
          <w:shd w:val="clear" w:color="auto" w:fill="FFFFFF"/>
        </w:rPr>
        <w:noBreakHyphen/>
        <w:t>admit</w:t>
      </w:r>
      <w:r w:rsidR="00D9278B">
        <w:rPr>
          <w:color w:val="000000"/>
          <w:shd w:val="clear" w:color="auto" w:fill="FFFFFF"/>
        </w:rPr>
        <w:t>t</w:t>
      </w:r>
      <w:r w:rsidR="00564BCA">
        <w:rPr>
          <w:color w:val="000000"/>
          <w:shd w:val="clear" w:color="auto" w:fill="FFFFFF"/>
        </w:rPr>
        <w:t xml:space="preserve">ed patient services and </w:t>
      </w:r>
      <w:r w:rsidR="004B555F">
        <w:rPr>
          <w:color w:val="000000"/>
          <w:shd w:val="clear" w:color="auto" w:fill="FFFFFF"/>
        </w:rPr>
        <w:t>prior</w:t>
      </w:r>
      <w:r w:rsidR="00337229">
        <w:rPr>
          <w:color w:val="000000"/>
          <w:shd w:val="clear" w:color="auto" w:fill="FFFFFF"/>
        </w:rPr>
        <w:t xml:space="preserve"> </w:t>
      </w:r>
      <w:r w:rsidR="00957BDD">
        <w:rPr>
          <w:color w:val="000000"/>
          <w:shd w:val="clear" w:color="auto" w:fill="FFFFFF"/>
        </w:rPr>
        <w:t>treatment as an admitted patient</w:t>
      </w:r>
      <w:r w:rsidR="00E75FBB">
        <w:rPr>
          <w:color w:val="000000"/>
          <w:shd w:val="clear" w:color="auto" w:fill="FFFFFF"/>
        </w:rPr>
        <w:t>.</w:t>
      </w:r>
      <w:r w:rsidR="009870BC">
        <w:rPr>
          <w:color w:val="000000"/>
          <w:shd w:val="clear" w:color="auto" w:fill="FFFFFF"/>
        </w:rPr>
        <w:t xml:space="preserve"> </w:t>
      </w:r>
    </w:p>
    <w:p w14:paraId="53A098DA" w14:textId="35D9A54D" w:rsidR="007A0A35" w:rsidRDefault="1A8F29B8" w:rsidP="00766B1B">
      <w:pPr>
        <w:pStyle w:val="CGC2025Bullet1"/>
      </w:pPr>
      <w:r>
        <w:rPr>
          <w:shd w:val="clear" w:color="auto" w:fill="FFFFFF"/>
        </w:rPr>
        <w:t>Step 4 uses</w:t>
      </w:r>
      <w:r w:rsidR="7CDCE40F">
        <w:rPr>
          <w:shd w:val="clear" w:color="auto" w:fill="FFFFFF"/>
        </w:rPr>
        <w:t xml:space="preserve"> state data on the share of non-</w:t>
      </w:r>
      <w:r w:rsidR="70BB0AB5">
        <w:rPr>
          <w:shd w:val="clear" w:color="auto" w:fill="FFFFFF"/>
        </w:rPr>
        <w:t>admitted</w:t>
      </w:r>
      <w:r w:rsidR="7CDCE40F">
        <w:rPr>
          <w:shd w:val="clear" w:color="auto" w:fill="FFFFFF"/>
        </w:rPr>
        <w:t xml:space="preserve"> </w:t>
      </w:r>
      <w:r w:rsidR="4884882F">
        <w:rPr>
          <w:shd w:val="clear" w:color="auto" w:fill="FFFFFF"/>
        </w:rPr>
        <w:t xml:space="preserve">patient referrals from </w:t>
      </w:r>
      <w:r w:rsidR="266D0360">
        <w:rPr>
          <w:shd w:val="clear" w:color="auto" w:fill="FFFFFF"/>
        </w:rPr>
        <w:t>prior a</w:t>
      </w:r>
      <w:r w:rsidR="7CDCE40F">
        <w:rPr>
          <w:shd w:val="clear" w:color="auto" w:fill="FFFFFF"/>
        </w:rPr>
        <w:t xml:space="preserve">dmitted patient </w:t>
      </w:r>
      <w:r w:rsidR="70BB0AB5">
        <w:rPr>
          <w:shd w:val="clear" w:color="auto" w:fill="FFFFFF"/>
        </w:rPr>
        <w:t>episodes</w:t>
      </w:r>
      <w:r w:rsidR="7CDCE40F">
        <w:rPr>
          <w:shd w:val="clear" w:color="auto" w:fill="FFFFFF"/>
        </w:rPr>
        <w:t xml:space="preserve">. </w:t>
      </w:r>
      <w:r w:rsidR="03D97A28">
        <w:t>Data provided by 6 states indicate that</w:t>
      </w:r>
      <w:r w:rsidR="3910639B">
        <w:t>,</w:t>
      </w:r>
      <w:r w:rsidR="6D7F1EF3">
        <w:t xml:space="preserve"> on average</w:t>
      </w:r>
      <w:r w:rsidR="2DF02384">
        <w:t>,</w:t>
      </w:r>
      <w:r w:rsidR="6D7F1EF3">
        <w:t xml:space="preserve"> </w:t>
      </w:r>
      <w:r w:rsidR="03D97A28">
        <w:t>43%</w:t>
      </w:r>
      <w:r w:rsidR="03D97A28">
        <w:rPr>
          <w:shd w:val="clear" w:color="auto" w:fill="FFFFFF"/>
        </w:rPr>
        <w:t xml:space="preserve"> </w:t>
      </w:r>
      <w:r w:rsidR="7CDCE40F">
        <w:rPr>
          <w:shd w:val="clear" w:color="auto" w:fill="FFFFFF"/>
        </w:rPr>
        <w:t xml:space="preserve">of </w:t>
      </w:r>
      <w:r w:rsidR="2B7E9E63">
        <w:rPr>
          <w:shd w:val="clear" w:color="auto" w:fill="FFFFFF"/>
        </w:rPr>
        <w:t xml:space="preserve">state provided </w:t>
      </w:r>
      <w:r w:rsidR="370DF136">
        <w:rPr>
          <w:shd w:val="clear" w:color="auto" w:fill="FFFFFF"/>
        </w:rPr>
        <w:t xml:space="preserve">non-admitted patient </w:t>
      </w:r>
      <w:r w:rsidR="3D6310AE">
        <w:rPr>
          <w:shd w:val="clear" w:color="auto" w:fill="FFFFFF"/>
        </w:rPr>
        <w:t xml:space="preserve">services </w:t>
      </w:r>
      <w:r w:rsidR="3688E351">
        <w:rPr>
          <w:shd w:val="clear" w:color="auto" w:fill="FFFFFF"/>
        </w:rPr>
        <w:t xml:space="preserve">were related to </w:t>
      </w:r>
      <w:r w:rsidR="0D054165">
        <w:rPr>
          <w:shd w:val="clear" w:color="auto" w:fill="FFFFFF"/>
        </w:rPr>
        <w:t>a prior hospital admission</w:t>
      </w:r>
      <w:r w:rsidR="6A9B12FB">
        <w:rPr>
          <w:shd w:val="clear" w:color="auto" w:fill="FFFFFF"/>
        </w:rPr>
        <w:t xml:space="preserve">. This </w:t>
      </w:r>
      <w:r w:rsidR="454A2750">
        <w:rPr>
          <w:shd w:val="clear" w:color="auto" w:fill="FFFFFF"/>
        </w:rPr>
        <w:t xml:space="preserve">implies that </w:t>
      </w:r>
      <w:r w:rsidR="45284F52">
        <w:rPr>
          <w:shd w:val="clear" w:color="auto" w:fill="FFFFFF"/>
        </w:rPr>
        <w:t xml:space="preserve">57% </w:t>
      </w:r>
      <w:r w:rsidR="499A3D36">
        <w:rPr>
          <w:shd w:val="clear" w:color="auto" w:fill="FFFFFF"/>
        </w:rPr>
        <w:t xml:space="preserve">(100% - 43%) </w:t>
      </w:r>
      <w:r w:rsidR="246C3955">
        <w:rPr>
          <w:shd w:val="clear" w:color="auto" w:fill="FFFFFF"/>
        </w:rPr>
        <w:t xml:space="preserve">of state services </w:t>
      </w:r>
      <w:r w:rsidR="35D7983C">
        <w:rPr>
          <w:shd w:val="clear" w:color="auto" w:fill="FFFFFF"/>
        </w:rPr>
        <w:t xml:space="preserve">could </w:t>
      </w:r>
      <w:r w:rsidR="45284F52">
        <w:rPr>
          <w:shd w:val="clear" w:color="auto" w:fill="FFFFFF"/>
        </w:rPr>
        <w:t>be substitutable</w:t>
      </w:r>
      <w:r w:rsidR="2F5A618F">
        <w:rPr>
          <w:shd w:val="clear" w:color="auto" w:fill="FFFFFF"/>
        </w:rPr>
        <w:t>. W</w:t>
      </w:r>
      <w:r w:rsidR="6A6ED702">
        <w:rPr>
          <w:shd w:val="clear" w:color="auto" w:fill="FFFFFF"/>
        </w:rPr>
        <w:t xml:space="preserve">hen </w:t>
      </w:r>
      <w:r w:rsidR="35D7983C">
        <w:rPr>
          <w:shd w:val="clear" w:color="auto" w:fill="FFFFFF"/>
        </w:rPr>
        <w:t>applied to</w:t>
      </w:r>
      <w:r w:rsidR="5FCD4BC8">
        <w:rPr>
          <w:shd w:val="clear" w:color="auto" w:fill="FFFFFF"/>
        </w:rPr>
        <w:t xml:space="preserve"> the proportion of </w:t>
      </w:r>
      <w:r w:rsidR="6200FB23">
        <w:rPr>
          <w:shd w:val="clear" w:color="auto" w:fill="FFFFFF"/>
        </w:rPr>
        <w:t>comparable services</w:t>
      </w:r>
      <w:r w:rsidR="35D7983C">
        <w:rPr>
          <w:shd w:val="clear" w:color="auto" w:fill="FFFFFF"/>
        </w:rPr>
        <w:t xml:space="preserve"> </w:t>
      </w:r>
      <w:r w:rsidR="43FDBABE" w:rsidRPr="004A4306">
        <w:t>(6</w:t>
      </w:r>
      <w:r w:rsidR="003A435C">
        <w:t>4</w:t>
      </w:r>
      <w:r w:rsidR="43FDBABE" w:rsidRPr="004A4306">
        <w:t>%)</w:t>
      </w:r>
      <w:r w:rsidR="000575F1">
        <w:t>,</w:t>
      </w:r>
      <w:r w:rsidR="2F5A618F">
        <w:t xml:space="preserve"> this</w:t>
      </w:r>
      <w:r w:rsidR="43FDBABE" w:rsidRPr="004A4306">
        <w:t xml:space="preserve"> </w:t>
      </w:r>
      <w:r w:rsidR="6A6ED702">
        <w:t xml:space="preserve">yields a substitutability level of </w:t>
      </w:r>
      <w:r w:rsidR="43FDBABE" w:rsidRPr="004A4306">
        <w:t>3</w:t>
      </w:r>
      <w:r w:rsidR="00F3463D">
        <w:t>7</w:t>
      </w:r>
      <w:r w:rsidR="43FDBABE" w:rsidRPr="004A4306">
        <w:t>%</w:t>
      </w:r>
      <w:r w:rsidR="0029221C">
        <w:t xml:space="preserve"> </w:t>
      </w:r>
      <w:r w:rsidR="00AE6D6E">
        <w:t>(s</w:t>
      </w:r>
      <w:r w:rsidR="0029221C">
        <w:t xml:space="preserve">ee </w:t>
      </w:r>
      <w:r w:rsidR="00437D9C">
        <w:rPr>
          <w:shd w:val="clear" w:color="auto" w:fill="FFFFFF"/>
        </w:rPr>
        <w:t>Table 11</w:t>
      </w:r>
      <w:r w:rsidR="00AE6D6E">
        <w:rPr>
          <w:shd w:val="clear" w:color="auto" w:fill="FFFFFF"/>
        </w:rPr>
        <w:t>)</w:t>
      </w:r>
      <w:r w:rsidR="00437D9C">
        <w:rPr>
          <w:shd w:val="clear" w:color="auto" w:fill="FFFFFF"/>
        </w:rPr>
        <w:t>.</w:t>
      </w:r>
    </w:p>
    <w:p w14:paraId="670EE8CD" w14:textId="0588D8C0" w:rsidR="005E1445" w:rsidRPr="0014077C" w:rsidRDefault="0014077C" w:rsidP="003B5348">
      <w:pPr>
        <w:pStyle w:val="CGC2025Caption"/>
        <w:keepNext/>
      </w:pPr>
      <w:bookmarkStart w:id="22" w:name="_Ref169520668"/>
      <w:r w:rsidRPr="0014077C">
        <w:t xml:space="preserve">Table </w:t>
      </w:r>
      <w:bookmarkEnd w:id="22"/>
      <w:r w:rsidR="003149B6">
        <w:t>11</w:t>
      </w:r>
      <w:r w:rsidRPr="0014077C">
        <w:tab/>
      </w:r>
      <w:r w:rsidR="009C0DCC">
        <w:t>Non-admitted patients</w:t>
      </w:r>
      <w:r w:rsidR="00E04CC5">
        <w:t xml:space="preserve"> </w:t>
      </w:r>
      <w:r w:rsidR="00E04CC5" w:rsidRPr="001E1C13">
        <w:t xml:space="preserve">substitutability </w:t>
      </w:r>
      <w:r w:rsidR="00E04CC5">
        <w:t>based on c</w:t>
      </w:r>
      <w:r w:rsidRPr="0014077C">
        <w:t>omparable services</w:t>
      </w:r>
    </w:p>
    <w:tbl>
      <w:tblPr>
        <w:tblW w:w="8942" w:type="dxa"/>
        <w:tblLook w:val="04A0" w:firstRow="1" w:lastRow="0" w:firstColumn="1" w:lastColumn="0" w:noHBand="0" w:noVBand="1"/>
      </w:tblPr>
      <w:tblGrid>
        <w:gridCol w:w="2160"/>
        <w:gridCol w:w="1433"/>
        <w:gridCol w:w="1231"/>
        <w:gridCol w:w="1292"/>
        <w:gridCol w:w="1373"/>
        <w:gridCol w:w="1453"/>
      </w:tblGrid>
      <w:tr w:rsidR="00261477" w:rsidRPr="00261477" w14:paraId="556F33D9" w14:textId="77777777" w:rsidTr="0027342A">
        <w:trPr>
          <w:trHeight w:val="855"/>
        </w:trPr>
        <w:tc>
          <w:tcPr>
            <w:tcW w:w="2140" w:type="dxa"/>
            <w:tcBorders>
              <w:top w:val="nil"/>
              <w:left w:val="nil"/>
              <w:bottom w:val="nil"/>
              <w:right w:val="nil"/>
            </w:tcBorders>
            <w:shd w:val="clear" w:color="000000" w:fill="006991"/>
            <w:vAlign w:val="center"/>
            <w:hideMark/>
          </w:tcPr>
          <w:p w14:paraId="37DC56B4" w14:textId="77777777" w:rsidR="00261477" w:rsidRPr="00261477" w:rsidRDefault="00261477" w:rsidP="00261477">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23" w:name="RANGE!B69"/>
            <w:r w:rsidRPr="00261477">
              <w:rPr>
                <w:rFonts w:ascii="Open Sans Semibold" w:eastAsia="Times New Roman" w:hAnsi="Open Sans Semibold" w:cs="Open Sans Semibold"/>
                <w:color w:val="FFFFFF"/>
                <w:sz w:val="16"/>
                <w:szCs w:val="16"/>
                <w:lang w:eastAsia="en-AU"/>
              </w:rPr>
              <w:t>Group of services</w:t>
            </w:r>
            <w:bookmarkEnd w:id="23"/>
          </w:p>
        </w:tc>
        <w:tc>
          <w:tcPr>
            <w:tcW w:w="1420" w:type="dxa"/>
            <w:tcBorders>
              <w:top w:val="nil"/>
              <w:left w:val="nil"/>
              <w:bottom w:val="nil"/>
              <w:right w:val="nil"/>
            </w:tcBorders>
            <w:shd w:val="clear" w:color="000000" w:fill="006991"/>
            <w:vAlign w:val="center"/>
            <w:hideMark/>
          </w:tcPr>
          <w:p w14:paraId="1AF712A8"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1477">
              <w:rPr>
                <w:rFonts w:ascii="Open Sans Semibold" w:eastAsia="Times New Roman" w:hAnsi="Open Sans Semibold" w:cs="Open Sans Semibold"/>
                <w:color w:val="FFFFFF"/>
                <w:sz w:val="16"/>
                <w:szCs w:val="16"/>
                <w:lang w:eastAsia="en-AU"/>
              </w:rPr>
              <w:t xml:space="preserve">Share of </w:t>
            </w:r>
            <w:r w:rsidRPr="00261477">
              <w:rPr>
                <w:rFonts w:ascii="Open Sans Semibold" w:eastAsia="Times New Roman" w:hAnsi="Open Sans Semibold" w:cs="Open Sans Semibold"/>
                <w:color w:val="FFFFFF"/>
                <w:sz w:val="16"/>
                <w:szCs w:val="16"/>
                <w:lang w:eastAsia="en-AU"/>
              </w:rPr>
              <w:br/>
              <w:t>activity</w:t>
            </w:r>
          </w:p>
        </w:tc>
        <w:tc>
          <w:tcPr>
            <w:tcW w:w="1220" w:type="dxa"/>
            <w:tcBorders>
              <w:top w:val="nil"/>
              <w:left w:val="nil"/>
              <w:bottom w:val="nil"/>
              <w:right w:val="nil"/>
            </w:tcBorders>
            <w:shd w:val="clear" w:color="000000" w:fill="006991"/>
            <w:vAlign w:val="center"/>
            <w:hideMark/>
          </w:tcPr>
          <w:p w14:paraId="139373A7" w14:textId="0F034582"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1477">
              <w:rPr>
                <w:rFonts w:ascii="Open Sans Semibold" w:eastAsia="Times New Roman" w:hAnsi="Open Sans Semibold" w:cs="Open Sans Semibold"/>
                <w:color w:val="FFFFFF"/>
                <w:sz w:val="16"/>
                <w:szCs w:val="16"/>
                <w:lang w:eastAsia="en-AU"/>
              </w:rPr>
              <w:t>Average expenditure</w:t>
            </w:r>
            <w:r w:rsidR="00286734">
              <w:rPr>
                <w:rFonts w:ascii="Open Sans Semibold" w:eastAsia="Times New Roman" w:hAnsi="Open Sans Semibold" w:cs="Open Sans Semibold"/>
                <w:color w:val="FFFFFF"/>
                <w:sz w:val="16"/>
                <w:szCs w:val="16"/>
                <w:lang w:eastAsia="en-AU"/>
              </w:rPr>
              <w:t xml:space="preserve"> per service</w:t>
            </w:r>
            <w:r w:rsidRPr="00261477">
              <w:rPr>
                <w:rFonts w:ascii="Open Sans Semibold" w:eastAsia="Times New Roman" w:hAnsi="Open Sans Semibold" w:cs="Open Sans Semibold"/>
                <w:color w:val="FFFFFF"/>
                <w:sz w:val="16"/>
                <w:szCs w:val="16"/>
                <w:lang w:eastAsia="en-AU"/>
              </w:rPr>
              <w:t xml:space="preserve"> </w:t>
            </w:r>
          </w:p>
        </w:tc>
        <w:tc>
          <w:tcPr>
            <w:tcW w:w="1280" w:type="dxa"/>
            <w:tcBorders>
              <w:top w:val="nil"/>
              <w:left w:val="nil"/>
              <w:bottom w:val="nil"/>
              <w:right w:val="nil"/>
            </w:tcBorders>
            <w:shd w:val="clear" w:color="000000" w:fill="006991"/>
            <w:vAlign w:val="center"/>
            <w:hideMark/>
          </w:tcPr>
          <w:p w14:paraId="1AC87F20"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1477">
              <w:rPr>
                <w:rFonts w:ascii="Open Sans Semibold" w:eastAsia="Times New Roman" w:hAnsi="Open Sans Semibold" w:cs="Open Sans Semibold"/>
                <w:color w:val="FFFFFF"/>
                <w:sz w:val="16"/>
                <w:szCs w:val="16"/>
                <w:lang w:eastAsia="en-AU"/>
              </w:rPr>
              <w:t>Share of expenditure</w:t>
            </w:r>
          </w:p>
        </w:tc>
        <w:tc>
          <w:tcPr>
            <w:tcW w:w="1360" w:type="dxa"/>
            <w:tcBorders>
              <w:top w:val="nil"/>
              <w:left w:val="nil"/>
              <w:bottom w:val="nil"/>
              <w:right w:val="nil"/>
            </w:tcBorders>
            <w:shd w:val="clear" w:color="000000" w:fill="006991"/>
            <w:vAlign w:val="center"/>
            <w:hideMark/>
          </w:tcPr>
          <w:p w14:paraId="18C19D9C"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1477">
              <w:rPr>
                <w:rFonts w:ascii="Open Sans Semibold" w:eastAsia="Times New Roman" w:hAnsi="Open Sans Semibold" w:cs="Open Sans Semibold"/>
                <w:color w:val="FFFFFF"/>
                <w:sz w:val="16"/>
                <w:szCs w:val="16"/>
                <w:lang w:eastAsia="en-AU"/>
              </w:rPr>
              <w:t xml:space="preserve">Substitutable service </w:t>
            </w:r>
            <w:r w:rsidRPr="00261477">
              <w:rPr>
                <w:rFonts w:ascii="Open Sans Semibold" w:eastAsia="Times New Roman" w:hAnsi="Open Sans Semibold" w:cs="Open Sans Semibold"/>
                <w:color w:val="FFFFFF"/>
                <w:sz w:val="16"/>
                <w:szCs w:val="16"/>
                <w:lang w:eastAsia="en-AU"/>
              </w:rPr>
              <w:br/>
              <w:t>available (a)</w:t>
            </w:r>
          </w:p>
        </w:tc>
        <w:tc>
          <w:tcPr>
            <w:tcW w:w="1440" w:type="dxa"/>
            <w:tcBorders>
              <w:top w:val="nil"/>
              <w:left w:val="nil"/>
              <w:bottom w:val="nil"/>
              <w:right w:val="nil"/>
            </w:tcBorders>
            <w:shd w:val="clear" w:color="000000" w:fill="006991"/>
            <w:vAlign w:val="center"/>
            <w:hideMark/>
          </w:tcPr>
          <w:p w14:paraId="56C818E0" w14:textId="167BE1F9"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1477">
              <w:rPr>
                <w:rFonts w:ascii="Open Sans Semibold" w:eastAsia="Times New Roman" w:hAnsi="Open Sans Semibold" w:cs="Open Sans Semibold"/>
                <w:color w:val="FFFFFF"/>
                <w:sz w:val="16"/>
                <w:szCs w:val="16"/>
                <w:lang w:eastAsia="en-AU"/>
              </w:rPr>
              <w:t>NAP substitutability</w:t>
            </w:r>
            <w:r w:rsidR="00BD63D3">
              <w:rPr>
                <w:rFonts w:ascii="Open Sans Semibold" w:eastAsia="Times New Roman" w:hAnsi="Open Sans Semibold" w:cs="Open Sans Semibold"/>
                <w:color w:val="FFFFFF"/>
                <w:sz w:val="16"/>
                <w:szCs w:val="16"/>
                <w:lang w:eastAsia="en-AU"/>
              </w:rPr>
              <w:t xml:space="preserve"> method 1</w:t>
            </w:r>
          </w:p>
        </w:tc>
      </w:tr>
      <w:tr w:rsidR="00261477" w:rsidRPr="00261477" w14:paraId="309CAAB8" w14:textId="77777777" w:rsidTr="0027342A">
        <w:trPr>
          <w:trHeight w:val="259"/>
        </w:trPr>
        <w:tc>
          <w:tcPr>
            <w:tcW w:w="2140" w:type="dxa"/>
            <w:tcBorders>
              <w:top w:val="single" w:sz="8" w:space="0" w:color="ADD6EA"/>
              <w:left w:val="nil"/>
              <w:bottom w:val="nil"/>
              <w:right w:val="nil"/>
            </w:tcBorders>
            <w:shd w:val="clear" w:color="000000" w:fill="B6D5E4"/>
            <w:vAlign w:val="bottom"/>
            <w:hideMark/>
          </w:tcPr>
          <w:p w14:paraId="2624E9F2" w14:textId="77777777" w:rsidR="00261477" w:rsidRPr="00261477" w:rsidRDefault="00261477" w:rsidP="00261477">
            <w:pPr>
              <w:tabs>
                <w:tab w:val="clear" w:pos="567"/>
              </w:tabs>
              <w:spacing w:before="0" w:line="240" w:lineRule="auto"/>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 </w:t>
            </w:r>
          </w:p>
        </w:tc>
        <w:tc>
          <w:tcPr>
            <w:tcW w:w="1420" w:type="dxa"/>
            <w:tcBorders>
              <w:top w:val="single" w:sz="8" w:space="0" w:color="ADD6EA"/>
              <w:left w:val="nil"/>
              <w:bottom w:val="nil"/>
              <w:right w:val="nil"/>
            </w:tcBorders>
            <w:shd w:val="clear" w:color="000000" w:fill="B6D5E4"/>
            <w:vAlign w:val="bottom"/>
            <w:hideMark/>
          </w:tcPr>
          <w:p w14:paraId="712FA1C8"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w:t>
            </w:r>
          </w:p>
        </w:tc>
        <w:tc>
          <w:tcPr>
            <w:tcW w:w="1220" w:type="dxa"/>
            <w:tcBorders>
              <w:top w:val="single" w:sz="8" w:space="0" w:color="ADD6EA"/>
              <w:left w:val="nil"/>
              <w:bottom w:val="nil"/>
              <w:right w:val="nil"/>
            </w:tcBorders>
            <w:shd w:val="clear" w:color="000000" w:fill="B6D5E4"/>
            <w:vAlign w:val="bottom"/>
            <w:hideMark/>
          </w:tcPr>
          <w:p w14:paraId="4B5E70B0"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w:t>
            </w:r>
          </w:p>
        </w:tc>
        <w:tc>
          <w:tcPr>
            <w:tcW w:w="1280" w:type="dxa"/>
            <w:tcBorders>
              <w:top w:val="single" w:sz="8" w:space="0" w:color="ADD6EA"/>
              <w:left w:val="nil"/>
              <w:bottom w:val="nil"/>
              <w:right w:val="nil"/>
            </w:tcBorders>
            <w:shd w:val="clear" w:color="000000" w:fill="B6D5E4"/>
            <w:vAlign w:val="bottom"/>
            <w:hideMark/>
          </w:tcPr>
          <w:p w14:paraId="0115F3AC"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w:t>
            </w:r>
          </w:p>
        </w:tc>
        <w:tc>
          <w:tcPr>
            <w:tcW w:w="1360" w:type="dxa"/>
            <w:tcBorders>
              <w:top w:val="single" w:sz="8" w:space="0" w:color="ADD6EA"/>
              <w:left w:val="nil"/>
              <w:bottom w:val="nil"/>
              <w:right w:val="nil"/>
            </w:tcBorders>
            <w:shd w:val="clear" w:color="000000" w:fill="B6D5E4"/>
            <w:vAlign w:val="bottom"/>
            <w:hideMark/>
          </w:tcPr>
          <w:p w14:paraId="4231B7E5"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 </w:t>
            </w:r>
          </w:p>
        </w:tc>
        <w:tc>
          <w:tcPr>
            <w:tcW w:w="1440" w:type="dxa"/>
            <w:tcBorders>
              <w:top w:val="single" w:sz="8" w:space="0" w:color="ADD6EA"/>
              <w:left w:val="nil"/>
              <w:bottom w:val="nil"/>
              <w:right w:val="nil"/>
            </w:tcBorders>
            <w:shd w:val="clear" w:color="000000" w:fill="B6D5E4"/>
            <w:vAlign w:val="bottom"/>
            <w:hideMark/>
          </w:tcPr>
          <w:p w14:paraId="08689EB1"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w:t>
            </w:r>
          </w:p>
        </w:tc>
      </w:tr>
      <w:tr w:rsidR="00261477" w:rsidRPr="00261477" w14:paraId="3D885081" w14:textId="77777777" w:rsidTr="0027342A">
        <w:trPr>
          <w:trHeight w:val="300"/>
        </w:trPr>
        <w:tc>
          <w:tcPr>
            <w:tcW w:w="2140" w:type="dxa"/>
            <w:tcBorders>
              <w:top w:val="single" w:sz="4" w:space="0" w:color="ADD6EA"/>
              <w:left w:val="nil"/>
              <w:bottom w:val="nil"/>
              <w:right w:val="nil"/>
            </w:tcBorders>
            <w:shd w:val="clear" w:color="000000" w:fill="FFFFFF"/>
            <w:vAlign w:val="bottom"/>
            <w:hideMark/>
          </w:tcPr>
          <w:p w14:paraId="054E1416" w14:textId="77777777" w:rsidR="00261477" w:rsidRPr="00261477" w:rsidRDefault="00261477" w:rsidP="00261477">
            <w:pPr>
              <w:tabs>
                <w:tab w:val="clear" w:pos="567"/>
              </w:tabs>
              <w:spacing w:before="0" w:line="240" w:lineRule="auto"/>
              <w:rPr>
                <w:rFonts w:eastAsia="Times New Roman" w:cs="Open Sans Light"/>
                <w:color w:val="000000"/>
                <w:sz w:val="16"/>
                <w:szCs w:val="16"/>
                <w:lang w:eastAsia="en-AU"/>
              </w:rPr>
            </w:pPr>
            <w:r w:rsidRPr="00261477">
              <w:rPr>
                <w:rFonts w:eastAsia="Times New Roman" w:cs="Open Sans Light"/>
                <w:color w:val="000000"/>
                <w:sz w:val="16"/>
                <w:szCs w:val="16"/>
                <w:lang w:eastAsia="en-AU"/>
              </w:rPr>
              <w:t>Procedure clinics</w:t>
            </w:r>
          </w:p>
        </w:tc>
        <w:tc>
          <w:tcPr>
            <w:tcW w:w="1420" w:type="dxa"/>
            <w:tcBorders>
              <w:top w:val="single" w:sz="4" w:space="0" w:color="ADD6EA"/>
              <w:left w:val="nil"/>
              <w:bottom w:val="nil"/>
              <w:right w:val="nil"/>
            </w:tcBorders>
            <w:shd w:val="clear" w:color="000000" w:fill="FFFFFF"/>
            <w:vAlign w:val="bottom"/>
            <w:hideMark/>
          </w:tcPr>
          <w:p w14:paraId="1F654F29" w14:textId="1328FE34"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12</w:t>
            </w:r>
          </w:p>
        </w:tc>
        <w:tc>
          <w:tcPr>
            <w:tcW w:w="1220" w:type="dxa"/>
            <w:tcBorders>
              <w:top w:val="single" w:sz="4" w:space="0" w:color="ADD6EA"/>
              <w:left w:val="nil"/>
              <w:bottom w:val="nil"/>
              <w:right w:val="nil"/>
            </w:tcBorders>
            <w:shd w:val="clear" w:color="000000" w:fill="FFFFFF"/>
            <w:vAlign w:val="bottom"/>
            <w:hideMark/>
          </w:tcPr>
          <w:p w14:paraId="0C9A9018" w14:textId="77777777"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507</w:t>
            </w:r>
          </w:p>
        </w:tc>
        <w:tc>
          <w:tcPr>
            <w:tcW w:w="1280" w:type="dxa"/>
            <w:tcBorders>
              <w:top w:val="single" w:sz="4" w:space="0" w:color="ADD6EA"/>
              <w:left w:val="nil"/>
              <w:bottom w:val="nil"/>
              <w:right w:val="nil"/>
            </w:tcBorders>
            <w:shd w:val="clear" w:color="000000" w:fill="FFFFFF"/>
            <w:vAlign w:val="bottom"/>
            <w:hideMark/>
          </w:tcPr>
          <w:p w14:paraId="2096A50A" w14:textId="77777777"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18</w:t>
            </w:r>
          </w:p>
        </w:tc>
        <w:tc>
          <w:tcPr>
            <w:tcW w:w="1360" w:type="dxa"/>
            <w:tcBorders>
              <w:top w:val="single" w:sz="4" w:space="0" w:color="ADD6EA"/>
              <w:left w:val="nil"/>
              <w:bottom w:val="nil"/>
              <w:right w:val="nil"/>
            </w:tcBorders>
            <w:shd w:val="clear" w:color="000000" w:fill="FFFFFF"/>
            <w:vAlign w:val="bottom"/>
            <w:hideMark/>
          </w:tcPr>
          <w:p w14:paraId="4E462C93" w14:textId="77777777"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Yes</w:t>
            </w:r>
          </w:p>
        </w:tc>
        <w:tc>
          <w:tcPr>
            <w:tcW w:w="1440" w:type="dxa"/>
            <w:tcBorders>
              <w:top w:val="single" w:sz="4" w:space="0" w:color="ADD6EA"/>
              <w:left w:val="nil"/>
              <w:bottom w:val="nil"/>
              <w:right w:val="nil"/>
            </w:tcBorders>
            <w:shd w:val="clear" w:color="000000" w:fill="FFFFFF"/>
            <w:vAlign w:val="bottom"/>
            <w:hideMark/>
          </w:tcPr>
          <w:p w14:paraId="7528E93A" w14:textId="26ACBD53"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1</w:t>
            </w:r>
            <w:r w:rsidR="00160668">
              <w:rPr>
                <w:rFonts w:eastAsia="Times New Roman" w:cs="Open Sans Light"/>
                <w:color w:val="000000"/>
                <w:sz w:val="16"/>
                <w:szCs w:val="16"/>
                <w:lang w:eastAsia="en-AU"/>
              </w:rPr>
              <w:t>8</w:t>
            </w:r>
          </w:p>
        </w:tc>
      </w:tr>
      <w:tr w:rsidR="00261477" w:rsidRPr="00261477" w14:paraId="34315861" w14:textId="77777777" w:rsidTr="0027342A">
        <w:trPr>
          <w:trHeight w:val="300"/>
        </w:trPr>
        <w:tc>
          <w:tcPr>
            <w:tcW w:w="2140" w:type="dxa"/>
            <w:tcBorders>
              <w:top w:val="single" w:sz="4" w:space="0" w:color="ADD6EA"/>
              <w:left w:val="nil"/>
              <w:bottom w:val="nil"/>
              <w:right w:val="nil"/>
            </w:tcBorders>
            <w:shd w:val="clear" w:color="000000" w:fill="FFFFFF"/>
            <w:vAlign w:val="bottom"/>
            <w:hideMark/>
          </w:tcPr>
          <w:p w14:paraId="31853736" w14:textId="4BE7E7FA" w:rsidR="00261477" w:rsidRPr="00261477" w:rsidRDefault="00261477" w:rsidP="00261477">
            <w:pPr>
              <w:tabs>
                <w:tab w:val="clear" w:pos="567"/>
              </w:tabs>
              <w:spacing w:before="0" w:line="240" w:lineRule="auto"/>
              <w:rPr>
                <w:rFonts w:eastAsia="Times New Roman" w:cs="Open Sans Light"/>
                <w:color w:val="000000"/>
                <w:sz w:val="16"/>
                <w:szCs w:val="16"/>
                <w:lang w:eastAsia="en-AU"/>
              </w:rPr>
            </w:pPr>
            <w:r w:rsidRPr="00261477">
              <w:rPr>
                <w:rFonts w:eastAsia="Times New Roman" w:cs="Open Sans Light"/>
                <w:color w:val="000000"/>
                <w:sz w:val="16"/>
                <w:szCs w:val="16"/>
                <w:lang w:eastAsia="en-AU"/>
              </w:rPr>
              <w:t xml:space="preserve">Consultation clinics </w:t>
            </w:r>
            <w:r w:rsidR="00D01708">
              <w:rPr>
                <w:rFonts w:eastAsia="Times New Roman" w:cs="Open Sans Light"/>
                <w:color w:val="000000"/>
                <w:sz w:val="16"/>
                <w:szCs w:val="16"/>
                <w:lang w:eastAsia="en-AU"/>
              </w:rPr>
              <w:t>(</w:t>
            </w:r>
            <w:r w:rsidR="00541D2B">
              <w:rPr>
                <w:rFonts w:eastAsia="Times New Roman" w:cs="Open Sans Light"/>
                <w:color w:val="000000"/>
                <w:sz w:val="16"/>
                <w:szCs w:val="16"/>
                <w:lang w:eastAsia="en-AU"/>
              </w:rPr>
              <w:t>b</w:t>
            </w:r>
            <w:r w:rsidR="00D01708">
              <w:rPr>
                <w:rFonts w:eastAsia="Times New Roman" w:cs="Open Sans Light"/>
                <w:color w:val="000000"/>
                <w:sz w:val="16"/>
                <w:szCs w:val="16"/>
                <w:lang w:eastAsia="en-AU"/>
              </w:rPr>
              <w:t>)</w:t>
            </w:r>
          </w:p>
        </w:tc>
        <w:tc>
          <w:tcPr>
            <w:tcW w:w="1420" w:type="dxa"/>
            <w:tcBorders>
              <w:top w:val="single" w:sz="4" w:space="0" w:color="ADD6EA"/>
              <w:left w:val="nil"/>
              <w:bottom w:val="nil"/>
              <w:right w:val="nil"/>
            </w:tcBorders>
            <w:shd w:val="clear" w:color="000000" w:fill="FFFFFF"/>
            <w:vAlign w:val="bottom"/>
            <w:hideMark/>
          </w:tcPr>
          <w:p w14:paraId="5EA3DDFE" w14:textId="1ABB3EF5"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38</w:t>
            </w:r>
          </w:p>
        </w:tc>
        <w:tc>
          <w:tcPr>
            <w:tcW w:w="1220" w:type="dxa"/>
            <w:tcBorders>
              <w:top w:val="single" w:sz="4" w:space="0" w:color="ADD6EA"/>
              <w:left w:val="nil"/>
              <w:bottom w:val="nil"/>
              <w:right w:val="nil"/>
            </w:tcBorders>
            <w:shd w:val="clear" w:color="000000" w:fill="FFFFFF"/>
            <w:vAlign w:val="bottom"/>
            <w:hideMark/>
          </w:tcPr>
          <w:p w14:paraId="4F884F23" w14:textId="7B39502E"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4</w:t>
            </w:r>
            <w:r w:rsidR="00A22262">
              <w:rPr>
                <w:rFonts w:eastAsia="Times New Roman" w:cs="Open Sans Light"/>
                <w:color w:val="000000"/>
                <w:sz w:val="16"/>
                <w:szCs w:val="16"/>
                <w:lang w:eastAsia="en-AU"/>
              </w:rPr>
              <w:t>35</w:t>
            </w:r>
          </w:p>
        </w:tc>
        <w:tc>
          <w:tcPr>
            <w:tcW w:w="1280" w:type="dxa"/>
            <w:tcBorders>
              <w:top w:val="single" w:sz="4" w:space="0" w:color="ADD6EA"/>
              <w:left w:val="nil"/>
              <w:bottom w:val="nil"/>
              <w:right w:val="nil"/>
            </w:tcBorders>
            <w:shd w:val="clear" w:color="000000" w:fill="FFFFFF"/>
            <w:vAlign w:val="bottom"/>
            <w:hideMark/>
          </w:tcPr>
          <w:p w14:paraId="3B50C0D7" w14:textId="60C5FA75"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4</w:t>
            </w:r>
            <w:r w:rsidR="00FF3C0E">
              <w:rPr>
                <w:rFonts w:eastAsia="Times New Roman" w:cs="Open Sans Light"/>
                <w:color w:val="000000"/>
                <w:sz w:val="16"/>
                <w:szCs w:val="16"/>
                <w:lang w:eastAsia="en-AU"/>
              </w:rPr>
              <w:t>7</w:t>
            </w:r>
          </w:p>
        </w:tc>
        <w:tc>
          <w:tcPr>
            <w:tcW w:w="1360" w:type="dxa"/>
            <w:tcBorders>
              <w:top w:val="single" w:sz="4" w:space="0" w:color="ADD6EA"/>
              <w:left w:val="nil"/>
              <w:bottom w:val="nil"/>
              <w:right w:val="nil"/>
            </w:tcBorders>
            <w:shd w:val="clear" w:color="000000" w:fill="FFFFFF"/>
            <w:vAlign w:val="bottom"/>
            <w:hideMark/>
          </w:tcPr>
          <w:p w14:paraId="2402CAC1" w14:textId="77777777"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Yes</w:t>
            </w:r>
          </w:p>
        </w:tc>
        <w:tc>
          <w:tcPr>
            <w:tcW w:w="1440" w:type="dxa"/>
            <w:tcBorders>
              <w:top w:val="single" w:sz="4" w:space="0" w:color="ADD6EA"/>
              <w:left w:val="nil"/>
              <w:bottom w:val="nil"/>
              <w:right w:val="nil"/>
            </w:tcBorders>
            <w:shd w:val="clear" w:color="000000" w:fill="FFFFFF"/>
            <w:vAlign w:val="bottom"/>
            <w:hideMark/>
          </w:tcPr>
          <w:p w14:paraId="1A290F01" w14:textId="1C6B0E61"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4</w:t>
            </w:r>
            <w:r w:rsidR="00180803">
              <w:rPr>
                <w:rFonts w:eastAsia="Times New Roman" w:cs="Open Sans Light"/>
                <w:color w:val="000000"/>
                <w:sz w:val="16"/>
                <w:szCs w:val="16"/>
                <w:lang w:eastAsia="en-AU"/>
              </w:rPr>
              <w:t>7</w:t>
            </w:r>
          </w:p>
        </w:tc>
      </w:tr>
      <w:tr w:rsidR="00261477" w:rsidRPr="00261477" w14:paraId="5A9FDA33" w14:textId="77777777" w:rsidTr="0027342A">
        <w:trPr>
          <w:trHeight w:val="300"/>
        </w:trPr>
        <w:tc>
          <w:tcPr>
            <w:tcW w:w="2140" w:type="dxa"/>
            <w:tcBorders>
              <w:top w:val="single" w:sz="4" w:space="0" w:color="ADD6EA"/>
              <w:left w:val="nil"/>
              <w:bottom w:val="nil"/>
              <w:right w:val="nil"/>
            </w:tcBorders>
            <w:shd w:val="clear" w:color="000000" w:fill="FFFFFF"/>
            <w:vAlign w:val="bottom"/>
            <w:hideMark/>
          </w:tcPr>
          <w:p w14:paraId="641851DC" w14:textId="77777777" w:rsidR="00261477" w:rsidRPr="00261477" w:rsidRDefault="00261477" w:rsidP="00261477">
            <w:pPr>
              <w:tabs>
                <w:tab w:val="clear" w:pos="567"/>
              </w:tabs>
              <w:spacing w:before="0" w:line="240" w:lineRule="auto"/>
              <w:rPr>
                <w:rFonts w:eastAsia="Times New Roman" w:cs="Open Sans Light"/>
                <w:color w:val="000000"/>
                <w:sz w:val="16"/>
                <w:szCs w:val="16"/>
                <w:lang w:eastAsia="en-AU"/>
              </w:rPr>
            </w:pPr>
            <w:r w:rsidRPr="00261477">
              <w:rPr>
                <w:rFonts w:eastAsia="Times New Roman" w:cs="Open Sans Light"/>
                <w:color w:val="000000"/>
                <w:sz w:val="16"/>
                <w:szCs w:val="16"/>
                <w:lang w:eastAsia="en-AU"/>
              </w:rPr>
              <w:t>Allied health clinics</w:t>
            </w:r>
          </w:p>
        </w:tc>
        <w:tc>
          <w:tcPr>
            <w:tcW w:w="1420" w:type="dxa"/>
            <w:tcBorders>
              <w:top w:val="single" w:sz="4" w:space="0" w:color="ADD6EA"/>
              <w:left w:val="nil"/>
              <w:bottom w:val="nil"/>
              <w:right w:val="nil"/>
            </w:tcBorders>
            <w:shd w:val="clear" w:color="000000" w:fill="FFFFFF"/>
            <w:vAlign w:val="bottom"/>
            <w:hideMark/>
          </w:tcPr>
          <w:p w14:paraId="14094FD9" w14:textId="52135CC1"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50</w:t>
            </w:r>
          </w:p>
        </w:tc>
        <w:tc>
          <w:tcPr>
            <w:tcW w:w="1220" w:type="dxa"/>
            <w:tcBorders>
              <w:top w:val="single" w:sz="4" w:space="0" w:color="ADD6EA"/>
              <w:left w:val="nil"/>
              <w:bottom w:val="nil"/>
              <w:right w:val="nil"/>
            </w:tcBorders>
            <w:shd w:val="clear" w:color="000000" w:fill="FFFFFF"/>
            <w:vAlign w:val="bottom"/>
            <w:hideMark/>
          </w:tcPr>
          <w:p w14:paraId="4448F307" w14:textId="77777777"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254</w:t>
            </w:r>
          </w:p>
        </w:tc>
        <w:tc>
          <w:tcPr>
            <w:tcW w:w="1280" w:type="dxa"/>
            <w:tcBorders>
              <w:top w:val="single" w:sz="4" w:space="0" w:color="ADD6EA"/>
              <w:left w:val="nil"/>
              <w:bottom w:val="nil"/>
              <w:right w:val="nil"/>
            </w:tcBorders>
            <w:shd w:val="clear" w:color="000000" w:fill="FFFFFF"/>
            <w:vAlign w:val="bottom"/>
            <w:hideMark/>
          </w:tcPr>
          <w:p w14:paraId="3DA01A0D" w14:textId="77777777"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36</w:t>
            </w:r>
          </w:p>
        </w:tc>
        <w:tc>
          <w:tcPr>
            <w:tcW w:w="1360" w:type="dxa"/>
            <w:tcBorders>
              <w:top w:val="single" w:sz="4" w:space="0" w:color="ADD6EA"/>
              <w:left w:val="nil"/>
              <w:bottom w:val="nil"/>
              <w:right w:val="nil"/>
            </w:tcBorders>
            <w:shd w:val="clear" w:color="000000" w:fill="FFFFFF"/>
            <w:vAlign w:val="bottom"/>
            <w:hideMark/>
          </w:tcPr>
          <w:p w14:paraId="42143BA4" w14:textId="77777777"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No</w:t>
            </w:r>
          </w:p>
        </w:tc>
        <w:tc>
          <w:tcPr>
            <w:tcW w:w="1440" w:type="dxa"/>
            <w:tcBorders>
              <w:top w:val="single" w:sz="4" w:space="0" w:color="ADD6EA"/>
              <w:left w:val="nil"/>
              <w:bottom w:val="nil"/>
              <w:right w:val="nil"/>
            </w:tcBorders>
            <w:shd w:val="clear" w:color="000000" w:fill="FFFFFF"/>
            <w:vAlign w:val="bottom"/>
            <w:hideMark/>
          </w:tcPr>
          <w:p w14:paraId="1D40D108" w14:textId="4BDA36D2" w:rsidR="00261477" w:rsidRPr="00261477" w:rsidRDefault="00261477" w:rsidP="00261477">
            <w:pPr>
              <w:tabs>
                <w:tab w:val="clear" w:pos="567"/>
              </w:tabs>
              <w:spacing w:before="0" w:line="240" w:lineRule="auto"/>
              <w:jc w:val="right"/>
              <w:rPr>
                <w:rFonts w:eastAsia="Times New Roman" w:cs="Open Sans Light"/>
                <w:color w:val="000000"/>
                <w:sz w:val="16"/>
                <w:szCs w:val="16"/>
                <w:lang w:eastAsia="en-AU"/>
              </w:rPr>
            </w:pPr>
            <w:r w:rsidRPr="00261477">
              <w:rPr>
                <w:rFonts w:eastAsia="Times New Roman" w:cs="Open Sans Light"/>
                <w:color w:val="000000"/>
                <w:sz w:val="16"/>
                <w:szCs w:val="16"/>
                <w:lang w:eastAsia="en-AU"/>
              </w:rPr>
              <w:t>0</w:t>
            </w:r>
          </w:p>
        </w:tc>
      </w:tr>
      <w:tr w:rsidR="00261477" w:rsidRPr="00261477" w14:paraId="1348DE4A" w14:textId="77777777" w:rsidTr="0027342A">
        <w:trPr>
          <w:trHeight w:val="300"/>
        </w:trPr>
        <w:tc>
          <w:tcPr>
            <w:tcW w:w="6060" w:type="dxa"/>
            <w:gridSpan w:val="4"/>
            <w:tcBorders>
              <w:top w:val="single" w:sz="4" w:space="0" w:color="ADD6EA"/>
              <w:left w:val="nil"/>
              <w:bottom w:val="single" w:sz="4" w:space="0" w:color="ADD6EA"/>
              <w:right w:val="nil"/>
            </w:tcBorders>
            <w:shd w:val="clear" w:color="000000" w:fill="D6E7F0"/>
            <w:vAlign w:val="bottom"/>
            <w:hideMark/>
          </w:tcPr>
          <w:p w14:paraId="4182BC81" w14:textId="65E69959" w:rsidR="00261477" w:rsidRPr="00261477" w:rsidRDefault="00221274" w:rsidP="00261477">
            <w:pPr>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Comparable services</w:t>
            </w:r>
            <w:r w:rsidR="00261477" w:rsidRPr="00261477">
              <w:rPr>
                <w:rFonts w:ascii="Open Sans Semibold" w:eastAsia="Times New Roman" w:hAnsi="Open Sans Semibold" w:cs="Open Sans Semibold"/>
                <w:color w:val="000000"/>
                <w:sz w:val="16"/>
                <w:szCs w:val="16"/>
                <w:lang w:eastAsia="en-AU"/>
              </w:rPr>
              <w:t xml:space="preserve"> (%)</w:t>
            </w:r>
          </w:p>
        </w:tc>
        <w:tc>
          <w:tcPr>
            <w:tcW w:w="1360" w:type="dxa"/>
            <w:tcBorders>
              <w:top w:val="single" w:sz="4" w:space="0" w:color="ADD6EA"/>
              <w:left w:val="nil"/>
              <w:bottom w:val="nil"/>
              <w:right w:val="nil"/>
            </w:tcBorders>
            <w:shd w:val="clear" w:color="000000" w:fill="D6E7F0"/>
            <w:vAlign w:val="bottom"/>
            <w:hideMark/>
          </w:tcPr>
          <w:p w14:paraId="4F8682DE"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b/>
                <w:bCs/>
                <w:color w:val="000000"/>
                <w:sz w:val="16"/>
                <w:szCs w:val="16"/>
                <w:lang w:eastAsia="en-AU"/>
              </w:rPr>
            </w:pPr>
            <w:r w:rsidRPr="00261477">
              <w:rPr>
                <w:rFonts w:ascii="Open Sans Semibold" w:eastAsia="Times New Roman" w:hAnsi="Open Sans Semibold" w:cs="Open Sans Semibold"/>
                <w:b/>
                <w:bCs/>
                <w:color w:val="000000"/>
                <w:sz w:val="16"/>
                <w:szCs w:val="16"/>
                <w:lang w:eastAsia="en-AU"/>
              </w:rPr>
              <w:t> </w:t>
            </w:r>
          </w:p>
        </w:tc>
        <w:tc>
          <w:tcPr>
            <w:tcW w:w="1440" w:type="dxa"/>
            <w:tcBorders>
              <w:top w:val="single" w:sz="4" w:space="0" w:color="ADD6EA"/>
              <w:left w:val="nil"/>
              <w:bottom w:val="nil"/>
              <w:right w:val="nil"/>
            </w:tcBorders>
            <w:shd w:val="clear" w:color="000000" w:fill="D6E7F0"/>
            <w:vAlign w:val="bottom"/>
            <w:hideMark/>
          </w:tcPr>
          <w:p w14:paraId="76576EF7" w14:textId="41BC57FF"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64</w:t>
            </w:r>
          </w:p>
        </w:tc>
      </w:tr>
      <w:tr w:rsidR="00261477" w:rsidRPr="00261477" w14:paraId="09670E62" w14:textId="77777777" w:rsidTr="0027342A">
        <w:trPr>
          <w:trHeight w:val="300"/>
        </w:trPr>
        <w:tc>
          <w:tcPr>
            <w:tcW w:w="7420" w:type="dxa"/>
            <w:gridSpan w:val="5"/>
            <w:tcBorders>
              <w:top w:val="single" w:sz="4" w:space="0" w:color="ADD6EA"/>
              <w:left w:val="nil"/>
              <w:bottom w:val="single" w:sz="4" w:space="0" w:color="ADD6EA"/>
              <w:right w:val="nil"/>
            </w:tcBorders>
            <w:shd w:val="clear" w:color="000000" w:fill="D6E7F0"/>
            <w:vAlign w:val="bottom"/>
            <w:hideMark/>
          </w:tcPr>
          <w:p w14:paraId="6D84675D" w14:textId="22D07283" w:rsidR="00261477" w:rsidRPr="00261477" w:rsidRDefault="00261477" w:rsidP="00261477">
            <w:pPr>
              <w:tabs>
                <w:tab w:val="clear" w:pos="567"/>
              </w:tabs>
              <w:spacing w:before="0" w:line="240" w:lineRule="auto"/>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 xml:space="preserve">Proportion of NAP episodes </w:t>
            </w:r>
            <w:r w:rsidR="000147E1">
              <w:rPr>
                <w:rFonts w:ascii="Open Sans Semibold" w:eastAsia="Times New Roman" w:hAnsi="Open Sans Semibold" w:cs="Open Sans Semibold"/>
                <w:color w:val="000000"/>
                <w:sz w:val="16"/>
                <w:szCs w:val="16"/>
                <w:lang w:eastAsia="en-AU"/>
              </w:rPr>
              <w:t xml:space="preserve">related to </w:t>
            </w:r>
            <w:r w:rsidR="0056274A">
              <w:rPr>
                <w:rFonts w:ascii="Open Sans Semibold" w:eastAsia="Times New Roman" w:hAnsi="Open Sans Semibold" w:cs="Open Sans Semibold"/>
                <w:color w:val="000000"/>
                <w:sz w:val="16"/>
                <w:szCs w:val="16"/>
                <w:lang w:eastAsia="en-AU"/>
              </w:rPr>
              <w:t xml:space="preserve">prior </w:t>
            </w:r>
            <w:r w:rsidR="000147E1">
              <w:rPr>
                <w:rFonts w:ascii="Open Sans Semibold" w:eastAsia="Times New Roman" w:hAnsi="Open Sans Semibold" w:cs="Open Sans Semibold"/>
                <w:color w:val="000000"/>
                <w:sz w:val="16"/>
                <w:szCs w:val="16"/>
                <w:lang w:eastAsia="en-AU"/>
              </w:rPr>
              <w:t>AP episodes</w:t>
            </w:r>
          </w:p>
        </w:tc>
        <w:tc>
          <w:tcPr>
            <w:tcW w:w="1440" w:type="dxa"/>
            <w:tcBorders>
              <w:top w:val="single" w:sz="4" w:space="0" w:color="ADD6EA"/>
              <w:left w:val="nil"/>
              <w:bottom w:val="nil"/>
              <w:right w:val="nil"/>
            </w:tcBorders>
            <w:shd w:val="clear" w:color="000000" w:fill="D6E7F0"/>
            <w:vAlign w:val="bottom"/>
            <w:hideMark/>
          </w:tcPr>
          <w:p w14:paraId="0B7E5A9E" w14:textId="31C5D9AB"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43</w:t>
            </w:r>
          </w:p>
        </w:tc>
      </w:tr>
      <w:tr w:rsidR="00261477" w:rsidRPr="00261477" w14:paraId="4BBCD6DA" w14:textId="77777777" w:rsidTr="0027342A">
        <w:trPr>
          <w:trHeight w:val="300"/>
        </w:trPr>
        <w:tc>
          <w:tcPr>
            <w:tcW w:w="3560" w:type="dxa"/>
            <w:gridSpan w:val="2"/>
            <w:tcBorders>
              <w:top w:val="single" w:sz="4" w:space="0" w:color="ADD6EA"/>
              <w:left w:val="nil"/>
              <w:bottom w:val="single" w:sz="4" w:space="0" w:color="ADD6EA"/>
              <w:right w:val="nil"/>
            </w:tcBorders>
            <w:shd w:val="clear" w:color="000000" w:fill="B6D5E4"/>
            <w:vAlign w:val="bottom"/>
            <w:hideMark/>
          </w:tcPr>
          <w:p w14:paraId="519F74CE" w14:textId="262576EB" w:rsidR="00261477" w:rsidRPr="00261477" w:rsidRDefault="00F76C0D" w:rsidP="00261477">
            <w:pPr>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S</w:t>
            </w:r>
            <w:r w:rsidR="00261477" w:rsidRPr="00261477">
              <w:rPr>
                <w:rFonts w:ascii="Open Sans Semibold" w:eastAsia="Times New Roman" w:hAnsi="Open Sans Semibold" w:cs="Open Sans Semibold"/>
                <w:color w:val="000000"/>
                <w:sz w:val="16"/>
                <w:szCs w:val="16"/>
                <w:lang w:eastAsia="en-AU"/>
              </w:rPr>
              <w:t xml:space="preserve">ubstitutability </w:t>
            </w:r>
            <w:r w:rsidR="00166CBF">
              <w:rPr>
                <w:rFonts w:ascii="Open Sans Semibold" w:eastAsia="Times New Roman" w:hAnsi="Open Sans Semibold" w:cs="Open Sans Semibold"/>
                <w:color w:val="000000"/>
                <w:sz w:val="16"/>
                <w:szCs w:val="16"/>
                <w:lang w:eastAsia="en-AU"/>
              </w:rPr>
              <w:t>(c)</w:t>
            </w:r>
          </w:p>
        </w:tc>
        <w:tc>
          <w:tcPr>
            <w:tcW w:w="1220" w:type="dxa"/>
            <w:tcBorders>
              <w:top w:val="nil"/>
              <w:left w:val="nil"/>
              <w:bottom w:val="single" w:sz="4" w:space="0" w:color="ADD6EA"/>
              <w:right w:val="nil"/>
            </w:tcBorders>
            <w:shd w:val="clear" w:color="000000" w:fill="B6D5E4"/>
            <w:vAlign w:val="bottom"/>
            <w:hideMark/>
          </w:tcPr>
          <w:p w14:paraId="6D50ED4E"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 </w:t>
            </w:r>
          </w:p>
        </w:tc>
        <w:tc>
          <w:tcPr>
            <w:tcW w:w="1280" w:type="dxa"/>
            <w:tcBorders>
              <w:top w:val="nil"/>
              <w:left w:val="nil"/>
              <w:bottom w:val="single" w:sz="4" w:space="0" w:color="ADD6EA"/>
              <w:right w:val="nil"/>
            </w:tcBorders>
            <w:shd w:val="clear" w:color="000000" w:fill="B6D5E4"/>
            <w:vAlign w:val="bottom"/>
            <w:hideMark/>
          </w:tcPr>
          <w:p w14:paraId="54ACCDCF"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 </w:t>
            </w:r>
          </w:p>
        </w:tc>
        <w:tc>
          <w:tcPr>
            <w:tcW w:w="1360" w:type="dxa"/>
            <w:tcBorders>
              <w:top w:val="nil"/>
              <w:left w:val="nil"/>
              <w:bottom w:val="single" w:sz="4" w:space="0" w:color="ADD6EA"/>
              <w:right w:val="nil"/>
            </w:tcBorders>
            <w:shd w:val="clear" w:color="000000" w:fill="B6D5E4"/>
            <w:vAlign w:val="bottom"/>
            <w:hideMark/>
          </w:tcPr>
          <w:p w14:paraId="04605D70" w14:textId="77777777"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 </w:t>
            </w:r>
          </w:p>
        </w:tc>
        <w:tc>
          <w:tcPr>
            <w:tcW w:w="1440" w:type="dxa"/>
            <w:tcBorders>
              <w:top w:val="single" w:sz="4" w:space="0" w:color="ADD6EA"/>
              <w:left w:val="nil"/>
              <w:bottom w:val="single" w:sz="4" w:space="0" w:color="ADD6EA"/>
              <w:right w:val="nil"/>
            </w:tcBorders>
            <w:shd w:val="clear" w:color="000000" w:fill="B6D5E4"/>
            <w:vAlign w:val="bottom"/>
            <w:hideMark/>
          </w:tcPr>
          <w:p w14:paraId="7FED3FFD" w14:textId="3E1B1B88" w:rsidR="00261477" w:rsidRPr="00261477" w:rsidRDefault="00261477" w:rsidP="0026147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1477">
              <w:rPr>
                <w:rFonts w:ascii="Open Sans Semibold" w:eastAsia="Times New Roman" w:hAnsi="Open Sans Semibold" w:cs="Open Sans Semibold"/>
                <w:color w:val="000000"/>
                <w:sz w:val="16"/>
                <w:szCs w:val="16"/>
                <w:lang w:eastAsia="en-AU"/>
              </w:rPr>
              <w:t>3</w:t>
            </w:r>
            <w:r w:rsidR="00397CC7">
              <w:rPr>
                <w:rFonts w:ascii="Open Sans Semibold" w:eastAsia="Times New Roman" w:hAnsi="Open Sans Semibold" w:cs="Open Sans Semibold"/>
                <w:color w:val="000000"/>
                <w:sz w:val="16"/>
                <w:szCs w:val="16"/>
                <w:lang w:eastAsia="en-AU"/>
              </w:rPr>
              <w:t>7</w:t>
            </w:r>
          </w:p>
        </w:tc>
      </w:tr>
    </w:tbl>
    <w:p w14:paraId="1032F5DE" w14:textId="1612E1A4" w:rsidR="00541D2B" w:rsidRDefault="00541D2B" w:rsidP="00541D2B">
      <w:pPr>
        <w:pStyle w:val="CGC2025TableNote"/>
        <w:keepNext/>
        <w:numPr>
          <w:ilvl w:val="0"/>
          <w:numId w:val="20"/>
        </w:numPr>
        <w:tabs>
          <w:tab w:val="clear" w:pos="567"/>
          <w:tab w:val="left" w:pos="709"/>
        </w:tabs>
      </w:pPr>
      <w:r w:rsidRPr="00881CEB">
        <w:t xml:space="preserve">Although all </w:t>
      </w:r>
      <w:r>
        <w:t>s</w:t>
      </w:r>
      <w:r w:rsidRPr="00881CEB">
        <w:t>tate-provided allied health services are also available in the private sector, most are linked to an earlier admitted patient episode. In addition, only a very limited number of patients who meet specific eligibility requirements (for example, those with a chronic medical condition or with an assessed mental disorder) are eligible for Medicare allied health items. State</w:t>
      </w:r>
      <w:r w:rsidR="003730ED">
        <w:t>-</w:t>
      </w:r>
      <w:r w:rsidRPr="00881CEB">
        <w:t>provided allied health services are generally not substitutable.</w:t>
      </w:r>
    </w:p>
    <w:p w14:paraId="1441D628" w14:textId="19522F31" w:rsidR="00D01708" w:rsidRDefault="004D3B4B" w:rsidP="00B41514">
      <w:pPr>
        <w:pStyle w:val="CGC2025TableNote"/>
        <w:keepNext/>
        <w:numPr>
          <w:ilvl w:val="0"/>
          <w:numId w:val="20"/>
        </w:numPr>
        <w:tabs>
          <w:tab w:val="clear" w:pos="567"/>
          <w:tab w:val="left" w:pos="709"/>
        </w:tabs>
      </w:pPr>
      <w:r>
        <w:t>Diagnostic services were grouped together</w:t>
      </w:r>
      <w:r w:rsidR="00E46B65">
        <w:t xml:space="preserve"> </w:t>
      </w:r>
      <w:r>
        <w:t>with c</w:t>
      </w:r>
      <w:r w:rsidR="00D80F8A">
        <w:t>onsultation clinics</w:t>
      </w:r>
      <w:r>
        <w:t>.</w:t>
      </w:r>
    </w:p>
    <w:p w14:paraId="55E844C8" w14:textId="00E91AC2" w:rsidR="00A9263C" w:rsidRDefault="0021027A" w:rsidP="00B41514">
      <w:pPr>
        <w:pStyle w:val="CGC2025TableNote"/>
        <w:keepNext/>
        <w:numPr>
          <w:ilvl w:val="0"/>
          <w:numId w:val="20"/>
        </w:numPr>
        <w:tabs>
          <w:tab w:val="clear" w:pos="567"/>
          <w:tab w:val="left" w:pos="709"/>
        </w:tabs>
      </w:pPr>
      <w:r>
        <w:t>S</w:t>
      </w:r>
      <w:r w:rsidR="00A9263C">
        <w:t xml:space="preserve">ubstitutability </w:t>
      </w:r>
      <w:r>
        <w:t xml:space="preserve">level </w:t>
      </w:r>
      <w:r w:rsidR="00166CBF">
        <w:t xml:space="preserve">using method </w:t>
      </w:r>
      <w:r>
        <w:t>1</w:t>
      </w:r>
      <w:r w:rsidR="00CC3E9C">
        <w:t xml:space="preserve"> </w:t>
      </w:r>
      <w:r w:rsidR="00A9263C">
        <w:t xml:space="preserve">= </w:t>
      </w:r>
      <w:r w:rsidR="00CC3E9C">
        <w:t xml:space="preserve">% comparable services </w:t>
      </w:r>
      <w:r w:rsidR="00A9263C">
        <w:t>* (1</w:t>
      </w:r>
      <w:r w:rsidR="00C656FA">
        <w:t>-</w:t>
      </w:r>
      <w:r w:rsidR="00F90C49">
        <w:t>%</w:t>
      </w:r>
      <w:r w:rsidR="00A9263C">
        <w:t xml:space="preserve"> of non-admitted </w:t>
      </w:r>
      <w:r w:rsidR="00F318C4">
        <w:t xml:space="preserve">patient </w:t>
      </w:r>
      <w:r w:rsidR="0066689F">
        <w:t>episodes</w:t>
      </w:r>
      <w:r w:rsidR="00F90C49">
        <w:t xml:space="preserve"> </w:t>
      </w:r>
      <w:r w:rsidR="004F032A">
        <w:t xml:space="preserve">related to </w:t>
      </w:r>
      <w:r w:rsidR="00F90C49">
        <w:t xml:space="preserve">prior </w:t>
      </w:r>
      <w:r w:rsidR="00A9312C">
        <w:t>admitted patient episodes</w:t>
      </w:r>
      <w:r w:rsidR="00F90C49">
        <w:t>)</w:t>
      </w:r>
      <w:r w:rsidR="00A9263C">
        <w:t>.</w:t>
      </w:r>
    </w:p>
    <w:p w14:paraId="01DEC957" w14:textId="2C3276C3" w:rsidR="00E13F55" w:rsidRDefault="00A9263C" w:rsidP="00D15041">
      <w:pPr>
        <w:pStyle w:val="CGC2025TableNote"/>
        <w:keepNext/>
        <w:ind w:left="709" w:hanging="596"/>
      </w:pPr>
      <w:r>
        <w:t>Source:</w:t>
      </w:r>
      <w:r>
        <w:tab/>
      </w:r>
      <w:r>
        <w:tab/>
        <w:t xml:space="preserve">Commission calculation using </w:t>
      </w:r>
      <w:r w:rsidR="00F9378F">
        <w:t>AIHW</w:t>
      </w:r>
      <w:r w:rsidR="00D84563">
        <w:t xml:space="preserve"> and IHACPA data.</w:t>
      </w:r>
      <w:bookmarkStart w:id="24" w:name="tempbookmark"/>
      <w:bookmarkStart w:id="25" w:name="_Hlk189143546"/>
      <w:bookmarkEnd w:id="24"/>
    </w:p>
    <w:bookmarkEnd w:id="25"/>
    <w:p w14:paraId="22D14F7F" w14:textId="77777777" w:rsidR="00ED5BC0" w:rsidRDefault="00ED5BC0">
      <w:pPr>
        <w:tabs>
          <w:tab w:val="clear" w:pos="567"/>
        </w:tabs>
        <w:spacing w:before="0" w:after="200" w:line="276" w:lineRule="auto"/>
        <w:rPr>
          <w:rFonts w:ascii="Work Sans" w:hAnsi="Work Sans"/>
          <w:b/>
          <w:color w:val="636466"/>
        </w:rPr>
      </w:pPr>
      <w:r>
        <w:br w:type="page"/>
      </w:r>
    </w:p>
    <w:p w14:paraId="0D2C7E25" w14:textId="311C395C" w:rsidR="00336757" w:rsidRPr="00B0793B" w:rsidRDefault="00336757" w:rsidP="00A30AFD">
      <w:pPr>
        <w:pStyle w:val="Heading65"/>
      </w:pPr>
      <w:r w:rsidRPr="00B0793B">
        <w:lastRenderedPageBreak/>
        <w:t xml:space="preserve">Method 2: affordable services </w:t>
      </w:r>
    </w:p>
    <w:p w14:paraId="77DC79FF" w14:textId="3C6AC1B9" w:rsidR="004955B4" w:rsidRPr="00E43BD5" w:rsidRDefault="00336757" w:rsidP="008558DD">
      <w:pPr>
        <w:pStyle w:val="CGC2025ParaNumbers"/>
        <w:rPr>
          <w:color w:val="000000"/>
          <w:szCs w:val="20"/>
          <w:shd w:val="clear" w:color="auto" w:fill="FFFFFF"/>
        </w:rPr>
      </w:pPr>
      <w:r w:rsidRPr="00E43BD5">
        <w:t xml:space="preserve">The </w:t>
      </w:r>
      <w:r w:rsidR="00CE30EB" w:rsidRPr="00E43BD5">
        <w:t xml:space="preserve">second method </w:t>
      </w:r>
      <w:r w:rsidR="00D10585" w:rsidRPr="00E43BD5">
        <w:t>take</w:t>
      </w:r>
      <w:r w:rsidR="006A0DA8">
        <w:t>s</w:t>
      </w:r>
      <w:r w:rsidR="00D10585" w:rsidRPr="00E43BD5">
        <w:t xml:space="preserve"> account of</w:t>
      </w:r>
      <w:r w:rsidRPr="00E43BD5">
        <w:t xml:space="preserve"> the</w:t>
      </w:r>
      <w:r w:rsidR="00CA726E" w:rsidRPr="00E43BD5">
        <w:t xml:space="preserve"> </w:t>
      </w:r>
      <w:r w:rsidR="00B9532E" w:rsidRPr="00E43BD5">
        <w:rPr>
          <w:color w:val="000000"/>
          <w:szCs w:val="20"/>
          <w:shd w:val="clear" w:color="auto" w:fill="FFFFFF"/>
        </w:rPr>
        <w:t xml:space="preserve">out-of-pocket costs for services provided in the non-state sector. </w:t>
      </w:r>
      <w:r w:rsidR="008D1441" w:rsidRPr="00E43BD5">
        <w:rPr>
          <w:color w:val="000000"/>
          <w:szCs w:val="20"/>
          <w:shd w:val="clear" w:color="auto" w:fill="FFFFFF"/>
        </w:rPr>
        <w:t xml:space="preserve">Data on </w:t>
      </w:r>
      <w:r w:rsidR="00327390" w:rsidRPr="00E43BD5">
        <w:t>bulk billed</w:t>
      </w:r>
      <w:r w:rsidR="008D1441" w:rsidRPr="00E43BD5">
        <w:t xml:space="preserve"> non-state services </w:t>
      </w:r>
      <w:r w:rsidR="00446DCD" w:rsidRPr="00E43BD5">
        <w:t xml:space="preserve">(private operations and specialist services) </w:t>
      </w:r>
      <w:r w:rsidR="005649F7" w:rsidRPr="00E43BD5">
        <w:t xml:space="preserve">that are similar to </w:t>
      </w:r>
      <w:r w:rsidR="00044A8D" w:rsidRPr="00E43BD5">
        <w:t>state</w:t>
      </w:r>
      <w:r w:rsidR="00044A8D" w:rsidRPr="00E43BD5">
        <w:noBreakHyphen/>
        <w:t xml:space="preserve">provided services </w:t>
      </w:r>
      <w:r w:rsidR="008D1441" w:rsidRPr="00E43BD5">
        <w:t xml:space="preserve">are used </w:t>
      </w:r>
      <w:r w:rsidR="00044A8D" w:rsidRPr="00E43BD5">
        <w:t>to estimate</w:t>
      </w:r>
      <w:r w:rsidR="009F2E8F" w:rsidRPr="00E43BD5">
        <w:t xml:space="preserve"> </w:t>
      </w:r>
      <w:r w:rsidR="008058D0" w:rsidRPr="00E43BD5">
        <w:t xml:space="preserve">the amount </w:t>
      </w:r>
      <w:r w:rsidR="004A089F">
        <w:t xml:space="preserve">of </w:t>
      </w:r>
      <w:r w:rsidR="009F2E8F" w:rsidRPr="00E43BD5">
        <w:t xml:space="preserve">non-state services </w:t>
      </w:r>
      <w:r w:rsidR="00460E23" w:rsidRPr="00E43BD5">
        <w:t xml:space="preserve">that </w:t>
      </w:r>
      <w:r w:rsidR="009F2E8F" w:rsidRPr="00E43BD5">
        <w:t>are</w:t>
      </w:r>
      <w:r w:rsidR="000F6782" w:rsidRPr="00E43BD5">
        <w:t xml:space="preserve"> likely to be</w:t>
      </w:r>
      <w:r w:rsidR="009F2E8F" w:rsidRPr="00E43BD5">
        <w:t xml:space="preserve"> affordable</w:t>
      </w:r>
      <w:r w:rsidR="000F6782" w:rsidRPr="00E43BD5">
        <w:t xml:space="preserve"> and therefore potentially substitutable</w:t>
      </w:r>
      <w:r w:rsidR="009F2E8F" w:rsidRPr="00E43BD5">
        <w:t>.</w:t>
      </w:r>
      <w:r w:rsidR="00D751A2" w:rsidRPr="00E43BD5">
        <w:t xml:space="preserve"> </w:t>
      </w:r>
      <w:r w:rsidR="00FD7E06" w:rsidRPr="00E43BD5">
        <w:t xml:space="preserve">The </w:t>
      </w:r>
      <w:r w:rsidR="003D50D7" w:rsidRPr="00E43BD5">
        <w:t>average s</w:t>
      </w:r>
      <w:r w:rsidR="00335F85" w:rsidRPr="00E43BD5">
        <w:t xml:space="preserve">ubstitutability level </w:t>
      </w:r>
      <w:r w:rsidR="004955B4" w:rsidRPr="00E43BD5">
        <w:t xml:space="preserve">using </w:t>
      </w:r>
      <w:r w:rsidR="00A43827" w:rsidRPr="00E43BD5">
        <w:t xml:space="preserve">this </w:t>
      </w:r>
      <w:r w:rsidR="004955B4" w:rsidRPr="00E43BD5">
        <w:t xml:space="preserve">method </w:t>
      </w:r>
      <w:r w:rsidR="00335F85" w:rsidRPr="00E43BD5">
        <w:t>is</w:t>
      </w:r>
      <w:r w:rsidR="00A4163D" w:rsidRPr="00E43BD5">
        <w:t xml:space="preserve"> 20%</w:t>
      </w:r>
      <w:r w:rsidR="00752D52" w:rsidRPr="00E43BD5">
        <w:t xml:space="preserve"> (</w:t>
      </w:r>
      <w:r w:rsidR="00C2049D">
        <w:t>Table 12</w:t>
      </w:r>
      <w:r w:rsidR="00752D52" w:rsidRPr="00E43BD5">
        <w:t>)</w:t>
      </w:r>
      <w:r w:rsidR="00B16F00" w:rsidRPr="00E43BD5">
        <w:t>.</w:t>
      </w:r>
    </w:p>
    <w:p w14:paraId="6BCF7409" w14:textId="64E81A77" w:rsidR="00C81FAE" w:rsidRPr="000D7526" w:rsidRDefault="00C81FAE" w:rsidP="002D3944">
      <w:pPr>
        <w:pStyle w:val="CGC2025Caption"/>
        <w:keepNext/>
      </w:pPr>
      <w:bookmarkStart w:id="26" w:name="_Ref172790155"/>
      <w:r w:rsidRPr="000D7526">
        <w:t xml:space="preserve">Table </w:t>
      </w:r>
      <w:bookmarkEnd w:id="26"/>
      <w:r w:rsidR="003149B6">
        <w:t>12</w:t>
      </w:r>
      <w:r w:rsidR="00F360A2" w:rsidRPr="000D7526">
        <w:tab/>
      </w:r>
      <w:r w:rsidR="00E04CC5">
        <w:t>Non-admitted patient</w:t>
      </w:r>
      <w:r w:rsidR="00D775B0">
        <w:t>s</w:t>
      </w:r>
      <w:r w:rsidR="00E04CC5">
        <w:t xml:space="preserve"> </w:t>
      </w:r>
      <w:r w:rsidR="00E04CC5" w:rsidRPr="001E1C13">
        <w:t xml:space="preserve">substitutability </w:t>
      </w:r>
      <w:r w:rsidR="00E156A6" w:rsidRPr="000D7526">
        <w:t xml:space="preserve">based on </w:t>
      </w:r>
      <w:r w:rsidR="00F360A2" w:rsidRPr="000D7526">
        <w:t>affordable services</w:t>
      </w:r>
    </w:p>
    <w:tbl>
      <w:tblPr>
        <w:tblW w:w="8942" w:type="dxa"/>
        <w:tblLook w:val="04A0" w:firstRow="1" w:lastRow="0" w:firstColumn="1" w:lastColumn="0" w:noHBand="0" w:noVBand="1"/>
      </w:tblPr>
      <w:tblGrid>
        <w:gridCol w:w="2177"/>
        <w:gridCol w:w="1426"/>
        <w:gridCol w:w="1229"/>
        <w:gridCol w:w="1289"/>
        <w:gridCol w:w="1370"/>
        <w:gridCol w:w="1451"/>
      </w:tblGrid>
      <w:tr w:rsidR="00373D18" w:rsidRPr="00373D18" w14:paraId="70EE6812" w14:textId="77777777" w:rsidTr="00582C9B">
        <w:trPr>
          <w:trHeight w:val="780"/>
        </w:trPr>
        <w:tc>
          <w:tcPr>
            <w:tcW w:w="2157" w:type="dxa"/>
            <w:tcBorders>
              <w:top w:val="nil"/>
              <w:left w:val="nil"/>
              <w:bottom w:val="nil"/>
              <w:right w:val="nil"/>
            </w:tcBorders>
            <w:shd w:val="clear" w:color="000000" w:fill="006991"/>
            <w:noWrap/>
            <w:vAlign w:val="center"/>
            <w:hideMark/>
          </w:tcPr>
          <w:p w14:paraId="207146DA" w14:textId="77777777" w:rsidR="00373D18" w:rsidRPr="00373D18" w:rsidRDefault="00373D18" w:rsidP="002D394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373D18">
              <w:rPr>
                <w:rFonts w:ascii="Open Sans Semibold" w:eastAsia="Times New Roman" w:hAnsi="Open Sans Semibold" w:cs="Open Sans Semibold"/>
                <w:color w:val="FFFFFF"/>
                <w:sz w:val="16"/>
                <w:szCs w:val="16"/>
                <w:lang w:eastAsia="en-AU"/>
              </w:rPr>
              <w:t> Group of services</w:t>
            </w:r>
          </w:p>
        </w:tc>
        <w:tc>
          <w:tcPr>
            <w:tcW w:w="1413" w:type="dxa"/>
            <w:tcBorders>
              <w:top w:val="nil"/>
              <w:left w:val="nil"/>
              <w:bottom w:val="single" w:sz="8" w:space="0" w:color="ADD6EA"/>
              <w:right w:val="nil"/>
            </w:tcBorders>
            <w:shd w:val="clear" w:color="000000" w:fill="006991"/>
            <w:vAlign w:val="center"/>
            <w:hideMark/>
          </w:tcPr>
          <w:p w14:paraId="34B7E819" w14:textId="77777777" w:rsidR="00373D18" w:rsidRPr="00373D18" w:rsidRDefault="00373D18" w:rsidP="002D3944">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3D18">
              <w:rPr>
                <w:rFonts w:ascii="Open Sans Semibold" w:eastAsia="Times New Roman" w:hAnsi="Open Sans Semibold" w:cs="Open Sans Semibold"/>
                <w:color w:val="FFFFFF"/>
                <w:sz w:val="16"/>
                <w:szCs w:val="16"/>
                <w:lang w:eastAsia="en-AU"/>
              </w:rPr>
              <w:t xml:space="preserve">Share of </w:t>
            </w:r>
            <w:r w:rsidRPr="00373D18">
              <w:rPr>
                <w:rFonts w:ascii="Open Sans Semibold" w:eastAsia="Times New Roman" w:hAnsi="Open Sans Semibold" w:cs="Open Sans Semibold"/>
                <w:color w:val="FFFFFF"/>
                <w:sz w:val="16"/>
                <w:szCs w:val="16"/>
                <w:lang w:eastAsia="en-AU"/>
              </w:rPr>
              <w:br/>
              <w:t>activity</w:t>
            </w:r>
          </w:p>
        </w:tc>
        <w:tc>
          <w:tcPr>
            <w:tcW w:w="1218" w:type="dxa"/>
            <w:tcBorders>
              <w:top w:val="nil"/>
              <w:left w:val="nil"/>
              <w:bottom w:val="nil"/>
              <w:right w:val="nil"/>
            </w:tcBorders>
            <w:shd w:val="clear" w:color="000000" w:fill="006991"/>
            <w:vAlign w:val="center"/>
            <w:hideMark/>
          </w:tcPr>
          <w:p w14:paraId="0E4FC4D4" w14:textId="3900151E" w:rsidR="00373D18" w:rsidRPr="00373D18" w:rsidRDefault="00260DD6" w:rsidP="002D3944">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1477">
              <w:rPr>
                <w:rFonts w:ascii="Open Sans Semibold" w:eastAsia="Times New Roman" w:hAnsi="Open Sans Semibold" w:cs="Open Sans Semibold"/>
                <w:color w:val="FFFFFF"/>
                <w:sz w:val="16"/>
                <w:szCs w:val="16"/>
                <w:lang w:eastAsia="en-AU"/>
              </w:rPr>
              <w:t>Average expenditure</w:t>
            </w:r>
            <w:r>
              <w:rPr>
                <w:rFonts w:ascii="Open Sans Semibold" w:eastAsia="Times New Roman" w:hAnsi="Open Sans Semibold" w:cs="Open Sans Semibold"/>
                <w:color w:val="FFFFFF"/>
                <w:sz w:val="16"/>
                <w:szCs w:val="16"/>
                <w:lang w:eastAsia="en-AU"/>
              </w:rPr>
              <w:t xml:space="preserve"> per service</w:t>
            </w:r>
          </w:p>
        </w:tc>
        <w:tc>
          <w:tcPr>
            <w:tcW w:w="1277" w:type="dxa"/>
            <w:tcBorders>
              <w:top w:val="nil"/>
              <w:left w:val="nil"/>
              <w:bottom w:val="nil"/>
              <w:right w:val="nil"/>
            </w:tcBorders>
            <w:shd w:val="clear" w:color="000000" w:fill="006991"/>
            <w:vAlign w:val="center"/>
            <w:hideMark/>
          </w:tcPr>
          <w:p w14:paraId="253E9FE8" w14:textId="77777777" w:rsidR="00373D18" w:rsidRPr="00373D18" w:rsidRDefault="00373D18" w:rsidP="002D3944">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3D18">
              <w:rPr>
                <w:rFonts w:ascii="Open Sans Semibold" w:eastAsia="Times New Roman" w:hAnsi="Open Sans Semibold" w:cs="Open Sans Semibold"/>
                <w:color w:val="FFFFFF"/>
                <w:sz w:val="16"/>
                <w:szCs w:val="16"/>
                <w:lang w:eastAsia="en-AU"/>
              </w:rPr>
              <w:t>Share of expenditure</w:t>
            </w:r>
          </w:p>
        </w:tc>
        <w:tc>
          <w:tcPr>
            <w:tcW w:w="1357" w:type="dxa"/>
            <w:tcBorders>
              <w:top w:val="nil"/>
              <w:left w:val="nil"/>
              <w:bottom w:val="nil"/>
              <w:right w:val="nil"/>
            </w:tcBorders>
            <w:shd w:val="clear" w:color="000000" w:fill="006991"/>
            <w:vAlign w:val="center"/>
            <w:hideMark/>
          </w:tcPr>
          <w:p w14:paraId="6E89452B" w14:textId="5336F47E" w:rsidR="00373D18" w:rsidRPr="00373D18" w:rsidRDefault="00373D18" w:rsidP="002D3944">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3D18">
              <w:rPr>
                <w:rFonts w:ascii="Open Sans Semibold" w:eastAsia="Times New Roman" w:hAnsi="Open Sans Semibold" w:cs="Open Sans Semibold"/>
                <w:color w:val="FFFFFF"/>
                <w:sz w:val="16"/>
                <w:szCs w:val="16"/>
                <w:lang w:eastAsia="en-AU"/>
              </w:rPr>
              <w:t xml:space="preserve">Substitutable service </w:t>
            </w:r>
            <w:r w:rsidRPr="00373D18">
              <w:rPr>
                <w:rFonts w:ascii="Open Sans Semibold" w:eastAsia="Times New Roman" w:hAnsi="Open Sans Semibold" w:cs="Open Sans Semibold"/>
                <w:color w:val="FFFFFF"/>
                <w:sz w:val="16"/>
                <w:szCs w:val="16"/>
                <w:lang w:eastAsia="en-AU"/>
              </w:rPr>
              <w:br/>
              <w:t>available (</w:t>
            </w:r>
            <w:r w:rsidR="00C52D78">
              <w:rPr>
                <w:rFonts w:ascii="Open Sans Semibold" w:eastAsia="Times New Roman" w:hAnsi="Open Sans Semibold" w:cs="Open Sans Semibold"/>
                <w:color w:val="FFFFFF"/>
                <w:sz w:val="16"/>
                <w:szCs w:val="16"/>
                <w:lang w:eastAsia="en-AU"/>
              </w:rPr>
              <w:t>a</w:t>
            </w:r>
            <w:r w:rsidRPr="00373D18">
              <w:rPr>
                <w:rFonts w:ascii="Open Sans Semibold" w:eastAsia="Times New Roman" w:hAnsi="Open Sans Semibold" w:cs="Open Sans Semibold"/>
                <w:color w:val="FFFFFF"/>
                <w:sz w:val="16"/>
                <w:szCs w:val="16"/>
                <w:lang w:eastAsia="en-AU"/>
              </w:rPr>
              <w:t>)</w:t>
            </w:r>
          </w:p>
        </w:tc>
        <w:tc>
          <w:tcPr>
            <w:tcW w:w="1438" w:type="dxa"/>
            <w:tcBorders>
              <w:top w:val="nil"/>
              <w:left w:val="nil"/>
              <w:bottom w:val="nil"/>
              <w:right w:val="nil"/>
            </w:tcBorders>
            <w:shd w:val="clear" w:color="000000" w:fill="006991"/>
            <w:vAlign w:val="center"/>
            <w:hideMark/>
          </w:tcPr>
          <w:p w14:paraId="232F842D" w14:textId="3A0F40B2" w:rsidR="00373D18" w:rsidRPr="00373D18" w:rsidRDefault="00373D18" w:rsidP="002D3944">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3D18">
              <w:rPr>
                <w:rFonts w:ascii="Open Sans Semibold" w:eastAsia="Times New Roman" w:hAnsi="Open Sans Semibold" w:cs="Open Sans Semibold"/>
                <w:color w:val="FFFFFF"/>
                <w:sz w:val="16"/>
                <w:szCs w:val="16"/>
                <w:lang w:eastAsia="en-AU"/>
              </w:rPr>
              <w:t>NAP substitutability</w:t>
            </w:r>
            <w:r w:rsidR="00BD63D3">
              <w:rPr>
                <w:rFonts w:ascii="Open Sans Semibold" w:eastAsia="Times New Roman" w:hAnsi="Open Sans Semibold" w:cs="Open Sans Semibold"/>
                <w:color w:val="FFFFFF"/>
                <w:sz w:val="16"/>
                <w:szCs w:val="16"/>
                <w:lang w:eastAsia="en-AU"/>
              </w:rPr>
              <w:t xml:space="preserve"> method 2</w:t>
            </w:r>
          </w:p>
        </w:tc>
      </w:tr>
      <w:tr w:rsidR="00373D18" w:rsidRPr="00373D18" w14:paraId="1D8A322C" w14:textId="77777777" w:rsidTr="00582C9B">
        <w:trPr>
          <w:trHeight w:val="300"/>
        </w:trPr>
        <w:tc>
          <w:tcPr>
            <w:tcW w:w="2157" w:type="dxa"/>
            <w:tcBorders>
              <w:top w:val="single" w:sz="8" w:space="0" w:color="ADD6EA"/>
              <w:left w:val="nil"/>
              <w:bottom w:val="nil"/>
              <w:right w:val="nil"/>
            </w:tcBorders>
            <w:shd w:val="clear" w:color="000000" w:fill="B6D5E4"/>
            <w:noWrap/>
            <w:vAlign w:val="center"/>
            <w:hideMark/>
          </w:tcPr>
          <w:p w14:paraId="051B5D73" w14:textId="77777777" w:rsidR="00373D18" w:rsidRPr="00373D18" w:rsidRDefault="00373D18" w:rsidP="002D3944">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373D18">
              <w:rPr>
                <w:rFonts w:ascii="Open Sans Semibold" w:eastAsia="Times New Roman" w:hAnsi="Open Sans Semibold" w:cs="Open Sans Semibold"/>
                <w:color w:val="000000"/>
                <w:sz w:val="16"/>
                <w:szCs w:val="16"/>
                <w:lang w:eastAsia="en-AU"/>
              </w:rPr>
              <w:t> </w:t>
            </w:r>
          </w:p>
        </w:tc>
        <w:tc>
          <w:tcPr>
            <w:tcW w:w="1413" w:type="dxa"/>
            <w:tcBorders>
              <w:top w:val="nil"/>
              <w:left w:val="nil"/>
              <w:bottom w:val="nil"/>
              <w:right w:val="nil"/>
            </w:tcBorders>
            <w:shd w:val="clear" w:color="000000" w:fill="B6D5E4"/>
            <w:noWrap/>
            <w:vAlign w:val="center"/>
            <w:hideMark/>
          </w:tcPr>
          <w:p w14:paraId="05DCAF44" w14:textId="77777777" w:rsidR="00373D18" w:rsidRPr="00373D18" w:rsidRDefault="00373D18" w:rsidP="002D3944">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3D18">
              <w:rPr>
                <w:rFonts w:ascii="Open Sans Semibold" w:eastAsia="Times New Roman" w:hAnsi="Open Sans Semibold" w:cs="Open Sans Semibold"/>
                <w:color w:val="000000"/>
                <w:sz w:val="16"/>
                <w:szCs w:val="16"/>
                <w:lang w:eastAsia="en-AU"/>
              </w:rPr>
              <w:t>%</w:t>
            </w:r>
          </w:p>
        </w:tc>
        <w:tc>
          <w:tcPr>
            <w:tcW w:w="1218" w:type="dxa"/>
            <w:tcBorders>
              <w:top w:val="single" w:sz="8" w:space="0" w:color="ADD6EA"/>
              <w:left w:val="nil"/>
              <w:bottom w:val="nil"/>
              <w:right w:val="nil"/>
            </w:tcBorders>
            <w:shd w:val="clear" w:color="000000" w:fill="B6D5E4"/>
            <w:noWrap/>
            <w:vAlign w:val="center"/>
            <w:hideMark/>
          </w:tcPr>
          <w:p w14:paraId="7E3C76CD" w14:textId="77777777" w:rsidR="00373D18" w:rsidRPr="00373D18" w:rsidRDefault="00373D18" w:rsidP="002D3944">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3D18">
              <w:rPr>
                <w:rFonts w:ascii="Open Sans Semibold" w:eastAsia="Times New Roman" w:hAnsi="Open Sans Semibold" w:cs="Open Sans Semibold"/>
                <w:color w:val="000000"/>
                <w:sz w:val="16"/>
                <w:szCs w:val="16"/>
                <w:lang w:eastAsia="en-AU"/>
              </w:rPr>
              <w:t>$</w:t>
            </w:r>
          </w:p>
        </w:tc>
        <w:tc>
          <w:tcPr>
            <w:tcW w:w="1277" w:type="dxa"/>
            <w:tcBorders>
              <w:top w:val="single" w:sz="8" w:space="0" w:color="ADD6EA"/>
              <w:left w:val="nil"/>
              <w:bottom w:val="nil"/>
              <w:right w:val="nil"/>
            </w:tcBorders>
            <w:shd w:val="clear" w:color="000000" w:fill="B6D5E4"/>
            <w:noWrap/>
            <w:vAlign w:val="center"/>
            <w:hideMark/>
          </w:tcPr>
          <w:p w14:paraId="70A69207" w14:textId="77777777" w:rsidR="00373D18" w:rsidRPr="00373D18" w:rsidRDefault="00373D18" w:rsidP="002D3944">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3D18">
              <w:rPr>
                <w:rFonts w:ascii="Open Sans Semibold" w:eastAsia="Times New Roman" w:hAnsi="Open Sans Semibold" w:cs="Open Sans Semibold"/>
                <w:color w:val="000000"/>
                <w:sz w:val="16"/>
                <w:szCs w:val="16"/>
                <w:lang w:eastAsia="en-AU"/>
              </w:rPr>
              <w:t>%</w:t>
            </w:r>
          </w:p>
        </w:tc>
        <w:tc>
          <w:tcPr>
            <w:tcW w:w="1357" w:type="dxa"/>
            <w:tcBorders>
              <w:top w:val="single" w:sz="8" w:space="0" w:color="ADD6EA"/>
              <w:left w:val="nil"/>
              <w:bottom w:val="nil"/>
              <w:right w:val="nil"/>
            </w:tcBorders>
            <w:shd w:val="clear" w:color="000000" w:fill="B6D5E4"/>
            <w:noWrap/>
            <w:vAlign w:val="center"/>
            <w:hideMark/>
          </w:tcPr>
          <w:p w14:paraId="413D049D" w14:textId="77777777" w:rsidR="00373D18" w:rsidRPr="00373D18" w:rsidRDefault="00373D18" w:rsidP="002D3944">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3D18">
              <w:rPr>
                <w:rFonts w:ascii="Open Sans Semibold" w:eastAsia="Times New Roman" w:hAnsi="Open Sans Semibold" w:cs="Open Sans Semibold"/>
                <w:color w:val="000000"/>
                <w:sz w:val="16"/>
                <w:szCs w:val="16"/>
                <w:lang w:eastAsia="en-AU"/>
              </w:rPr>
              <w:t>%</w:t>
            </w:r>
          </w:p>
        </w:tc>
        <w:tc>
          <w:tcPr>
            <w:tcW w:w="1438" w:type="dxa"/>
            <w:tcBorders>
              <w:top w:val="single" w:sz="8" w:space="0" w:color="ADD6EA"/>
              <w:left w:val="nil"/>
              <w:bottom w:val="nil"/>
              <w:right w:val="nil"/>
            </w:tcBorders>
            <w:shd w:val="clear" w:color="000000" w:fill="B6D5E4"/>
            <w:noWrap/>
            <w:vAlign w:val="center"/>
            <w:hideMark/>
          </w:tcPr>
          <w:p w14:paraId="5CE6CE6E" w14:textId="77777777" w:rsidR="00373D18" w:rsidRPr="00373D18" w:rsidRDefault="00373D18" w:rsidP="002D3944">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3D18">
              <w:rPr>
                <w:rFonts w:ascii="Open Sans Semibold" w:eastAsia="Times New Roman" w:hAnsi="Open Sans Semibold" w:cs="Open Sans Semibold"/>
                <w:color w:val="000000"/>
                <w:sz w:val="16"/>
                <w:szCs w:val="16"/>
                <w:lang w:eastAsia="en-AU"/>
              </w:rPr>
              <w:t>%</w:t>
            </w:r>
          </w:p>
        </w:tc>
      </w:tr>
      <w:tr w:rsidR="00373D18" w:rsidRPr="00373D18" w14:paraId="117E72B0" w14:textId="77777777" w:rsidTr="00582C9B">
        <w:trPr>
          <w:trHeight w:val="300"/>
        </w:trPr>
        <w:tc>
          <w:tcPr>
            <w:tcW w:w="2157" w:type="dxa"/>
            <w:tcBorders>
              <w:top w:val="single" w:sz="4" w:space="0" w:color="ADD6EA"/>
              <w:left w:val="nil"/>
              <w:bottom w:val="single" w:sz="4" w:space="0" w:color="ADD6EA"/>
              <w:right w:val="nil"/>
            </w:tcBorders>
            <w:shd w:val="clear" w:color="auto" w:fill="auto"/>
            <w:noWrap/>
            <w:vAlign w:val="center"/>
            <w:hideMark/>
          </w:tcPr>
          <w:p w14:paraId="59B37E27" w14:textId="77777777" w:rsidR="00373D18" w:rsidRPr="00373D18" w:rsidRDefault="00373D18" w:rsidP="002D3944">
            <w:pPr>
              <w:keepNext/>
              <w:tabs>
                <w:tab w:val="clear" w:pos="567"/>
              </w:tabs>
              <w:spacing w:before="0" w:line="240" w:lineRule="auto"/>
              <w:rPr>
                <w:rFonts w:eastAsia="Times New Roman" w:cs="Open Sans Light"/>
                <w:color w:val="000000"/>
                <w:sz w:val="16"/>
                <w:szCs w:val="16"/>
                <w:lang w:eastAsia="en-AU"/>
              </w:rPr>
            </w:pPr>
            <w:r w:rsidRPr="00373D18">
              <w:rPr>
                <w:rFonts w:eastAsia="Times New Roman" w:cs="Open Sans Light"/>
                <w:color w:val="000000"/>
                <w:sz w:val="16"/>
                <w:szCs w:val="16"/>
                <w:lang w:eastAsia="en-AU"/>
              </w:rPr>
              <w:t>Procedure clinics</w:t>
            </w:r>
          </w:p>
        </w:tc>
        <w:tc>
          <w:tcPr>
            <w:tcW w:w="1413" w:type="dxa"/>
            <w:tcBorders>
              <w:top w:val="single" w:sz="4" w:space="0" w:color="ADD6EA"/>
              <w:left w:val="nil"/>
              <w:bottom w:val="nil"/>
              <w:right w:val="nil"/>
            </w:tcBorders>
            <w:shd w:val="clear" w:color="000000" w:fill="FFFFFF"/>
            <w:vAlign w:val="bottom"/>
            <w:hideMark/>
          </w:tcPr>
          <w:p w14:paraId="55FB7289" w14:textId="5724F2ED"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12</w:t>
            </w:r>
          </w:p>
        </w:tc>
        <w:tc>
          <w:tcPr>
            <w:tcW w:w="1218" w:type="dxa"/>
            <w:tcBorders>
              <w:top w:val="single" w:sz="4" w:space="0" w:color="ADD6EA"/>
              <w:left w:val="nil"/>
              <w:bottom w:val="nil"/>
              <w:right w:val="nil"/>
            </w:tcBorders>
            <w:shd w:val="clear" w:color="000000" w:fill="FFFFFF"/>
            <w:vAlign w:val="bottom"/>
            <w:hideMark/>
          </w:tcPr>
          <w:p w14:paraId="2A65DFD7" w14:textId="77777777"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507</w:t>
            </w:r>
          </w:p>
        </w:tc>
        <w:tc>
          <w:tcPr>
            <w:tcW w:w="1277" w:type="dxa"/>
            <w:tcBorders>
              <w:top w:val="single" w:sz="4" w:space="0" w:color="ADD6EA"/>
              <w:left w:val="nil"/>
              <w:bottom w:val="nil"/>
              <w:right w:val="nil"/>
            </w:tcBorders>
            <w:shd w:val="clear" w:color="000000" w:fill="FFFFFF"/>
            <w:vAlign w:val="bottom"/>
            <w:hideMark/>
          </w:tcPr>
          <w:p w14:paraId="21490E6E" w14:textId="77777777"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18</w:t>
            </w:r>
          </w:p>
        </w:tc>
        <w:tc>
          <w:tcPr>
            <w:tcW w:w="1357" w:type="dxa"/>
            <w:tcBorders>
              <w:top w:val="single" w:sz="4" w:space="0" w:color="ADD6EA"/>
              <w:left w:val="nil"/>
              <w:bottom w:val="nil"/>
              <w:right w:val="nil"/>
            </w:tcBorders>
            <w:shd w:val="clear" w:color="000000" w:fill="FFFFFF"/>
            <w:vAlign w:val="bottom"/>
            <w:hideMark/>
          </w:tcPr>
          <w:p w14:paraId="0ABB44D7" w14:textId="77777777"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22</w:t>
            </w:r>
          </w:p>
        </w:tc>
        <w:tc>
          <w:tcPr>
            <w:tcW w:w="1438" w:type="dxa"/>
            <w:tcBorders>
              <w:top w:val="single" w:sz="4" w:space="0" w:color="ADD6EA"/>
              <w:left w:val="nil"/>
              <w:bottom w:val="nil"/>
              <w:right w:val="nil"/>
            </w:tcBorders>
            <w:shd w:val="clear" w:color="000000" w:fill="FFFFFF"/>
            <w:vAlign w:val="bottom"/>
            <w:hideMark/>
          </w:tcPr>
          <w:p w14:paraId="4D4CAC65" w14:textId="3F8849A9" w:rsidR="00373D18" w:rsidRPr="00373D18" w:rsidRDefault="00397CC7" w:rsidP="002D3944">
            <w:pPr>
              <w:keepNext/>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w:t>
            </w:r>
          </w:p>
        </w:tc>
      </w:tr>
      <w:tr w:rsidR="00373D18" w:rsidRPr="00373D18" w14:paraId="0453F8F8" w14:textId="77777777" w:rsidTr="00582C9B">
        <w:trPr>
          <w:trHeight w:val="300"/>
        </w:trPr>
        <w:tc>
          <w:tcPr>
            <w:tcW w:w="2157" w:type="dxa"/>
            <w:tcBorders>
              <w:top w:val="nil"/>
              <w:left w:val="nil"/>
              <w:bottom w:val="single" w:sz="4" w:space="0" w:color="ADD6EA"/>
              <w:right w:val="nil"/>
            </w:tcBorders>
            <w:shd w:val="clear" w:color="auto" w:fill="auto"/>
            <w:noWrap/>
            <w:vAlign w:val="center"/>
            <w:hideMark/>
          </w:tcPr>
          <w:p w14:paraId="3B02952B" w14:textId="77777777" w:rsidR="00373D18" w:rsidRPr="00373D18" w:rsidRDefault="00373D18" w:rsidP="002D3944">
            <w:pPr>
              <w:keepNext/>
              <w:tabs>
                <w:tab w:val="clear" w:pos="567"/>
              </w:tabs>
              <w:spacing w:before="0" w:line="240" w:lineRule="auto"/>
              <w:rPr>
                <w:rFonts w:eastAsia="Times New Roman" w:cs="Open Sans Light"/>
                <w:color w:val="000000"/>
                <w:sz w:val="16"/>
                <w:szCs w:val="16"/>
                <w:lang w:eastAsia="en-AU"/>
              </w:rPr>
            </w:pPr>
            <w:r w:rsidRPr="00373D18">
              <w:rPr>
                <w:rFonts w:eastAsia="Times New Roman" w:cs="Open Sans Light"/>
                <w:color w:val="000000"/>
                <w:sz w:val="16"/>
                <w:szCs w:val="16"/>
                <w:lang w:eastAsia="en-AU"/>
              </w:rPr>
              <w:t xml:space="preserve">Consultation clinics </w:t>
            </w:r>
          </w:p>
        </w:tc>
        <w:tc>
          <w:tcPr>
            <w:tcW w:w="1413" w:type="dxa"/>
            <w:tcBorders>
              <w:top w:val="single" w:sz="4" w:space="0" w:color="ADD6EA"/>
              <w:left w:val="nil"/>
              <w:bottom w:val="nil"/>
              <w:right w:val="nil"/>
            </w:tcBorders>
            <w:shd w:val="clear" w:color="000000" w:fill="FFFFFF"/>
            <w:vAlign w:val="bottom"/>
            <w:hideMark/>
          </w:tcPr>
          <w:p w14:paraId="6D21542E" w14:textId="6A7EB0E2"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38</w:t>
            </w:r>
          </w:p>
        </w:tc>
        <w:tc>
          <w:tcPr>
            <w:tcW w:w="1218" w:type="dxa"/>
            <w:tcBorders>
              <w:top w:val="single" w:sz="4" w:space="0" w:color="ADD6EA"/>
              <w:left w:val="nil"/>
              <w:bottom w:val="nil"/>
              <w:right w:val="nil"/>
            </w:tcBorders>
            <w:shd w:val="clear" w:color="000000" w:fill="FFFFFF"/>
            <w:vAlign w:val="bottom"/>
            <w:hideMark/>
          </w:tcPr>
          <w:p w14:paraId="32A76671" w14:textId="202136ED"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4</w:t>
            </w:r>
            <w:r w:rsidR="00286734">
              <w:rPr>
                <w:rFonts w:eastAsia="Times New Roman" w:cs="Open Sans Light"/>
                <w:color w:val="000000"/>
                <w:sz w:val="16"/>
                <w:szCs w:val="16"/>
                <w:lang w:eastAsia="en-AU"/>
              </w:rPr>
              <w:t>35</w:t>
            </w:r>
          </w:p>
        </w:tc>
        <w:tc>
          <w:tcPr>
            <w:tcW w:w="1277" w:type="dxa"/>
            <w:tcBorders>
              <w:top w:val="single" w:sz="4" w:space="0" w:color="ADD6EA"/>
              <w:left w:val="nil"/>
              <w:bottom w:val="nil"/>
              <w:right w:val="nil"/>
            </w:tcBorders>
            <w:shd w:val="clear" w:color="000000" w:fill="FFFFFF"/>
            <w:vAlign w:val="bottom"/>
            <w:hideMark/>
          </w:tcPr>
          <w:p w14:paraId="5B11CF19" w14:textId="0458821B"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4</w:t>
            </w:r>
            <w:r w:rsidR="00564B0C">
              <w:rPr>
                <w:rFonts w:eastAsia="Times New Roman" w:cs="Open Sans Light"/>
                <w:color w:val="000000"/>
                <w:sz w:val="16"/>
                <w:szCs w:val="16"/>
                <w:lang w:eastAsia="en-AU"/>
              </w:rPr>
              <w:t>7</w:t>
            </w:r>
          </w:p>
        </w:tc>
        <w:tc>
          <w:tcPr>
            <w:tcW w:w="1357" w:type="dxa"/>
            <w:tcBorders>
              <w:top w:val="single" w:sz="4" w:space="0" w:color="ADD6EA"/>
              <w:left w:val="nil"/>
              <w:bottom w:val="nil"/>
              <w:right w:val="nil"/>
            </w:tcBorders>
            <w:shd w:val="clear" w:color="000000" w:fill="FFFFFF"/>
            <w:vAlign w:val="bottom"/>
            <w:hideMark/>
          </w:tcPr>
          <w:p w14:paraId="5542C7F3" w14:textId="77777777"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34</w:t>
            </w:r>
          </w:p>
        </w:tc>
        <w:tc>
          <w:tcPr>
            <w:tcW w:w="1438" w:type="dxa"/>
            <w:tcBorders>
              <w:top w:val="single" w:sz="4" w:space="0" w:color="ADD6EA"/>
              <w:left w:val="nil"/>
              <w:bottom w:val="nil"/>
              <w:right w:val="nil"/>
            </w:tcBorders>
            <w:shd w:val="clear" w:color="000000" w:fill="FFFFFF"/>
            <w:vAlign w:val="bottom"/>
            <w:hideMark/>
          </w:tcPr>
          <w:p w14:paraId="7DFD9542" w14:textId="1954BBCD"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16</w:t>
            </w:r>
          </w:p>
        </w:tc>
      </w:tr>
      <w:tr w:rsidR="00373D18" w:rsidRPr="00373D18" w14:paraId="4C72B1B7" w14:textId="77777777" w:rsidTr="00582C9B">
        <w:trPr>
          <w:trHeight w:val="300"/>
        </w:trPr>
        <w:tc>
          <w:tcPr>
            <w:tcW w:w="2157" w:type="dxa"/>
            <w:tcBorders>
              <w:top w:val="nil"/>
              <w:left w:val="nil"/>
              <w:bottom w:val="single" w:sz="4" w:space="0" w:color="ADD6EA"/>
              <w:right w:val="nil"/>
            </w:tcBorders>
            <w:shd w:val="clear" w:color="auto" w:fill="auto"/>
            <w:noWrap/>
            <w:vAlign w:val="center"/>
            <w:hideMark/>
          </w:tcPr>
          <w:p w14:paraId="2482FC77" w14:textId="77777777" w:rsidR="00373D18" w:rsidRPr="00373D18" w:rsidRDefault="00373D18" w:rsidP="002D3944">
            <w:pPr>
              <w:keepNext/>
              <w:tabs>
                <w:tab w:val="clear" w:pos="567"/>
              </w:tabs>
              <w:spacing w:before="0" w:line="240" w:lineRule="auto"/>
              <w:rPr>
                <w:rFonts w:eastAsia="Times New Roman" w:cs="Open Sans Light"/>
                <w:color w:val="000000"/>
                <w:sz w:val="16"/>
                <w:szCs w:val="16"/>
                <w:lang w:eastAsia="en-AU"/>
              </w:rPr>
            </w:pPr>
            <w:r w:rsidRPr="00373D18">
              <w:rPr>
                <w:rFonts w:eastAsia="Times New Roman" w:cs="Open Sans Light"/>
                <w:color w:val="000000"/>
                <w:sz w:val="16"/>
                <w:szCs w:val="16"/>
                <w:lang w:eastAsia="en-AU"/>
              </w:rPr>
              <w:t>Allied health clinics</w:t>
            </w:r>
          </w:p>
        </w:tc>
        <w:tc>
          <w:tcPr>
            <w:tcW w:w="1413" w:type="dxa"/>
            <w:tcBorders>
              <w:top w:val="single" w:sz="4" w:space="0" w:color="ADD6EA"/>
              <w:left w:val="nil"/>
              <w:bottom w:val="nil"/>
              <w:right w:val="nil"/>
            </w:tcBorders>
            <w:shd w:val="clear" w:color="000000" w:fill="FFFFFF"/>
            <w:vAlign w:val="bottom"/>
            <w:hideMark/>
          </w:tcPr>
          <w:p w14:paraId="501C27D0" w14:textId="62B557F3"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50</w:t>
            </w:r>
          </w:p>
        </w:tc>
        <w:tc>
          <w:tcPr>
            <w:tcW w:w="1218" w:type="dxa"/>
            <w:tcBorders>
              <w:top w:val="single" w:sz="4" w:space="0" w:color="ADD6EA"/>
              <w:left w:val="nil"/>
              <w:bottom w:val="nil"/>
              <w:right w:val="nil"/>
            </w:tcBorders>
            <w:shd w:val="clear" w:color="000000" w:fill="FFFFFF"/>
            <w:vAlign w:val="bottom"/>
            <w:hideMark/>
          </w:tcPr>
          <w:p w14:paraId="63303472" w14:textId="77777777"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254</w:t>
            </w:r>
          </w:p>
        </w:tc>
        <w:tc>
          <w:tcPr>
            <w:tcW w:w="1277" w:type="dxa"/>
            <w:tcBorders>
              <w:top w:val="single" w:sz="4" w:space="0" w:color="ADD6EA"/>
              <w:left w:val="nil"/>
              <w:bottom w:val="nil"/>
              <w:right w:val="nil"/>
            </w:tcBorders>
            <w:shd w:val="clear" w:color="000000" w:fill="FFFFFF"/>
            <w:vAlign w:val="bottom"/>
            <w:hideMark/>
          </w:tcPr>
          <w:p w14:paraId="4B58EA1B" w14:textId="77777777"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36</w:t>
            </w:r>
          </w:p>
        </w:tc>
        <w:tc>
          <w:tcPr>
            <w:tcW w:w="1357" w:type="dxa"/>
            <w:tcBorders>
              <w:top w:val="single" w:sz="4" w:space="0" w:color="ADD6EA"/>
              <w:left w:val="nil"/>
              <w:bottom w:val="nil"/>
              <w:right w:val="nil"/>
            </w:tcBorders>
            <w:shd w:val="clear" w:color="000000" w:fill="FFFFFF"/>
            <w:vAlign w:val="bottom"/>
            <w:hideMark/>
          </w:tcPr>
          <w:p w14:paraId="2D19EED8" w14:textId="77777777"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0</w:t>
            </w:r>
          </w:p>
        </w:tc>
        <w:tc>
          <w:tcPr>
            <w:tcW w:w="1438" w:type="dxa"/>
            <w:tcBorders>
              <w:top w:val="single" w:sz="4" w:space="0" w:color="ADD6EA"/>
              <w:left w:val="nil"/>
              <w:bottom w:val="nil"/>
              <w:right w:val="nil"/>
            </w:tcBorders>
            <w:shd w:val="clear" w:color="000000" w:fill="FFFFFF"/>
            <w:vAlign w:val="bottom"/>
            <w:hideMark/>
          </w:tcPr>
          <w:p w14:paraId="56EC908F" w14:textId="61FBF31F" w:rsidR="00373D18" w:rsidRPr="00373D18" w:rsidRDefault="00373D18" w:rsidP="002D3944">
            <w:pPr>
              <w:keepNext/>
              <w:tabs>
                <w:tab w:val="clear" w:pos="567"/>
              </w:tabs>
              <w:spacing w:before="0" w:line="240" w:lineRule="auto"/>
              <w:jc w:val="right"/>
              <w:rPr>
                <w:rFonts w:eastAsia="Times New Roman" w:cs="Open Sans Light"/>
                <w:color w:val="000000"/>
                <w:sz w:val="16"/>
                <w:szCs w:val="16"/>
                <w:lang w:eastAsia="en-AU"/>
              </w:rPr>
            </w:pPr>
            <w:r w:rsidRPr="00373D18">
              <w:rPr>
                <w:rFonts w:eastAsia="Times New Roman" w:cs="Open Sans Light"/>
                <w:color w:val="000000"/>
                <w:sz w:val="16"/>
                <w:szCs w:val="16"/>
                <w:lang w:eastAsia="en-AU"/>
              </w:rPr>
              <w:t>0</w:t>
            </w:r>
          </w:p>
        </w:tc>
      </w:tr>
      <w:tr w:rsidR="00671386" w:rsidRPr="00373D18" w14:paraId="2E5DAE5F" w14:textId="77777777" w:rsidTr="00582C9B">
        <w:trPr>
          <w:trHeight w:val="300"/>
        </w:trPr>
        <w:tc>
          <w:tcPr>
            <w:tcW w:w="3570" w:type="dxa"/>
            <w:gridSpan w:val="2"/>
            <w:tcBorders>
              <w:top w:val="nil"/>
              <w:left w:val="nil"/>
              <w:bottom w:val="nil"/>
              <w:right w:val="nil"/>
            </w:tcBorders>
            <w:shd w:val="clear" w:color="000000" w:fill="D6E7F0"/>
            <w:noWrap/>
            <w:vAlign w:val="center"/>
            <w:hideMark/>
          </w:tcPr>
          <w:p w14:paraId="5D1446C9" w14:textId="6C052A34" w:rsidR="00671386" w:rsidRPr="00373D18" w:rsidRDefault="00671386" w:rsidP="002D3944">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373D18">
              <w:rPr>
                <w:rFonts w:ascii="Open Sans Semibold" w:eastAsia="Times New Roman" w:hAnsi="Open Sans Semibold" w:cs="Open Sans Semibold"/>
                <w:color w:val="000000"/>
                <w:sz w:val="16"/>
                <w:szCs w:val="16"/>
                <w:lang w:eastAsia="en-AU"/>
              </w:rPr>
              <w:t>Total</w:t>
            </w:r>
          </w:p>
          <w:p w14:paraId="32BEFAA5" w14:textId="7AF0575C" w:rsidR="00671386" w:rsidRPr="00373D18" w:rsidRDefault="00671386" w:rsidP="002D3944">
            <w:pPr>
              <w:keepNext/>
              <w:tabs>
                <w:tab w:val="clear" w:pos="567"/>
              </w:tabs>
              <w:spacing w:before="0" w:line="240" w:lineRule="auto"/>
              <w:rPr>
                <w:rFonts w:ascii="Open Sans Semibold" w:eastAsia="Times New Roman" w:hAnsi="Open Sans Semibold" w:cs="Open Sans Semibold"/>
                <w:b/>
                <w:bCs/>
                <w:color w:val="000000"/>
                <w:sz w:val="16"/>
                <w:szCs w:val="16"/>
                <w:lang w:eastAsia="en-AU"/>
              </w:rPr>
            </w:pPr>
          </w:p>
        </w:tc>
        <w:tc>
          <w:tcPr>
            <w:tcW w:w="1218" w:type="dxa"/>
            <w:tcBorders>
              <w:top w:val="nil"/>
              <w:left w:val="nil"/>
              <w:bottom w:val="nil"/>
              <w:right w:val="nil"/>
            </w:tcBorders>
            <w:shd w:val="clear" w:color="000000" w:fill="D6E7F0"/>
            <w:noWrap/>
            <w:vAlign w:val="center"/>
            <w:hideMark/>
          </w:tcPr>
          <w:p w14:paraId="63A268B3" w14:textId="77777777" w:rsidR="00671386" w:rsidRPr="00373D18" w:rsidRDefault="00671386" w:rsidP="002D3944">
            <w:pPr>
              <w:keepNext/>
              <w:tabs>
                <w:tab w:val="clear" w:pos="567"/>
              </w:tabs>
              <w:spacing w:before="0" w:line="240" w:lineRule="auto"/>
              <w:jc w:val="right"/>
              <w:rPr>
                <w:rFonts w:ascii="Open Sans Semibold" w:eastAsia="Times New Roman" w:hAnsi="Open Sans Semibold" w:cs="Open Sans Semibold"/>
                <w:b/>
                <w:bCs/>
                <w:color w:val="000000"/>
                <w:sz w:val="16"/>
                <w:szCs w:val="16"/>
                <w:lang w:eastAsia="en-AU"/>
              </w:rPr>
            </w:pPr>
            <w:r w:rsidRPr="00373D18">
              <w:rPr>
                <w:rFonts w:ascii="Open Sans Semibold" w:eastAsia="Times New Roman" w:hAnsi="Open Sans Semibold" w:cs="Open Sans Semibold"/>
                <w:b/>
                <w:bCs/>
                <w:color w:val="000000"/>
                <w:sz w:val="16"/>
                <w:szCs w:val="16"/>
                <w:lang w:eastAsia="en-AU"/>
              </w:rPr>
              <w:t> </w:t>
            </w:r>
          </w:p>
        </w:tc>
        <w:tc>
          <w:tcPr>
            <w:tcW w:w="1277" w:type="dxa"/>
            <w:tcBorders>
              <w:top w:val="nil"/>
              <w:left w:val="nil"/>
              <w:bottom w:val="nil"/>
              <w:right w:val="nil"/>
            </w:tcBorders>
            <w:shd w:val="clear" w:color="000000" w:fill="D6E7F0"/>
            <w:noWrap/>
            <w:vAlign w:val="center"/>
            <w:hideMark/>
          </w:tcPr>
          <w:p w14:paraId="68979648" w14:textId="779B82CE" w:rsidR="00671386" w:rsidRPr="00373D18" w:rsidRDefault="00671386" w:rsidP="002D3944">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p>
        </w:tc>
        <w:tc>
          <w:tcPr>
            <w:tcW w:w="1357" w:type="dxa"/>
            <w:tcBorders>
              <w:top w:val="nil"/>
              <w:left w:val="nil"/>
              <w:bottom w:val="nil"/>
              <w:right w:val="nil"/>
            </w:tcBorders>
            <w:shd w:val="clear" w:color="000000" w:fill="D6E7F0"/>
            <w:noWrap/>
            <w:vAlign w:val="center"/>
            <w:hideMark/>
          </w:tcPr>
          <w:p w14:paraId="1A6D40A5" w14:textId="77777777" w:rsidR="00671386" w:rsidRPr="00373D18" w:rsidRDefault="00671386" w:rsidP="002D3944">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3D18">
              <w:rPr>
                <w:rFonts w:ascii="Open Sans Semibold" w:eastAsia="Times New Roman" w:hAnsi="Open Sans Semibold" w:cs="Open Sans Semibold"/>
                <w:color w:val="000000"/>
                <w:sz w:val="16"/>
                <w:szCs w:val="16"/>
                <w:lang w:eastAsia="en-AU"/>
              </w:rPr>
              <w:t> </w:t>
            </w:r>
          </w:p>
        </w:tc>
        <w:tc>
          <w:tcPr>
            <w:tcW w:w="1438" w:type="dxa"/>
            <w:tcBorders>
              <w:top w:val="nil"/>
              <w:left w:val="nil"/>
              <w:bottom w:val="nil"/>
              <w:right w:val="nil"/>
            </w:tcBorders>
            <w:shd w:val="clear" w:color="000000" w:fill="D6E7F0"/>
            <w:noWrap/>
            <w:vAlign w:val="center"/>
            <w:hideMark/>
          </w:tcPr>
          <w:p w14:paraId="6C55B069" w14:textId="19AAD10B" w:rsidR="00671386" w:rsidRPr="00373D18" w:rsidRDefault="00671386" w:rsidP="002D3944">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73D18">
              <w:rPr>
                <w:rFonts w:ascii="Open Sans Semibold" w:eastAsia="Times New Roman" w:hAnsi="Open Sans Semibold" w:cs="Open Sans Semibold"/>
                <w:color w:val="000000"/>
                <w:sz w:val="16"/>
                <w:szCs w:val="16"/>
                <w:lang w:eastAsia="en-AU"/>
              </w:rPr>
              <w:t>20</w:t>
            </w:r>
          </w:p>
        </w:tc>
      </w:tr>
    </w:tbl>
    <w:p w14:paraId="42DF565C" w14:textId="4C8883F4" w:rsidR="00F360A2" w:rsidRDefault="00E8064A" w:rsidP="00B43268">
      <w:pPr>
        <w:pStyle w:val="CGC2025TableNote"/>
        <w:ind w:left="709" w:hanging="596"/>
      </w:pPr>
      <w:r>
        <w:t>Note:</w:t>
      </w:r>
      <w:r>
        <w:tab/>
      </w:r>
      <w:r>
        <w:tab/>
      </w:r>
      <w:r w:rsidR="00E257D7">
        <w:t>The p</w:t>
      </w:r>
      <w:r w:rsidR="005A608A" w:rsidRPr="005A608A">
        <w:t>roportion</w:t>
      </w:r>
      <w:r w:rsidR="004E2E44">
        <w:t>s</w:t>
      </w:r>
      <w:r w:rsidR="005A608A" w:rsidRPr="005A608A">
        <w:t xml:space="preserve"> of private operations</w:t>
      </w:r>
      <w:r w:rsidR="001020C5">
        <w:t xml:space="preserve">, </w:t>
      </w:r>
      <w:r w:rsidR="005A608A" w:rsidRPr="005A608A">
        <w:t xml:space="preserve">specialist services </w:t>
      </w:r>
      <w:r w:rsidR="001020C5">
        <w:t xml:space="preserve">and allied health services </w:t>
      </w:r>
      <w:r w:rsidR="005A608A" w:rsidRPr="005A608A">
        <w:t>that are bulk billed</w:t>
      </w:r>
      <w:r w:rsidR="00716CAE">
        <w:t xml:space="preserve"> are used as proxy for </w:t>
      </w:r>
      <w:r w:rsidR="00FE3FC1">
        <w:t xml:space="preserve">the availability of </w:t>
      </w:r>
      <w:r w:rsidR="00716CAE">
        <w:t>substitutable services.</w:t>
      </w:r>
    </w:p>
    <w:p w14:paraId="3F2E27DD" w14:textId="1619E5C7" w:rsidR="003049DE" w:rsidRDefault="003049DE" w:rsidP="002D3944">
      <w:pPr>
        <w:pStyle w:val="CGC2025TableNote"/>
        <w:keepNext/>
        <w:ind w:left="709" w:hanging="596"/>
      </w:pPr>
      <w:r>
        <w:t>Source</w:t>
      </w:r>
      <w:r w:rsidR="00B41F32">
        <w:t xml:space="preserve">: </w:t>
      </w:r>
      <w:r w:rsidR="005B3E38">
        <w:t>Commission calculation using AIHW and IHACPA data</w:t>
      </w:r>
      <w:r w:rsidR="00B41F32">
        <w:t>.</w:t>
      </w:r>
    </w:p>
    <w:p w14:paraId="3E8C2E8D" w14:textId="1F5686B0" w:rsidR="002A39C6" w:rsidRDefault="00E0536B" w:rsidP="002A39C6">
      <w:pPr>
        <w:pStyle w:val="CGC2025ParaNumbers"/>
      </w:pPr>
      <w:r w:rsidRPr="005C0DC4">
        <w:t>The midpoint of the results from the first and second methods is 28%</w:t>
      </w:r>
      <w:r w:rsidR="00DA2C3A" w:rsidRPr="005C0DC4">
        <w:t>. The</w:t>
      </w:r>
      <w:r w:rsidR="00DA2C3A" w:rsidRPr="005C0DC4" w:rsidDel="001E596C">
        <w:t xml:space="preserve"> </w:t>
      </w:r>
      <w:r w:rsidR="00DA2C3A" w:rsidRPr="005C0DC4">
        <w:t>substitutability level</w:t>
      </w:r>
      <w:r w:rsidR="002A39C6">
        <w:t xml:space="preserve"> </w:t>
      </w:r>
      <w:r w:rsidR="001E596C">
        <w:t xml:space="preserve">is set </w:t>
      </w:r>
      <w:r w:rsidR="002A39C6">
        <w:t>at</w:t>
      </w:r>
      <w:r w:rsidR="00DA2C3A" w:rsidRPr="005C0DC4">
        <w:t xml:space="preserve"> </w:t>
      </w:r>
      <w:r w:rsidR="00C70A5E">
        <w:t>28</w:t>
      </w:r>
      <w:r w:rsidRPr="005C0DC4">
        <w:t>%</w:t>
      </w:r>
      <w:r w:rsidR="002A39C6">
        <w:t xml:space="preserve"> </w:t>
      </w:r>
      <w:r w:rsidR="002A39C6" w:rsidRPr="00BE4B9E">
        <w:t xml:space="preserve">and this will be maintained for the 2025 Review. </w:t>
      </w:r>
    </w:p>
    <w:p w14:paraId="048E0CB7" w14:textId="47F5D8B8" w:rsidR="00574D1D" w:rsidRDefault="007F51E9" w:rsidP="001F3845">
      <w:pPr>
        <w:pStyle w:val="Heading5"/>
      </w:pPr>
      <w:bookmarkStart w:id="27" w:name="_Hlk177651410"/>
      <w:r>
        <w:t>I</w:t>
      </w:r>
      <w:r w:rsidR="0036396D" w:rsidRPr="00D30CB8">
        <w:t>ndicator</w:t>
      </w:r>
      <w:r w:rsidR="006743EE">
        <w:t>s</w:t>
      </w:r>
      <w:r w:rsidR="00574D1D" w:rsidRPr="00D30CB8">
        <w:t xml:space="preserve"> </w:t>
      </w:r>
      <w:r w:rsidR="000F09E5">
        <w:t xml:space="preserve">of </w:t>
      </w:r>
      <w:r w:rsidR="006743EE">
        <w:t>non</w:t>
      </w:r>
      <w:r w:rsidR="006743EE">
        <w:noBreakHyphen/>
        <w:t xml:space="preserve">state sector </w:t>
      </w:r>
      <w:r w:rsidR="000F09E5">
        <w:t>activity</w:t>
      </w:r>
    </w:p>
    <w:bookmarkEnd w:id="27"/>
    <w:p w14:paraId="15BAB047" w14:textId="49467F86" w:rsidR="00564BB5" w:rsidRPr="00893661" w:rsidRDefault="002664F2" w:rsidP="00280A8B">
      <w:pPr>
        <w:pStyle w:val="CGC2025ParaNumbers"/>
        <w:rPr>
          <w:color w:val="000000" w:themeColor="text1"/>
        </w:rPr>
      </w:pPr>
      <w:r>
        <w:rPr>
          <w:color w:val="000000" w:themeColor="text1"/>
        </w:rPr>
        <w:t xml:space="preserve">Each </w:t>
      </w:r>
      <w:r w:rsidR="007F0722" w:rsidRPr="00893661">
        <w:rPr>
          <w:color w:val="000000" w:themeColor="text1"/>
        </w:rPr>
        <w:t>component use</w:t>
      </w:r>
      <w:r>
        <w:rPr>
          <w:color w:val="000000" w:themeColor="text1"/>
        </w:rPr>
        <w:t>s</w:t>
      </w:r>
      <w:r w:rsidR="007F0722" w:rsidRPr="00893661">
        <w:rPr>
          <w:color w:val="000000" w:themeColor="text1"/>
        </w:rPr>
        <w:t xml:space="preserve"> </w:t>
      </w:r>
      <w:r w:rsidR="009A5C84" w:rsidRPr="00893661">
        <w:rPr>
          <w:color w:val="000000" w:themeColor="text1"/>
        </w:rPr>
        <w:t xml:space="preserve">different </w:t>
      </w:r>
      <w:r w:rsidR="004A477B" w:rsidRPr="00893661">
        <w:rPr>
          <w:color w:val="000000" w:themeColor="text1"/>
        </w:rPr>
        <w:t xml:space="preserve">indicators to </w:t>
      </w:r>
      <w:r w:rsidR="000872A1" w:rsidRPr="00893661">
        <w:rPr>
          <w:color w:val="000000" w:themeColor="text1"/>
        </w:rPr>
        <w:t>measure</w:t>
      </w:r>
      <w:r w:rsidR="00CF5B7A" w:rsidRPr="00893661">
        <w:rPr>
          <w:color w:val="000000" w:themeColor="text1"/>
        </w:rPr>
        <w:t xml:space="preserve"> </w:t>
      </w:r>
      <w:r w:rsidR="005325C1" w:rsidRPr="00893661">
        <w:rPr>
          <w:color w:val="000000" w:themeColor="text1"/>
        </w:rPr>
        <w:t>non-state se</w:t>
      </w:r>
      <w:r w:rsidR="00A5652B" w:rsidRPr="00893661">
        <w:rPr>
          <w:color w:val="000000" w:themeColor="text1"/>
        </w:rPr>
        <w:t xml:space="preserve">rvice use. </w:t>
      </w:r>
      <w:r>
        <w:rPr>
          <w:color w:val="000000" w:themeColor="text1"/>
        </w:rPr>
        <w:t xml:space="preserve">The data are </w:t>
      </w:r>
      <w:r w:rsidR="00C72DF2">
        <w:t>disagg</w:t>
      </w:r>
      <w:r w:rsidR="00C72DF2" w:rsidRPr="00F72B17">
        <w:t xml:space="preserve">regated by age, </w:t>
      </w:r>
      <w:r w:rsidR="00C72DF2">
        <w:t>I</w:t>
      </w:r>
      <w:r w:rsidR="00C72DF2" w:rsidRPr="00F72B17">
        <w:t>ndigenous status, remoteness and socio-economic status</w:t>
      </w:r>
      <w:r w:rsidR="00EA0D7C">
        <w:t xml:space="preserve"> using the </w:t>
      </w:r>
      <w:r w:rsidR="00EC468B">
        <w:t>socio</w:t>
      </w:r>
      <w:r w:rsidR="00EC468B">
        <w:noBreakHyphen/>
        <w:t>demographic</w:t>
      </w:r>
      <w:r w:rsidR="00EA0D7C">
        <w:t xml:space="preserve"> groups </w:t>
      </w:r>
      <w:r w:rsidR="00EC468B">
        <w:t xml:space="preserve">shown </w:t>
      </w:r>
      <w:r w:rsidR="00EA0D7C">
        <w:t>in</w:t>
      </w:r>
      <w:r w:rsidR="00724C44">
        <w:t xml:space="preserve"> </w:t>
      </w:r>
      <w:r w:rsidR="00C2049D">
        <w:t>Table 5</w:t>
      </w:r>
      <w:r w:rsidR="00EA0D7C">
        <w:t>.</w:t>
      </w:r>
    </w:p>
    <w:p w14:paraId="58D86E82" w14:textId="706A921C" w:rsidR="00462673" w:rsidRPr="00F073F4" w:rsidRDefault="00D224B2" w:rsidP="00893661">
      <w:pPr>
        <w:pStyle w:val="CGC2025ParaNumbers"/>
      </w:pPr>
      <w:r w:rsidRPr="001B10AE">
        <w:t xml:space="preserve">The </w:t>
      </w:r>
      <w:r w:rsidR="00905A87" w:rsidRPr="001B10AE">
        <w:t>indicator of non</w:t>
      </w:r>
      <w:r w:rsidR="00905A87" w:rsidRPr="001B10AE">
        <w:noBreakHyphen/>
        <w:t>state sector a</w:t>
      </w:r>
      <w:r w:rsidR="00C62B8E" w:rsidRPr="001B10AE">
        <w:t>dmitted patient</w:t>
      </w:r>
      <w:r w:rsidR="00905A87" w:rsidRPr="001B10AE">
        <w:t xml:space="preserve"> </w:t>
      </w:r>
      <w:r w:rsidR="0058484F" w:rsidRPr="001B10AE">
        <w:t>activity</w:t>
      </w:r>
      <w:r w:rsidR="00C62B8E" w:rsidRPr="001B10AE">
        <w:t xml:space="preserve"> </w:t>
      </w:r>
      <w:r w:rsidR="00560116" w:rsidRPr="001B10AE">
        <w:t>is</w:t>
      </w:r>
      <w:r w:rsidR="00C62B8E" w:rsidRPr="001B10AE">
        <w:t xml:space="preserve"> </w:t>
      </w:r>
      <w:r w:rsidR="00C62B8E" w:rsidRPr="001B10AE">
        <w:rPr>
          <w:i/>
        </w:rPr>
        <w:t xml:space="preserve">private patient </w:t>
      </w:r>
      <w:r w:rsidR="00781751" w:rsidRPr="001B10AE">
        <w:rPr>
          <w:i/>
        </w:rPr>
        <w:t>separations</w:t>
      </w:r>
      <w:r w:rsidR="00C62B8E" w:rsidRPr="001B10AE">
        <w:rPr>
          <w:i/>
          <w:iCs/>
        </w:rPr>
        <w:t xml:space="preserve"> </w:t>
      </w:r>
      <w:r w:rsidR="001B10AE">
        <w:rPr>
          <w:i/>
          <w:iCs/>
        </w:rPr>
        <w:t xml:space="preserve">for </w:t>
      </w:r>
      <w:r w:rsidR="00C62B8E" w:rsidRPr="001B10AE">
        <w:rPr>
          <w:i/>
          <w:iCs/>
        </w:rPr>
        <w:t xml:space="preserve">private health insurance-funded admitted </w:t>
      </w:r>
      <w:r w:rsidR="007802A2" w:rsidRPr="001B10AE">
        <w:rPr>
          <w:i/>
          <w:iCs/>
        </w:rPr>
        <w:t>patients</w:t>
      </w:r>
      <w:r w:rsidR="00C62B8E" w:rsidRPr="001B10AE">
        <w:rPr>
          <w:i/>
          <w:iCs/>
        </w:rPr>
        <w:t xml:space="preserve"> in private</w:t>
      </w:r>
      <w:r w:rsidR="00C62B8E" w:rsidRPr="00F073F4">
        <w:rPr>
          <w:i/>
          <w:iCs/>
        </w:rPr>
        <w:t xml:space="preserve"> an</w:t>
      </w:r>
      <w:r w:rsidR="007802A2" w:rsidRPr="00F073F4">
        <w:rPr>
          <w:i/>
          <w:iCs/>
        </w:rPr>
        <w:t>d</w:t>
      </w:r>
      <w:r w:rsidR="00C62B8E" w:rsidRPr="00F073F4">
        <w:rPr>
          <w:i/>
          <w:iCs/>
        </w:rPr>
        <w:t xml:space="preserve"> </w:t>
      </w:r>
      <w:r w:rsidR="007802A2" w:rsidRPr="00F073F4">
        <w:rPr>
          <w:i/>
          <w:iCs/>
        </w:rPr>
        <w:t>public</w:t>
      </w:r>
      <w:r w:rsidR="00C62B8E" w:rsidRPr="00F073F4">
        <w:rPr>
          <w:i/>
          <w:iCs/>
        </w:rPr>
        <w:t xml:space="preserve"> </w:t>
      </w:r>
      <w:r w:rsidR="007802A2" w:rsidRPr="00F073F4">
        <w:rPr>
          <w:i/>
          <w:iCs/>
        </w:rPr>
        <w:t>hospitals</w:t>
      </w:r>
      <w:r w:rsidR="00C62B8E" w:rsidRPr="00F073F4">
        <w:t>. Th</w:t>
      </w:r>
      <w:r w:rsidR="00160D7C" w:rsidRPr="00F073F4">
        <w:t>e</w:t>
      </w:r>
      <w:r w:rsidR="00C62B8E" w:rsidRPr="00F073F4">
        <w:t xml:space="preserve"> data </w:t>
      </w:r>
      <w:r w:rsidR="00160D7C" w:rsidRPr="00F073F4">
        <w:t>are</w:t>
      </w:r>
      <w:r w:rsidR="00C62B8E" w:rsidRPr="00F073F4">
        <w:t xml:space="preserve"> sourced from the </w:t>
      </w:r>
      <w:r w:rsidR="00F9378F">
        <w:t>AIHW</w:t>
      </w:r>
      <w:r w:rsidR="0062176A" w:rsidRPr="00F073F4">
        <w:t xml:space="preserve"> </w:t>
      </w:r>
      <w:r w:rsidR="00C74EF2" w:rsidRPr="00F073F4">
        <w:t xml:space="preserve">(for the calculation of assessed </w:t>
      </w:r>
      <w:r w:rsidR="00EE1FBE" w:rsidRPr="00F073F4">
        <w:t xml:space="preserve">service </w:t>
      </w:r>
      <w:r w:rsidR="00131A38" w:rsidRPr="00F073F4">
        <w:t xml:space="preserve">need) </w:t>
      </w:r>
      <w:r w:rsidR="0062176A" w:rsidRPr="00F073F4">
        <w:t xml:space="preserve">and the </w:t>
      </w:r>
      <w:r w:rsidR="003069BF" w:rsidRPr="00F073F4">
        <w:t>Australian Prudential Regulation Authority</w:t>
      </w:r>
      <w:r w:rsidR="00131A38" w:rsidRPr="00F073F4">
        <w:t xml:space="preserve"> (for the estimation of </w:t>
      </w:r>
      <w:r w:rsidR="00EE1FBE" w:rsidRPr="00F073F4">
        <w:t>actual service provision)</w:t>
      </w:r>
      <w:r w:rsidR="007802A2" w:rsidRPr="00F073F4">
        <w:t>.</w:t>
      </w:r>
    </w:p>
    <w:p w14:paraId="71A2FD2E" w14:textId="683E0A2A" w:rsidR="00AC5A10" w:rsidRPr="00F073F4" w:rsidRDefault="007550F4">
      <w:pPr>
        <w:pStyle w:val="CGC2025ParaNumbers"/>
      </w:pPr>
      <w:r w:rsidRPr="00F073F4">
        <w:t>The indicator of non</w:t>
      </w:r>
      <w:r w:rsidRPr="00F073F4">
        <w:noBreakHyphen/>
        <w:t xml:space="preserve">state </w:t>
      </w:r>
      <w:r w:rsidR="003920BC" w:rsidRPr="00F073F4">
        <w:t>sector e</w:t>
      </w:r>
      <w:r w:rsidR="006B1DD2" w:rsidRPr="00F073F4">
        <w:t>mergency department</w:t>
      </w:r>
      <w:r w:rsidR="003920BC" w:rsidRPr="00F073F4">
        <w:t xml:space="preserve"> </w:t>
      </w:r>
      <w:r w:rsidR="0058484F" w:rsidRPr="00F073F4">
        <w:t>activity</w:t>
      </w:r>
      <w:r w:rsidR="003920BC" w:rsidRPr="00F073F4">
        <w:t xml:space="preserve"> is</w:t>
      </w:r>
      <w:r w:rsidR="006B1DD2" w:rsidRPr="00F073F4">
        <w:t xml:space="preserve"> </w:t>
      </w:r>
      <w:r w:rsidR="006B1DD2" w:rsidRPr="00F073F4">
        <w:rPr>
          <w:i/>
          <w:iCs/>
        </w:rPr>
        <w:t>Medicare b</w:t>
      </w:r>
      <w:r w:rsidR="00CD7D11" w:rsidRPr="00F073F4">
        <w:rPr>
          <w:i/>
          <w:iCs/>
        </w:rPr>
        <w:t xml:space="preserve">ulk billed </w:t>
      </w:r>
      <w:r w:rsidR="003C3857" w:rsidRPr="00F073F4">
        <w:rPr>
          <w:i/>
          <w:iCs/>
        </w:rPr>
        <w:t>benefit</w:t>
      </w:r>
      <w:r w:rsidR="00273B7E" w:rsidRPr="00F073F4">
        <w:rPr>
          <w:i/>
          <w:iCs/>
        </w:rPr>
        <w:t xml:space="preserve">s </w:t>
      </w:r>
      <w:r w:rsidR="00A018AC" w:rsidRPr="00F073F4">
        <w:rPr>
          <w:i/>
          <w:iCs/>
        </w:rPr>
        <w:t xml:space="preserve">paid </w:t>
      </w:r>
      <w:r w:rsidR="0060256B" w:rsidRPr="00F073F4">
        <w:rPr>
          <w:i/>
          <w:iCs/>
        </w:rPr>
        <w:t xml:space="preserve">from </w:t>
      </w:r>
      <w:r w:rsidR="00227A01" w:rsidRPr="00F073F4">
        <w:rPr>
          <w:i/>
          <w:iCs/>
        </w:rPr>
        <w:t>non-</w:t>
      </w:r>
      <w:r w:rsidR="0041375E" w:rsidRPr="00F073F4">
        <w:rPr>
          <w:i/>
          <w:iCs/>
        </w:rPr>
        <w:t>referred</w:t>
      </w:r>
      <w:r w:rsidR="00227A01" w:rsidRPr="00F073F4">
        <w:rPr>
          <w:i/>
          <w:iCs/>
        </w:rPr>
        <w:t xml:space="preserve"> attendances</w:t>
      </w:r>
      <w:r w:rsidR="00BC2963" w:rsidRPr="00F073F4">
        <w:rPr>
          <w:i/>
          <w:iCs/>
        </w:rPr>
        <w:t xml:space="preserve"> </w:t>
      </w:r>
      <w:r w:rsidR="001F66DB" w:rsidRPr="00690B63">
        <w:t>(i.e.</w:t>
      </w:r>
      <w:r w:rsidR="00180CCE" w:rsidRPr="00690B63">
        <w:t xml:space="preserve"> </w:t>
      </w:r>
      <w:r w:rsidR="00BC2963" w:rsidRPr="00690B63">
        <w:t>GP services)</w:t>
      </w:r>
      <w:r w:rsidR="00AC5A10" w:rsidRPr="00833396">
        <w:t>.</w:t>
      </w:r>
    </w:p>
    <w:p w14:paraId="7690E250" w14:textId="77777777" w:rsidR="0058484F" w:rsidRDefault="00C53793">
      <w:pPr>
        <w:pStyle w:val="CGC2025ParaNumbers"/>
      </w:pPr>
      <w:r w:rsidRPr="00F073F4">
        <w:t>The indicator of non</w:t>
      </w:r>
      <w:r w:rsidRPr="00F073F4">
        <w:noBreakHyphen/>
        <w:t>state sector non</w:t>
      </w:r>
      <w:r w:rsidRPr="00F073F4">
        <w:noBreakHyphen/>
        <w:t xml:space="preserve">admitted patient </w:t>
      </w:r>
      <w:r w:rsidR="0058484F" w:rsidRPr="00F073F4">
        <w:t>activity is</w:t>
      </w:r>
      <w:r w:rsidR="0041375E" w:rsidRPr="00F073F4">
        <w:t xml:space="preserve"> </w:t>
      </w:r>
      <w:r w:rsidR="006E4B3D" w:rsidRPr="00F073F4">
        <w:rPr>
          <w:i/>
          <w:iCs/>
        </w:rPr>
        <w:t xml:space="preserve">Medicare </w:t>
      </w:r>
      <w:r w:rsidR="0041375E" w:rsidRPr="00F073F4">
        <w:rPr>
          <w:i/>
          <w:iCs/>
        </w:rPr>
        <w:t xml:space="preserve">bulk </w:t>
      </w:r>
      <w:r w:rsidR="0041375E" w:rsidRPr="0058484F">
        <w:rPr>
          <w:i/>
          <w:iCs/>
        </w:rPr>
        <w:t xml:space="preserve">billed benefits </w:t>
      </w:r>
      <w:r w:rsidR="00C417D8" w:rsidRPr="0058484F">
        <w:rPr>
          <w:i/>
          <w:iCs/>
        </w:rPr>
        <w:t xml:space="preserve">paid </w:t>
      </w:r>
      <w:r w:rsidR="002D5285" w:rsidRPr="0058484F">
        <w:rPr>
          <w:i/>
          <w:iCs/>
        </w:rPr>
        <w:t xml:space="preserve">from </w:t>
      </w:r>
      <w:r w:rsidR="0041375E" w:rsidRPr="0058484F">
        <w:rPr>
          <w:i/>
          <w:iCs/>
        </w:rPr>
        <w:t>specialist</w:t>
      </w:r>
      <w:r w:rsidR="002D5285" w:rsidRPr="0058484F">
        <w:rPr>
          <w:i/>
          <w:iCs/>
        </w:rPr>
        <w:t xml:space="preserve"> attendances </w:t>
      </w:r>
      <w:r w:rsidR="0041375E" w:rsidRPr="0058484F">
        <w:rPr>
          <w:i/>
          <w:iCs/>
        </w:rPr>
        <w:t>and operations</w:t>
      </w:r>
      <w:r w:rsidR="00273B7E" w:rsidRPr="0058484F">
        <w:rPr>
          <w:i/>
          <w:iCs/>
        </w:rPr>
        <w:t>.</w:t>
      </w:r>
      <w:r w:rsidR="00273B7E">
        <w:t xml:space="preserve"> </w:t>
      </w:r>
    </w:p>
    <w:p w14:paraId="007B2121" w14:textId="5D933CBE" w:rsidR="00280A8B" w:rsidRDefault="009512FB">
      <w:pPr>
        <w:pStyle w:val="CGC2025ParaNumbers"/>
      </w:pPr>
      <w:r>
        <w:t>The Medicare d</w:t>
      </w:r>
      <w:r w:rsidR="00190DD4" w:rsidRPr="00F72B17">
        <w:t xml:space="preserve">ata </w:t>
      </w:r>
      <w:r w:rsidR="00B14875" w:rsidRPr="00F72B17">
        <w:t xml:space="preserve">are </w:t>
      </w:r>
      <w:r w:rsidR="00160D7C">
        <w:t xml:space="preserve">mainly </w:t>
      </w:r>
      <w:r w:rsidR="0041375E" w:rsidRPr="00F72B17">
        <w:t>p</w:t>
      </w:r>
      <w:r w:rsidR="0098213F" w:rsidRPr="00F72B17">
        <w:t xml:space="preserve">rovided by </w:t>
      </w:r>
      <w:r w:rsidR="00B14875" w:rsidRPr="00F72B17">
        <w:t xml:space="preserve">Services Australia, with a subset </w:t>
      </w:r>
      <w:r w:rsidR="00405C07" w:rsidRPr="00F72B17">
        <w:t xml:space="preserve">of the data disaggregated by Indigenous </w:t>
      </w:r>
      <w:r w:rsidR="006935A5">
        <w:t xml:space="preserve">status sourced from </w:t>
      </w:r>
      <w:r w:rsidR="0098213F" w:rsidRPr="00F72B17">
        <w:t xml:space="preserve">the </w:t>
      </w:r>
      <w:r w:rsidR="00F9378F">
        <w:t>AIHW</w:t>
      </w:r>
      <w:r w:rsidR="0098213F" w:rsidRPr="00F72B17">
        <w:t>.</w:t>
      </w:r>
      <w:r w:rsidR="003C3857" w:rsidRPr="00F72B17">
        <w:t xml:space="preserve"> </w:t>
      </w:r>
      <w:r w:rsidR="00D607BA" w:rsidRPr="00F72B17">
        <w:t xml:space="preserve">The </w:t>
      </w:r>
      <w:r w:rsidR="003928C4" w:rsidRPr="00F72B17">
        <w:t>Commission</w:t>
      </w:r>
      <w:r w:rsidR="00D607BA" w:rsidRPr="00F72B17">
        <w:t xml:space="preserve"> </w:t>
      </w:r>
      <w:r w:rsidR="00420ACC" w:rsidRPr="00F72B17">
        <w:t xml:space="preserve">applies </w:t>
      </w:r>
      <w:r w:rsidR="00D607BA" w:rsidRPr="00F72B17">
        <w:t xml:space="preserve">an iterative process to </w:t>
      </w:r>
      <w:r w:rsidR="003928C4" w:rsidRPr="00F72B17">
        <w:t>generate</w:t>
      </w:r>
      <w:r w:rsidR="000B42C3">
        <w:t xml:space="preserve"> </w:t>
      </w:r>
      <w:r w:rsidR="00D607BA" w:rsidRPr="00F72B17">
        <w:t xml:space="preserve">benefits paid </w:t>
      </w:r>
      <w:r w:rsidR="00160D7C">
        <w:t>cross</w:t>
      </w:r>
      <w:r w:rsidR="006404EE">
        <w:noBreakHyphen/>
      </w:r>
      <w:r w:rsidR="00160D7C">
        <w:t xml:space="preserve">classified </w:t>
      </w:r>
      <w:r w:rsidR="00D607BA" w:rsidRPr="00F72B17">
        <w:t xml:space="preserve">by age, </w:t>
      </w:r>
      <w:r w:rsidR="001B60AE">
        <w:t>I</w:t>
      </w:r>
      <w:r w:rsidR="00D607BA" w:rsidRPr="00F72B17">
        <w:t xml:space="preserve">ndigenous status, </w:t>
      </w:r>
      <w:r w:rsidR="003928C4" w:rsidRPr="00F72B17">
        <w:t>remoteness</w:t>
      </w:r>
      <w:r w:rsidR="00D607BA" w:rsidRPr="00F72B17">
        <w:t xml:space="preserve"> and socio</w:t>
      </w:r>
      <w:r w:rsidR="006404EE">
        <w:noBreakHyphen/>
      </w:r>
      <w:r w:rsidR="00D607BA" w:rsidRPr="00F72B17">
        <w:t>economic status</w:t>
      </w:r>
      <w:r w:rsidR="00DB3DF4" w:rsidRPr="00F72B17">
        <w:t>.</w:t>
      </w:r>
      <w:r w:rsidR="00D411C7" w:rsidRPr="00F72B17">
        <w:t xml:space="preserve"> </w:t>
      </w:r>
    </w:p>
    <w:p w14:paraId="08925B2E" w14:textId="242F0166" w:rsidR="00F955A6" w:rsidRDefault="00F955A6" w:rsidP="00F955A6">
      <w:pPr>
        <w:pStyle w:val="CGC2025ParaNumbers"/>
      </w:pPr>
      <w:r>
        <w:t>The socio</w:t>
      </w:r>
      <w:r>
        <w:noBreakHyphen/>
        <w:t>demographic use profile for admitted patient non</w:t>
      </w:r>
      <w:r>
        <w:noBreakHyphen/>
        <w:t xml:space="preserve">state health services differs to the profile for state services. </w:t>
      </w:r>
      <w:r w:rsidR="00C2049D">
        <w:t>Figure 5</w:t>
      </w:r>
      <w:r w:rsidR="00724C44">
        <w:t xml:space="preserve"> </w:t>
      </w:r>
      <w:r>
        <w:t xml:space="preserve">shows that spending per capita is higher for non-Indigenous people, increases with higher socio-economic status, is </w:t>
      </w:r>
      <w:r>
        <w:lastRenderedPageBreak/>
        <w:t>highest for major cities and declines with increasing remoteness. The socio</w:t>
      </w:r>
      <w:r>
        <w:noBreakHyphen/>
        <w:t>demographic use profile for other non-state sector services (Medicare bulk billed non-referred services and specialists and operations) is similar to the use profile in public hospitals.</w:t>
      </w:r>
    </w:p>
    <w:p w14:paraId="71C0A682" w14:textId="01B9BD64" w:rsidR="00F955A6" w:rsidRDefault="00F955A6" w:rsidP="008C0952">
      <w:pPr>
        <w:pStyle w:val="CGC2025Caption"/>
        <w:keepNext/>
        <w:tabs>
          <w:tab w:val="clear" w:pos="567"/>
          <w:tab w:val="left" w:pos="1418"/>
        </w:tabs>
        <w:ind w:left="1418" w:hanging="1418"/>
        <w:rPr>
          <w:bCs/>
        </w:rPr>
      </w:pPr>
      <w:bookmarkStart w:id="28" w:name="_Ref174616683"/>
      <w:r w:rsidRPr="002B76FE">
        <w:rPr>
          <w:bCs/>
        </w:rPr>
        <w:t xml:space="preserve">Figure </w:t>
      </w:r>
      <w:bookmarkEnd w:id="28"/>
      <w:r w:rsidR="003149B6">
        <w:rPr>
          <w:bCs/>
        </w:rPr>
        <w:t>5</w:t>
      </w:r>
      <w:r>
        <w:rPr>
          <w:bCs/>
        </w:rPr>
        <w:t xml:space="preserve"> </w:t>
      </w:r>
      <w:r>
        <w:rPr>
          <w:bCs/>
        </w:rPr>
        <w:tab/>
      </w:r>
      <w:r w:rsidRPr="002B76FE">
        <w:rPr>
          <w:bCs/>
        </w:rPr>
        <w:t xml:space="preserve">Admitted patient </w:t>
      </w:r>
      <w:r w:rsidR="00800063">
        <w:rPr>
          <w:bCs/>
        </w:rPr>
        <w:t>non-state sector</w:t>
      </w:r>
      <w:r w:rsidR="006F736D">
        <w:rPr>
          <w:bCs/>
        </w:rPr>
        <w:t xml:space="preserve"> activity</w:t>
      </w:r>
      <w:r w:rsidR="00800063">
        <w:rPr>
          <w:bCs/>
        </w:rPr>
        <w:t xml:space="preserve">: </w:t>
      </w:r>
      <w:r w:rsidR="00E933CD">
        <w:rPr>
          <w:bCs/>
        </w:rPr>
        <w:t>average expense</w:t>
      </w:r>
      <w:r w:rsidR="008128BA">
        <w:rPr>
          <w:bCs/>
        </w:rPr>
        <w:t xml:space="preserve"> </w:t>
      </w:r>
      <w:r w:rsidRPr="002B76FE">
        <w:rPr>
          <w:bCs/>
        </w:rPr>
        <w:t xml:space="preserve">per </w:t>
      </w:r>
      <w:r w:rsidR="00CC00DF">
        <w:rPr>
          <w:bCs/>
        </w:rPr>
        <w:t>‘000</w:t>
      </w:r>
      <w:r w:rsidR="00140D6D">
        <w:rPr>
          <w:bCs/>
        </w:rPr>
        <w:t xml:space="preserve"> people</w:t>
      </w:r>
      <w:r>
        <w:rPr>
          <w:bCs/>
        </w:rPr>
        <w:t>,</w:t>
      </w:r>
      <w:r w:rsidRPr="002B76FE">
        <w:rPr>
          <w:bCs/>
        </w:rPr>
        <w:t xml:space="preserve"> by Indigenous status, socio</w:t>
      </w:r>
      <w:r>
        <w:rPr>
          <w:bCs/>
        </w:rPr>
        <w:noBreakHyphen/>
      </w:r>
      <w:r w:rsidRPr="002B76FE">
        <w:rPr>
          <w:bCs/>
        </w:rPr>
        <w:t>economic status and remoteness, 2021</w:t>
      </w:r>
      <w:r w:rsidR="008C0952">
        <w:rPr>
          <w:bCs/>
        </w:rPr>
        <w:noBreakHyphen/>
      </w:r>
      <w:r w:rsidRPr="002B76FE">
        <w:rPr>
          <w:bCs/>
        </w:rPr>
        <w:t>2</w:t>
      </w:r>
      <w:r>
        <w:rPr>
          <w:bCs/>
        </w:rPr>
        <w:t>2</w:t>
      </w:r>
    </w:p>
    <w:p w14:paraId="06C0CF47" w14:textId="566AE580" w:rsidR="00F955A6" w:rsidRDefault="00432E01" w:rsidP="00880078">
      <w:pPr>
        <w:pStyle w:val="NoSpacing"/>
        <w:keepNext/>
      </w:pPr>
      <w:r w:rsidRPr="00432E01">
        <w:rPr>
          <w:noProof/>
        </w:rPr>
        <w:drawing>
          <wp:inline distT="0" distB="0" distL="0" distR="0" wp14:anchorId="73DD8253" wp14:editId="2FAC5E9C">
            <wp:extent cx="5731510" cy="2400300"/>
            <wp:effectExtent l="0" t="0" r="2540" b="0"/>
            <wp:docPr id="139323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400300"/>
                    </a:xfrm>
                    <a:prstGeom prst="rect">
                      <a:avLst/>
                    </a:prstGeom>
                    <a:noFill/>
                    <a:ln>
                      <a:noFill/>
                    </a:ln>
                  </pic:spPr>
                </pic:pic>
              </a:graphicData>
            </a:graphic>
          </wp:inline>
        </w:drawing>
      </w:r>
    </w:p>
    <w:p w14:paraId="2DDC889F" w14:textId="2E8484F5" w:rsidR="00F955A6" w:rsidRPr="00116F30" w:rsidRDefault="00F955A6" w:rsidP="00116F30">
      <w:pPr>
        <w:pStyle w:val="CGC2025TableNote"/>
        <w:ind w:left="709" w:hanging="596"/>
        <w:rPr>
          <w:color w:val="000000" w:themeColor="text1"/>
        </w:rPr>
      </w:pPr>
      <w:r w:rsidRPr="00116F30">
        <w:rPr>
          <w:color w:val="000000" w:themeColor="text1"/>
        </w:rPr>
        <w:t xml:space="preserve">Source: </w:t>
      </w:r>
      <w:r w:rsidR="00116F30">
        <w:rPr>
          <w:color w:val="000000" w:themeColor="text1"/>
        </w:rPr>
        <w:tab/>
      </w:r>
      <w:r w:rsidR="0061576B" w:rsidRPr="00116F30">
        <w:rPr>
          <w:color w:val="000000" w:themeColor="text1"/>
        </w:rPr>
        <w:tab/>
      </w:r>
      <w:r w:rsidR="00BC5C23" w:rsidRPr="00116F30">
        <w:rPr>
          <w:color w:val="000000" w:themeColor="text1"/>
        </w:rPr>
        <w:t xml:space="preserve">AIHW </w:t>
      </w:r>
      <w:r w:rsidR="00A1445E">
        <w:rPr>
          <w:color w:val="000000" w:themeColor="text1"/>
        </w:rPr>
        <w:t xml:space="preserve">unpublished data on </w:t>
      </w:r>
      <w:r w:rsidR="00AD7AB1" w:rsidRPr="00116F30">
        <w:rPr>
          <w:color w:val="000000" w:themeColor="text1"/>
        </w:rPr>
        <w:t xml:space="preserve">private health insurance </w:t>
      </w:r>
      <w:r w:rsidR="00F75F04" w:rsidRPr="00116F30">
        <w:rPr>
          <w:color w:val="000000" w:themeColor="text1"/>
        </w:rPr>
        <w:t>funded admitted patient separations</w:t>
      </w:r>
      <w:r w:rsidR="00AD7AB1" w:rsidRPr="00116F30">
        <w:rPr>
          <w:color w:val="000000" w:themeColor="text1"/>
        </w:rPr>
        <w:t xml:space="preserve"> in public and private hospitals,</w:t>
      </w:r>
      <w:r w:rsidR="00287E7E">
        <w:rPr>
          <w:color w:val="000000" w:themeColor="text1"/>
        </w:rPr>
        <w:t xml:space="preserve"> and</w:t>
      </w:r>
      <w:r w:rsidR="00AD7AB1" w:rsidRPr="00116F30">
        <w:rPr>
          <w:color w:val="000000" w:themeColor="text1"/>
        </w:rPr>
        <w:t xml:space="preserve"> </w:t>
      </w:r>
      <w:r w:rsidR="00B341FD">
        <w:rPr>
          <w:color w:val="000000" w:themeColor="text1"/>
        </w:rPr>
        <w:t xml:space="preserve">ABS </w:t>
      </w:r>
      <w:r w:rsidR="00805F03">
        <w:rPr>
          <w:color w:val="000000" w:themeColor="text1"/>
        </w:rPr>
        <w:t xml:space="preserve">unpublished </w:t>
      </w:r>
      <w:r w:rsidR="00AD7AB1" w:rsidRPr="00116F30">
        <w:rPr>
          <w:color w:val="000000" w:themeColor="text1"/>
        </w:rPr>
        <w:t>GFS expenses and population data.</w:t>
      </w:r>
    </w:p>
    <w:p w14:paraId="021E0522" w14:textId="5623423C" w:rsidR="00033492" w:rsidRPr="0057570F" w:rsidRDefault="001B6EFE" w:rsidP="00CC7500">
      <w:pPr>
        <w:pStyle w:val="CGC2025ParaNumbers"/>
      </w:pPr>
      <w:r w:rsidRPr="0057570F">
        <w:t>Table 13</w:t>
      </w:r>
      <w:r w:rsidR="00724C44" w:rsidRPr="0057570F">
        <w:t xml:space="preserve"> </w:t>
      </w:r>
      <w:r w:rsidR="00033492" w:rsidRPr="0057570F">
        <w:t>summarises the substitutability levels and indicators to measure non</w:t>
      </w:r>
      <w:r w:rsidR="00033492" w:rsidRPr="0057570F">
        <w:noBreakHyphen/>
        <w:t>state services for each component of the health assessment. An explanation for the community and public health substitutability level is provided below (from para</w:t>
      </w:r>
      <w:r w:rsidR="0057570F" w:rsidRPr="0057570F">
        <w:t>graph</w:t>
      </w:r>
      <w:r w:rsidR="00193E46">
        <w:t> </w:t>
      </w:r>
      <w:r w:rsidR="0098627D" w:rsidRPr="0057570F">
        <w:fldChar w:fldCharType="begin"/>
      </w:r>
      <w:r w:rsidR="0098627D" w:rsidRPr="0057570F">
        <w:instrText xml:space="preserve"> REF _Ref189561224 \r \h </w:instrText>
      </w:r>
      <w:r w:rsidR="0057570F">
        <w:instrText xml:space="preserve"> \* MERGEFORMAT </w:instrText>
      </w:r>
      <w:r w:rsidR="0098627D" w:rsidRPr="0057570F">
        <w:fldChar w:fldCharType="separate"/>
      </w:r>
      <w:r w:rsidR="0098627D" w:rsidRPr="0057570F">
        <w:t>67</w:t>
      </w:r>
      <w:r w:rsidR="0098627D" w:rsidRPr="0057570F">
        <w:fldChar w:fldCharType="end"/>
      </w:r>
      <w:r w:rsidR="00033492" w:rsidRPr="0057570F">
        <w:t>).</w:t>
      </w:r>
    </w:p>
    <w:p w14:paraId="54B79C74" w14:textId="6E12AC9B" w:rsidR="00033492" w:rsidRDefault="00033492" w:rsidP="00241451">
      <w:pPr>
        <w:pStyle w:val="CGC2025Caption"/>
        <w:keepNext/>
      </w:pPr>
      <w:bookmarkStart w:id="29" w:name="_Ref169513335"/>
      <w:r w:rsidRPr="00D63639">
        <w:t xml:space="preserve">Table </w:t>
      </w:r>
      <w:bookmarkEnd w:id="29"/>
      <w:r w:rsidR="003149B6">
        <w:t>13</w:t>
      </w:r>
      <w:r w:rsidRPr="00D63639">
        <w:tab/>
      </w:r>
      <w:r>
        <w:t>S</w:t>
      </w:r>
      <w:r w:rsidRPr="00D63639">
        <w:t>ubstitutability levels and indicators</w:t>
      </w:r>
    </w:p>
    <w:tbl>
      <w:tblPr>
        <w:tblW w:w="8931" w:type="dxa"/>
        <w:tblLook w:val="04A0" w:firstRow="1" w:lastRow="0" w:firstColumn="1" w:lastColumn="0" w:noHBand="0" w:noVBand="1"/>
      </w:tblPr>
      <w:tblGrid>
        <w:gridCol w:w="2680"/>
        <w:gridCol w:w="2282"/>
        <w:gridCol w:w="3969"/>
      </w:tblGrid>
      <w:tr w:rsidR="00033492" w:rsidRPr="00D175EC" w14:paraId="2C216B5E" w14:textId="77777777" w:rsidTr="00DC54CC">
        <w:trPr>
          <w:trHeight w:val="375"/>
        </w:trPr>
        <w:tc>
          <w:tcPr>
            <w:tcW w:w="2680" w:type="dxa"/>
            <w:tcBorders>
              <w:top w:val="nil"/>
              <w:left w:val="nil"/>
              <w:bottom w:val="nil"/>
              <w:right w:val="nil"/>
            </w:tcBorders>
            <w:shd w:val="clear" w:color="000000" w:fill="006991"/>
            <w:vAlign w:val="center"/>
            <w:hideMark/>
          </w:tcPr>
          <w:p w14:paraId="22F9E357" w14:textId="77777777" w:rsidR="00033492" w:rsidRPr="00D175EC" w:rsidRDefault="00033492" w:rsidP="00241451">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D175EC">
              <w:rPr>
                <w:rFonts w:ascii="Open Sans Semibold" w:eastAsia="Times New Roman" w:hAnsi="Open Sans Semibold" w:cs="Open Sans Semibold"/>
                <w:color w:val="FFFFFF"/>
                <w:sz w:val="16"/>
                <w:szCs w:val="16"/>
                <w:lang w:eastAsia="en-AU"/>
              </w:rPr>
              <w:t> </w:t>
            </w:r>
          </w:p>
        </w:tc>
        <w:tc>
          <w:tcPr>
            <w:tcW w:w="2282" w:type="dxa"/>
            <w:tcBorders>
              <w:top w:val="nil"/>
              <w:left w:val="nil"/>
              <w:bottom w:val="nil"/>
              <w:right w:val="nil"/>
            </w:tcBorders>
            <w:shd w:val="clear" w:color="000000" w:fill="006991"/>
            <w:vAlign w:val="center"/>
            <w:hideMark/>
          </w:tcPr>
          <w:p w14:paraId="679338E0" w14:textId="77777777" w:rsidR="00033492" w:rsidRPr="00D175EC" w:rsidRDefault="00033492" w:rsidP="00241451">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D175EC">
              <w:rPr>
                <w:rFonts w:ascii="Open Sans Semibold" w:eastAsia="Times New Roman" w:hAnsi="Open Sans Semibold" w:cs="Open Sans Semibold"/>
                <w:color w:val="FFFFFF"/>
                <w:sz w:val="16"/>
                <w:szCs w:val="16"/>
                <w:lang w:eastAsia="en-AU"/>
              </w:rPr>
              <w:t>Substitutability level</w:t>
            </w:r>
          </w:p>
        </w:tc>
        <w:tc>
          <w:tcPr>
            <w:tcW w:w="3969" w:type="dxa"/>
            <w:tcBorders>
              <w:top w:val="nil"/>
              <w:left w:val="nil"/>
              <w:bottom w:val="nil"/>
              <w:right w:val="nil"/>
            </w:tcBorders>
            <w:shd w:val="clear" w:color="000000" w:fill="006991"/>
            <w:vAlign w:val="center"/>
            <w:hideMark/>
          </w:tcPr>
          <w:p w14:paraId="15F9D307" w14:textId="77777777" w:rsidR="00033492" w:rsidRPr="00D175EC" w:rsidRDefault="00033492" w:rsidP="00241451">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D175EC">
              <w:rPr>
                <w:rFonts w:ascii="Open Sans Semibold" w:eastAsia="Times New Roman" w:hAnsi="Open Sans Semibold" w:cs="Open Sans Semibold"/>
                <w:color w:val="FFFFFF"/>
                <w:sz w:val="16"/>
                <w:szCs w:val="16"/>
                <w:lang w:eastAsia="en-AU"/>
              </w:rPr>
              <w:t>Indicator</w:t>
            </w:r>
          </w:p>
        </w:tc>
      </w:tr>
      <w:tr w:rsidR="00033492" w:rsidRPr="00D175EC" w14:paraId="739D382E" w14:textId="77777777" w:rsidTr="00DC54CC">
        <w:trPr>
          <w:trHeight w:val="300"/>
        </w:trPr>
        <w:tc>
          <w:tcPr>
            <w:tcW w:w="2680" w:type="dxa"/>
            <w:tcBorders>
              <w:top w:val="nil"/>
              <w:left w:val="nil"/>
              <w:bottom w:val="single" w:sz="4" w:space="0" w:color="ADD6EA"/>
              <w:right w:val="nil"/>
            </w:tcBorders>
            <w:shd w:val="clear" w:color="000000" w:fill="FFFFFF"/>
            <w:vAlign w:val="center"/>
            <w:hideMark/>
          </w:tcPr>
          <w:p w14:paraId="1920B4FD" w14:textId="77777777" w:rsidR="00033492" w:rsidRPr="00D175EC" w:rsidRDefault="00033492" w:rsidP="00241451">
            <w:pPr>
              <w:keepNext/>
              <w:tabs>
                <w:tab w:val="clear" w:pos="567"/>
              </w:tabs>
              <w:spacing w:before="0" w:line="240" w:lineRule="auto"/>
              <w:rPr>
                <w:rFonts w:eastAsia="Times New Roman" w:cs="Open Sans Light"/>
                <w:color w:val="000000"/>
                <w:sz w:val="16"/>
                <w:szCs w:val="16"/>
                <w:lang w:eastAsia="en-AU"/>
              </w:rPr>
            </w:pPr>
            <w:r w:rsidRPr="00D175EC">
              <w:rPr>
                <w:rFonts w:eastAsia="Times New Roman" w:cs="Open Sans Light"/>
                <w:color w:val="000000"/>
                <w:sz w:val="16"/>
                <w:szCs w:val="16"/>
                <w:lang w:eastAsia="en-AU"/>
              </w:rPr>
              <w:t>Admitted patients</w:t>
            </w:r>
          </w:p>
        </w:tc>
        <w:tc>
          <w:tcPr>
            <w:tcW w:w="2282" w:type="dxa"/>
            <w:tcBorders>
              <w:top w:val="nil"/>
              <w:left w:val="nil"/>
              <w:bottom w:val="single" w:sz="4" w:space="0" w:color="ADD6EA"/>
              <w:right w:val="nil"/>
            </w:tcBorders>
            <w:shd w:val="clear" w:color="000000" w:fill="FFFFFF"/>
            <w:vAlign w:val="center"/>
            <w:hideMark/>
          </w:tcPr>
          <w:p w14:paraId="16CC1E76" w14:textId="77777777" w:rsidR="00033492" w:rsidRPr="00D175EC" w:rsidRDefault="00033492" w:rsidP="00241451">
            <w:pPr>
              <w:keepNext/>
              <w:tabs>
                <w:tab w:val="clear" w:pos="567"/>
              </w:tabs>
              <w:spacing w:before="0" w:line="240" w:lineRule="auto"/>
              <w:jc w:val="center"/>
              <w:rPr>
                <w:rFonts w:eastAsia="Times New Roman" w:cs="Open Sans Light"/>
                <w:color w:val="000000"/>
                <w:sz w:val="16"/>
                <w:szCs w:val="16"/>
                <w:lang w:eastAsia="en-AU"/>
              </w:rPr>
            </w:pPr>
            <w:r w:rsidRPr="00D175EC">
              <w:rPr>
                <w:rFonts w:eastAsia="Times New Roman" w:cs="Open Sans Light"/>
                <w:color w:val="000000"/>
                <w:sz w:val="16"/>
                <w:szCs w:val="16"/>
                <w:lang w:eastAsia="en-AU"/>
              </w:rPr>
              <w:t>1</w:t>
            </w:r>
            <w:r>
              <w:rPr>
                <w:rFonts w:eastAsia="Times New Roman" w:cs="Open Sans Light"/>
                <w:color w:val="000000"/>
                <w:sz w:val="16"/>
                <w:szCs w:val="16"/>
                <w:lang w:eastAsia="en-AU"/>
              </w:rPr>
              <w:t>7</w:t>
            </w:r>
            <w:r w:rsidRPr="00D175EC">
              <w:rPr>
                <w:rFonts w:eastAsia="Times New Roman" w:cs="Open Sans Light"/>
                <w:color w:val="000000"/>
                <w:sz w:val="16"/>
                <w:szCs w:val="16"/>
                <w:lang w:eastAsia="en-AU"/>
              </w:rPr>
              <w:t>%</w:t>
            </w:r>
          </w:p>
        </w:tc>
        <w:tc>
          <w:tcPr>
            <w:tcW w:w="3969" w:type="dxa"/>
            <w:tcBorders>
              <w:top w:val="nil"/>
              <w:left w:val="nil"/>
              <w:bottom w:val="single" w:sz="4" w:space="0" w:color="ADD6EA"/>
              <w:right w:val="nil"/>
            </w:tcBorders>
            <w:shd w:val="clear" w:color="000000" w:fill="FFFFFF"/>
            <w:vAlign w:val="center"/>
            <w:hideMark/>
          </w:tcPr>
          <w:p w14:paraId="2FB95276" w14:textId="490CE0DF" w:rsidR="00033492" w:rsidRPr="00D175EC" w:rsidRDefault="00033492" w:rsidP="00241451">
            <w:pPr>
              <w:keepNext/>
              <w:tabs>
                <w:tab w:val="clear" w:pos="567"/>
              </w:tabs>
              <w:spacing w:before="0" w:line="240" w:lineRule="auto"/>
              <w:rPr>
                <w:rFonts w:eastAsia="Times New Roman" w:cs="Open Sans Light"/>
                <w:color w:val="000000"/>
                <w:sz w:val="16"/>
                <w:szCs w:val="16"/>
                <w:lang w:eastAsia="en-AU"/>
              </w:rPr>
            </w:pPr>
            <w:r w:rsidRPr="00D175EC">
              <w:rPr>
                <w:rFonts w:eastAsia="Times New Roman" w:cs="Open Sans Light"/>
                <w:color w:val="000000"/>
                <w:sz w:val="16"/>
                <w:szCs w:val="16"/>
                <w:lang w:eastAsia="en-AU"/>
              </w:rPr>
              <w:t xml:space="preserve">Private patient </w:t>
            </w:r>
            <w:r w:rsidR="00754139">
              <w:rPr>
                <w:rFonts w:eastAsia="Times New Roman" w:cs="Open Sans Light"/>
                <w:color w:val="000000"/>
                <w:sz w:val="16"/>
                <w:szCs w:val="16"/>
                <w:lang w:eastAsia="en-AU"/>
              </w:rPr>
              <w:t>separations</w:t>
            </w:r>
          </w:p>
        </w:tc>
      </w:tr>
      <w:tr w:rsidR="00033492" w:rsidRPr="00D175EC" w14:paraId="4EC4B6B7" w14:textId="77777777" w:rsidTr="00DC54CC">
        <w:trPr>
          <w:trHeight w:val="300"/>
        </w:trPr>
        <w:tc>
          <w:tcPr>
            <w:tcW w:w="2680" w:type="dxa"/>
            <w:tcBorders>
              <w:top w:val="nil"/>
              <w:left w:val="nil"/>
              <w:bottom w:val="single" w:sz="4" w:space="0" w:color="ADD6EA"/>
              <w:right w:val="nil"/>
            </w:tcBorders>
            <w:shd w:val="clear" w:color="000000" w:fill="FFFFFF"/>
            <w:vAlign w:val="center"/>
            <w:hideMark/>
          </w:tcPr>
          <w:p w14:paraId="71812934" w14:textId="77777777" w:rsidR="00033492" w:rsidRPr="00D175EC" w:rsidRDefault="00033492" w:rsidP="00241451">
            <w:pPr>
              <w:keepNext/>
              <w:tabs>
                <w:tab w:val="clear" w:pos="567"/>
              </w:tabs>
              <w:spacing w:before="0" w:line="240" w:lineRule="auto"/>
              <w:rPr>
                <w:rFonts w:eastAsia="Times New Roman" w:cs="Open Sans Light"/>
                <w:color w:val="000000"/>
                <w:sz w:val="16"/>
                <w:szCs w:val="16"/>
                <w:lang w:eastAsia="en-AU"/>
              </w:rPr>
            </w:pPr>
            <w:r w:rsidRPr="00D175EC">
              <w:rPr>
                <w:rFonts w:eastAsia="Times New Roman" w:cs="Open Sans Light"/>
                <w:color w:val="000000"/>
                <w:sz w:val="16"/>
                <w:szCs w:val="16"/>
                <w:lang w:eastAsia="en-AU"/>
              </w:rPr>
              <w:t>Emergency departments</w:t>
            </w:r>
          </w:p>
        </w:tc>
        <w:tc>
          <w:tcPr>
            <w:tcW w:w="2282" w:type="dxa"/>
            <w:tcBorders>
              <w:top w:val="nil"/>
              <w:left w:val="nil"/>
              <w:bottom w:val="single" w:sz="4" w:space="0" w:color="ADD6EA"/>
              <w:right w:val="nil"/>
            </w:tcBorders>
            <w:shd w:val="clear" w:color="000000" w:fill="FFFFFF"/>
            <w:vAlign w:val="center"/>
            <w:hideMark/>
          </w:tcPr>
          <w:p w14:paraId="0316B0B2" w14:textId="77777777" w:rsidR="00033492" w:rsidRPr="00D175EC" w:rsidRDefault="00033492" w:rsidP="00241451">
            <w:pPr>
              <w:keepNext/>
              <w:tabs>
                <w:tab w:val="clear" w:pos="567"/>
              </w:tabs>
              <w:spacing w:before="0" w:line="240" w:lineRule="auto"/>
              <w:jc w:val="center"/>
              <w:rPr>
                <w:rFonts w:eastAsia="Times New Roman" w:cs="Open Sans Light"/>
                <w:color w:val="000000"/>
                <w:sz w:val="16"/>
                <w:szCs w:val="16"/>
                <w:lang w:eastAsia="en-AU"/>
              </w:rPr>
            </w:pPr>
            <w:r w:rsidRPr="00D175EC">
              <w:rPr>
                <w:rFonts w:eastAsia="Times New Roman" w:cs="Open Sans Light"/>
                <w:color w:val="000000"/>
                <w:sz w:val="16"/>
                <w:szCs w:val="16"/>
                <w:lang w:eastAsia="en-AU"/>
              </w:rPr>
              <w:t>1</w:t>
            </w:r>
            <w:r>
              <w:rPr>
                <w:rFonts w:eastAsia="Times New Roman" w:cs="Open Sans Light"/>
                <w:color w:val="000000"/>
                <w:sz w:val="16"/>
                <w:szCs w:val="16"/>
                <w:lang w:eastAsia="en-AU"/>
              </w:rPr>
              <w:t>3</w:t>
            </w:r>
            <w:r w:rsidRPr="00D175EC">
              <w:rPr>
                <w:rFonts w:eastAsia="Times New Roman" w:cs="Open Sans Light"/>
                <w:color w:val="000000"/>
                <w:sz w:val="16"/>
                <w:szCs w:val="16"/>
                <w:lang w:eastAsia="en-AU"/>
              </w:rPr>
              <w:t>%</w:t>
            </w:r>
          </w:p>
        </w:tc>
        <w:tc>
          <w:tcPr>
            <w:tcW w:w="3969" w:type="dxa"/>
            <w:tcBorders>
              <w:top w:val="nil"/>
              <w:left w:val="nil"/>
              <w:bottom w:val="single" w:sz="4" w:space="0" w:color="ADD6EA"/>
              <w:right w:val="nil"/>
            </w:tcBorders>
            <w:shd w:val="clear" w:color="000000" w:fill="FFFFFF"/>
            <w:vAlign w:val="center"/>
            <w:hideMark/>
          </w:tcPr>
          <w:p w14:paraId="1885596F" w14:textId="77777777" w:rsidR="00033492" w:rsidRPr="00D175EC" w:rsidRDefault="00033492" w:rsidP="00241451">
            <w:pPr>
              <w:keepNext/>
              <w:tabs>
                <w:tab w:val="clear" w:pos="567"/>
              </w:tabs>
              <w:spacing w:before="0" w:line="240" w:lineRule="auto"/>
              <w:rPr>
                <w:rFonts w:eastAsia="Times New Roman" w:cs="Open Sans Light"/>
                <w:color w:val="000000"/>
                <w:sz w:val="16"/>
                <w:szCs w:val="16"/>
                <w:lang w:eastAsia="en-AU"/>
              </w:rPr>
            </w:pPr>
            <w:r w:rsidRPr="00D175EC">
              <w:rPr>
                <w:rFonts w:eastAsia="Times New Roman" w:cs="Open Sans Light"/>
                <w:color w:val="000000"/>
                <w:sz w:val="16"/>
                <w:szCs w:val="16"/>
                <w:lang w:eastAsia="en-AU"/>
              </w:rPr>
              <w:t>Bulk billed GP benefits paid</w:t>
            </w:r>
          </w:p>
        </w:tc>
      </w:tr>
      <w:tr w:rsidR="00033492" w:rsidRPr="00D175EC" w14:paraId="1A290CDB" w14:textId="77777777" w:rsidTr="00DC54CC">
        <w:trPr>
          <w:trHeight w:val="315"/>
        </w:trPr>
        <w:tc>
          <w:tcPr>
            <w:tcW w:w="2680" w:type="dxa"/>
            <w:tcBorders>
              <w:top w:val="nil"/>
              <w:left w:val="nil"/>
              <w:bottom w:val="single" w:sz="4" w:space="0" w:color="ADD6EA"/>
              <w:right w:val="nil"/>
            </w:tcBorders>
            <w:shd w:val="clear" w:color="000000" w:fill="FFFFFF"/>
            <w:vAlign w:val="center"/>
            <w:hideMark/>
          </w:tcPr>
          <w:p w14:paraId="6BA26E95" w14:textId="77777777" w:rsidR="00033492" w:rsidRPr="00D175EC" w:rsidRDefault="00033492" w:rsidP="00241451">
            <w:pPr>
              <w:keepNext/>
              <w:tabs>
                <w:tab w:val="clear" w:pos="567"/>
              </w:tabs>
              <w:spacing w:before="0" w:line="240" w:lineRule="auto"/>
              <w:rPr>
                <w:rFonts w:eastAsia="Times New Roman" w:cs="Open Sans Light"/>
                <w:color w:val="000000"/>
                <w:sz w:val="16"/>
                <w:szCs w:val="16"/>
                <w:lang w:eastAsia="en-AU"/>
              </w:rPr>
            </w:pPr>
            <w:r w:rsidRPr="00D175EC">
              <w:rPr>
                <w:rFonts w:eastAsia="Times New Roman" w:cs="Open Sans Light"/>
                <w:color w:val="000000"/>
                <w:sz w:val="16"/>
                <w:szCs w:val="16"/>
                <w:lang w:eastAsia="en-AU"/>
              </w:rPr>
              <w:t>Non-admitted patients</w:t>
            </w:r>
          </w:p>
        </w:tc>
        <w:tc>
          <w:tcPr>
            <w:tcW w:w="2282" w:type="dxa"/>
            <w:tcBorders>
              <w:top w:val="nil"/>
              <w:left w:val="nil"/>
              <w:bottom w:val="single" w:sz="4" w:space="0" w:color="ADD6EA"/>
              <w:right w:val="nil"/>
            </w:tcBorders>
            <w:shd w:val="clear" w:color="000000" w:fill="FFFFFF"/>
            <w:vAlign w:val="center"/>
            <w:hideMark/>
          </w:tcPr>
          <w:p w14:paraId="51793DBE" w14:textId="77777777" w:rsidR="00033492" w:rsidRPr="00D175EC" w:rsidRDefault="00033492" w:rsidP="00241451">
            <w:pPr>
              <w:keepNext/>
              <w:tabs>
                <w:tab w:val="clear" w:pos="567"/>
              </w:tabs>
              <w:spacing w:before="0" w:line="240" w:lineRule="auto"/>
              <w:jc w:val="center"/>
              <w:rPr>
                <w:rFonts w:eastAsia="Times New Roman" w:cs="Open Sans Light"/>
                <w:color w:val="000000"/>
                <w:sz w:val="16"/>
                <w:szCs w:val="16"/>
                <w:lang w:eastAsia="en-AU"/>
              </w:rPr>
            </w:pPr>
            <w:r>
              <w:rPr>
                <w:rFonts w:eastAsia="Times New Roman" w:cs="Open Sans Light"/>
                <w:color w:val="000000"/>
                <w:sz w:val="16"/>
                <w:szCs w:val="16"/>
                <w:lang w:eastAsia="en-AU"/>
              </w:rPr>
              <w:t>28</w:t>
            </w:r>
            <w:r w:rsidRPr="00D175EC">
              <w:rPr>
                <w:rFonts w:eastAsia="Times New Roman" w:cs="Open Sans Light"/>
                <w:color w:val="000000"/>
                <w:sz w:val="16"/>
                <w:szCs w:val="16"/>
                <w:lang w:eastAsia="en-AU"/>
              </w:rPr>
              <w:t>%</w:t>
            </w:r>
          </w:p>
        </w:tc>
        <w:tc>
          <w:tcPr>
            <w:tcW w:w="3969" w:type="dxa"/>
            <w:tcBorders>
              <w:top w:val="nil"/>
              <w:left w:val="nil"/>
              <w:bottom w:val="single" w:sz="4" w:space="0" w:color="ADD6EA"/>
              <w:right w:val="nil"/>
            </w:tcBorders>
            <w:shd w:val="clear" w:color="000000" w:fill="FFFFFF"/>
            <w:vAlign w:val="center"/>
            <w:hideMark/>
          </w:tcPr>
          <w:p w14:paraId="3342865B" w14:textId="77777777" w:rsidR="00033492" w:rsidRPr="00D175EC" w:rsidRDefault="00033492" w:rsidP="00241451">
            <w:pPr>
              <w:keepNext/>
              <w:tabs>
                <w:tab w:val="clear" w:pos="567"/>
              </w:tabs>
              <w:spacing w:before="0" w:line="240" w:lineRule="auto"/>
              <w:rPr>
                <w:rFonts w:eastAsia="Times New Roman" w:cs="Open Sans Light"/>
                <w:color w:val="000000"/>
                <w:sz w:val="16"/>
                <w:szCs w:val="16"/>
                <w:lang w:eastAsia="en-AU"/>
              </w:rPr>
            </w:pPr>
            <w:r w:rsidRPr="00D175EC">
              <w:rPr>
                <w:rFonts w:eastAsia="Times New Roman" w:cs="Open Sans Light"/>
                <w:color w:val="000000"/>
                <w:sz w:val="16"/>
                <w:szCs w:val="16"/>
                <w:lang w:eastAsia="en-AU"/>
              </w:rPr>
              <w:t>Bulk billed operations and specialist benefits paid</w:t>
            </w:r>
          </w:p>
        </w:tc>
      </w:tr>
      <w:tr w:rsidR="00033492" w:rsidRPr="00D175EC" w14:paraId="0A018382" w14:textId="77777777" w:rsidTr="00DC54CC">
        <w:trPr>
          <w:trHeight w:val="300"/>
        </w:trPr>
        <w:tc>
          <w:tcPr>
            <w:tcW w:w="2680" w:type="dxa"/>
            <w:tcBorders>
              <w:top w:val="nil"/>
              <w:left w:val="nil"/>
              <w:bottom w:val="single" w:sz="4" w:space="0" w:color="ADD6EA"/>
              <w:right w:val="nil"/>
            </w:tcBorders>
            <w:shd w:val="clear" w:color="000000" w:fill="FFFFFF"/>
            <w:vAlign w:val="center"/>
            <w:hideMark/>
          </w:tcPr>
          <w:p w14:paraId="33DEDF16" w14:textId="77777777" w:rsidR="00033492" w:rsidRPr="00D175EC" w:rsidRDefault="00033492" w:rsidP="00241451">
            <w:pPr>
              <w:keepNext/>
              <w:tabs>
                <w:tab w:val="clear" w:pos="567"/>
              </w:tabs>
              <w:spacing w:before="0" w:line="240" w:lineRule="auto"/>
              <w:rPr>
                <w:rFonts w:eastAsia="Times New Roman" w:cs="Open Sans Light"/>
                <w:color w:val="000000"/>
                <w:sz w:val="16"/>
                <w:szCs w:val="16"/>
                <w:lang w:eastAsia="en-AU"/>
              </w:rPr>
            </w:pPr>
            <w:r w:rsidRPr="00D175EC">
              <w:rPr>
                <w:rFonts w:eastAsia="Times New Roman" w:cs="Open Sans Light"/>
                <w:color w:val="000000"/>
                <w:sz w:val="16"/>
                <w:szCs w:val="16"/>
                <w:lang w:eastAsia="en-AU"/>
              </w:rPr>
              <w:t xml:space="preserve">Community </w:t>
            </w:r>
            <w:r>
              <w:rPr>
                <w:rFonts w:eastAsia="Times New Roman" w:cs="Open Sans Light"/>
                <w:color w:val="000000"/>
                <w:sz w:val="16"/>
                <w:szCs w:val="16"/>
                <w:lang w:eastAsia="en-AU"/>
              </w:rPr>
              <w:t xml:space="preserve">and public </w:t>
            </w:r>
            <w:r w:rsidRPr="00D175EC">
              <w:rPr>
                <w:rFonts w:eastAsia="Times New Roman" w:cs="Open Sans Light"/>
                <w:color w:val="000000"/>
                <w:sz w:val="16"/>
                <w:szCs w:val="16"/>
                <w:lang w:eastAsia="en-AU"/>
              </w:rPr>
              <w:t xml:space="preserve">health </w:t>
            </w:r>
          </w:p>
        </w:tc>
        <w:tc>
          <w:tcPr>
            <w:tcW w:w="2282" w:type="dxa"/>
            <w:tcBorders>
              <w:top w:val="nil"/>
              <w:left w:val="nil"/>
              <w:bottom w:val="single" w:sz="4" w:space="0" w:color="ADD6EA"/>
              <w:right w:val="nil"/>
            </w:tcBorders>
            <w:shd w:val="clear" w:color="000000" w:fill="FFFFFF"/>
            <w:vAlign w:val="center"/>
            <w:hideMark/>
          </w:tcPr>
          <w:p w14:paraId="08212B4F" w14:textId="77777777" w:rsidR="00033492" w:rsidRPr="00D175EC" w:rsidRDefault="00033492" w:rsidP="00241451">
            <w:pPr>
              <w:keepNext/>
              <w:tabs>
                <w:tab w:val="clear" w:pos="567"/>
              </w:tabs>
              <w:spacing w:before="0" w:line="240" w:lineRule="auto"/>
              <w:jc w:val="center"/>
              <w:rPr>
                <w:rFonts w:eastAsia="Times New Roman" w:cs="Open Sans Light"/>
                <w:color w:val="000000"/>
                <w:sz w:val="16"/>
                <w:szCs w:val="16"/>
                <w:lang w:eastAsia="en-AU"/>
              </w:rPr>
            </w:pPr>
            <w:r w:rsidRPr="00D175EC">
              <w:rPr>
                <w:rFonts w:eastAsia="Times New Roman" w:cs="Open Sans Light"/>
                <w:color w:val="000000"/>
                <w:sz w:val="16"/>
                <w:szCs w:val="16"/>
                <w:lang w:eastAsia="en-AU"/>
              </w:rPr>
              <w:t>6</w:t>
            </w:r>
            <w:r>
              <w:rPr>
                <w:rFonts w:eastAsia="Times New Roman" w:cs="Open Sans Light"/>
                <w:color w:val="000000"/>
                <w:sz w:val="16"/>
                <w:szCs w:val="16"/>
                <w:lang w:eastAsia="en-AU"/>
              </w:rPr>
              <w:t>2</w:t>
            </w:r>
            <w:r w:rsidRPr="00D175EC">
              <w:rPr>
                <w:rFonts w:eastAsia="Times New Roman" w:cs="Open Sans Light"/>
                <w:color w:val="000000"/>
                <w:sz w:val="16"/>
                <w:szCs w:val="16"/>
                <w:lang w:eastAsia="en-AU"/>
              </w:rPr>
              <w:t>%</w:t>
            </w:r>
          </w:p>
        </w:tc>
        <w:tc>
          <w:tcPr>
            <w:tcW w:w="3969" w:type="dxa"/>
            <w:tcBorders>
              <w:top w:val="nil"/>
              <w:left w:val="nil"/>
              <w:bottom w:val="single" w:sz="4" w:space="0" w:color="ADD6EA"/>
              <w:right w:val="nil"/>
            </w:tcBorders>
            <w:shd w:val="clear" w:color="000000" w:fill="FFFFFF"/>
            <w:vAlign w:val="center"/>
            <w:hideMark/>
          </w:tcPr>
          <w:p w14:paraId="7B8720C8" w14:textId="77777777" w:rsidR="00033492" w:rsidRPr="00D175EC" w:rsidRDefault="00033492" w:rsidP="00241451">
            <w:pPr>
              <w:keepNext/>
              <w:tabs>
                <w:tab w:val="clear" w:pos="567"/>
              </w:tabs>
              <w:spacing w:before="0" w:line="240" w:lineRule="auto"/>
              <w:rPr>
                <w:rFonts w:eastAsia="Times New Roman" w:cs="Open Sans Light"/>
                <w:color w:val="000000"/>
                <w:sz w:val="16"/>
                <w:szCs w:val="16"/>
                <w:lang w:eastAsia="en-AU"/>
              </w:rPr>
            </w:pPr>
            <w:r w:rsidRPr="00D175EC">
              <w:rPr>
                <w:rFonts w:eastAsia="Times New Roman" w:cs="Open Sans Light"/>
                <w:color w:val="000000"/>
                <w:sz w:val="16"/>
                <w:szCs w:val="16"/>
                <w:lang w:eastAsia="en-AU"/>
              </w:rPr>
              <w:t>Bulk billed GP benefits paid</w:t>
            </w:r>
          </w:p>
        </w:tc>
      </w:tr>
    </w:tbl>
    <w:p w14:paraId="0CF0B500" w14:textId="5BB72DF9" w:rsidR="00E45389" w:rsidRDefault="00604CED" w:rsidP="002B673E">
      <w:pPr>
        <w:pStyle w:val="CGC2025ParaNumbers"/>
      </w:pPr>
      <w:r>
        <w:t xml:space="preserve">A </w:t>
      </w:r>
      <w:r w:rsidR="00B223C5">
        <w:t>low-level</w:t>
      </w:r>
      <w:r w:rsidR="0026371F">
        <w:t xml:space="preserve"> discount (12.5%) </w:t>
      </w:r>
      <w:r w:rsidR="00E1631A">
        <w:t>is applied to the non-state sector adjustment for all components</w:t>
      </w:r>
      <w:r w:rsidR="0005392E">
        <w:t xml:space="preserve"> (including community and public health) due to </w:t>
      </w:r>
      <w:r w:rsidR="001E6F80">
        <w:t xml:space="preserve">uncertainty </w:t>
      </w:r>
      <w:r w:rsidR="0005392E">
        <w:t xml:space="preserve">with the </w:t>
      </w:r>
      <w:r w:rsidR="00FE389F">
        <w:t xml:space="preserve">reliability </w:t>
      </w:r>
      <w:r w:rsidR="0005392E">
        <w:t>of the data and the r</w:t>
      </w:r>
      <w:r w:rsidR="009E2C62">
        <w:t>obustness</w:t>
      </w:r>
      <w:r w:rsidR="0005392E">
        <w:t xml:space="preserve"> of the method.</w:t>
      </w:r>
    </w:p>
    <w:p w14:paraId="7E604AB0" w14:textId="1AA28021" w:rsidR="00D12053" w:rsidRDefault="00D12053" w:rsidP="00D12053">
      <w:pPr>
        <w:pStyle w:val="CGC2025ParaNumbers"/>
      </w:pPr>
      <w:r w:rsidRPr="00F72B17">
        <w:rPr>
          <w:noProof/>
        </w:rPr>
        <w:lastRenderedPageBreak/>
        <mc:AlternateContent>
          <mc:Choice Requires="wps">
            <w:drawing>
              <wp:anchor distT="0" distB="0" distL="114300" distR="114300" simplePos="0" relativeHeight="251658241" behindDoc="1" locked="0" layoutInCell="1" allowOverlap="1" wp14:anchorId="41B48135" wp14:editId="663ED496">
                <wp:simplePos x="0" y="0"/>
                <wp:positionH relativeFrom="margin">
                  <wp:align>left</wp:align>
                </wp:positionH>
                <wp:positionV relativeFrom="paragraph">
                  <wp:posOffset>462611</wp:posOffset>
                </wp:positionV>
                <wp:extent cx="5761990" cy="4889500"/>
                <wp:effectExtent l="0" t="0" r="0" b="6350"/>
                <wp:wrapSquare wrapText="bothSides"/>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1990" cy="4890052"/>
                        </a:xfrm>
                        <a:prstGeom prst="rect">
                          <a:avLst/>
                        </a:prstGeom>
                        <a:solidFill>
                          <a:srgbClr val="E5F8FF"/>
                        </a:solidFill>
                        <a:ln w="25400" cap="flat" cmpd="sng" algn="ctr">
                          <a:noFill/>
                          <a:prstDash val="solid"/>
                        </a:ln>
                        <a:effectLst/>
                      </wps:spPr>
                      <wps:txbx>
                        <w:txbxContent>
                          <w:p w14:paraId="019F272E" w14:textId="4E3440B7" w:rsidR="009D0D30" w:rsidRDefault="009D0D30" w:rsidP="004660F0">
                            <w:pPr>
                              <w:pStyle w:val="Heading4"/>
                              <w:tabs>
                                <w:tab w:val="left" w:pos="1134"/>
                              </w:tabs>
                              <w:spacing w:before="0"/>
                            </w:pPr>
                            <w:r>
                              <w:t>Box 2</w:t>
                            </w:r>
                            <w:r>
                              <w:tab/>
                            </w:r>
                            <w:r w:rsidR="00F905EB">
                              <w:t>Calculating the n</w:t>
                            </w:r>
                            <w:r>
                              <w:t xml:space="preserve">on-state sector </w:t>
                            </w:r>
                            <w:r w:rsidR="00F905EB">
                              <w:t>adjustment</w:t>
                            </w:r>
                            <w:r w:rsidR="00E14D0C">
                              <w:t>s</w:t>
                            </w:r>
                          </w:p>
                          <w:p w14:paraId="39409193" w14:textId="4CE7772B" w:rsidR="009D0D30" w:rsidRDefault="001A6C43" w:rsidP="00743497">
                            <w:pPr>
                              <w:pStyle w:val="CGC2025Bullet1"/>
                              <w:numPr>
                                <w:ilvl w:val="0"/>
                                <w:numId w:val="0"/>
                              </w:numPr>
                              <w:tabs>
                                <w:tab w:val="clear" w:pos="567"/>
                                <w:tab w:val="left" w:pos="993"/>
                              </w:tabs>
                            </w:pPr>
                            <w:r>
                              <w:t xml:space="preserve">The following calculation is undertaken for </w:t>
                            </w:r>
                            <w:r w:rsidR="009D0D30">
                              <w:t xml:space="preserve">admitted patients, emergency departments and non-admitted patients, as well as community and public health. </w:t>
                            </w:r>
                          </w:p>
                          <w:p w14:paraId="73090521" w14:textId="1389D1DC" w:rsidR="009D0D30" w:rsidRDefault="00095B68" w:rsidP="00C6224E">
                            <w:pPr>
                              <w:pStyle w:val="CGC2025Bullet1"/>
                              <w:numPr>
                                <w:ilvl w:val="0"/>
                                <w:numId w:val="0"/>
                              </w:numPr>
                              <w:tabs>
                                <w:tab w:val="clear" w:pos="567"/>
                                <w:tab w:val="left" w:pos="993"/>
                              </w:tabs>
                              <w:spacing w:before="100"/>
                            </w:pPr>
                            <w:r w:rsidRPr="0057410D">
                              <w:rPr>
                                <w:b/>
                              </w:rPr>
                              <w:t>Step 1:</w:t>
                            </w:r>
                            <w:r w:rsidRPr="00095B68">
                              <w:t xml:space="preserve"> </w:t>
                            </w:r>
                            <w:r w:rsidR="0057410D">
                              <w:t xml:space="preserve">Calculate </w:t>
                            </w:r>
                            <w:r w:rsidR="00AE40BB">
                              <w:rPr>
                                <w:i/>
                                <w:iCs/>
                              </w:rPr>
                              <w:t>national</w:t>
                            </w:r>
                            <w:r w:rsidR="009D0D30" w:rsidRPr="00AD0AFB">
                              <w:rPr>
                                <w:i/>
                              </w:rPr>
                              <w:t xml:space="preserve"> substitutable expenses</w:t>
                            </w:r>
                            <w:r w:rsidR="009D0D30" w:rsidRPr="00095B68">
                              <w:t xml:space="preserve"> by</w:t>
                            </w:r>
                            <w:r w:rsidR="00C81E0A">
                              <w:t xml:space="preserve"> </w:t>
                            </w:r>
                            <w:r w:rsidR="009D0D30" w:rsidRPr="00095B68">
                              <w:t>multiplying the substitutability level by national component expense</w:t>
                            </w:r>
                            <w:r w:rsidR="009D0D30">
                              <w:t xml:space="preserve">s. </w:t>
                            </w:r>
                          </w:p>
                          <w:p w14:paraId="3C16C896" w14:textId="1DB3B4FA" w:rsidR="009D0D30" w:rsidRPr="0041586B" w:rsidRDefault="00102861" w:rsidP="00C6224E">
                            <w:pPr>
                              <w:pStyle w:val="CGC2025Bullet1"/>
                              <w:numPr>
                                <w:ilvl w:val="0"/>
                                <w:numId w:val="0"/>
                              </w:numPr>
                              <w:spacing w:before="100"/>
                            </w:pPr>
                            <w:r w:rsidRPr="00102861">
                              <w:rPr>
                                <w:b/>
                                <w:bCs/>
                              </w:rPr>
                              <w:t>Step 2:</w:t>
                            </w:r>
                            <w:r>
                              <w:t xml:space="preserve"> </w:t>
                            </w:r>
                            <w:r w:rsidR="00CF56F2">
                              <w:t xml:space="preserve">Calculate </w:t>
                            </w:r>
                            <w:r w:rsidR="00CF56F2" w:rsidRPr="006C44AC">
                              <w:rPr>
                                <w:i/>
                              </w:rPr>
                              <w:t>a</w:t>
                            </w:r>
                            <w:r w:rsidR="009D0D30" w:rsidRPr="006C44AC">
                              <w:rPr>
                                <w:i/>
                              </w:rPr>
                              <w:t>ssessed substitutable expenses</w:t>
                            </w:r>
                            <w:r w:rsidR="009D0D30" w:rsidRPr="0041586B">
                              <w:t xml:space="preserve"> using the same process used to calculate state sector socio</w:t>
                            </w:r>
                            <w:r w:rsidR="009D0D30" w:rsidRPr="0041586B">
                              <w:noBreakHyphen/>
                              <w:t>demographic assessed expenses (Box 1)</w:t>
                            </w:r>
                            <w:r w:rsidR="009D0D30">
                              <w:t xml:space="preserve"> a</w:t>
                            </w:r>
                            <w:r w:rsidR="000030D4">
                              <w:t>s</w:t>
                            </w:r>
                            <w:r w:rsidR="009D0D30">
                              <w:t xml:space="preserve"> explained below</w:t>
                            </w:r>
                            <w:r w:rsidR="009D0D30" w:rsidRPr="0041586B">
                              <w:t>:</w:t>
                            </w:r>
                          </w:p>
                          <w:p w14:paraId="5119F73C" w14:textId="217E2117" w:rsidR="009D0D30" w:rsidRDefault="0022717C" w:rsidP="00046BD1">
                            <w:pPr>
                              <w:pStyle w:val="CGC2025Bullet1"/>
                              <w:spacing w:before="0"/>
                            </w:pPr>
                            <w:r>
                              <w:t>A</w:t>
                            </w:r>
                            <w:r w:rsidR="009D0D30" w:rsidRPr="0024211C">
                              <w:t>llocat</w:t>
                            </w:r>
                            <w:r w:rsidR="006107B5">
                              <w:t>e</w:t>
                            </w:r>
                            <w:r w:rsidR="009D0D30" w:rsidRPr="0024211C">
                              <w:t xml:space="preserve"> </w:t>
                            </w:r>
                            <w:r w:rsidR="00FB79DA" w:rsidRPr="00672964">
                              <w:rPr>
                                <w:i/>
                              </w:rPr>
                              <w:t>national</w:t>
                            </w:r>
                            <w:r w:rsidR="009D0D30" w:rsidRPr="00672964">
                              <w:rPr>
                                <w:i/>
                              </w:rPr>
                              <w:t xml:space="preserve"> substitutable </w:t>
                            </w:r>
                            <w:r w:rsidR="005104AF" w:rsidRPr="00672964">
                              <w:rPr>
                                <w:i/>
                              </w:rPr>
                              <w:t>activity</w:t>
                            </w:r>
                            <w:r w:rsidR="00216027">
                              <w:t xml:space="preserve"> </w:t>
                            </w:r>
                            <w:r w:rsidR="009D0D30" w:rsidRPr="0024211C">
                              <w:t xml:space="preserve">for each component to each of the </w:t>
                            </w:r>
                            <w:r w:rsidR="009D0D30">
                              <w:t>socio</w:t>
                            </w:r>
                            <w:r w:rsidR="009D0D30">
                              <w:noBreakHyphen/>
                              <w:t xml:space="preserve">demographic </w:t>
                            </w:r>
                            <w:r w:rsidR="009D0D30" w:rsidRPr="0024211C">
                              <w:t xml:space="preserve">groups </w:t>
                            </w:r>
                            <w:r w:rsidR="009D0D30">
                              <w:t>b</w:t>
                            </w:r>
                            <w:r w:rsidR="009D0D30" w:rsidRPr="0024211C">
                              <w:t xml:space="preserve">ased on the </w:t>
                            </w:r>
                            <w:r w:rsidR="009D0D30">
                              <w:t>socio</w:t>
                            </w:r>
                            <w:r w:rsidR="009D0D30">
                              <w:noBreakHyphen/>
                              <w:t xml:space="preserve">demographic </w:t>
                            </w:r>
                            <w:r w:rsidR="009D0D30" w:rsidRPr="0024211C">
                              <w:t>distribution of</w:t>
                            </w:r>
                            <w:r w:rsidR="009D0D30">
                              <w:t xml:space="preserve"> non</w:t>
                            </w:r>
                            <w:r w:rsidR="009D0D30">
                              <w:noBreakHyphen/>
                              <w:t>state sector activity</w:t>
                            </w:r>
                            <w:r w:rsidR="00194C54">
                              <w:t>.</w:t>
                            </w:r>
                          </w:p>
                          <w:p w14:paraId="6C2EA358" w14:textId="7EC839E8" w:rsidR="009D0D30" w:rsidRDefault="0022717C" w:rsidP="00555C88">
                            <w:pPr>
                              <w:pStyle w:val="CGC2025Bullet1"/>
                              <w:spacing w:before="80"/>
                            </w:pPr>
                            <w:r>
                              <w:t>D</w:t>
                            </w:r>
                            <w:r w:rsidR="009D0D30" w:rsidRPr="00F72FFE">
                              <w:t>ivid</w:t>
                            </w:r>
                            <w:r w:rsidR="006107B5">
                              <w:t>e</w:t>
                            </w:r>
                            <w:r w:rsidR="009D0D30" w:rsidRPr="00F72FFE">
                              <w:t xml:space="preserve"> </w:t>
                            </w:r>
                            <w:r w:rsidR="004F0D28">
                              <w:t>national</w:t>
                            </w:r>
                            <w:r w:rsidR="009D0D30" w:rsidRPr="00F72FFE">
                              <w:t xml:space="preserve"> </w:t>
                            </w:r>
                            <w:r w:rsidR="009D0D30">
                              <w:t xml:space="preserve">substitutable </w:t>
                            </w:r>
                            <w:r w:rsidR="00FB7211">
                              <w:t>activity</w:t>
                            </w:r>
                            <w:r w:rsidR="009D0D30" w:rsidRPr="00F72FFE">
                              <w:t xml:space="preserve"> attributable to each </w:t>
                            </w:r>
                            <w:r w:rsidR="009D0D30">
                              <w:t>socio</w:t>
                            </w:r>
                            <w:r w:rsidR="009D0D30">
                              <w:noBreakHyphen/>
                              <w:t xml:space="preserve">demographic </w:t>
                            </w:r>
                            <w:r w:rsidR="009D0D30" w:rsidRPr="00F72FFE">
                              <w:t>group by the national population in that group</w:t>
                            </w:r>
                            <w:r w:rsidR="00194C54">
                              <w:t>.</w:t>
                            </w:r>
                          </w:p>
                          <w:p w14:paraId="543D4C0C" w14:textId="62626F37" w:rsidR="009D0D30" w:rsidRDefault="0022717C" w:rsidP="00555C88">
                            <w:pPr>
                              <w:pStyle w:val="CGC2025Bullet1"/>
                              <w:spacing w:before="80"/>
                            </w:pPr>
                            <w:r>
                              <w:t>M</w:t>
                            </w:r>
                            <w:r w:rsidR="009D0D30">
                              <w:t xml:space="preserve">ultiply national average substitutable </w:t>
                            </w:r>
                            <w:r w:rsidR="00BD2593">
                              <w:t>activity</w:t>
                            </w:r>
                            <w:r w:rsidR="009D0D30">
                              <w:t xml:space="preserve"> per capita for each socio</w:t>
                            </w:r>
                            <w:r w:rsidR="009D0D30">
                              <w:noBreakHyphen/>
                              <w:t>demographic group by the number of people in that socio</w:t>
                            </w:r>
                            <w:r w:rsidR="009D0D30">
                              <w:noBreakHyphen/>
                              <w:t>demographic group in each state</w:t>
                            </w:r>
                            <w:r w:rsidR="00194C54">
                              <w:t>.</w:t>
                            </w:r>
                          </w:p>
                          <w:p w14:paraId="4E9B438C" w14:textId="54B18FF4" w:rsidR="009D0D30" w:rsidRDefault="0022717C" w:rsidP="00555C88">
                            <w:pPr>
                              <w:pStyle w:val="CGC2025Bullet1"/>
                              <w:spacing w:before="80"/>
                            </w:pPr>
                            <w:r>
                              <w:t>S</w:t>
                            </w:r>
                            <w:r w:rsidR="009D0D30">
                              <w:t>um</w:t>
                            </w:r>
                            <w:r w:rsidR="00724396">
                              <w:t>ming</w:t>
                            </w:r>
                            <w:r w:rsidR="009D0D30">
                              <w:t xml:space="preserve"> </w:t>
                            </w:r>
                            <w:r w:rsidR="009D0D30" w:rsidRPr="00672964">
                              <w:rPr>
                                <w:i/>
                              </w:rPr>
                              <w:t xml:space="preserve">assessed substitutable </w:t>
                            </w:r>
                            <w:r w:rsidR="00B36C21" w:rsidRPr="00672964">
                              <w:rPr>
                                <w:i/>
                              </w:rPr>
                              <w:t>activity</w:t>
                            </w:r>
                            <w:r w:rsidR="009D0D30">
                              <w:t xml:space="preserve"> for all population groups gives total assessed substitutable </w:t>
                            </w:r>
                            <w:r w:rsidR="00392EBD">
                              <w:t>activity</w:t>
                            </w:r>
                            <w:r w:rsidR="009D0D30">
                              <w:t xml:space="preserve"> for each state</w:t>
                            </w:r>
                            <w:r w:rsidR="00194C54">
                              <w:t>.</w:t>
                            </w:r>
                          </w:p>
                          <w:p w14:paraId="357B2DDF" w14:textId="3AEC632D" w:rsidR="009D0D30" w:rsidRPr="00AD0AFB" w:rsidRDefault="00194C54" w:rsidP="00555C88">
                            <w:pPr>
                              <w:pStyle w:val="CGC2025Bullet1"/>
                              <w:spacing w:before="80"/>
                            </w:pPr>
                            <w:r>
                              <w:rPr>
                                <w:i/>
                              </w:rPr>
                              <w:t>A</w:t>
                            </w:r>
                            <w:r w:rsidR="00815975" w:rsidRPr="00672964">
                              <w:rPr>
                                <w:i/>
                              </w:rPr>
                              <w:t>ssessed substitutable activity</w:t>
                            </w:r>
                            <w:r w:rsidR="00815975">
                              <w:t xml:space="preserve"> for each state </w:t>
                            </w:r>
                            <w:r w:rsidR="009D0D30" w:rsidRPr="00AD0AFB">
                              <w:t xml:space="preserve">are scaled so the national total equals </w:t>
                            </w:r>
                            <w:r w:rsidR="00AE40BB">
                              <w:rPr>
                                <w:i/>
                                <w:iCs/>
                              </w:rPr>
                              <w:t>national</w:t>
                            </w:r>
                            <w:r w:rsidR="009D0D30" w:rsidRPr="00AD0AFB">
                              <w:rPr>
                                <w:i/>
                              </w:rPr>
                              <w:t xml:space="preserve"> substitutable expenses</w:t>
                            </w:r>
                            <w:r w:rsidR="005E7118">
                              <w:t xml:space="preserve"> </w:t>
                            </w:r>
                            <w:r w:rsidR="002A2F81">
                              <w:t xml:space="preserve">(this </w:t>
                            </w:r>
                            <w:r w:rsidR="000608EA">
                              <w:t>is</w:t>
                            </w:r>
                            <w:r w:rsidR="002A2F81">
                              <w:t xml:space="preserve"> </w:t>
                            </w:r>
                            <w:r w:rsidR="00EC3EBF" w:rsidRPr="006C44AC">
                              <w:rPr>
                                <w:i/>
                                <w:iCs/>
                              </w:rPr>
                              <w:t>assessed substitutable expenses</w:t>
                            </w:r>
                            <w:r w:rsidR="000608EA" w:rsidRPr="008853D9">
                              <w:t>)</w:t>
                            </w:r>
                            <w:r>
                              <w:t>.</w:t>
                            </w:r>
                          </w:p>
                          <w:p w14:paraId="63E703F9" w14:textId="7C513045" w:rsidR="009D0D30" w:rsidRPr="00811FD1" w:rsidRDefault="00C92F76" w:rsidP="00632470">
                            <w:pPr>
                              <w:pStyle w:val="CGC2025Bullet1"/>
                              <w:numPr>
                                <w:ilvl w:val="0"/>
                                <w:numId w:val="0"/>
                              </w:numPr>
                            </w:pPr>
                            <w:r w:rsidRPr="00102861">
                              <w:rPr>
                                <w:b/>
                                <w:bCs/>
                              </w:rPr>
                              <w:t xml:space="preserve">Step </w:t>
                            </w:r>
                            <w:r>
                              <w:rPr>
                                <w:b/>
                                <w:bCs/>
                              </w:rPr>
                              <w:t>3</w:t>
                            </w:r>
                            <w:r w:rsidRPr="00102861">
                              <w:rPr>
                                <w:b/>
                                <w:bCs/>
                              </w:rPr>
                              <w:t>:</w:t>
                            </w:r>
                            <w:r>
                              <w:t xml:space="preserve"> </w:t>
                            </w:r>
                            <w:r w:rsidR="009D0D30" w:rsidRPr="00632470">
                              <w:rPr>
                                <w:i/>
                              </w:rPr>
                              <w:t>Actual substitutable expenses</w:t>
                            </w:r>
                            <w:r w:rsidR="00AD15AC">
                              <w:t xml:space="preserve"> are </w:t>
                            </w:r>
                            <w:r w:rsidR="00B840CB">
                              <w:t xml:space="preserve">calculated </w:t>
                            </w:r>
                            <w:r w:rsidR="00014A6D">
                              <w:t xml:space="preserve">by </w:t>
                            </w:r>
                            <w:r w:rsidR="00DA25F8">
                              <w:t xml:space="preserve">taking </w:t>
                            </w:r>
                            <w:r w:rsidR="00DA25F8" w:rsidRPr="00632470">
                              <w:rPr>
                                <w:i/>
                              </w:rPr>
                              <w:t>actual substitutable activity</w:t>
                            </w:r>
                            <w:r w:rsidR="00DA25F8">
                              <w:t xml:space="preserve"> for each state and</w:t>
                            </w:r>
                            <w:r w:rsidR="00DA25F8" w:rsidRPr="00811FD1">
                              <w:t xml:space="preserve"> scal</w:t>
                            </w:r>
                            <w:r w:rsidR="00DA25F8">
                              <w:t>ing</w:t>
                            </w:r>
                            <w:r w:rsidR="00DA25F8" w:rsidRPr="00811FD1">
                              <w:t xml:space="preserve"> so the national total equals </w:t>
                            </w:r>
                            <w:r w:rsidR="00DA25F8" w:rsidRPr="00AE4D3E">
                              <w:rPr>
                                <w:i/>
                                <w:iCs/>
                              </w:rPr>
                              <w:t>national substitutable expenses</w:t>
                            </w:r>
                            <w:r w:rsidR="009D0D30" w:rsidRPr="00811FD1">
                              <w:t>.</w:t>
                            </w:r>
                          </w:p>
                          <w:p w14:paraId="30906689" w14:textId="727F4EDE" w:rsidR="009D0D30" w:rsidRPr="00284B22" w:rsidRDefault="00C92F76" w:rsidP="00C6224E">
                            <w:pPr>
                              <w:pStyle w:val="CGC2025Bullet1"/>
                              <w:numPr>
                                <w:ilvl w:val="0"/>
                                <w:numId w:val="0"/>
                              </w:numPr>
                              <w:spacing w:before="100"/>
                            </w:pPr>
                            <w:r w:rsidRPr="00102861">
                              <w:rPr>
                                <w:b/>
                                <w:bCs/>
                              </w:rPr>
                              <w:t xml:space="preserve">Step </w:t>
                            </w:r>
                            <w:r>
                              <w:rPr>
                                <w:b/>
                                <w:bCs/>
                              </w:rPr>
                              <w:t>4</w:t>
                            </w:r>
                            <w:r w:rsidRPr="00102861">
                              <w:rPr>
                                <w:b/>
                                <w:bCs/>
                              </w:rPr>
                              <w:t>:</w:t>
                            </w:r>
                            <w:r>
                              <w:t xml:space="preserve"> </w:t>
                            </w:r>
                            <w:r w:rsidR="009D0D30">
                              <w:t>The non-state sector adjustment is calculated by taking the difference between assessed and actual substitutable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8135" id="Rectangle 5" o:spid="_x0000_s1027" alt="&quot;&quot;" style="position:absolute;left:0;text-align:left;margin-left:0;margin-top:36.45pt;width:453.7pt;height:38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" fillcolor="#e5f8ff" stroked="f" strokeweight="2pt">
                <v:textbox>
                  <w:txbxContent>
                    <w:p w14:paraId="019F272E" w14:textId="4E3440B7" w:rsidR="009D0D30" w:rsidRDefault="009D0D30" w:rsidP="004660F0">
                      <w:pPr>
                        <w:pStyle w:val="Heading4"/>
                        <w:tabs>
                          <w:tab w:val="left" w:pos="1134"/>
                        </w:tabs>
                        <w:spacing w:before="0"/>
                      </w:pPr>
                      <w:r>
                        <w:t>Box 2</w:t>
                      </w:r>
                      <w:r>
                        <w:tab/>
                      </w:r>
                      <w:r w:rsidR="00F905EB">
                        <w:t>Calculating the n</w:t>
                      </w:r>
                      <w:r>
                        <w:t xml:space="preserve">on-state sector </w:t>
                      </w:r>
                      <w:r w:rsidR="00F905EB">
                        <w:t>adjustment</w:t>
                      </w:r>
                      <w:r w:rsidR="00E14D0C">
                        <w:t>s</w:t>
                      </w:r>
                    </w:p>
                    <w:p w14:paraId="39409193" w14:textId="4CE7772B" w:rsidR="009D0D30" w:rsidRDefault="001A6C43" w:rsidP="00743497">
                      <w:pPr>
                        <w:pStyle w:val="CGC2025Bullet1"/>
                        <w:numPr>
                          <w:ilvl w:val="0"/>
                          <w:numId w:val="0"/>
                        </w:numPr>
                        <w:tabs>
                          <w:tab w:val="clear" w:pos="567"/>
                          <w:tab w:val="left" w:pos="993"/>
                        </w:tabs>
                      </w:pPr>
                      <w:r>
                        <w:t xml:space="preserve">The following calculation is undertaken for </w:t>
                      </w:r>
                      <w:r w:rsidR="009D0D30">
                        <w:t xml:space="preserve">admitted patients, emergency departments and non-admitted patients, as well as community and public health. </w:t>
                      </w:r>
                    </w:p>
                    <w:p w14:paraId="73090521" w14:textId="1389D1DC" w:rsidR="009D0D30" w:rsidRDefault="00095B68" w:rsidP="00C6224E">
                      <w:pPr>
                        <w:pStyle w:val="CGC2025Bullet1"/>
                        <w:numPr>
                          <w:ilvl w:val="0"/>
                          <w:numId w:val="0"/>
                        </w:numPr>
                        <w:tabs>
                          <w:tab w:val="clear" w:pos="567"/>
                          <w:tab w:val="left" w:pos="993"/>
                        </w:tabs>
                        <w:spacing w:before="100"/>
                      </w:pPr>
                      <w:r w:rsidRPr="0057410D">
                        <w:rPr>
                          <w:b/>
                        </w:rPr>
                        <w:t>Step 1:</w:t>
                      </w:r>
                      <w:r w:rsidRPr="00095B68">
                        <w:t xml:space="preserve"> </w:t>
                      </w:r>
                      <w:r w:rsidR="0057410D">
                        <w:t xml:space="preserve">Calculate </w:t>
                      </w:r>
                      <w:r w:rsidR="00AE40BB">
                        <w:rPr>
                          <w:i/>
                          <w:iCs/>
                        </w:rPr>
                        <w:t>national</w:t>
                      </w:r>
                      <w:r w:rsidR="009D0D30" w:rsidRPr="00AD0AFB">
                        <w:rPr>
                          <w:i/>
                        </w:rPr>
                        <w:t xml:space="preserve"> substitutable expenses</w:t>
                      </w:r>
                      <w:r w:rsidR="009D0D30" w:rsidRPr="00095B68">
                        <w:t xml:space="preserve"> by</w:t>
                      </w:r>
                      <w:r w:rsidR="00C81E0A">
                        <w:t xml:space="preserve"> </w:t>
                      </w:r>
                      <w:r w:rsidR="009D0D30" w:rsidRPr="00095B68">
                        <w:t>multiplying the substitutability level by national component expense</w:t>
                      </w:r>
                      <w:r w:rsidR="009D0D30">
                        <w:t xml:space="preserve">s. </w:t>
                      </w:r>
                    </w:p>
                    <w:p w14:paraId="3C16C896" w14:textId="1DB3B4FA" w:rsidR="009D0D30" w:rsidRPr="0041586B" w:rsidRDefault="00102861" w:rsidP="00C6224E">
                      <w:pPr>
                        <w:pStyle w:val="CGC2025Bullet1"/>
                        <w:numPr>
                          <w:ilvl w:val="0"/>
                          <w:numId w:val="0"/>
                        </w:numPr>
                        <w:spacing w:before="100"/>
                      </w:pPr>
                      <w:r w:rsidRPr="00102861">
                        <w:rPr>
                          <w:b/>
                          <w:bCs/>
                        </w:rPr>
                        <w:t>Step 2:</w:t>
                      </w:r>
                      <w:r>
                        <w:t xml:space="preserve"> </w:t>
                      </w:r>
                      <w:r w:rsidR="00CF56F2">
                        <w:t xml:space="preserve">Calculate </w:t>
                      </w:r>
                      <w:r w:rsidR="00CF56F2" w:rsidRPr="006C44AC">
                        <w:rPr>
                          <w:i/>
                        </w:rPr>
                        <w:t>a</w:t>
                      </w:r>
                      <w:r w:rsidR="009D0D30" w:rsidRPr="006C44AC">
                        <w:rPr>
                          <w:i/>
                        </w:rPr>
                        <w:t>ssessed substitutable expenses</w:t>
                      </w:r>
                      <w:r w:rsidR="009D0D30" w:rsidRPr="0041586B">
                        <w:t xml:space="preserve"> using the same process used to calculate state sector socio</w:t>
                      </w:r>
                      <w:r w:rsidR="009D0D30" w:rsidRPr="0041586B">
                        <w:noBreakHyphen/>
                        <w:t>demographic assessed expenses (Box 1)</w:t>
                      </w:r>
                      <w:r w:rsidR="009D0D30">
                        <w:t xml:space="preserve"> a</w:t>
                      </w:r>
                      <w:r w:rsidR="000030D4">
                        <w:t>s</w:t>
                      </w:r>
                      <w:r w:rsidR="009D0D30">
                        <w:t xml:space="preserve"> explained below</w:t>
                      </w:r>
                      <w:r w:rsidR="009D0D30" w:rsidRPr="0041586B">
                        <w:t>:</w:t>
                      </w:r>
                    </w:p>
                    <w:p w14:paraId="5119F73C" w14:textId="217E2117" w:rsidR="009D0D30" w:rsidRDefault="0022717C" w:rsidP="00046BD1">
                      <w:pPr>
                        <w:pStyle w:val="CGC2025Bullet1"/>
                        <w:spacing w:before="0"/>
                      </w:pPr>
                      <w:r>
                        <w:t>A</w:t>
                      </w:r>
                      <w:r w:rsidR="009D0D30" w:rsidRPr="0024211C">
                        <w:t>llocat</w:t>
                      </w:r>
                      <w:r w:rsidR="006107B5">
                        <w:t>e</w:t>
                      </w:r>
                      <w:r w:rsidR="009D0D30" w:rsidRPr="0024211C">
                        <w:t xml:space="preserve"> </w:t>
                      </w:r>
                      <w:r w:rsidR="00FB79DA" w:rsidRPr="00672964">
                        <w:rPr>
                          <w:i/>
                        </w:rPr>
                        <w:t>national</w:t>
                      </w:r>
                      <w:r w:rsidR="009D0D30" w:rsidRPr="00672964">
                        <w:rPr>
                          <w:i/>
                        </w:rPr>
                        <w:t xml:space="preserve"> substitutable </w:t>
                      </w:r>
                      <w:r w:rsidR="005104AF" w:rsidRPr="00672964">
                        <w:rPr>
                          <w:i/>
                        </w:rPr>
                        <w:t>activity</w:t>
                      </w:r>
                      <w:r w:rsidR="00216027">
                        <w:t xml:space="preserve"> </w:t>
                      </w:r>
                      <w:r w:rsidR="009D0D30" w:rsidRPr="0024211C">
                        <w:t xml:space="preserve">for each component to each of the </w:t>
                      </w:r>
                      <w:r w:rsidR="009D0D30">
                        <w:t>socio</w:t>
                      </w:r>
                      <w:r w:rsidR="009D0D30">
                        <w:noBreakHyphen/>
                        <w:t xml:space="preserve">demographic </w:t>
                      </w:r>
                      <w:r w:rsidR="009D0D30" w:rsidRPr="0024211C">
                        <w:t xml:space="preserve">groups </w:t>
                      </w:r>
                      <w:r w:rsidR="009D0D30">
                        <w:t>b</w:t>
                      </w:r>
                      <w:r w:rsidR="009D0D30" w:rsidRPr="0024211C">
                        <w:t xml:space="preserve">ased on the </w:t>
                      </w:r>
                      <w:r w:rsidR="009D0D30">
                        <w:t>socio</w:t>
                      </w:r>
                      <w:r w:rsidR="009D0D30">
                        <w:noBreakHyphen/>
                        <w:t xml:space="preserve">demographic </w:t>
                      </w:r>
                      <w:r w:rsidR="009D0D30" w:rsidRPr="0024211C">
                        <w:t>distribution of</w:t>
                      </w:r>
                      <w:r w:rsidR="009D0D30">
                        <w:t xml:space="preserve"> non</w:t>
                      </w:r>
                      <w:r w:rsidR="009D0D30">
                        <w:noBreakHyphen/>
                        <w:t>state sector activity</w:t>
                      </w:r>
                      <w:r w:rsidR="00194C54">
                        <w:t>.</w:t>
                      </w:r>
                    </w:p>
                    <w:p w14:paraId="6C2EA358" w14:textId="7EC839E8" w:rsidR="009D0D30" w:rsidRDefault="0022717C" w:rsidP="00555C88">
                      <w:pPr>
                        <w:pStyle w:val="CGC2025Bullet1"/>
                        <w:spacing w:before="80"/>
                      </w:pPr>
                      <w:r>
                        <w:t>D</w:t>
                      </w:r>
                      <w:r w:rsidR="009D0D30" w:rsidRPr="00F72FFE">
                        <w:t>ivid</w:t>
                      </w:r>
                      <w:r w:rsidR="006107B5">
                        <w:t>e</w:t>
                      </w:r>
                      <w:r w:rsidR="009D0D30" w:rsidRPr="00F72FFE">
                        <w:t xml:space="preserve"> </w:t>
                      </w:r>
                      <w:r w:rsidR="004F0D28">
                        <w:t>national</w:t>
                      </w:r>
                      <w:r w:rsidR="009D0D30" w:rsidRPr="00F72FFE">
                        <w:t xml:space="preserve"> </w:t>
                      </w:r>
                      <w:r w:rsidR="009D0D30">
                        <w:t xml:space="preserve">substitutable </w:t>
                      </w:r>
                      <w:r w:rsidR="00FB7211">
                        <w:t>activity</w:t>
                      </w:r>
                      <w:r w:rsidR="009D0D30" w:rsidRPr="00F72FFE">
                        <w:t xml:space="preserve"> attributable to each </w:t>
                      </w:r>
                      <w:r w:rsidR="009D0D30">
                        <w:t>socio</w:t>
                      </w:r>
                      <w:r w:rsidR="009D0D30">
                        <w:noBreakHyphen/>
                        <w:t xml:space="preserve">demographic </w:t>
                      </w:r>
                      <w:r w:rsidR="009D0D30" w:rsidRPr="00F72FFE">
                        <w:t>group by the national population in that group</w:t>
                      </w:r>
                      <w:r w:rsidR="00194C54">
                        <w:t>.</w:t>
                      </w:r>
                    </w:p>
                    <w:p w14:paraId="543D4C0C" w14:textId="62626F37" w:rsidR="009D0D30" w:rsidRDefault="0022717C" w:rsidP="00555C88">
                      <w:pPr>
                        <w:pStyle w:val="CGC2025Bullet1"/>
                        <w:spacing w:before="80"/>
                      </w:pPr>
                      <w:r>
                        <w:t>M</w:t>
                      </w:r>
                      <w:r w:rsidR="009D0D30">
                        <w:t xml:space="preserve">ultiply national average substitutable </w:t>
                      </w:r>
                      <w:r w:rsidR="00BD2593">
                        <w:t>activity</w:t>
                      </w:r>
                      <w:r w:rsidR="009D0D30">
                        <w:t xml:space="preserve"> per capita for each socio</w:t>
                      </w:r>
                      <w:r w:rsidR="009D0D30">
                        <w:noBreakHyphen/>
                        <w:t>demographic group by the number of people in that socio</w:t>
                      </w:r>
                      <w:r w:rsidR="009D0D30">
                        <w:noBreakHyphen/>
                        <w:t>demographic group in each state</w:t>
                      </w:r>
                      <w:r w:rsidR="00194C54">
                        <w:t>.</w:t>
                      </w:r>
                    </w:p>
                    <w:p w14:paraId="4E9B438C" w14:textId="54B18FF4" w:rsidR="009D0D30" w:rsidRDefault="0022717C" w:rsidP="00555C88">
                      <w:pPr>
                        <w:pStyle w:val="CGC2025Bullet1"/>
                        <w:spacing w:before="80"/>
                      </w:pPr>
                      <w:r>
                        <w:t>S</w:t>
                      </w:r>
                      <w:r w:rsidR="009D0D30">
                        <w:t>um</w:t>
                      </w:r>
                      <w:r w:rsidR="00724396">
                        <w:t>ming</w:t>
                      </w:r>
                      <w:r w:rsidR="009D0D30">
                        <w:t xml:space="preserve"> </w:t>
                      </w:r>
                      <w:r w:rsidR="009D0D30" w:rsidRPr="00672964">
                        <w:rPr>
                          <w:i/>
                        </w:rPr>
                        <w:t xml:space="preserve">assessed substitutable </w:t>
                      </w:r>
                      <w:r w:rsidR="00B36C21" w:rsidRPr="00672964">
                        <w:rPr>
                          <w:i/>
                        </w:rPr>
                        <w:t>activity</w:t>
                      </w:r>
                      <w:r w:rsidR="009D0D30">
                        <w:t xml:space="preserve"> for all population groups gives total assessed substitutable </w:t>
                      </w:r>
                      <w:r w:rsidR="00392EBD">
                        <w:t>activity</w:t>
                      </w:r>
                      <w:r w:rsidR="009D0D30">
                        <w:t xml:space="preserve"> for each state</w:t>
                      </w:r>
                      <w:r w:rsidR="00194C54">
                        <w:t>.</w:t>
                      </w:r>
                    </w:p>
                    <w:p w14:paraId="357B2DDF" w14:textId="3AEC632D" w:rsidR="009D0D30" w:rsidRPr="00AD0AFB" w:rsidRDefault="00194C54" w:rsidP="00555C88">
                      <w:pPr>
                        <w:pStyle w:val="CGC2025Bullet1"/>
                        <w:spacing w:before="80"/>
                      </w:pPr>
                      <w:r>
                        <w:rPr>
                          <w:i/>
                        </w:rPr>
                        <w:t>A</w:t>
                      </w:r>
                      <w:r w:rsidR="00815975" w:rsidRPr="00672964">
                        <w:rPr>
                          <w:i/>
                        </w:rPr>
                        <w:t>ssessed substitutable activity</w:t>
                      </w:r>
                      <w:r w:rsidR="00815975">
                        <w:t xml:space="preserve"> for each state </w:t>
                      </w:r>
                      <w:r w:rsidR="009D0D30" w:rsidRPr="00AD0AFB">
                        <w:t xml:space="preserve">are scaled so the national total equals </w:t>
                      </w:r>
                      <w:r w:rsidR="00AE40BB">
                        <w:rPr>
                          <w:i/>
                          <w:iCs/>
                        </w:rPr>
                        <w:t>national</w:t>
                      </w:r>
                      <w:r w:rsidR="009D0D30" w:rsidRPr="00AD0AFB">
                        <w:rPr>
                          <w:i/>
                        </w:rPr>
                        <w:t xml:space="preserve"> substitutable expenses</w:t>
                      </w:r>
                      <w:r w:rsidR="005E7118">
                        <w:t xml:space="preserve"> </w:t>
                      </w:r>
                      <w:r w:rsidR="002A2F81">
                        <w:t xml:space="preserve">(this </w:t>
                      </w:r>
                      <w:r w:rsidR="000608EA">
                        <w:t>is</w:t>
                      </w:r>
                      <w:r w:rsidR="002A2F81">
                        <w:t xml:space="preserve"> </w:t>
                      </w:r>
                      <w:r w:rsidR="00EC3EBF" w:rsidRPr="006C44AC">
                        <w:rPr>
                          <w:i/>
                          <w:iCs/>
                        </w:rPr>
                        <w:t>assessed substitutable expenses</w:t>
                      </w:r>
                      <w:r w:rsidR="000608EA" w:rsidRPr="008853D9">
                        <w:t>)</w:t>
                      </w:r>
                      <w:r>
                        <w:t>.</w:t>
                      </w:r>
                    </w:p>
                    <w:p w14:paraId="63E703F9" w14:textId="7C513045" w:rsidR="009D0D30" w:rsidRPr="00811FD1" w:rsidRDefault="00C92F76" w:rsidP="00632470">
                      <w:pPr>
                        <w:pStyle w:val="CGC2025Bullet1"/>
                        <w:numPr>
                          <w:ilvl w:val="0"/>
                          <w:numId w:val="0"/>
                        </w:numPr>
                      </w:pPr>
                      <w:r w:rsidRPr="00102861">
                        <w:rPr>
                          <w:b/>
                          <w:bCs/>
                        </w:rPr>
                        <w:t xml:space="preserve">Step </w:t>
                      </w:r>
                      <w:r>
                        <w:rPr>
                          <w:b/>
                          <w:bCs/>
                        </w:rPr>
                        <w:t>3</w:t>
                      </w:r>
                      <w:r w:rsidRPr="00102861">
                        <w:rPr>
                          <w:b/>
                          <w:bCs/>
                        </w:rPr>
                        <w:t>:</w:t>
                      </w:r>
                      <w:r>
                        <w:t xml:space="preserve"> </w:t>
                      </w:r>
                      <w:r w:rsidR="009D0D30" w:rsidRPr="00632470">
                        <w:rPr>
                          <w:i/>
                        </w:rPr>
                        <w:t>Actual substitutable expenses</w:t>
                      </w:r>
                      <w:r w:rsidR="00AD15AC">
                        <w:t xml:space="preserve"> are </w:t>
                      </w:r>
                      <w:r w:rsidR="00B840CB">
                        <w:t xml:space="preserve">calculated </w:t>
                      </w:r>
                      <w:r w:rsidR="00014A6D">
                        <w:t xml:space="preserve">by </w:t>
                      </w:r>
                      <w:r w:rsidR="00DA25F8">
                        <w:t xml:space="preserve">taking </w:t>
                      </w:r>
                      <w:r w:rsidR="00DA25F8" w:rsidRPr="00632470">
                        <w:rPr>
                          <w:i/>
                        </w:rPr>
                        <w:t>actual substitutable activity</w:t>
                      </w:r>
                      <w:r w:rsidR="00DA25F8">
                        <w:t xml:space="preserve"> for each state and</w:t>
                      </w:r>
                      <w:r w:rsidR="00DA25F8" w:rsidRPr="00811FD1">
                        <w:t xml:space="preserve"> scal</w:t>
                      </w:r>
                      <w:r w:rsidR="00DA25F8">
                        <w:t>ing</w:t>
                      </w:r>
                      <w:r w:rsidR="00DA25F8" w:rsidRPr="00811FD1">
                        <w:t xml:space="preserve"> so the national total equals </w:t>
                      </w:r>
                      <w:r w:rsidR="00DA25F8" w:rsidRPr="00AE4D3E">
                        <w:rPr>
                          <w:i/>
                          <w:iCs/>
                        </w:rPr>
                        <w:t>national substitutable expenses</w:t>
                      </w:r>
                      <w:r w:rsidR="009D0D30" w:rsidRPr="00811FD1">
                        <w:t>.</w:t>
                      </w:r>
                    </w:p>
                    <w:p w14:paraId="30906689" w14:textId="727F4EDE" w:rsidR="009D0D30" w:rsidRPr="00284B22" w:rsidRDefault="00C92F76" w:rsidP="00C6224E">
                      <w:pPr>
                        <w:pStyle w:val="CGC2025Bullet1"/>
                        <w:numPr>
                          <w:ilvl w:val="0"/>
                          <w:numId w:val="0"/>
                        </w:numPr>
                        <w:spacing w:before="100"/>
                      </w:pPr>
                      <w:r w:rsidRPr="00102861">
                        <w:rPr>
                          <w:b/>
                          <w:bCs/>
                        </w:rPr>
                        <w:t xml:space="preserve">Step </w:t>
                      </w:r>
                      <w:r>
                        <w:rPr>
                          <w:b/>
                          <w:bCs/>
                        </w:rPr>
                        <w:t>4</w:t>
                      </w:r>
                      <w:r w:rsidRPr="00102861">
                        <w:rPr>
                          <w:b/>
                          <w:bCs/>
                        </w:rPr>
                        <w:t>:</w:t>
                      </w:r>
                      <w:r>
                        <w:t xml:space="preserve"> </w:t>
                      </w:r>
                      <w:r w:rsidR="009D0D30">
                        <w:t>The non-state sector adjustment is calculated by taking the difference between assessed and actual substitutable expenses.</w:t>
                      </w:r>
                    </w:p>
                  </w:txbxContent>
                </v:textbox>
                <w10:wrap type="square" anchorx="margin"/>
              </v:rect>
            </w:pict>
          </mc:Fallback>
        </mc:AlternateContent>
      </w:r>
      <w:r w:rsidR="002B673E">
        <w:t>The non-state sector adjustment for each component is calculated following the approach outlined in Box 2.</w:t>
      </w:r>
    </w:p>
    <w:p w14:paraId="3662A993" w14:textId="76E9FBD4" w:rsidR="009D0D30" w:rsidRDefault="009D0D30" w:rsidP="003A1E7D">
      <w:pPr>
        <w:pStyle w:val="CGC2025TableNote"/>
      </w:pPr>
    </w:p>
    <w:p w14:paraId="1FDA74E9" w14:textId="37309C6C" w:rsidR="003B416F" w:rsidRDefault="00261005" w:rsidP="0075162E">
      <w:pPr>
        <w:pStyle w:val="Heading4"/>
        <w:spacing w:before="60"/>
      </w:pPr>
      <w:r>
        <w:t>Applying w</w:t>
      </w:r>
      <w:r w:rsidR="003B416F">
        <w:t>age costs</w:t>
      </w:r>
    </w:p>
    <w:p w14:paraId="490CAB79" w14:textId="26FFBC3E" w:rsidR="00E36346" w:rsidRPr="00236AD4" w:rsidRDefault="00C12D18" w:rsidP="0075162E">
      <w:pPr>
        <w:pStyle w:val="CGC2025ParaNumbers"/>
        <w:spacing w:before="80"/>
      </w:pPr>
      <w:r w:rsidRPr="00236AD4">
        <w:t xml:space="preserve">Wages costs are a significant share of the total cost of providing health services. </w:t>
      </w:r>
      <w:r w:rsidR="00722B8A" w:rsidRPr="00236AD4">
        <w:t>D</w:t>
      </w:r>
      <w:r w:rsidR="007A6D98" w:rsidRPr="00236AD4">
        <w:t>ifference</w:t>
      </w:r>
      <w:r w:rsidR="00A15551" w:rsidRPr="00236AD4">
        <w:t>s</w:t>
      </w:r>
      <w:r w:rsidR="007A6D98" w:rsidRPr="00236AD4">
        <w:t xml:space="preserve"> in wage costs </w:t>
      </w:r>
      <w:r w:rsidR="0038618E" w:rsidRPr="00236AD4">
        <w:t xml:space="preserve">between states </w:t>
      </w:r>
      <w:r w:rsidR="007A6D98" w:rsidRPr="00236AD4">
        <w:t xml:space="preserve">have a differential effect on the cost of providing </w:t>
      </w:r>
      <w:r w:rsidR="00031F29" w:rsidRPr="00236AD4">
        <w:t xml:space="preserve">hospital services. The </w:t>
      </w:r>
      <w:r w:rsidR="00224FE5" w:rsidRPr="00236AD4">
        <w:t>h</w:t>
      </w:r>
      <w:r w:rsidR="006E4B28" w:rsidRPr="00236AD4">
        <w:t xml:space="preserve">ealth </w:t>
      </w:r>
      <w:r w:rsidR="00031F29" w:rsidRPr="00236AD4">
        <w:t>assessment use</w:t>
      </w:r>
      <w:r w:rsidR="006E4B28" w:rsidRPr="00236AD4">
        <w:t>s</w:t>
      </w:r>
      <w:r w:rsidR="00031F29" w:rsidRPr="00236AD4">
        <w:t xml:space="preserve"> the </w:t>
      </w:r>
      <w:r w:rsidR="00851758" w:rsidRPr="00236AD4">
        <w:t xml:space="preserve">Commission’s </w:t>
      </w:r>
      <w:r w:rsidR="00031F29" w:rsidRPr="00236AD4">
        <w:t>general method for measuring the influence of wage costs</w:t>
      </w:r>
      <w:r w:rsidR="009D6014" w:rsidRPr="00236AD4">
        <w:t xml:space="preserve">. </w:t>
      </w:r>
      <w:r w:rsidR="00091642">
        <w:t>D</w:t>
      </w:r>
      <w:r w:rsidR="0038618E" w:rsidRPr="00236AD4">
        <w:t xml:space="preserve">etails on </w:t>
      </w:r>
      <w:r w:rsidR="00FB68FB" w:rsidRPr="00236AD4">
        <w:t>how this is calculated</w:t>
      </w:r>
      <w:r w:rsidR="00E34878">
        <w:t xml:space="preserve"> are in</w:t>
      </w:r>
      <w:r w:rsidR="0038618E" w:rsidRPr="00236AD4">
        <w:t xml:space="preserve"> the wage costs chapter</w:t>
      </w:r>
      <w:r w:rsidR="00E14D0C">
        <w:t xml:space="preserve"> of the </w:t>
      </w:r>
      <w:r w:rsidR="00E14D0C" w:rsidRPr="00C246B1">
        <w:rPr>
          <w:i/>
          <w:iCs/>
        </w:rPr>
        <w:t xml:space="preserve">Commission’s </w:t>
      </w:r>
      <w:r w:rsidR="00C246B1">
        <w:rPr>
          <w:i/>
          <w:iCs/>
        </w:rPr>
        <w:t>A</w:t>
      </w:r>
      <w:r w:rsidR="00E14D0C" w:rsidRPr="00C9428C">
        <w:rPr>
          <w:i/>
          <w:iCs/>
        </w:rPr>
        <w:t xml:space="preserve">ssessment </w:t>
      </w:r>
      <w:r w:rsidR="00C246B1">
        <w:rPr>
          <w:i/>
          <w:iCs/>
        </w:rPr>
        <w:t>M</w:t>
      </w:r>
      <w:r w:rsidR="00E14D0C" w:rsidRPr="00C9428C">
        <w:rPr>
          <w:i/>
          <w:iCs/>
        </w:rPr>
        <w:t>ethodology</w:t>
      </w:r>
      <w:r w:rsidR="0038618E" w:rsidRPr="00236AD4">
        <w:t>.</w:t>
      </w:r>
    </w:p>
    <w:p w14:paraId="787BCEC2" w14:textId="38C56F47" w:rsidR="0029389A" w:rsidRDefault="00F06B23" w:rsidP="0075162E">
      <w:pPr>
        <w:pStyle w:val="Heading3"/>
        <w:keepNext/>
        <w:spacing w:before="160" w:after="40"/>
      </w:pPr>
      <w:r w:rsidRPr="00D30CB8">
        <w:t>C</w:t>
      </w:r>
      <w:r w:rsidR="0029389A">
        <w:t>ommunity and public health services</w:t>
      </w:r>
      <w:r w:rsidR="005111C4">
        <w:t xml:space="preserve"> component</w:t>
      </w:r>
    </w:p>
    <w:p w14:paraId="5B5257DB" w14:textId="240A5B25" w:rsidR="005720FB" w:rsidRDefault="005720FB" w:rsidP="00F00AA6">
      <w:pPr>
        <w:pStyle w:val="CGC2025ParaNumbers"/>
        <w:keepNext/>
        <w:spacing w:before="80"/>
      </w:pPr>
      <w:r>
        <w:t xml:space="preserve">This component includes a broad range of community and public health services. </w:t>
      </w:r>
    </w:p>
    <w:p w14:paraId="34AB0526" w14:textId="7A36789A" w:rsidR="008C7DF8" w:rsidRDefault="008C7DF8" w:rsidP="00C6224E">
      <w:pPr>
        <w:pStyle w:val="CGC2025ParaNumbers"/>
        <w:spacing w:before="100"/>
      </w:pPr>
      <w:r>
        <w:t>The assessment is made up of 2 sub</w:t>
      </w:r>
      <w:r>
        <w:noBreakHyphen/>
        <w:t>components.</w:t>
      </w:r>
    </w:p>
    <w:p w14:paraId="1FF142F2" w14:textId="6BE424FB" w:rsidR="008C7DF8" w:rsidRPr="00050F67" w:rsidRDefault="00371047" w:rsidP="008C7DF8">
      <w:pPr>
        <w:pStyle w:val="CGC2025Bullet1"/>
      </w:pPr>
      <w:r>
        <w:t>A</w:t>
      </w:r>
      <w:r w:rsidR="008C7DF8">
        <w:t>mbulatory</w:t>
      </w:r>
      <w:r w:rsidR="008C7DF8" w:rsidRPr="00050F67">
        <w:t xml:space="preserve"> community mental health services, </w:t>
      </w:r>
      <w:r w:rsidR="00F037C3">
        <w:t>which</w:t>
      </w:r>
      <w:r w:rsidR="008C7DF8" w:rsidRPr="00050F67">
        <w:t xml:space="preserve"> represent </w:t>
      </w:r>
      <w:r w:rsidR="00F22C2A">
        <w:t xml:space="preserve">around </w:t>
      </w:r>
      <w:r w:rsidR="008C7DF8" w:rsidRPr="00050F67">
        <w:t>a fifth of component expenses.</w:t>
      </w:r>
    </w:p>
    <w:p w14:paraId="3471A2FB" w14:textId="7D6D5825" w:rsidR="00D320DD" w:rsidRPr="00D320DD" w:rsidRDefault="003518F4" w:rsidP="00C6224E">
      <w:pPr>
        <w:pStyle w:val="CGC2025Bullet1"/>
        <w:spacing w:before="100"/>
      </w:pPr>
      <w:r>
        <w:t>Other</w:t>
      </w:r>
      <w:r w:rsidR="008C7DF8" w:rsidRPr="00050F67">
        <w:t xml:space="preserve"> community </w:t>
      </w:r>
      <w:r w:rsidR="00D40843">
        <w:t xml:space="preserve">health services </w:t>
      </w:r>
      <w:r w:rsidR="00F3094F">
        <w:t>(</w:t>
      </w:r>
      <w:r w:rsidR="00D40843">
        <w:t>such as public dental</w:t>
      </w:r>
      <w:r w:rsidR="000128A1">
        <w:t xml:space="preserve"> </w:t>
      </w:r>
      <w:r w:rsidR="00934194">
        <w:t>and</w:t>
      </w:r>
      <w:r w:rsidR="00D40843">
        <w:t xml:space="preserve"> </w:t>
      </w:r>
      <w:r w:rsidR="00934194">
        <w:t xml:space="preserve">alcohol and other </w:t>
      </w:r>
      <w:r w:rsidR="00D40843">
        <w:t>drug</w:t>
      </w:r>
      <w:r w:rsidR="00934194">
        <w:t xml:space="preserve"> service</w:t>
      </w:r>
      <w:r w:rsidR="00F3094F">
        <w:t>)</w:t>
      </w:r>
      <w:r w:rsidR="00D40843">
        <w:t xml:space="preserve"> and</w:t>
      </w:r>
      <w:r w:rsidR="008C7DF8" w:rsidRPr="00050F67">
        <w:t xml:space="preserve"> public health </w:t>
      </w:r>
      <w:r w:rsidR="00FD0455">
        <w:t xml:space="preserve">services </w:t>
      </w:r>
      <w:r w:rsidR="005D1785">
        <w:t>(</w:t>
      </w:r>
      <w:r w:rsidR="00FD0455">
        <w:t>such as cancer screening, organised immunisation,</w:t>
      </w:r>
      <w:r w:rsidR="00917F4C">
        <w:t xml:space="preserve"> health promotion, communicable disease control and environmental health</w:t>
      </w:r>
      <w:r w:rsidR="005D1785">
        <w:t>)</w:t>
      </w:r>
      <w:r w:rsidR="00C5703F">
        <w:t>. These services</w:t>
      </w:r>
      <w:r w:rsidR="006A7EEF">
        <w:t xml:space="preserve"> represent the balance of component expenses</w:t>
      </w:r>
      <w:r w:rsidR="008C7DF8" w:rsidRPr="00050F67">
        <w:t>.</w:t>
      </w:r>
    </w:p>
    <w:p w14:paraId="16174E43" w14:textId="78259DF8" w:rsidR="00F30555" w:rsidRDefault="00F30555" w:rsidP="006E2A71">
      <w:pPr>
        <w:pStyle w:val="Heading4"/>
        <w:spacing w:before="120"/>
      </w:pPr>
      <w:r>
        <w:lastRenderedPageBreak/>
        <w:t>S</w:t>
      </w:r>
      <w:r w:rsidRPr="006D24C7">
        <w:t>ocio-</w:t>
      </w:r>
      <w:r w:rsidRPr="00E75539">
        <w:t>demographic</w:t>
      </w:r>
      <w:r w:rsidRPr="006D24C7">
        <w:t xml:space="preserve"> composition</w:t>
      </w:r>
      <w:r w:rsidR="00B936C1">
        <w:t xml:space="preserve"> assessment</w:t>
      </w:r>
    </w:p>
    <w:p w14:paraId="3338E89C" w14:textId="7EEDAE71" w:rsidR="00CE1C43" w:rsidRPr="00CE1C43" w:rsidRDefault="00CE1C43" w:rsidP="00F30555">
      <w:pPr>
        <w:pStyle w:val="Heading5"/>
      </w:pPr>
      <w:r>
        <w:t>Drivers</w:t>
      </w:r>
    </w:p>
    <w:p w14:paraId="07A2556B" w14:textId="57EAC13B" w:rsidR="00744CA1" w:rsidRDefault="00AB2D58" w:rsidP="006E2A71">
      <w:pPr>
        <w:pStyle w:val="CGC2025ParaNumbers"/>
        <w:spacing w:before="80"/>
      </w:pPr>
      <w:r>
        <w:t xml:space="preserve">As with hospital services, the community and public health </w:t>
      </w:r>
      <w:r w:rsidR="00D32F44" w:rsidRPr="00D32F44">
        <w:t xml:space="preserve">assessment recognises that the </w:t>
      </w:r>
      <w:r w:rsidR="00B114BF">
        <w:t xml:space="preserve">use and </w:t>
      </w:r>
      <w:r w:rsidR="00B114BF" w:rsidRPr="00D32F44">
        <w:t xml:space="preserve">cost of health services in each state </w:t>
      </w:r>
      <w:r w:rsidR="00B114BF">
        <w:t xml:space="preserve">is affected by the </w:t>
      </w:r>
      <w:r w:rsidR="00D32F44" w:rsidRPr="00D32F44">
        <w:t>socio</w:t>
      </w:r>
      <w:r w:rsidR="00E20982">
        <w:noBreakHyphen/>
      </w:r>
      <w:r w:rsidR="00D32F44" w:rsidRPr="00D32F44">
        <w:t>demographic composition of the population with respect to Indigenous status, socio</w:t>
      </w:r>
      <w:r w:rsidR="00E20982">
        <w:noBreakHyphen/>
      </w:r>
      <w:r w:rsidR="00D32F44" w:rsidRPr="00D32F44">
        <w:t xml:space="preserve">economic status, remoteness and age. </w:t>
      </w:r>
    </w:p>
    <w:p w14:paraId="5CFA4163" w14:textId="7D3B6BBF" w:rsidR="002526CF" w:rsidRDefault="002F0F24" w:rsidP="00517417">
      <w:pPr>
        <w:pStyle w:val="Heading6"/>
      </w:pPr>
      <w:r>
        <w:t>M</w:t>
      </w:r>
      <w:r w:rsidR="0038566B">
        <w:t>easur</w:t>
      </w:r>
      <w:r w:rsidR="00031277">
        <w:t>ing</w:t>
      </w:r>
      <w:r w:rsidR="0038566B">
        <w:t xml:space="preserve"> </w:t>
      </w:r>
      <w:r w:rsidR="001A0F03">
        <w:t xml:space="preserve">activity for </w:t>
      </w:r>
      <w:r w:rsidR="00031277">
        <w:t xml:space="preserve">ambulatory </w:t>
      </w:r>
      <w:r w:rsidR="00265D02">
        <w:t>community mental health</w:t>
      </w:r>
      <w:r w:rsidR="008840AC">
        <w:t xml:space="preserve"> </w:t>
      </w:r>
      <w:r w:rsidR="001A0F03">
        <w:t>services</w:t>
      </w:r>
    </w:p>
    <w:p w14:paraId="5BF4F4A3" w14:textId="0AF53974" w:rsidR="003A7FD3" w:rsidRPr="00090338" w:rsidRDefault="00CB2349" w:rsidP="006E2A71">
      <w:pPr>
        <w:pStyle w:val="CGC2025ParaNumbers"/>
        <w:spacing w:before="80"/>
      </w:pPr>
      <w:r w:rsidRPr="00090338">
        <w:t>Activity is</w:t>
      </w:r>
      <w:r w:rsidR="00C1082E" w:rsidRPr="00090338">
        <w:t xml:space="preserve"> </w:t>
      </w:r>
      <w:r w:rsidR="00234E29" w:rsidRPr="00090338">
        <w:t>measure</w:t>
      </w:r>
      <w:r w:rsidRPr="00090338">
        <w:t>d</w:t>
      </w:r>
      <w:r w:rsidR="00234E29" w:rsidRPr="00090338">
        <w:t xml:space="preserve"> </w:t>
      </w:r>
      <w:r w:rsidR="00C1082E" w:rsidRPr="00090338">
        <w:t>us</w:t>
      </w:r>
      <w:r w:rsidRPr="00090338">
        <w:t>ing</w:t>
      </w:r>
      <w:r w:rsidR="00C1082E" w:rsidRPr="00090338">
        <w:t xml:space="preserve"> </w:t>
      </w:r>
      <w:r w:rsidR="00F9378F">
        <w:t>AIHW</w:t>
      </w:r>
      <w:r w:rsidR="00E74764" w:rsidRPr="00090338">
        <w:t xml:space="preserve"> data on</w:t>
      </w:r>
      <w:r w:rsidRPr="00090338">
        <w:t xml:space="preserve"> the</w:t>
      </w:r>
      <w:r w:rsidR="00AE3D8F" w:rsidRPr="00090338">
        <w:t xml:space="preserve"> </w:t>
      </w:r>
      <w:r w:rsidR="001537AE" w:rsidRPr="00090338">
        <w:t xml:space="preserve">number of service contacts in </w:t>
      </w:r>
      <w:r w:rsidR="002A6C63" w:rsidRPr="00090338">
        <w:t xml:space="preserve">state </w:t>
      </w:r>
      <w:r w:rsidR="006070F4" w:rsidRPr="00090338">
        <w:t xml:space="preserve">funded and operated </w:t>
      </w:r>
      <w:r w:rsidR="00E74764" w:rsidRPr="00090338">
        <w:t xml:space="preserve">ambulatory </w:t>
      </w:r>
      <w:r w:rsidR="004651A7" w:rsidRPr="00090338">
        <w:t>(</w:t>
      </w:r>
      <w:r w:rsidR="00EC318B" w:rsidRPr="00090338">
        <w:t>or non</w:t>
      </w:r>
      <w:r w:rsidR="004651A7" w:rsidRPr="00090338">
        <w:noBreakHyphen/>
      </w:r>
      <w:r w:rsidR="00EC318B" w:rsidRPr="00090338">
        <w:t>residential</w:t>
      </w:r>
      <w:r w:rsidR="004651A7" w:rsidRPr="00090338">
        <w:t>)</w:t>
      </w:r>
      <w:r w:rsidR="00EC318B" w:rsidRPr="00090338">
        <w:t xml:space="preserve"> </w:t>
      </w:r>
      <w:r w:rsidR="00E74764" w:rsidRPr="00090338">
        <w:t>c</w:t>
      </w:r>
      <w:r w:rsidR="002958B1" w:rsidRPr="00090338">
        <w:t>ommunity mental health</w:t>
      </w:r>
      <w:r w:rsidR="002A6C63" w:rsidRPr="00090338">
        <w:t xml:space="preserve"> programs.</w:t>
      </w:r>
      <w:r w:rsidR="00695AD1" w:rsidRPr="00090338">
        <w:t xml:space="preserve"> </w:t>
      </w:r>
    </w:p>
    <w:p w14:paraId="4E54056E" w14:textId="1B810762" w:rsidR="00480D86" w:rsidRDefault="009156D7">
      <w:pPr>
        <w:pStyle w:val="CGC2025ParaNumbers"/>
      </w:pPr>
      <w:r>
        <w:t>T</w:t>
      </w:r>
      <w:r w:rsidR="002958B1">
        <w:t xml:space="preserve">he </w:t>
      </w:r>
      <w:r w:rsidR="00920E06">
        <w:t xml:space="preserve">activity </w:t>
      </w:r>
      <w:r w:rsidR="002958B1">
        <w:t>data are not cost</w:t>
      </w:r>
      <w:r w:rsidR="00E205CC">
        <w:t xml:space="preserve"> </w:t>
      </w:r>
      <w:r w:rsidR="002958B1">
        <w:t xml:space="preserve">weighted </w:t>
      </w:r>
      <w:r w:rsidR="00567BFA">
        <w:t xml:space="preserve">so </w:t>
      </w:r>
      <w:r w:rsidR="002958B1">
        <w:t>regional cost adjustments</w:t>
      </w:r>
      <w:r w:rsidR="00BD645D">
        <w:t>,</w:t>
      </w:r>
      <w:r w:rsidR="000C318C">
        <w:t xml:space="preserve"> </w:t>
      </w:r>
      <w:r w:rsidR="002958B1">
        <w:t xml:space="preserve">based on the general </w:t>
      </w:r>
      <w:r w:rsidR="00920E06">
        <w:t xml:space="preserve">regional </w:t>
      </w:r>
      <w:r w:rsidR="00900296">
        <w:t xml:space="preserve">cost </w:t>
      </w:r>
      <w:r w:rsidR="002958B1">
        <w:t xml:space="preserve">gradient, and </w:t>
      </w:r>
      <w:r w:rsidR="00E20982">
        <w:t>health</w:t>
      </w:r>
      <w:r w:rsidR="005C0EF0">
        <w:t>-</w:t>
      </w:r>
      <w:r w:rsidR="00E20982">
        <w:t>related</w:t>
      </w:r>
      <w:r w:rsidR="005C0EF0">
        <w:t xml:space="preserve"> </w:t>
      </w:r>
      <w:r w:rsidR="002958B1">
        <w:t xml:space="preserve">service delivery scale adjustments </w:t>
      </w:r>
      <w:r w:rsidR="00BD645D">
        <w:t xml:space="preserve">are applied </w:t>
      </w:r>
      <w:r w:rsidR="002958B1">
        <w:t>(</w:t>
      </w:r>
      <w:r w:rsidR="001B6EFE">
        <w:t>Table 14</w:t>
      </w:r>
      <w:r w:rsidR="002958B1">
        <w:t>).</w:t>
      </w:r>
      <w:r w:rsidR="00BC511E">
        <w:t xml:space="preserve"> </w:t>
      </w:r>
    </w:p>
    <w:p w14:paraId="28665D26" w14:textId="52DFD630" w:rsidR="00E43F41" w:rsidRDefault="00E43F41">
      <w:pPr>
        <w:pStyle w:val="CGC2025ParaNumbers"/>
      </w:pPr>
      <w:r>
        <w:t xml:space="preserve">The </w:t>
      </w:r>
      <w:r w:rsidR="00FE0956">
        <w:t xml:space="preserve">socio-demographic </w:t>
      </w:r>
      <w:r w:rsidR="00641916">
        <w:t>assess</w:t>
      </w:r>
      <w:r w:rsidR="00C647A4">
        <w:t>ed expenses</w:t>
      </w:r>
      <w:r w:rsidR="00FD76FD">
        <w:t xml:space="preserve"> for </w:t>
      </w:r>
      <w:r w:rsidR="004E4855">
        <w:t>ambulatory community mental health services</w:t>
      </w:r>
      <w:r w:rsidR="00C647A4">
        <w:t xml:space="preserve"> </w:t>
      </w:r>
      <w:r w:rsidR="0083455D">
        <w:t xml:space="preserve">are </w:t>
      </w:r>
      <w:r w:rsidR="00C647A4">
        <w:t xml:space="preserve">calculated using </w:t>
      </w:r>
      <w:r w:rsidR="00FE0956">
        <w:t xml:space="preserve">the </w:t>
      </w:r>
      <w:r w:rsidR="004A0E25">
        <w:t xml:space="preserve">same </w:t>
      </w:r>
      <w:r w:rsidR="00FE0956">
        <w:t xml:space="preserve">approach </w:t>
      </w:r>
      <w:r w:rsidR="00EE464D">
        <w:t>used for</w:t>
      </w:r>
      <w:r w:rsidR="00AA7A82">
        <w:t xml:space="preserve"> the public hospital components</w:t>
      </w:r>
      <w:r w:rsidR="004A0E25">
        <w:t>.</w:t>
      </w:r>
    </w:p>
    <w:p w14:paraId="6EF83BB1" w14:textId="78E37B92" w:rsidR="00697278" w:rsidRPr="0040121C" w:rsidRDefault="004557D5" w:rsidP="00DF3BC3">
      <w:pPr>
        <w:pStyle w:val="CGC2025Caption"/>
        <w:keepNext/>
        <w:spacing w:before="160" w:after="80"/>
        <w:ind w:left="1418" w:hanging="1418"/>
        <w:rPr>
          <w:bCs/>
        </w:rPr>
      </w:pPr>
      <w:bookmarkStart w:id="30" w:name="_Ref172613946"/>
      <w:bookmarkStart w:id="31" w:name="_Ref172810975"/>
      <w:r w:rsidRPr="0040121C">
        <w:rPr>
          <w:bCs/>
        </w:rPr>
        <w:t xml:space="preserve">Table </w:t>
      </w:r>
      <w:bookmarkEnd w:id="30"/>
      <w:bookmarkEnd w:id="31"/>
      <w:r w:rsidR="003149B6">
        <w:rPr>
          <w:bCs/>
        </w:rPr>
        <w:t>14</w:t>
      </w:r>
      <w:r w:rsidR="00341EA4" w:rsidRPr="0040121C">
        <w:rPr>
          <w:bCs/>
        </w:rPr>
        <w:tab/>
        <w:t>Regional cost and service delivery scale adjustments</w:t>
      </w:r>
      <w:r w:rsidR="00A05D74" w:rsidRPr="0040121C">
        <w:rPr>
          <w:bCs/>
        </w:rPr>
        <w:t xml:space="preserve"> applied to ambulatory mental </w:t>
      </w:r>
      <w:r w:rsidR="009A3979" w:rsidRPr="0040121C">
        <w:rPr>
          <w:bCs/>
        </w:rPr>
        <w:t xml:space="preserve">health </w:t>
      </w:r>
      <w:r w:rsidR="00A05D74" w:rsidRPr="0040121C">
        <w:rPr>
          <w:bCs/>
        </w:rPr>
        <w:t>service contacts</w:t>
      </w:r>
    </w:p>
    <w:tbl>
      <w:tblPr>
        <w:tblW w:w="8931" w:type="dxa"/>
        <w:tblLook w:val="04A0" w:firstRow="1" w:lastRow="0" w:firstColumn="1" w:lastColumn="0" w:noHBand="0" w:noVBand="1"/>
      </w:tblPr>
      <w:tblGrid>
        <w:gridCol w:w="3976"/>
        <w:gridCol w:w="1316"/>
        <w:gridCol w:w="1236"/>
        <w:gridCol w:w="1236"/>
        <w:gridCol w:w="1167"/>
      </w:tblGrid>
      <w:tr w:rsidR="00B641F7" w:rsidRPr="00B641F7" w14:paraId="0A95EBED" w14:textId="77777777" w:rsidTr="00E66B0E">
        <w:trPr>
          <w:trHeight w:val="375"/>
        </w:trPr>
        <w:tc>
          <w:tcPr>
            <w:tcW w:w="3976" w:type="dxa"/>
            <w:tcBorders>
              <w:top w:val="nil"/>
              <w:left w:val="nil"/>
              <w:bottom w:val="nil"/>
              <w:right w:val="nil"/>
            </w:tcBorders>
            <w:shd w:val="clear" w:color="000000" w:fill="006991"/>
            <w:noWrap/>
            <w:vAlign w:val="center"/>
            <w:hideMark/>
          </w:tcPr>
          <w:p w14:paraId="70EA7B7F" w14:textId="502A0CEF" w:rsidR="00B641F7" w:rsidRPr="00B641F7" w:rsidRDefault="00B641F7" w:rsidP="00E66B0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p>
        </w:tc>
        <w:tc>
          <w:tcPr>
            <w:tcW w:w="1316" w:type="dxa"/>
            <w:tcBorders>
              <w:top w:val="nil"/>
              <w:left w:val="nil"/>
              <w:bottom w:val="nil"/>
              <w:right w:val="nil"/>
            </w:tcBorders>
            <w:shd w:val="clear" w:color="000000" w:fill="006991"/>
            <w:noWrap/>
            <w:vAlign w:val="center"/>
            <w:hideMark/>
          </w:tcPr>
          <w:p w14:paraId="6E90A98D" w14:textId="77777777" w:rsidR="00B641F7" w:rsidRPr="00B641F7" w:rsidRDefault="00B641F7" w:rsidP="00E66B0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641F7">
              <w:rPr>
                <w:rFonts w:ascii="Open Sans Semibold" w:eastAsia="Times New Roman" w:hAnsi="Open Sans Semibold" w:cs="Open Sans Semibold"/>
                <w:color w:val="FFFFFF"/>
                <w:sz w:val="16"/>
                <w:szCs w:val="16"/>
                <w:lang w:eastAsia="en-AU"/>
              </w:rPr>
              <w:t>2019-20</w:t>
            </w:r>
          </w:p>
        </w:tc>
        <w:tc>
          <w:tcPr>
            <w:tcW w:w="1236" w:type="dxa"/>
            <w:tcBorders>
              <w:top w:val="nil"/>
              <w:left w:val="nil"/>
              <w:bottom w:val="nil"/>
              <w:right w:val="nil"/>
            </w:tcBorders>
            <w:shd w:val="clear" w:color="000000" w:fill="006991"/>
            <w:noWrap/>
            <w:vAlign w:val="center"/>
            <w:hideMark/>
          </w:tcPr>
          <w:p w14:paraId="3EC56E26" w14:textId="77777777" w:rsidR="00B641F7" w:rsidRPr="00B641F7" w:rsidRDefault="00B641F7" w:rsidP="00E66B0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641F7">
              <w:rPr>
                <w:rFonts w:ascii="Open Sans Semibold" w:eastAsia="Times New Roman" w:hAnsi="Open Sans Semibold" w:cs="Open Sans Semibold"/>
                <w:color w:val="FFFFFF"/>
                <w:sz w:val="16"/>
                <w:szCs w:val="16"/>
                <w:lang w:eastAsia="en-AU"/>
              </w:rPr>
              <w:t>2020-21</w:t>
            </w:r>
          </w:p>
        </w:tc>
        <w:tc>
          <w:tcPr>
            <w:tcW w:w="1236" w:type="dxa"/>
            <w:tcBorders>
              <w:top w:val="nil"/>
              <w:left w:val="nil"/>
              <w:bottom w:val="nil"/>
              <w:right w:val="nil"/>
            </w:tcBorders>
            <w:shd w:val="clear" w:color="000000" w:fill="006991"/>
            <w:noWrap/>
            <w:vAlign w:val="center"/>
            <w:hideMark/>
          </w:tcPr>
          <w:p w14:paraId="371F7F3F" w14:textId="77777777" w:rsidR="00B641F7" w:rsidRPr="00B641F7" w:rsidRDefault="00B641F7" w:rsidP="00E66B0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641F7">
              <w:rPr>
                <w:rFonts w:ascii="Open Sans Semibold" w:eastAsia="Times New Roman" w:hAnsi="Open Sans Semibold" w:cs="Open Sans Semibold"/>
                <w:color w:val="FFFFFF"/>
                <w:sz w:val="16"/>
                <w:szCs w:val="16"/>
                <w:lang w:eastAsia="en-AU"/>
              </w:rPr>
              <w:t>2021-22</w:t>
            </w:r>
          </w:p>
        </w:tc>
        <w:tc>
          <w:tcPr>
            <w:tcW w:w="1167" w:type="dxa"/>
            <w:tcBorders>
              <w:top w:val="nil"/>
              <w:left w:val="nil"/>
              <w:bottom w:val="nil"/>
              <w:right w:val="nil"/>
            </w:tcBorders>
            <w:shd w:val="clear" w:color="000000" w:fill="006991"/>
            <w:noWrap/>
            <w:vAlign w:val="center"/>
            <w:hideMark/>
          </w:tcPr>
          <w:p w14:paraId="4E616CC0" w14:textId="77777777" w:rsidR="00B641F7" w:rsidRPr="00B641F7" w:rsidRDefault="00B641F7" w:rsidP="00E66B0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641F7">
              <w:rPr>
                <w:rFonts w:ascii="Open Sans Semibold" w:eastAsia="Times New Roman" w:hAnsi="Open Sans Semibold" w:cs="Open Sans Semibold"/>
                <w:color w:val="FFFFFF"/>
                <w:sz w:val="16"/>
                <w:szCs w:val="16"/>
                <w:lang w:eastAsia="en-AU"/>
              </w:rPr>
              <w:t>2022-23</w:t>
            </w:r>
          </w:p>
        </w:tc>
      </w:tr>
      <w:tr w:rsidR="00B641F7" w:rsidRPr="00B641F7" w14:paraId="7617DD37" w14:textId="77777777" w:rsidTr="00BD6B3E">
        <w:trPr>
          <w:trHeight w:val="300"/>
        </w:trPr>
        <w:tc>
          <w:tcPr>
            <w:tcW w:w="5292" w:type="dxa"/>
            <w:gridSpan w:val="2"/>
            <w:tcBorders>
              <w:top w:val="nil"/>
              <w:left w:val="nil"/>
              <w:bottom w:val="single" w:sz="4" w:space="0" w:color="ADD6EA"/>
              <w:right w:val="nil"/>
            </w:tcBorders>
            <w:shd w:val="clear" w:color="000000" w:fill="D6E7F0"/>
            <w:noWrap/>
            <w:vAlign w:val="bottom"/>
            <w:hideMark/>
          </w:tcPr>
          <w:p w14:paraId="3488A556" w14:textId="77777777" w:rsidR="00B641F7" w:rsidRPr="00B641F7" w:rsidRDefault="00B641F7" w:rsidP="00AD367B">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B641F7">
              <w:rPr>
                <w:rFonts w:ascii="Open Sans Semibold" w:eastAsia="Times New Roman" w:hAnsi="Open Sans Semibold" w:cs="Open Sans Semibold"/>
                <w:color w:val="000000"/>
                <w:sz w:val="16"/>
                <w:szCs w:val="16"/>
                <w:lang w:eastAsia="en-AU"/>
              </w:rPr>
              <w:t>General regional cost gradient</w:t>
            </w:r>
          </w:p>
        </w:tc>
        <w:tc>
          <w:tcPr>
            <w:tcW w:w="1236" w:type="dxa"/>
            <w:tcBorders>
              <w:top w:val="nil"/>
              <w:left w:val="nil"/>
              <w:bottom w:val="single" w:sz="4" w:space="0" w:color="ADD6EA"/>
              <w:right w:val="nil"/>
            </w:tcBorders>
            <w:shd w:val="clear" w:color="000000" w:fill="D6E7F0"/>
            <w:noWrap/>
            <w:vAlign w:val="bottom"/>
            <w:hideMark/>
          </w:tcPr>
          <w:p w14:paraId="793B9D98" w14:textId="77777777" w:rsidR="00B641F7" w:rsidRPr="00B641F7" w:rsidRDefault="00B641F7" w:rsidP="00AD367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641F7">
              <w:rPr>
                <w:rFonts w:ascii="Open Sans Semibold" w:eastAsia="Times New Roman" w:hAnsi="Open Sans Semibold" w:cs="Open Sans Semibold"/>
                <w:color w:val="000000"/>
                <w:sz w:val="16"/>
                <w:szCs w:val="16"/>
                <w:lang w:eastAsia="en-AU"/>
              </w:rPr>
              <w:t> </w:t>
            </w:r>
          </w:p>
        </w:tc>
        <w:tc>
          <w:tcPr>
            <w:tcW w:w="1236" w:type="dxa"/>
            <w:tcBorders>
              <w:top w:val="nil"/>
              <w:left w:val="nil"/>
              <w:bottom w:val="single" w:sz="4" w:space="0" w:color="ADD6EA"/>
              <w:right w:val="nil"/>
            </w:tcBorders>
            <w:shd w:val="clear" w:color="000000" w:fill="D6E7F0"/>
            <w:noWrap/>
            <w:vAlign w:val="bottom"/>
            <w:hideMark/>
          </w:tcPr>
          <w:p w14:paraId="7F19C9C0" w14:textId="77777777" w:rsidR="00B641F7" w:rsidRPr="00B641F7" w:rsidRDefault="00B641F7" w:rsidP="00AD367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641F7">
              <w:rPr>
                <w:rFonts w:ascii="Open Sans Semibold" w:eastAsia="Times New Roman" w:hAnsi="Open Sans Semibold" w:cs="Open Sans Semibold"/>
                <w:color w:val="000000"/>
                <w:sz w:val="16"/>
                <w:szCs w:val="16"/>
                <w:lang w:eastAsia="en-AU"/>
              </w:rPr>
              <w:t> </w:t>
            </w:r>
          </w:p>
        </w:tc>
        <w:tc>
          <w:tcPr>
            <w:tcW w:w="1167" w:type="dxa"/>
            <w:tcBorders>
              <w:top w:val="nil"/>
              <w:left w:val="nil"/>
              <w:bottom w:val="single" w:sz="4" w:space="0" w:color="ADD6EA"/>
              <w:right w:val="nil"/>
            </w:tcBorders>
            <w:shd w:val="clear" w:color="000000" w:fill="D6E7F0"/>
            <w:noWrap/>
            <w:vAlign w:val="bottom"/>
            <w:hideMark/>
          </w:tcPr>
          <w:p w14:paraId="1B5DBC92" w14:textId="77777777" w:rsidR="00B641F7" w:rsidRPr="00B641F7" w:rsidRDefault="00B641F7" w:rsidP="00AD367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641F7">
              <w:rPr>
                <w:rFonts w:ascii="Open Sans Semibold" w:eastAsia="Times New Roman" w:hAnsi="Open Sans Semibold" w:cs="Open Sans Semibold"/>
                <w:color w:val="000000"/>
                <w:sz w:val="16"/>
                <w:szCs w:val="16"/>
                <w:lang w:eastAsia="en-AU"/>
              </w:rPr>
              <w:t> </w:t>
            </w:r>
          </w:p>
        </w:tc>
      </w:tr>
      <w:tr w:rsidR="00B641F7" w:rsidRPr="00B641F7" w14:paraId="54DABCF3" w14:textId="77777777" w:rsidTr="00BD6B3E">
        <w:trPr>
          <w:trHeight w:val="300"/>
        </w:trPr>
        <w:tc>
          <w:tcPr>
            <w:tcW w:w="3976" w:type="dxa"/>
            <w:tcBorders>
              <w:top w:val="nil"/>
              <w:left w:val="nil"/>
              <w:bottom w:val="nil"/>
              <w:right w:val="nil"/>
            </w:tcBorders>
            <w:shd w:val="clear" w:color="auto" w:fill="auto"/>
            <w:noWrap/>
            <w:vAlign w:val="bottom"/>
            <w:hideMark/>
          </w:tcPr>
          <w:p w14:paraId="0C8E7F52"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Major cities</w:t>
            </w:r>
          </w:p>
        </w:tc>
        <w:tc>
          <w:tcPr>
            <w:tcW w:w="1316" w:type="dxa"/>
            <w:tcBorders>
              <w:top w:val="nil"/>
              <w:left w:val="nil"/>
              <w:bottom w:val="nil"/>
              <w:right w:val="nil"/>
            </w:tcBorders>
            <w:shd w:val="clear" w:color="auto" w:fill="auto"/>
            <w:vAlign w:val="bottom"/>
            <w:hideMark/>
          </w:tcPr>
          <w:p w14:paraId="51B71579"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1.00</w:t>
            </w:r>
          </w:p>
        </w:tc>
        <w:tc>
          <w:tcPr>
            <w:tcW w:w="1236" w:type="dxa"/>
            <w:tcBorders>
              <w:top w:val="nil"/>
              <w:left w:val="nil"/>
              <w:bottom w:val="nil"/>
              <w:right w:val="nil"/>
            </w:tcBorders>
            <w:shd w:val="clear" w:color="auto" w:fill="auto"/>
            <w:vAlign w:val="bottom"/>
            <w:hideMark/>
          </w:tcPr>
          <w:p w14:paraId="77BFB4FF"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1.00</w:t>
            </w:r>
          </w:p>
        </w:tc>
        <w:tc>
          <w:tcPr>
            <w:tcW w:w="1236" w:type="dxa"/>
            <w:tcBorders>
              <w:top w:val="nil"/>
              <w:left w:val="nil"/>
              <w:bottom w:val="nil"/>
              <w:right w:val="nil"/>
            </w:tcBorders>
            <w:shd w:val="clear" w:color="auto" w:fill="auto"/>
            <w:vAlign w:val="bottom"/>
            <w:hideMark/>
          </w:tcPr>
          <w:p w14:paraId="108F8603"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1.00</w:t>
            </w:r>
          </w:p>
        </w:tc>
        <w:tc>
          <w:tcPr>
            <w:tcW w:w="1167" w:type="dxa"/>
            <w:tcBorders>
              <w:top w:val="nil"/>
              <w:left w:val="nil"/>
              <w:bottom w:val="nil"/>
              <w:right w:val="nil"/>
            </w:tcBorders>
            <w:shd w:val="clear" w:color="auto" w:fill="auto"/>
            <w:vAlign w:val="bottom"/>
            <w:hideMark/>
          </w:tcPr>
          <w:p w14:paraId="6D14DFCD"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1.00</w:t>
            </w:r>
          </w:p>
        </w:tc>
      </w:tr>
      <w:tr w:rsidR="00B641F7" w:rsidRPr="00B641F7" w14:paraId="36EDAEC4" w14:textId="77777777" w:rsidTr="00BD6B3E">
        <w:trPr>
          <w:trHeight w:val="300"/>
        </w:trPr>
        <w:tc>
          <w:tcPr>
            <w:tcW w:w="3976" w:type="dxa"/>
            <w:tcBorders>
              <w:top w:val="single" w:sz="4" w:space="0" w:color="ADD6EA"/>
              <w:left w:val="nil"/>
              <w:bottom w:val="nil"/>
              <w:right w:val="nil"/>
            </w:tcBorders>
            <w:shd w:val="clear" w:color="auto" w:fill="auto"/>
            <w:vAlign w:val="bottom"/>
            <w:hideMark/>
          </w:tcPr>
          <w:p w14:paraId="668F8B52"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Inner regional</w:t>
            </w:r>
          </w:p>
        </w:tc>
        <w:tc>
          <w:tcPr>
            <w:tcW w:w="1316" w:type="dxa"/>
            <w:tcBorders>
              <w:top w:val="single" w:sz="4" w:space="0" w:color="ADD6EA"/>
              <w:left w:val="nil"/>
              <w:bottom w:val="nil"/>
              <w:right w:val="nil"/>
            </w:tcBorders>
            <w:shd w:val="clear" w:color="auto" w:fill="auto"/>
            <w:vAlign w:val="bottom"/>
            <w:hideMark/>
          </w:tcPr>
          <w:p w14:paraId="2BE0A8D9"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1.01</w:t>
            </w:r>
          </w:p>
        </w:tc>
        <w:tc>
          <w:tcPr>
            <w:tcW w:w="1236" w:type="dxa"/>
            <w:tcBorders>
              <w:top w:val="single" w:sz="4" w:space="0" w:color="ADD6EA"/>
              <w:left w:val="nil"/>
              <w:bottom w:val="nil"/>
              <w:right w:val="nil"/>
            </w:tcBorders>
            <w:shd w:val="clear" w:color="auto" w:fill="auto"/>
            <w:vAlign w:val="bottom"/>
            <w:hideMark/>
          </w:tcPr>
          <w:p w14:paraId="64BA616D"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1.01</w:t>
            </w:r>
          </w:p>
        </w:tc>
        <w:tc>
          <w:tcPr>
            <w:tcW w:w="1236" w:type="dxa"/>
            <w:tcBorders>
              <w:top w:val="single" w:sz="4" w:space="0" w:color="ADD6EA"/>
              <w:left w:val="nil"/>
              <w:bottom w:val="nil"/>
              <w:right w:val="nil"/>
            </w:tcBorders>
            <w:shd w:val="clear" w:color="auto" w:fill="auto"/>
            <w:vAlign w:val="bottom"/>
            <w:hideMark/>
          </w:tcPr>
          <w:p w14:paraId="5D386F35"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1.01</w:t>
            </w:r>
          </w:p>
        </w:tc>
        <w:tc>
          <w:tcPr>
            <w:tcW w:w="1167" w:type="dxa"/>
            <w:tcBorders>
              <w:top w:val="single" w:sz="4" w:space="0" w:color="ADD6EA"/>
              <w:left w:val="nil"/>
              <w:bottom w:val="nil"/>
              <w:right w:val="nil"/>
            </w:tcBorders>
            <w:shd w:val="clear" w:color="auto" w:fill="auto"/>
            <w:vAlign w:val="bottom"/>
            <w:hideMark/>
          </w:tcPr>
          <w:p w14:paraId="590F3193"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1.01</w:t>
            </w:r>
          </w:p>
        </w:tc>
      </w:tr>
      <w:tr w:rsidR="00B641F7" w:rsidRPr="00B641F7" w14:paraId="7262AD74" w14:textId="77777777" w:rsidTr="00BD6B3E">
        <w:trPr>
          <w:trHeight w:val="300"/>
        </w:trPr>
        <w:tc>
          <w:tcPr>
            <w:tcW w:w="3976" w:type="dxa"/>
            <w:tcBorders>
              <w:top w:val="single" w:sz="4" w:space="0" w:color="ADD6EA"/>
              <w:left w:val="nil"/>
              <w:bottom w:val="nil"/>
              <w:right w:val="nil"/>
            </w:tcBorders>
            <w:shd w:val="clear" w:color="auto" w:fill="auto"/>
            <w:vAlign w:val="bottom"/>
            <w:hideMark/>
          </w:tcPr>
          <w:p w14:paraId="5756714A"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Outer regional</w:t>
            </w:r>
          </w:p>
        </w:tc>
        <w:tc>
          <w:tcPr>
            <w:tcW w:w="1316" w:type="dxa"/>
            <w:tcBorders>
              <w:top w:val="single" w:sz="4" w:space="0" w:color="ADD6EA"/>
              <w:left w:val="nil"/>
              <w:bottom w:val="nil"/>
              <w:right w:val="nil"/>
            </w:tcBorders>
            <w:shd w:val="clear" w:color="auto" w:fill="auto"/>
            <w:vAlign w:val="bottom"/>
            <w:hideMark/>
          </w:tcPr>
          <w:p w14:paraId="2A4506CA" w14:textId="3D221D6B"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w:t>
            </w:r>
            <w:r w:rsidR="00A264CD">
              <w:rPr>
                <w:rFonts w:eastAsia="Times New Roman" w:cs="Open Sans Light"/>
                <w:color w:val="000000"/>
                <w:sz w:val="16"/>
                <w:szCs w:val="16"/>
                <w:lang w:eastAsia="en-AU"/>
              </w:rPr>
              <w:t>3</w:t>
            </w:r>
          </w:p>
        </w:tc>
        <w:tc>
          <w:tcPr>
            <w:tcW w:w="1236" w:type="dxa"/>
            <w:tcBorders>
              <w:top w:val="single" w:sz="4" w:space="0" w:color="ADD6EA"/>
              <w:left w:val="nil"/>
              <w:bottom w:val="nil"/>
              <w:right w:val="nil"/>
            </w:tcBorders>
            <w:shd w:val="clear" w:color="auto" w:fill="auto"/>
            <w:vAlign w:val="bottom"/>
            <w:hideMark/>
          </w:tcPr>
          <w:p w14:paraId="3522443B" w14:textId="77BDE0F5"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w:t>
            </w:r>
            <w:r w:rsidR="004C0615">
              <w:rPr>
                <w:rFonts w:eastAsia="Times New Roman" w:cs="Open Sans Light"/>
                <w:color w:val="000000"/>
                <w:sz w:val="16"/>
                <w:szCs w:val="16"/>
                <w:lang w:eastAsia="en-AU"/>
              </w:rPr>
              <w:t>3</w:t>
            </w:r>
          </w:p>
        </w:tc>
        <w:tc>
          <w:tcPr>
            <w:tcW w:w="1236" w:type="dxa"/>
            <w:tcBorders>
              <w:top w:val="single" w:sz="4" w:space="0" w:color="ADD6EA"/>
              <w:left w:val="nil"/>
              <w:bottom w:val="nil"/>
              <w:right w:val="nil"/>
            </w:tcBorders>
            <w:shd w:val="clear" w:color="auto" w:fill="auto"/>
            <w:vAlign w:val="bottom"/>
            <w:hideMark/>
          </w:tcPr>
          <w:p w14:paraId="7EA064E5" w14:textId="7885140F"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w:t>
            </w:r>
            <w:r w:rsidR="00982C45">
              <w:rPr>
                <w:rFonts w:eastAsia="Times New Roman" w:cs="Open Sans Light"/>
                <w:color w:val="000000"/>
                <w:sz w:val="16"/>
                <w:szCs w:val="16"/>
                <w:lang w:eastAsia="en-AU"/>
              </w:rPr>
              <w:t>3</w:t>
            </w:r>
          </w:p>
        </w:tc>
        <w:tc>
          <w:tcPr>
            <w:tcW w:w="1167" w:type="dxa"/>
            <w:tcBorders>
              <w:top w:val="single" w:sz="4" w:space="0" w:color="ADD6EA"/>
              <w:left w:val="nil"/>
              <w:bottom w:val="nil"/>
              <w:right w:val="nil"/>
            </w:tcBorders>
            <w:shd w:val="clear" w:color="auto" w:fill="auto"/>
            <w:vAlign w:val="bottom"/>
            <w:hideMark/>
          </w:tcPr>
          <w:p w14:paraId="6A4BA0BF" w14:textId="6E6BC373"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w:t>
            </w:r>
            <w:r w:rsidR="00982C45">
              <w:rPr>
                <w:rFonts w:eastAsia="Times New Roman" w:cs="Open Sans Light"/>
                <w:color w:val="000000"/>
                <w:sz w:val="16"/>
                <w:szCs w:val="16"/>
                <w:lang w:eastAsia="en-AU"/>
              </w:rPr>
              <w:t>3</w:t>
            </w:r>
          </w:p>
        </w:tc>
      </w:tr>
      <w:tr w:rsidR="00B641F7" w:rsidRPr="00B641F7" w14:paraId="16F7C89E" w14:textId="77777777" w:rsidTr="00BD6B3E">
        <w:trPr>
          <w:trHeight w:val="300"/>
        </w:trPr>
        <w:tc>
          <w:tcPr>
            <w:tcW w:w="3976" w:type="dxa"/>
            <w:tcBorders>
              <w:top w:val="single" w:sz="4" w:space="0" w:color="ADD6EA"/>
              <w:left w:val="nil"/>
              <w:bottom w:val="nil"/>
              <w:right w:val="nil"/>
            </w:tcBorders>
            <w:shd w:val="clear" w:color="auto" w:fill="auto"/>
            <w:vAlign w:val="bottom"/>
            <w:hideMark/>
          </w:tcPr>
          <w:p w14:paraId="4EA534D3"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Remote</w:t>
            </w:r>
          </w:p>
        </w:tc>
        <w:tc>
          <w:tcPr>
            <w:tcW w:w="1316" w:type="dxa"/>
            <w:tcBorders>
              <w:top w:val="single" w:sz="4" w:space="0" w:color="ADD6EA"/>
              <w:left w:val="nil"/>
              <w:bottom w:val="nil"/>
              <w:right w:val="nil"/>
            </w:tcBorders>
            <w:shd w:val="clear" w:color="auto" w:fill="auto"/>
            <w:vAlign w:val="bottom"/>
            <w:hideMark/>
          </w:tcPr>
          <w:p w14:paraId="32E85BE5" w14:textId="345D24D8"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w:t>
            </w:r>
            <w:r w:rsidR="004C0615">
              <w:rPr>
                <w:rFonts w:eastAsia="Times New Roman" w:cs="Open Sans Light"/>
                <w:color w:val="000000"/>
                <w:sz w:val="16"/>
                <w:szCs w:val="16"/>
                <w:lang w:eastAsia="en-AU"/>
              </w:rPr>
              <w:t>18</w:t>
            </w:r>
          </w:p>
        </w:tc>
        <w:tc>
          <w:tcPr>
            <w:tcW w:w="1236" w:type="dxa"/>
            <w:tcBorders>
              <w:top w:val="single" w:sz="4" w:space="0" w:color="ADD6EA"/>
              <w:left w:val="nil"/>
              <w:bottom w:val="nil"/>
              <w:right w:val="nil"/>
            </w:tcBorders>
            <w:shd w:val="clear" w:color="auto" w:fill="auto"/>
            <w:vAlign w:val="bottom"/>
            <w:hideMark/>
          </w:tcPr>
          <w:p w14:paraId="171A207C" w14:textId="7B14B856"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w:t>
            </w:r>
            <w:r w:rsidR="004C0615">
              <w:rPr>
                <w:rFonts w:eastAsia="Times New Roman" w:cs="Open Sans Light"/>
                <w:color w:val="000000"/>
                <w:sz w:val="16"/>
                <w:szCs w:val="16"/>
                <w:lang w:eastAsia="en-AU"/>
              </w:rPr>
              <w:t>17</w:t>
            </w:r>
          </w:p>
        </w:tc>
        <w:tc>
          <w:tcPr>
            <w:tcW w:w="1236" w:type="dxa"/>
            <w:tcBorders>
              <w:top w:val="single" w:sz="4" w:space="0" w:color="ADD6EA"/>
              <w:left w:val="nil"/>
              <w:bottom w:val="nil"/>
              <w:right w:val="nil"/>
            </w:tcBorders>
            <w:shd w:val="clear" w:color="auto" w:fill="auto"/>
            <w:vAlign w:val="bottom"/>
            <w:hideMark/>
          </w:tcPr>
          <w:p w14:paraId="605CE2AD" w14:textId="6D4B658C"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w:t>
            </w:r>
            <w:r w:rsidR="00982C45">
              <w:rPr>
                <w:rFonts w:eastAsia="Times New Roman" w:cs="Open Sans Light"/>
                <w:color w:val="000000"/>
                <w:sz w:val="16"/>
                <w:szCs w:val="16"/>
                <w:lang w:eastAsia="en-AU"/>
              </w:rPr>
              <w:t>18</w:t>
            </w:r>
          </w:p>
        </w:tc>
        <w:tc>
          <w:tcPr>
            <w:tcW w:w="1167" w:type="dxa"/>
            <w:tcBorders>
              <w:top w:val="single" w:sz="4" w:space="0" w:color="ADD6EA"/>
              <w:left w:val="nil"/>
              <w:bottom w:val="nil"/>
              <w:right w:val="nil"/>
            </w:tcBorders>
            <w:shd w:val="clear" w:color="auto" w:fill="auto"/>
            <w:vAlign w:val="bottom"/>
            <w:hideMark/>
          </w:tcPr>
          <w:p w14:paraId="6670F870" w14:textId="37D37099"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w:t>
            </w:r>
            <w:r w:rsidR="00982C45">
              <w:rPr>
                <w:rFonts w:eastAsia="Times New Roman" w:cs="Open Sans Light"/>
                <w:color w:val="000000"/>
                <w:sz w:val="16"/>
                <w:szCs w:val="16"/>
                <w:lang w:eastAsia="en-AU"/>
              </w:rPr>
              <w:t>18</w:t>
            </w:r>
          </w:p>
        </w:tc>
      </w:tr>
      <w:tr w:rsidR="00B641F7" w:rsidRPr="00B641F7" w14:paraId="10F20C78" w14:textId="77777777" w:rsidTr="00BD6B3E">
        <w:trPr>
          <w:trHeight w:val="300"/>
        </w:trPr>
        <w:tc>
          <w:tcPr>
            <w:tcW w:w="3976" w:type="dxa"/>
            <w:tcBorders>
              <w:top w:val="single" w:sz="4" w:space="0" w:color="ADD6EA"/>
              <w:left w:val="nil"/>
              <w:bottom w:val="nil"/>
              <w:right w:val="nil"/>
            </w:tcBorders>
            <w:shd w:val="clear" w:color="auto" w:fill="auto"/>
            <w:vAlign w:val="bottom"/>
            <w:hideMark/>
          </w:tcPr>
          <w:p w14:paraId="3AD80667"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Very remote</w:t>
            </w:r>
          </w:p>
        </w:tc>
        <w:tc>
          <w:tcPr>
            <w:tcW w:w="1316" w:type="dxa"/>
            <w:tcBorders>
              <w:top w:val="single" w:sz="4" w:space="0" w:color="ADD6EA"/>
              <w:left w:val="nil"/>
              <w:bottom w:val="nil"/>
              <w:right w:val="nil"/>
            </w:tcBorders>
            <w:shd w:val="clear" w:color="auto" w:fill="auto"/>
            <w:vAlign w:val="bottom"/>
            <w:hideMark/>
          </w:tcPr>
          <w:p w14:paraId="0C7A6F51" w14:textId="6ADF2326"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1.2</w:t>
            </w:r>
            <w:r w:rsidR="004C0615">
              <w:rPr>
                <w:rFonts w:eastAsia="Times New Roman" w:cs="Open Sans Light"/>
                <w:color w:val="000000"/>
                <w:sz w:val="16"/>
                <w:szCs w:val="16"/>
                <w:lang w:eastAsia="en-AU"/>
              </w:rPr>
              <w:t>3</w:t>
            </w:r>
          </w:p>
        </w:tc>
        <w:tc>
          <w:tcPr>
            <w:tcW w:w="1236" w:type="dxa"/>
            <w:tcBorders>
              <w:top w:val="single" w:sz="4" w:space="0" w:color="ADD6EA"/>
              <w:left w:val="nil"/>
              <w:bottom w:val="nil"/>
              <w:right w:val="nil"/>
            </w:tcBorders>
            <w:shd w:val="clear" w:color="auto" w:fill="auto"/>
            <w:vAlign w:val="bottom"/>
            <w:hideMark/>
          </w:tcPr>
          <w:p w14:paraId="500D3E5B" w14:textId="7FA4D4FE"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1.2</w:t>
            </w:r>
            <w:r w:rsidR="004C0615">
              <w:rPr>
                <w:rFonts w:eastAsia="Times New Roman" w:cs="Open Sans Light"/>
                <w:color w:val="000000"/>
                <w:sz w:val="16"/>
                <w:szCs w:val="16"/>
                <w:lang w:eastAsia="en-AU"/>
              </w:rPr>
              <w:t>4</w:t>
            </w:r>
          </w:p>
        </w:tc>
        <w:tc>
          <w:tcPr>
            <w:tcW w:w="1236" w:type="dxa"/>
            <w:tcBorders>
              <w:top w:val="single" w:sz="4" w:space="0" w:color="ADD6EA"/>
              <w:left w:val="nil"/>
              <w:bottom w:val="nil"/>
              <w:right w:val="nil"/>
            </w:tcBorders>
            <w:shd w:val="clear" w:color="auto" w:fill="auto"/>
            <w:vAlign w:val="bottom"/>
            <w:hideMark/>
          </w:tcPr>
          <w:p w14:paraId="271E1149" w14:textId="4D1886C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w:t>
            </w:r>
            <w:r w:rsidR="00982C45">
              <w:rPr>
                <w:rFonts w:eastAsia="Times New Roman" w:cs="Open Sans Light"/>
                <w:color w:val="000000"/>
                <w:sz w:val="16"/>
                <w:szCs w:val="16"/>
                <w:lang w:eastAsia="en-AU"/>
              </w:rPr>
              <w:t>26</w:t>
            </w:r>
          </w:p>
        </w:tc>
        <w:tc>
          <w:tcPr>
            <w:tcW w:w="1167" w:type="dxa"/>
            <w:tcBorders>
              <w:top w:val="single" w:sz="4" w:space="0" w:color="ADD6EA"/>
              <w:left w:val="nil"/>
              <w:bottom w:val="nil"/>
              <w:right w:val="nil"/>
            </w:tcBorders>
            <w:shd w:val="clear" w:color="auto" w:fill="auto"/>
            <w:vAlign w:val="bottom"/>
            <w:hideMark/>
          </w:tcPr>
          <w:p w14:paraId="4789EA65" w14:textId="679609C2"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w:t>
            </w:r>
            <w:r w:rsidR="00982C45">
              <w:rPr>
                <w:rFonts w:eastAsia="Times New Roman" w:cs="Open Sans Light"/>
                <w:color w:val="000000"/>
                <w:sz w:val="16"/>
                <w:szCs w:val="16"/>
                <w:lang w:eastAsia="en-AU"/>
              </w:rPr>
              <w:t>27</w:t>
            </w:r>
          </w:p>
        </w:tc>
      </w:tr>
      <w:tr w:rsidR="00B641F7" w:rsidRPr="00B641F7" w14:paraId="588BD430" w14:textId="77777777" w:rsidTr="00BD6B3E">
        <w:trPr>
          <w:trHeight w:val="300"/>
        </w:trPr>
        <w:tc>
          <w:tcPr>
            <w:tcW w:w="3976" w:type="dxa"/>
            <w:tcBorders>
              <w:top w:val="single" w:sz="4" w:space="0" w:color="ADD6EA"/>
              <w:left w:val="nil"/>
              <w:bottom w:val="single" w:sz="4" w:space="0" w:color="ADD6EA"/>
              <w:right w:val="nil"/>
            </w:tcBorders>
            <w:shd w:val="clear" w:color="000000" w:fill="D6E7F0"/>
            <w:vAlign w:val="bottom"/>
            <w:hideMark/>
          </w:tcPr>
          <w:p w14:paraId="30D52106" w14:textId="2F50B3BD" w:rsidR="00B641F7" w:rsidRPr="00B641F7" w:rsidRDefault="00B641F7" w:rsidP="00AD367B">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B641F7">
              <w:rPr>
                <w:rFonts w:ascii="Open Sans Semibold" w:eastAsia="Times New Roman" w:hAnsi="Open Sans Semibold" w:cs="Open Sans Semibold"/>
                <w:color w:val="000000"/>
                <w:sz w:val="16"/>
                <w:szCs w:val="16"/>
                <w:lang w:eastAsia="en-AU"/>
              </w:rPr>
              <w:t>Service delivery scale</w:t>
            </w:r>
            <w:r w:rsidR="00DF6B29">
              <w:rPr>
                <w:rFonts w:ascii="Open Sans Semibold" w:eastAsia="Times New Roman" w:hAnsi="Open Sans Semibold" w:cs="Open Sans Semibold"/>
                <w:color w:val="000000"/>
                <w:sz w:val="16"/>
                <w:szCs w:val="16"/>
                <w:lang w:eastAsia="en-AU"/>
              </w:rPr>
              <w:t xml:space="preserve"> </w:t>
            </w:r>
            <w:r w:rsidR="00042576" w:rsidRPr="00960521">
              <w:rPr>
                <w:rFonts w:ascii="Open Sans Semibold" w:eastAsia="Times New Roman" w:hAnsi="Open Sans Semibold" w:cs="Open Sans Semibold"/>
                <w:color w:val="000000"/>
                <w:sz w:val="16"/>
                <w:szCs w:val="16"/>
                <w:vertAlign w:val="superscript"/>
                <w:lang w:eastAsia="en-AU"/>
              </w:rPr>
              <w:t>(a)</w:t>
            </w:r>
          </w:p>
        </w:tc>
        <w:tc>
          <w:tcPr>
            <w:tcW w:w="1316" w:type="dxa"/>
            <w:tcBorders>
              <w:top w:val="single" w:sz="4" w:space="0" w:color="ADD6EA"/>
              <w:left w:val="nil"/>
              <w:bottom w:val="single" w:sz="4" w:space="0" w:color="ADD6EA"/>
              <w:right w:val="nil"/>
            </w:tcBorders>
            <w:shd w:val="clear" w:color="000000" w:fill="D6E7F0"/>
            <w:noWrap/>
            <w:vAlign w:val="bottom"/>
            <w:hideMark/>
          </w:tcPr>
          <w:p w14:paraId="7B60BD51" w14:textId="77777777" w:rsidR="00B641F7" w:rsidRPr="00B641F7" w:rsidRDefault="00B641F7" w:rsidP="00AD367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641F7">
              <w:rPr>
                <w:rFonts w:ascii="Open Sans Semibold" w:eastAsia="Times New Roman" w:hAnsi="Open Sans Semibold" w:cs="Open Sans Semibold"/>
                <w:color w:val="000000"/>
                <w:sz w:val="16"/>
                <w:szCs w:val="16"/>
                <w:lang w:eastAsia="en-AU"/>
              </w:rPr>
              <w:t> </w:t>
            </w:r>
          </w:p>
        </w:tc>
        <w:tc>
          <w:tcPr>
            <w:tcW w:w="1236" w:type="dxa"/>
            <w:tcBorders>
              <w:top w:val="single" w:sz="4" w:space="0" w:color="ADD6EA"/>
              <w:left w:val="nil"/>
              <w:bottom w:val="single" w:sz="4" w:space="0" w:color="ADD6EA"/>
              <w:right w:val="nil"/>
            </w:tcBorders>
            <w:shd w:val="clear" w:color="000000" w:fill="D6E7F0"/>
            <w:noWrap/>
            <w:vAlign w:val="bottom"/>
            <w:hideMark/>
          </w:tcPr>
          <w:p w14:paraId="494BB9F9" w14:textId="77777777" w:rsidR="00B641F7" w:rsidRPr="00B641F7" w:rsidRDefault="00B641F7" w:rsidP="00AD367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641F7">
              <w:rPr>
                <w:rFonts w:ascii="Open Sans Semibold" w:eastAsia="Times New Roman" w:hAnsi="Open Sans Semibold" w:cs="Open Sans Semibold"/>
                <w:color w:val="000000"/>
                <w:sz w:val="16"/>
                <w:szCs w:val="16"/>
                <w:lang w:eastAsia="en-AU"/>
              </w:rPr>
              <w:t> </w:t>
            </w:r>
          </w:p>
        </w:tc>
        <w:tc>
          <w:tcPr>
            <w:tcW w:w="1236" w:type="dxa"/>
            <w:tcBorders>
              <w:top w:val="single" w:sz="4" w:space="0" w:color="ADD6EA"/>
              <w:left w:val="nil"/>
              <w:bottom w:val="single" w:sz="4" w:space="0" w:color="ADD6EA"/>
              <w:right w:val="nil"/>
            </w:tcBorders>
            <w:shd w:val="clear" w:color="000000" w:fill="D6E7F0"/>
            <w:noWrap/>
            <w:vAlign w:val="bottom"/>
            <w:hideMark/>
          </w:tcPr>
          <w:p w14:paraId="792A4E82" w14:textId="77777777" w:rsidR="00B641F7" w:rsidRPr="00B641F7" w:rsidRDefault="00B641F7" w:rsidP="00AD367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641F7">
              <w:rPr>
                <w:rFonts w:ascii="Open Sans Semibold" w:eastAsia="Times New Roman" w:hAnsi="Open Sans Semibold" w:cs="Open Sans Semibold"/>
                <w:color w:val="000000"/>
                <w:sz w:val="16"/>
                <w:szCs w:val="16"/>
                <w:lang w:eastAsia="en-AU"/>
              </w:rPr>
              <w:t> </w:t>
            </w:r>
          </w:p>
        </w:tc>
        <w:tc>
          <w:tcPr>
            <w:tcW w:w="1167" w:type="dxa"/>
            <w:tcBorders>
              <w:top w:val="single" w:sz="4" w:space="0" w:color="ADD6EA"/>
              <w:left w:val="nil"/>
              <w:bottom w:val="single" w:sz="4" w:space="0" w:color="ADD6EA"/>
              <w:right w:val="nil"/>
            </w:tcBorders>
            <w:shd w:val="clear" w:color="000000" w:fill="D6E7F0"/>
            <w:noWrap/>
            <w:vAlign w:val="bottom"/>
            <w:hideMark/>
          </w:tcPr>
          <w:p w14:paraId="6712D540" w14:textId="77777777" w:rsidR="00B641F7" w:rsidRPr="00B641F7" w:rsidRDefault="00B641F7" w:rsidP="00AD367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641F7">
              <w:rPr>
                <w:rFonts w:ascii="Open Sans Semibold" w:eastAsia="Times New Roman" w:hAnsi="Open Sans Semibold" w:cs="Open Sans Semibold"/>
                <w:color w:val="000000"/>
                <w:sz w:val="16"/>
                <w:szCs w:val="16"/>
                <w:lang w:eastAsia="en-AU"/>
              </w:rPr>
              <w:t> </w:t>
            </w:r>
          </w:p>
        </w:tc>
      </w:tr>
      <w:tr w:rsidR="00B641F7" w:rsidRPr="00B641F7" w14:paraId="5C6540D1" w14:textId="77777777" w:rsidTr="00BD6B3E">
        <w:trPr>
          <w:trHeight w:val="300"/>
        </w:trPr>
        <w:tc>
          <w:tcPr>
            <w:tcW w:w="3976" w:type="dxa"/>
            <w:tcBorders>
              <w:top w:val="nil"/>
              <w:left w:val="nil"/>
              <w:bottom w:val="nil"/>
              <w:right w:val="nil"/>
            </w:tcBorders>
            <w:shd w:val="clear" w:color="auto" w:fill="auto"/>
            <w:noWrap/>
            <w:vAlign w:val="bottom"/>
            <w:hideMark/>
          </w:tcPr>
          <w:p w14:paraId="07580A69"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Major cities</w:t>
            </w:r>
          </w:p>
        </w:tc>
        <w:tc>
          <w:tcPr>
            <w:tcW w:w="1316" w:type="dxa"/>
            <w:tcBorders>
              <w:top w:val="nil"/>
              <w:left w:val="nil"/>
              <w:bottom w:val="nil"/>
              <w:right w:val="nil"/>
            </w:tcBorders>
            <w:shd w:val="clear" w:color="auto" w:fill="auto"/>
            <w:vAlign w:val="bottom"/>
            <w:hideMark/>
          </w:tcPr>
          <w:p w14:paraId="579410DF"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1.00</w:t>
            </w:r>
          </w:p>
        </w:tc>
        <w:tc>
          <w:tcPr>
            <w:tcW w:w="1236" w:type="dxa"/>
            <w:tcBorders>
              <w:top w:val="nil"/>
              <w:left w:val="nil"/>
              <w:bottom w:val="nil"/>
              <w:right w:val="nil"/>
            </w:tcBorders>
            <w:shd w:val="clear" w:color="auto" w:fill="auto"/>
            <w:vAlign w:val="bottom"/>
            <w:hideMark/>
          </w:tcPr>
          <w:p w14:paraId="665813BA"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1.00</w:t>
            </w:r>
          </w:p>
        </w:tc>
        <w:tc>
          <w:tcPr>
            <w:tcW w:w="1236" w:type="dxa"/>
            <w:tcBorders>
              <w:top w:val="nil"/>
              <w:left w:val="nil"/>
              <w:bottom w:val="nil"/>
              <w:right w:val="nil"/>
            </w:tcBorders>
            <w:shd w:val="clear" w:color="auto" w:fill="auto"/>
            <w:vAlign w:val="bottom"/>
            <w:hideMark/>
          </w:tcPr>
          <w:p w14:paraId="5BF9A2CE"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1.00</w:t>
            </w:r>
          </w:p>
        </w:tc>
        <w:tc>
          <w:tcPr>
            <w:tcW w:w="1167" w:type="dxa"/>
            <w:tcBorders>
              <w:top w:val="nil"/>
              <w:left w:val="nil"/>
              <w:bottom w:val="nil"/>
              <w:right w:val="nil"/>
            </w:tcBorders>
            <w:shd w:val="clear" w:color="auto" w:fill="auto"/>
            <w:vAlign w:val="bottom"/>
            <w:hideMark/>
          </w:tcPr>
          <w:p w14:paraId="12E7A9AE"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1.00</w:t>
            </w:r>
          </w:p>
        </w:tc>
      </w:tr>
      <w:tr w:rsidR="00B641F7" w:rsidRPr="00B641F7" w14:paraId="6C7EF7FD" w14:textId="77777777" w:rsidTr="00BD6B3E">
        <w:trPr>
          <w:trHeight w:val="300"/>
        </w:trPr>
        <w:tc>
          <w:tcPr>
            <w:tcW w:w="3976" w:type="dxa"/>
            <w:tcBorders>
              <w:top w:val="single" w:sz="4" w:space="0" w:color="ADD6EA"/>
              <w:left w:val="nil"/>
              <w:bottom w:val="nil"/>
              <w:right w:val="nil"/>
            </w:tcBorders>
            <w:shd w:val="clear" w:color="auto" w:fill="auto"/>
            <w:vAlign w:val="bottom"/>
            <w:hideMark/>
          </w:tcPr>
          <w:p w14:paraId="33746C24"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Inner regional</w:t>
            </w:r>
          </w:p>
        </w:tc>
        <w:tc>
          <w:tcPr>
            <w:tcW w:w="1316" w:type="dxa"/>
            <w:tcBorders>
              <w:top w:val="single" w:sz="4" w:space="0" w:color="ADD6EA"/>
              <w:left w:val="nil"/>
              <w:bottom w:val="nil"/>
              <w:right w:val="nil"/>
            </w:tcBorders>
            <w:shd w:val="clear" w:color="auto" w:fill="auto"/>
            <w:vAlign w:val="bottom"/>
            <w:hideMark/>
          </w:tcPr>
          <w:p w14:paraId="14656F3B"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1.04</w:t>
            </w:r>
          </w:p>
        </w:tc>
        <w:tc>
          <w:tcPr>
            <w:tcW w:w="1236" w:type="dxa"/>
            <w:tcBorders>
              <w:top w:val="single" w:sz="4" w:space="0" w:color="ADD6EA"/>
              <w:left w:val="nil"/>
              <w:bottom w:val="nil"/>
              <w:right w:val="nil"/>
            </w:tcBorders>
            <w:shd w:val="clear" w:color="auto" w:fill="auto"/>
            <w:vAlign w:val="bottom"/>
            <w:hideMark/>
          </w:tcPr>
          <w:p w14:paraId="1268EF39"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1.04</w:t>
            </w:r>
          </w:p>
        </w:tc>
        <w:tc>
          <w:tcPr>
            <w:tcW w:w="1236" w:type="dxa"/>
            <w:tcBorders>
              <w:top w:val="single" w:sz="4" w:space="0" w:color="ADD6EA"/>
              <w:left w:val="nil"/>
              <w:bottom w:val="nil"/>
              <w:right w:val="nil"/>
            </w:tcBorders>
            <w:shd w:val="clear" w:color="auto" w:fill="auto"/>
            <w:vAlign w:val="bottom"/>
            <w:hideMark/>
          </w:tcPr>
          <w:p w14:paraId="5EAE0771"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1.04</w:t>
            </w:r>
          </w:p>
        </w:tc>
        <w:tc>
          <w:tcPr>
            <w:tcW w:w="1167" w:type="dxa"/>
            <w:tcBorders>
              <w:top w:val="single" w:sz="4" w:space="0" w:color="ADD6EA"/>
              <w:left w:val="nil"/>
              <w:bottom w:val="nil"/>
              <w:right w:val="nil"/>
            </w:tcBorders>
            <w:shd w:val="clear" w:color="auto" w:fill="auto"/>
            <w:vAlign w:val="bottom"/>
            <w:hideMark/>
          </w:tcPr>
          <w:p w14:paraId="55605A8F"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1.04</w:t>
            </w:r>
          </w:p>
        </w:tc>
      </w:tr>
      <w:tr w:rsidR="00B641F7" w:rsidRPr="00B641F7" w14:paraId="306F3801" w14:textId="77777777" w:rsidTr="00BD6B3E">
        <w:trPr>
          <w:trHeight w:val="300"/>
        </w:trPr>
        <w:tc>
          <w:tcPr>
            <w:tcW w:w="3976" w:type="dxa"/>
            <w:tcBorders>
              <w:top w:val="single" w:sz="4" w:space="0" w:color="ADD6EA"/>
              <w:left w:val="nil"/>
              <w:bottom w:val="nil"/>
              <w:right w:val="nil"/>
            </w:tcBorders>
            <w:shd w:val="clear" w:color="auto" w:fill="auto"/>
            <w:vAlign w:val="bottom"/>
            <w:hideMark/>
          </w:tcPr>
          <w:p w14:paraId="5DFC8F28"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Outer regional</w:t>
            </w:r>
          </w:p>
        </w:tc>
        <w:tc>
          <w:tcPr>
            <w:tcW w:w="1316" w:type="dxa"/>
            <w:tcBorders>
              <w:top w:val="single" w:sz="4" w:space="0" w:color="ADD6EA"/>
              <w:left w:val="nil"/>
              <w:bottom w:val="nil"/>
              <w:right w:val="nil"/>
            </w:tcBorders>
            <w:shd w:val="clear" w:color="auto" w:fill="auto"/>
            <w:vAlign w:val="bottom"/>
            <w:hideMark/>
          </w:tcPr>
          <w:p w14:paraId="3D0CE140"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1.12</w:t>
            </w:r>
          </w:p>
        </w:tc>
        <w:tc>
          <w:tcPr>
            <w:tcW w:w="1236" w:type="dxa"/>
            <w:tcBorders>
              <w:top w:val="single" w:sz="4" w:space="0" w:color="ADD6EA"/>
              <w:left w:val="nil"/>
              <w:bottom w:val="nil"/>
              <w:right w:val="nil"/>
            </w:tcBorders>
            <w:shd w:val="clear" w:color="auto" w:fill="auto"/>
            <w:vAlign w:val="bottom"/>
            <w:hideMark/>
          </w:tcPr>
          <w:p w14:paraId="322A276C"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1.14</w:t>
            </w:r>
          </w:p>
        </w:tc>
        <w:tc>
          <w:tcPr>
            <w:tcW w:w="1236" w:type="dxa"/>
            <w:tcBorders>
              <w:top w:val="single" w:sz="4" w:space="0" w:color="ADD6EA"/>
              <w:left w:val="nil"/>
              <w:bottom w:val="nil"/>
              <w:right w:val="nil"/>
            </w:tcBorders>
            <w:shd w:val="clear" w:color="auto" w:fill="auto"/>
            <w:vAlign w:val="bottom"/>
            <w:hideMark/>
          </w:tcPr>
          <w:p w14:paraId="1637258A"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1.11</w:t>
            </w:r>
          </w:p>
        </w:tc>
        <w:tc>
          <w:tcPr>
            <w:tcW w:w="1167" w:type="dxa"/>
            <w:tcBorders>
              <w:top w:val="single" w:sz="4" w:space="0" w:color="ADD6EA"/>
              <w:left w:val="nil"/>
              <w:bottom w:val="nil"/>
              <w:right w:val="nil"/>
            </w:tcBorders>
            <w:shd w:val="clear" w:color="auto" w:fill="auto"/>
            <w:vAlign w:val="bottom"/>
            <w:hideMark/>
          </w:tcPr>
          <w:p w14:paraId="5CA7E7A9"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1.11</w:t>
            </w:r>
          </w:p>
        </w:tc>
      </w:tr>
      <w:tr w:rsidR="00B641F7" w:rsidRPr="00B641F7" w14:paraId="6BE76798" w14:textId="77777777" w:rsidTr="00AD367B">
        <w:trPr>
          <w:trHeight w:val="300"/>
        </w:trPr>
        <w:tc>
          <w:tcPr>
            <w:tcW w:w="3976" w:type="dxa"/>
            <w:tcBorders>
              <w:top w:val="single" w:sz="4" w:space="0" w:color="ADD6EA"/>
              <w:left w:val="nil"/>
              <w:bottom w:val="single" w:sz="4" w:space="0" w:color="ADD6EA"/>
              <w:right w:val="nil"/>
            </w:tcBorders>
            <w:shd w:val="clear" w:color="auto" w:fill="auto"/>
            <w:vAlign w:val="bottom"/>
            <w:hideMark/>
          </w:tcPr>
          <w:p w14:paraId="35C450A3"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Remote</w:t>
            </w:r>
          </w:p>
        </w:tc>
        <w:tc>
          <w:tcPr>
            <w:tcW w:w="1316" w:type="dxa"/>
            <w:tcBorders>
              <w:top w:val="single" w:sz="4" w:space="0" w:color="ADD6EA"/>
              <w:left w:val="nil"/>
              <w:bottom w:val="single" w:sz="4" w:space="0" w:color="ADD6EA"/>
              <w:right w:val="nil"/>
            </w:tcBorders>
            <w:shd w:val="clear" w:color="auto" w:fill="auto"/>
            <w:vAlign w:val="bottom"/>
            <w:hideMark/>
          </w:tcPr>
          <w:p w14:paraId="475641A0"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1.15</w:t>
            </w:r>
          </w:p>
        </w:tc>
        <w:tc>
          <w:tcPr>
            <w:tcW w:w="1236" w:type="dxa"/>
            <w:tcBorders>
              <w:top w:val="single" w:sz="4" w:space="0" w:color="ADD6EA"/>
              <w:left w:val="nil"/>
              <w:bottom w:val="single" w:sz="4" w:space="0" w:color="ADD6EA"/>
              <w:right w:val="nil"/>
            </w:tcBorders>
            <w:shd w:val="clear" w:color="auto" w:fill="auto"/>
            <w:vAlign w:val="bottom"/>
            <w:hideMark/>
          </w:tcPr>
          <w:p w14:paraId="53206ABE"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1.15</w:t>
            </w:r>
          </w:p>
        </w:tc>
        <w:tc>
          <w:tcPr>
            <w:tcW w:w="1236" w:type="dxa"/>
            <w:tcBorders>
              <w:top w:val="single" w:sz="4" w:space="0" w:color="ADD6EA"/>
              <w:left w:val="nil"/>
              <w:bottom w:val="single" w:sz="4" w:space="0" w:color="ADD6EA"/>
              <w:right w:val="nil"/>
            </w:tcBorders>
            <w:shd w:val="clear" w:color="auto" w:fill="auto"/>
            <w:vAlign w:val="bottom"/>
            <w:hideMark/>
          </w:tcPr>
          <w:p w14:paraId="1DABF024"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1.14</w:t>
            </w:r>
          </w:p>
        </w:tc>
        <w:tc>
          <w:tcPr>
            <w:tcW w:w="1167" w:type="dxa"/>
            <w:tcBorders>
              <w:top w:val="single" w:sz="4" w:space="0" w:color="ADD6EA"/>
              <w:left w:val="nil"/>
              <w:bottom w:val="single" w:sz="4" w:space="0" w:color="ADD6EA"/>
              <w:right w:val="nil"/>
            </w:tcBorders>
            <w:shd w:val="clear" w:color="auto" w:fill="auto"/>
            <w:vAlign w:val="bottom"/>
            <w:hideMark/>
          </w:tcPr>
          <w:p w14:paraId="682844E1"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1.14</w:t>
            </w:r>
          </w:p>
        </w:tc>
      </w:tr>
      <w:tr w:rsidR="00B641F7" w:rsidRPr="00B641F7" w14:paraId="7AA1D9D2" w14:textId="77777777" w:rsidTr="00AD367B">
        <w:trPr>
          <w:trHeight w:val="300"/>
        </w:trPr>
        <w:tc>
          <w:tcPr>
            <w:tcW w:w="3976" w:type="dxa"/>
            <w:tcBorders>
              <w:top w:val="single" w:sz="4" w:space="0" w:color="ADD6EA"/>
              <w:left w:val="nil"/>
              <w:bottom w:val="single" w:sz="4" w:space="0" w:color="ADD6EA"/>
              <w:right w:val="nil"/>
            </w:tcBorders>
            <w:shd w:val="clear" w:color="auto" w:fill="auto"/>
            <w:vAlign w:val="bottom"/>
            <w:hideMark/>
          </w:tcPr>
          <w:p w14:paraId="277E15BA" w14:textId="77777777" w:rsidR="00B641F7" w:rsidRPr="00B641F7" w:rsidRDefault="00B641F7" w:rsidP="00AD367B">
            <w:pPr>
              <w:keepNext/>
              <w:tabs>
                <w:tab w:val="clear" w:pos="567"/>
              </w:tabs>
              <w:spacing w:before="0" w:line="240" w:lineRule="auto"/>
              <w:rPr>
                <w:rFonts w:eastAsia="Times New Roman" w:cs="Open Sans Light"/>
                <w:color w:val="000000"/>
                <w:sz w:val="16"/>
                <w:szCs w:val="16"/>
                <w:lang w:eastAsia="en-AU"/>
              </w:rPr>
            </w:pPr>
            <w:r w:rsidRPr="00B641F7">
              <w:rPr>
                <w:rFonts w:eastAsia="Times New Roman" w:cs="Open Sans Light"/>
                <w:color w:val="000000"/>
                <w:sz w:val="16"/>
                <w:szCs w:val="16"/>
                <w:lang w:eastAsia="en-AU"/>
              </w:rPr>
              <w:t>Very remote</w:t>
            </w:r>
          </w:p>
        </w:tc>
        <w:tc>
          <w:tcPr>
            <w:tcW w:w="1316" w:type="dxa"/>
            <w:tcBorders>
              <w:top w:val="single" w:sz="4" w:space="0" w:color="ADD6EA"/>
              <w:left w:val="nil"/>
              <w:bottom w:val="single" w:sz="4" w:space="0" w:color="ADD6EA"/>
              <w:right w:val="nil"/>
            </w:tcBorders>
            <w:shd w:val="clear" w:color="auto" w:fill="auto"/>
            <w:vAlign w:val="bottom"/>
            <w:hideMark/>
          </w:tcPr>
          <w:p w14:paraId="2B143C71"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1.27</w:t>
            </w:r>
          </w:p>
        </w:tc>
        <w:tc>
          <w:tcPr>
            <w:tcW w:w="1236" w:type="dxa"/>
            <w:tcBorders>
              <w:top w:val="single" w:sz="4" w:space="0" w:color="ADD6EA"/>
              <w:left w:val="nil"/>
              <w:bottom w:val="single" w:sz="4" w:space="0" w:color="ADD6EA"/>
              <w:right w:val="nil"/>
            </w:tcBorders>
            <w:shd w:val="clear" w:color="auto" w:fill="auto"/>
            <w:vAlign w:val="bottom"/>
            <w:hideMark/>
          </w:tcPr>
          <w:p w14:paraId="425F738C"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1.33</w:t>
            </w:r>
          </w:p>
        </w:tc>
        <w:tc>
          <w:tcPr>
            <w:tcW w:w="1236" w:type="dxa"/>
            <w:tcBorders>
              <w:top w:val="single" w:sz="4" w:space="0" w:color="ADD6EA"/>
              <w:left w:val="nil"/>
              <w:bottom w:val="single" w:sz="4" w:space="0" w:color="ADD6EA"/>
              <w:right w:val="nil"/>
            </w:tcBorders>
            <w:shd w:val="clear" w:color="auto" w:fill="auto"/>
            <w:vAlign w:val="bottom"/>
            <w:hideMark/>
          </w:tcPr>
          <w:p w14:paraId="62E09A0C"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1.29</w:t>
            </w:r>
          </w:p>
        </w:tc>
        <w:tc>
          <w:tcPr>
            <w:tcW w:w="1167" w:type="dxa"/>
            <w:tcBorders>
              <w:top w:val="single" w:sz="4" w:space="0" w:color="ADD6EA"/>
              <w:left w:val="nil"/>
              <w:bottom w:val="single" w:sz="4" w:space="0" w:color="ADD6EA"/>
              <w:right w:val="nil"/>
            </w:tcBorders>
            <w:shd w:val="clear" w:color="auto" w:fill="auto"/>
            <w:vAlign w:val="bottom"/>
            <w:hideMark/>
          </w:tcPr>
          <w:p w14:paraId="5D82B68B" w14:textId="77777777" w:rsidR="00B641F7" w:rsidRPr="00B641F7" w:rsidRDefault="00B641F7" w:rsidP="00AD367B">
            <w:pPr>
              <w:keepNext/>
              <w:tabs>
                <w:tab w:val="clear" w:pos="567"/>
              </w:tabs>
              <w:spacing w:before="0" w:line="240" w:lineRule="auto"/>
              <w:jc w:val="right"/>
              <w:rPr>
                <w:rFonts w:eastAsia="Times New Roman" w:cs="Open Sans Light"/>
                <w:color w:val="000000"/>
                <w:sz w:val="16"/>
                <w:szCs w:val="16"/>
                <w:lang w:eastAsia="en-AU"/>
              </w:rPr>
            </w:pPr>
            <w:r w:rsidRPr="00B641F7">
              <w:rPr>
                <w:rFonts w:eastAsia="Times New Roman" w:cs="Open Sans Light"/>
                <w:color w:val="000000"/>
                <w:sz w:val="16"/>
                <w:szCs w:val="16"/>
                <w:lang w:eastAsia="en-AU"/>
              </w:rPr>
              <w:t>1.29</w:t>
            </w:r>
          </w:p>
        </w:tc>
      </w:tr>
    </w:tbl>
    <w:p w14:paraId="755EC1DE" w14:textId="3EADEC76" w:rsidR="00AB04CC" w:rsidRDefault="00763E6C" w:rsidP="0097274C">
      <w:pPr>
        <w:pStyle w:val="CGC2025TableNote"/>
        <w:ind w:left="709" w:hanging="596"/>
      </w:pPr>
      <w:r>
        <w:t>(a)</w:t>
      </w:r>
      <w:r w:rsidR="000F4E97">
        <w:tab/>
      </w:r>
      <w:r w:rsidR="00B35201">
        <w:tab/>
      </w:r>
      <w:r w:rsidR="00AF60DB">
        <w:t>C</w:t>
      </w:r>
      <w:r w:rsidR="00E50AF8">
        <w:t xml:space="preserve">alculated </w:t>
      </w:r>
      <w:r w:rsidR="00D77A91">
        <w:t>using</w:t>
      </w:r>
      <w:r w:rsidR="00AB04CC">
        <w:t xml:space="preserve"> </w:t>
      </w:r>
      <w:r w:rsidR="001D542D">
        <w:t>t</w:t>
      </w:r>
      <w:r w:rsidR="001170D4">
        <w:t>he adjustments</w:t>
      </w:r>
      <w:r w:rsidR="00CE5863">
        <w:t xml:space="preserve"> in</w:t>
      </w:r>
      <w:r w:rsidR="001170D4">
        <w:t xml:space="preserve"> </w:t>
      </w:r>
      <w:r w:rsidR="00F33C29">
        <w:fldChar w:fldCharType="begin"/>
      </w:r>
      <w:r w:rsidR="00F33C29">
        <w:instrText xml:space="preserve"> REF _Ref172195621 \h </w:instrText>
      </w:r>
      <w:r w:rsidR="00B35201">
        <w:instrText xml:space="preserve"> \* MERGEFORMAT </w:instrText>
      </w:r>
      <w:r w:rsidR="00F33C29">
        <w:fldChar w:fldCharType="separate"/>
      </w:r>
      <w:r w:rsidR="00344599">
        <w:t xml:space="preserve">Table </w:t>
      </w:r>
      <w:r w:rsidR="00344599">
        <w:rPr>
          <w:noProof/>
        </w:rPr>
        <w:t>6</w:t>
      </w:r>
      <w:r w:rsidR="00F33C29">
        <w:fldChar w:fldCharType="end"/>
      </w:r>
      <w:r w:rsidR="00CE5863">
        <w:t xml:space="preserve"> </w:t>
      </w:r>
      <w:r w:rsidR="004A6240">
        <w:t>applied to</w:t>
      </w:r>
      <w:r w:rsidR="00BC4A7B">
        <w:t xml:space="preserve"> </w:t>
      </w:r>
      <w:r w:rsidR="00AB04CC">
        <w:t>emergency department triage 4 and 5</w:t>
      </w:r>
      <w:r w:rsidR="00814E23">
        <w:t xml:space="preserve"> </w:t>
      </w:r>
      <w:r w:rsidR="00A044CC">
        <w:t>and selected non</w:t>
      </w:r>
      <w:r w:rsidR="00E76D74">
        <w:noBreakHyphen/>
      </w:r>
      <w:r w:rsidR="00A044CC">
        <w:t>admitted patient NWAU</w:t>
      </w:r>
      <w:r w:rsidR="00AF60DB">
        <w:t>.</w:t>
      </w:r>
    </w:p>
    <w:p w14:paraId="4A4C0A7A" w14:textId="63C72879" w:rsidR="00122010" w:rsidRDefault="00122010" w:rsidP="00193E46">
      <w:pPr>
        <w:pStyle w:val="CGC2025TableNote"/>
        <w:ind w:left="709" w:hanging="596"/>
      </w:pPr>
      <w:r w:rsidRPr="002A7056">
        <w:t xml:space="preserve">Source: </w:t>
      </w:r>
      <w:r w:rsidR="00775C1F">
        <w:tab/>
      </w:r>
      <w:r w:rsidRPr="002A7056">
        <w:t xml:space="preserve">Commission calculation using </w:t>
      </w:r>
      <w:r w:rsidR="00471F40">
        <w:t xml:space="preserve">general regional </w:t>
      </w:r>
      <w:r w:rsidR="00D8014F">
        <w:t xml:space="preserve">cost </w:t>
      </w:r>
      <w:r w:rsidR="00471F40">
        <w:t xml:space="preserve">gradient and </w:t>
      </w:r>
      <w:r w:rsidRPr="002A7056">
        <w:t>I</w:t>
      </w:r>
      <w:r w:rsidR="0017171C">
        <w:t>HACPA</w:t>
      </w:r>
      <w:r w:rsidRPr="002A7056">
        <w:t xml:space="preserve"> </w:t>
      </w:r>
      <w:r w:rsidR="00E979F7">
        <w:t xml:space="preserve">unpublished </w:t>
      </w:r>
      <w:r w:rsidRPr="002A7056">
        <w:t>dat</w:t>
      </w:r>
      <w:r>
        <w:t>a</w:t>
      </w:r>
      <w:r w:rsidR="00E4717E">
        <w:t xml:space="preserve"> </w:t>
      </w:r>
      <w:r w:rsidR="00042F66">
        <w:t xml:space="preserve">on </w:t>
      </w:r>
      <w:r w:rsidR="00E4717E">
        <w:t>emergency department triage 4 and 5</w:t>
      </w:r>
      <w:r w:rsidR="00BE5E91">
        <w:t xml:space="preserve"> </w:t>
      </w:r>
      <w:r w:rsidR="00517225">
        <w:t xml:space="preserve">and selected non-admitted patient </w:t>
      </w:r>
      <w:r w:rsidR="00C87853">
        <w:t>NWAU</w:t>
      </w:r>
      <w:r w:rsidR="00BE5E91">
        <w:t>.</w:t>
      </w:r>
      <w:r>
        <w:t xml:space="preserve"> </w:t>
      </w:r>
    </w:p>
    <w:p w14:paraId="1546D225" w14:textId="74F15529" w:rsidR="00F30488" w:rsidRDefault="00E87975" w:rsidP="00517417">
      <w:pPr>
        <w:pStyle w:val="Heading6"/>
      </w:pPr>
      <w:r>
        <w:t>Measuring activity</w:t>
      </w:r>
      <w:r w:rsidR="00F30488">
        <w:t xml:space="preserve"> for the balance of the component</w:t>
      </w:r>
    </w:p>
    <w:p w14:paraId="59E9291C" w14:textId="73B94383" w:rsidR="001F5E5C" w:rsidRDefault="001F5E5C" w:rsidP="006E2A71">
      <w:pPr>
        <w:pStyle w:val="CGC2025ParaNumbers"/>
        <w:spacing w:before="80"/>
      </w:pPr>
      <w:r>
        <w:t xml:space="preserve">Direct measures of activity are not available for </w:t>
      </w:r>
      <w:r w:rsidR="00D73DC9">
        <w:t xml:space="preserve">other community health services or for public health services. </w:t>
      </w:r>
      <w:r w:rsidR="00DB04CC">
        <w:t>Therefore,</w:t>
      </w:r>
      <w:r w:rsidR="00A83767" w:rsidDel="00DF0781">
        <w:t xml:space="preserve"> </w:t>
      </w:r>
      <w:r w:rsidR="00A83767">
        <w:t>a proxy measure</w:t>
      </w:r>
      <w:r w:rsidR="00DF0781">
        <w:t xml:space="preserve"> is used</w:t>
      </w:r>
      <w:r w:rsidR="00A83767">
        <w:t>, based on a combination of emergency department activity and non</w:t>
      </w:r>
      <w:r w:rsidR="00A83767">
        <w:noBreakHyphen/>
        <w:t>admitted patient activity.</w:t>
      </w:r>
    </w:p>
    <w:p w14:paraId="0075BEE9" w14:textId="19C6806F" w:rsidR="008375AB" w:rsidRDefault="00C353D7" w:rsidP="00E23CBD">
      <w:pPr>
        <w:pStyle w:val="CGC2025ParaNumbers"/>
      </w:pPr>
      <w:r>
        <w:t>The e</w:t>
      </w:r>
      <w:r w:rsidR="00C1445A">
        <w:t xml:space="preserve">mergency department triage </w:t>
      </w:r>
      <w:r w:rsidR="0053292F">
        <w:t xml:space="preserve">categories </w:t>
      </w:r>
      <w:r w:rsidR="00C1445A">
        <w:t>4 and 5</w:t>
      </w:r>
      <w:r w:rsidR="00B073E3">
        <w:t xml:space="preserve"> represent lower urgency </w:t>
      </w:r>
      <w:r w:rsidR="00634770" w:rsidRPr="00634770">
        <w:t xml:space="preserve">emergency department services </w:t>
      </w:r>
      <w:r w:rsidR="00B073E3">
        <w:t xml:space="preserve">that </w:t>
      </w:r>
      <w:r w:rsidR="00634770" w:rsidRPr="00634770">
        <w:t>provide treatment for less severe injuries or minor illnesses. These are closer than other emergency department services to the types of primary health services provided in community health centres</w:t>
      </w:r>
      <w:r w:rsidR="008375AB">
        <w:t xml:space="preserve">. </w:t>
      </w:r>
    </w:p>
    <w:p w14:paraId="27480C94" w14:textId="0E44DA4B" w:rsidR="00E23CBD" w:rsidRDefault="00CA1A63" w:rsidP="00DF3BC3">
      <w:pPr>
        <w:pStyle w:val="CGC2025ParaNumbers"/>
        <w:spacing w:before="0"/>
      </w:pPr>
      <w:r>
        <w:lastRenderedPageBreak/>
        <w:t xml:space="preserve">The types of non-admitted patient services </w:t>
      </w:r>
      <w:r w:rsidR="00FB4769">
        <w:t>s</w:t>
      </w:r>
      <w:r w:rsidR="00A55503">
        <w:t xml:space="preserve">imilar </w:t>
      </w:r>
      <w:r>
        <w:t xml:space="preserve">to community health services </w:t>
      </w:r>
      <w:r w:rsidR="00A36A8B">
        <w:t xml:space="preserve">and included in the proxy indicator </w:t>
      </w:r>
      <w:r>
        <w:t>are listed in</w:t>
      </w:r>
      <w:r w:rsidR="001B0BC2">
        <w:t xml:space="preserve"> </w:t>
      </w:r>
      <w:r w:rsidR="001B6EFE">
        <w:t>Table 15</w:t>
      </w:r>
      <w:r w:rsidR="00967184">
        <w:t>.</w:t>
      </w:r>
      <w:r w:rsidR="00512914">
        <w:rPr>
          <w:rStyle w:val="FootnoteReference"/>
        </w:rPr>
        <w:footnoteReference w:id="9"/>
      </w:r>
      <w:r w:rsidR="00967184">
        <w:t xml:space="preserve"> </w:t>
      </w:r>
    </w:p>
    <w:p w14:paraId="73AB7393" w14:textId="60A73DF2" w:rsidR="00FF6CCB" w:rsidRPr="008762E2" w:rsidRDefault="00FF6CCB" w:rsidP="009161D3">
      <w:pPr>
        <w:pStyle w:val="CGC2025Caption"/>
        <w:keepNext/>
        <w:spacing w:before="120"/>
      </w:pPr>
      <w:bookmarkStart w:id="32" w:name="_Ref172900910"/>
      <w:r w:rsidRPr="008762E2">
        <w:t xml:space="preserve">Table </w:t>
      </w:r>
      <w:bookmarkEnd w:id="32"/>
      <w:r w:rsidR="003149B6">
        <w:t>15</w:t>
      </w:r>
      <w:r w:rsidRPr="008762E2">
        <w:tab/>
        <w:t>Non-admitted services similar to community health services</w:t>
      </w:r>
    </w:p>
    <w:tbl>
      <w:tblPr>
        <w:tblW w:w="8942" w:type="dxa"/>
        <w:tblLook w:val="04A0" w:firstRow="1" w:lastRow="0" w:firstColumn="1" w:lastColumn="0" w:noHBand="0" w:noVBand="1"/>
      </w:tblPr>
      <w:tblGrid>
        <w:gridCol w:w="971"/>
        <w:gridCol w:w="3925"/>
        <w:gridCol w:w="4046"/>
      </w:tblGrid>
      <w:tr w:rsidR="00FF6CCB" w:rsidRPr="004A0A2A" w14:paraId="31DC347C" w14:textId="77777777" w:rsidTr="00582C9B">
        <w:trPr>
          <w:trHeight w:val="375"/>
          <w:tblHeader/>
        </w:trPr>
        <w:tc>
          <w:tcPr>
            <w:tcW w:w="960" w:type="dxa"/>
            <w:tcBorders>
              <w:top w:val="nil"/>
              <w:left w:val="nil"/>
              <w:bottom w:val="nil"/>
              <w:right w:val="nil"/>
            </w:tcBorders>
            <w:shd w:val="clear" w:color="000000" w:fill="006991"/>
            <w:noWrap/>
            <w:vAlign w:val="center"/>
            <w:hideMark/>
          </w:tcPr>
          <w:p w14:paraId="137DD607" w14:textId="77777777" w:rsidR="00FF6CCB" w:rsidRPr="004A0A2A" w:rsidRDefault="00FF6CCB" w:rsidP="001B3B84">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A0A2A">
              <w:rPr>
                <w:rFonts w:ascii="Open Sans Semibold" w:eastAsia="Times New Roman" w:hAnsi="Open Sans Semibold" w:cs="Open Sans Semibold"/>
                <w:color w:val="FFFFFF"/>
                <w:sz w:val="16"/>
                <w:szCs w:val="16"/>
                <w:lang w:eastAsia="en-AU"/>
              </w:rPr>
              <w:t>Tier 2</w:t>
            </w:r>
          </w:p>
        </w:tc>
        <w:tc>
          <w:tcPr>
            <w:tcW w:w="3880" w:type="dxa"/>
            <w:tcBorders>
              <w:top w:val="nil"/>
              <w:left w:val="nil"/>
              <w:bottom w:val="nil"/>
              <w:right w:val="nil"/>
            </w:tcBorders>
            <w:shd w:val="clear" w:color="000000" w:fill="006991"/>
            <w:noWrap/>
            <w:vAlign w:val="center"/>
            <w:hideMark/>
          </w:tcPr>
          <w:p w14:paraId="5D887553" w14:textId="77777777" w:rsidR="00FF6CCB" w:rsidRPr="004A0A2A" w:rsidRDefault="00FF6CCB" w:rsidP="001B3B84">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A0A2A">
              <w:rPr>
                <w:rFonts w:ascii="Open Sans Semibold" w:eastAsia="Times New Roman" w:hAnsi="Open Sans Semibold" w:cs="Open Sans Semibold"/>
                <w:color w:val="FFFFFF"/>
                <w:sz w:val="16"/>
                <w:szCs w:val="16"/>
                <w:lang w:eastAsia="en-AU"/>
              </w:rPr>
              <w:t>Non-admitted patient service</w:t>
            </w:r>
          </w:p>
        </w:tc>
        <w:tc>
          <w:tcPr>
            <w:tcW w:w="4000" w:type="dxa"/>
            <w:tcBorders>
              <w:top w:val="nil"/>
              <w:left w:val="nil"/>
              <w:bottom w:val="nil"/>
              <w:right w:val="nil"/>
            </w:tcBorders>
            <w:shd w:val="clear" w:color="000000" w:fill="006991"/>
            <w:noWrap/>
            <w:vAlign w:val="center"/>
            <w:hideMark/>
          </w:tcPr>
          <w:p w14:paraId="5709E67D" w14:textId="77777777" w:rsidR="00FF6CCB" w:rsidRPr="004A0A2A" w:rsidRDefault="00FF6CCB" w:rsidP="001B3B84">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A0A2A">
              <w:rPr>
                <w:rFonts w:ascii="Open Sans Semibold" w:eastAsia="Times New Roman" w:hAnsi="Open Sans Semibold" w:cs="Open Sans Semibold"/>
                <w:color w:val="FFFFFF"/>
                <w:sz w:val="16"/>
                <w:szCs w:val="16"/>
                <w:lang w:eastAsia="en-AU"/>
              </w:rPr>
              <w:t>Community and public health service</w:t>
            </w:r>
          </w:p>
        </w:tc>
      </w:tr>
      <w:tr w:rsidR="00FF6CCB" w:rsidRPr="004A0A2A" w14:paraId="63BD54D1" w14:textId="77777777" w:rsidTr="00582C9B">
        <w:trPr>
          <w:trHeight w:val="300"/>
        </w:trPr>
        <w:tc>
          <w:tcPr>
            <w:tcW w:w="960" w:type="dxa"/>
            <w:tcBorders>
              <w:top w:val="nil"/>
              <w:left w:val="nil"/>
              <w:bottom w:val="single" w:sz="4" w:space="0" w:color="ADD6EA"/>
              <w:right w:val="nil"/>
            </w:tcBorders>
            <w:shd w:val="clear" w:color="000000" w:fill="FFFFFF"/>
            <w:hideMark/>
          </w:tcPr>
          <w:p w14:paraId="67D6422D"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40.09</w:t>
            </w:r>
          </w:p>
        </w:tc>
        <w:tc>
          <w:tcPr>
            <w:tcW w:w="3880" w:type="dxa"/>
            <w:tcBorders>
              <w:top w:val="nil"/>
              <w:left w:val="nil"/>
              <w:bottom w:val="single" w:sz="4" w:space="0" w:color="ADD6EA"/>
              <w:right w:val="nil"/>
            </w:tcBorders>
            <w:shd w:val="clear" w:color="000000" w:fill="FFFFFF"/>
            <w:hideMark/>
          </w:tcPr>
          <w:p w14:paraId="21B59CFB"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Physiotherapy</w:t>
            </w:r>
          </w:p>
        </w:tc>
        <w:tc>
          <w:tcPr>
            <w:tcW w:w="4000" w:type="dxa"/>
            <w:tcBorders>
              <w:top w:val="nil"/>
              <w:left w:val="nil"/>
              <w:bottom w:val="single" w:sz="4" w:space="0" w:color="ADD6EA"/>
              <w:right w:val="nil"/>
            </w:tcBorders>
            <w:shd w:val="clear" w:color="000000" w:fill="FFFFFF"/>
            <w:hideMark/>
          </w:tcPr>
          <w:p w14:paraId="4F53FA7C"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Allied health services</w:t>
            </w:r>
          </w:p>
        </w:tc>
      </w:tr>
      <w:tr w:rsidR="00FF6CCB" w:rsidRPr="004A0A2A" w14:paraId="6BF4450B" w14:textId="77777777" w:rsidTr="00582C9B">
        <w:trPr>
          <w:trHeight w:val="300"/>
        </w:trPr>
        <w:tc>
          <w:tcPr>
            <w:tcW w:w="960" w:type="dxa"/>
            <w:tcBorders>
              <w:top w:val="nil"/>
              <w:left w:val="nil"/>
              <w:bottom w:val="single" w:sz="4" w:space="0" w:color="ADD6EA"/>
              <w:right w:val="nil"/>
            </w:tcBorders>
            <w:shd w:val="clear" w:color="000000" w:fill="FFFFFF"/>
            <w:hideMark/>
          </w:tcPr>
          <w:p w14:paraId="716BB3BC"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40.10</w:t>
            </w:r>
          </w:p>
        </w:tc>
        <w:tc>
          <w:tcPr>
            <w:tcW w:w="3880" w:type="dxa"/>
            <w:tcBorders>
              <w:top w:val="nil"/>
              <w:left w:val="nil"/>
              <w:bottom w:val="single" w:sz="4" w:space="0" w:color="ADD6EA"/>
              <w:right w:val="nil"/>
            </w:tcBorders>
            <w:shd w:val="clear" w:color="000000" w:fill="FFFFFF"/>
            <w:hideMark/>
          </w:tcPr>
          <w:p w14:paraId="4BDB1D05"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Sexual health</w:t>
            </w:r>
          </w:p>
        </w:tc>
        <w:tc>
          <w:tcPr>
            <w:tcW w:w="4000" w:type="dxa"/>
            <w:tcBorders>
              <w:top w:val="nil"/>
              <w:left w:val="nil"/>
              <w:bottom w:val="single" w:sz="4" w:space="0" w:color="ADD6EA"/>
              <w:right w:val="nil"/>
            </w:tcBorders>
            <w:shd w:val="clear" w:color="000000" w:fill="FFFFFF"/>
            <w:hideMark/>
          </w:tcPr>
          <w:p w14:paraId="2FF52E0C"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Sexual health services</w:t>
            </w:r>
          </w:p>
        </w:tc>
      </w:tr>
      <w:tr w:rsidR="00FF6CCB" w:rsidRPr="004A0A2A" w14:paraId="69EE8E34" w14:textId="77777777" w:rsidTr="00582C9B">
        <w:trPr>
          <w:trHeight w:val="300"/>
        </w:trPr>
        <w:tc>
          <w:tcPr>
            <w:tcW w:w="960" w:type="dxa"/>
            <w:tcBorders>
              <w:top w:val="nil"/>
              <w:left w:val="nil"/>
              <w:bottom w:val="single" w:sz="4" w:space="0" w:color="ADD6EA"/>
              <w:right w:val="nil"/>
            </w:tcBorders>
            <w:shd w:val="clear" w:color="000000" w:fill="FFFFFF"/>
            <w:hideMark/>
          </w:tcPr>
          <w:p w14:paraId="1509AA2A"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40.13</w:t>
            </w:r>
          </w:p>
        </w:tc>
        <w:tc>
          <w:tcPr>
            <w:tcW w:w="3880" w:type="dxa"/>
            <w:tcBorders>
              <w:top w:val="nil"/>
              <w:left w:val="nil"/>
              <w:bottom w:val="single" w:sz="4" w:space="0" w:color="ADD6EA"/>
              <w:right w:val="nil"/>
            </w:tcBorders>
            <w:shd w:val="clear" w:color="000000" w:fill="FFFFFF"/>
            <w:hideMark/>
          </w:tcPr>
          <w:p w14:paraId="2ED1C7C7"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Wound management</w:t>
            </w:r>
          </w:p>
        </w:tc>
        <w:tc>
          <w:tcPr>
            <w:tcW w:w="4000" w:type="dxa"/>
            <w:tcBorders>
              <w:top w:val="nil"/>
              <w:left w:val="nil"/>
              <w:bottom w:val="single" w:sz="4" w:space="0" w:color="ADD6EA"/>
              <w:right w:val="nil"/>
            </w:tcBorders>
            <w:shd w:val="clear" w:color="000000" w:fill="FFFFFF"/>
            <w:hideMark/>
          </w:tcPr>
          <w:p w14:paraId="40E9F1D0"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FF6CCB" w:rsidRPr="004A0A2A" w14:paraId="4E3508FE" w14:textId="77777777" w:rsidTr="00582C9B">
        <w:trPr>
          <w:trHeight w:val="300"/>
        </w:trPr>
        <w:tc>
          <w:tcPr>
            <w:tcW w:w="960" w:type="dxa"/>
            <w:tcBorders>
              <w:top w:val="nil"/>
              <w:left w:val="nil"/>
              <w:bottom w:val="single" w:sz="4" w:space="0" w:color="ADD6EA"/>
              <w:right w:val="nil"/>
            </w:tcBorders>
            <w:shd w:val="clear" w:color="000000" w:fill="FFFFFF"/>
            <w:hideMark/>
          </w:tcPr>
          <w:p w14:paraId="7FD25254"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40.23</w:t>
            </w:r>
          </w:p>
        </w:tc>
        <w:tc>
          <w:tcPr>
            <w:tcW w:w="3880" w:type="dxa"/>
            <w:tcBorders>
              <w:top w:val="nil"/>
              <w:left w:val="nil"/>
              <w:bottom w:val="single" w:sz="4" w:space="0" w:color="ADD6EA"/>
              <w:right w:val="nil"/>
            </w:tcBorders>
            <w:shd w:val="clear" w:color="000000" w:fill="FFFFFF"/>
            <w:hideMark/>
          </w:tcPr>
          <w:p w14:paraId="42AD60DE"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Nutrition/dietetics</w:t>
            </w:r>
          </w:p>
        </w:tc>
        <w:tc>
          <w:tcPr>
            <w:tcW w:w="4000" w:type="dxa"/>
            <w:tcBorders>
              <w:top w:val="nil"/>
              <w:left w:val="nil"/>
              <w:bottom w:val="single" w:sz="4" w:space="0" w:color="ADD6EA"/>
              <w:right w:val="nil"/>
            </w:tcBorders>
            <w:shd w:val="clear" w:color="000000" w:fill="FFFFFF"/>
            <w:hideMark/>
          </w:tcPr>
          <w:p w14:paraId="106A0456"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Allied health services</w:t>
            </w:r>
          </w:p>
        </w:tc>
      </w:tr>
      <w:tr w:rsidR="00FF6CCB" w:rsidRPr="004A0A2A" w14:paraId="2B7EBD6E" w14:textId="77777777" w:rsidTr="00582C9B">
        <w:trPr>
          <w:trHeight w:val="300"/>
        </w:trPr>
        <w:tc>
          <w:tcPr>
            <w:tcW w:w="960" w:type="dxa"/>
            <w:tcBorders>
              <w:top w:val="nil"/>
              <w:left w:val="nil"/>
              <w:bottom w:val="single" w:sz="4" w:space="0" w:color="ADD6EA"/>
              <w:right w:val="nil"/>
            </w:tcBorders>
            <w:shd w:val="clear" w:color="000000" w:fill="FFFFFF"/>
            <w:hideMark/>
          </w:tcPr>
          <w:p w14:paraId="63A6E97D"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40.24</w:t>
            </w:r>
          </w:p>
        </w:tc>
        <w:tc>
          <w:tcPr>
            <w:tcW w:w="3880" w:type="dxa"/>
            <w:tcBorders>
              <w:top w:val="nil"/>
              <w:left w:val="nil"/>
              <w:bottom w:val="single" w:sz="4" w:space="0" w:color="ADD6EA"/>
              <w:right w:val="nil"/>
            </w:tcBorders>
            <w:shd w:val="clear" w:color="000000" w:fill="FFFFFF"/>
            <w:hideMark/>
          </w:tcPr>
          <w:p w14:paraId="15584BDC"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Orthotics</w:t>
            </w:r>
          </w:p>
        </w:tc>
        <w:tc>
          <w:tcPr>
            <w:tcW w:w="4000" w:type="dxa"/>
            <w:tcBorders>
              <w:top w:val="nil"/>
              <w:left w:val="nil"/>
              <w:bottom w:val="single" w:sz="4" w:space="0" w:color="ADD6EA"/>
              <w:right w:val="nil"/>
            </w:tcBorders>
            <w:shd w:val="clear" w:color="000000" w:fill="FFFFFF"/>
            <w:hideMark/>
          </w:tcPr>
          <w:p w14:paraId="7762FC87"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Allied health services</w:t>
            </w:r>
          </w:p>
        </w:tc>
      </w:tr>
      <w:tr w:rsidR="00FF6CCB" w:rsidRPr="004A0A2A" w14:paraId="30111CCB" w14:textId="77777777" w:rsidTr="00582C9B">
        <w:trPr>
          <w:trHeight w:val="300"/>
        </w:trPr>
        <w:tc>
          <w:tcPr>
            <w:tcW w:w="960" w:type="dxa"/>
            <w:tcBorders>
              <w:top w:val="nil"/>
              <w:left w:val="nil"/>
              <w:bottom w:val="single" w:sz="4" w:space="0" w:color="ADD6EA"/>
              <w:right w:val="nil"/>
            </w:tcBorders>
            <w:shd w:val="clear" w:color="000000" w:fill="FFFFFF"/>
            <w:hideMark/>
          </w:tcPr>
          <w:p w14:paraId="3835FE80"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40.25</w:t>
            </w:r>
          </w:p>
        </w:tc>
        <w:tc>
          <w:tcPr>
            <w:tcW w:w="3880" w:type="dxa"/>
            <w:tcBorders>
              <w:top w:val="nil"/>
              <w:left w:val="nil"/>
              <w:bottom w:val="single" w:sz="4" w:space="0" w:color="ADD6EA"/>
              <w:right w:val="nil"/>
            </w:tcBorders>
            <w:shd w:val="clear" w:color="000000" w:fill="FFFFFF"/>
            <w:hideMark/>
          </w:tcPr>
          <w:p w14:paraId="0A7150AA"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Podiatry</w:t>
            </w:r>
          </w:p>
        </w:tc>
        <w:tc>
          <w:tcPr>
            <w:tcW w:w="4000" w:type="dxa"/>
            <w:tcBorders>
              <w:top w:val="nil"/>
              <w:left w:val="nil"/>
              <w:bottom w:val="single" w:sz="4" w:space="0" w:color="ADD6EA"/>
              <w:right w:val="nil"/>
            </w:tcBorders>
            <w:shd w:val="clear" w:color="000000" w:fill="FFFFFF"/>
            <w:hideMark/>
          </w:tcPr>
          <w:p w14:paraId="38304D45"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Allied health services</w:t>
            </w:r>
          </w:p>
        </w:tc>
      </w:tr>
      <w:tr w:rsidR="00FF6CCB" w:rsidRPr="004A0A2A" w14:paraId="2F40A388" w14:textId="77777777" w:rsidTr="00582C9B">
        <w:trPr>
          <w:trHeight w:val="300"/>
        </w:trPr>
        <w:tc>
          <w:tcPr>
            <w:tcW w:w="960" w:type="dxa"/>
            <w:tcBorders>
              <w:top w:val="nil"/>
              <w:left w:val="nil"/>
              <w:bottom w:val="single" w:sz="4" w:space="0" w:color="ADD6EA"/>
              <w:right w:val="nil"/>
            </w:tcBorders>
            <w:shd w:val="clear" w:color="000000" w:fill="FFFFFF"/>
            <w:hideMark/>
          </w:tcPr>
          <w:p w14:paraId="1B8A7196"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40.28</w:t>
            </w:r>
          </w:p>
        </w:tc>
        <w:tc>
          <w:tcPr>
            <w:tcW w:w="3880" w:type="dxa"/>
            <w:tcBorders>
              <w:top w:val="nil"/>
              <w:left w:val="nil"/>
              <w:bottom w:val="single" w:sz="4" w:space="0" w:color="ADD6EA"/>
              <w:right w:val="nil"/>
            </w:tcBorders>
            <w:shd w:val="clear" w:color="000000" w:fill="FFFFFF"/>
            <w:hideMark/>
          </w:tcPr>
          <w:p w14:paraId="2934592A"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Midwifery and maternity</w:t>
            </w:r>
          </w:p>
        </w:tc>
        <w:tc>
          <w:tcPr>
            <w:tcW w:w="4000" w:type="dxa"/>
            <w:tcBorders>
              <w:top w:val="nil"/>
              <w:left w:val="nil"/>
              <w:bottom w:val="single" w:sz="4" w:space="0" w:color="ADD6EA"/>
              <w:right w:val="nil"/>
            </w:tcBorders>
            <w:shd w:val="clear" w:color="000000" w:fill="FFFFFF"/>
            <w:hideMark/>
          </w:tcPr>
          <w:p w14:paraId="584D79A5"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Family and child health services</w:t>
            </w:r>
          </w:p>
        </w:tc>
      </w:tr>
      <w:tr w:rsidR="00FF6CCB" w:rsidRPr="004A0A2A" w14:paraId="2658C8B6" w14:textId="77777777" w:rsidTr="00582C9B">
        <w:trPr>
          <w:trHeight w:val="300"/>
        </w:trPr>
        <w:tc>
          <w:tcPr>
            <w:tcW w:w="960" w:type="dxa"/>
            <w:tcBorders>
              <w:top w:val="nil"/>
              <w:left w:val="nil"/>
              <w:bottom w:val="single" w:sz="4" w:space="0" w:color="ADD6EA"/>
              <w:right w:val="nil"/>
            </w:tcBorders>
            <w:shd w:val="clear" w:color="000000" w:fill="FFFFFF"/>
            <w:hideMark/>
          </w:tcPr>
          <w:p w14:paraId="5DCE6428"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40.29</w:t>
            </w:r>
          </w:p>
        </w:tc>
        <w:tc>
          <w:tcPr>
            <w:tcW w:w="3880" w:type="dxa"/>
            <w:tcBorders>
              <w:top w:val="nil"/>
              <w:left w:val="nil"/>
              <w:bottom w:val="single" w:sz="4" w:space="0" w:color="ADD6EA"/>
              <w:right w:val="nil"/>
            </w:tcBorders>
            <w:shd w:val="clear" w:color="000000" w:fill="FFFFFF"/>
            <w:hideMark/>
          </w:tcPr>
          <w:p w14:paraId="51E544DF"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Psychology</w:t>
            </w:r>
          </w:p>
        </w:tc>
        <w:tc>
          <w:tcPr>
            <w:tcW w:w="4000" w:type="dxa"/>
            <w:tcBorders>
              <w:top w:val="nil"/>
              <w:left w:val="nil"/>
              <w:bottom w:val="single" w:sz="4" w:space="0" w:color="ADD6EA"/>
              <w:right w:val="nil"/>
            </w:tcBorders>
            <w:shd w:val="clear" w:color="000000" w:fill="FFFFFF"/>
            <w:hideMark/>
          </w:tcPr>
          <w:p w14:paraId="638FFFE4"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 mental health services</w:t>
            </w:r>
          </w:p>
        </w:tc>
      </w:tr>
      <w:tr w:rsidR="00FF6CCB" w:rsidRPr="004A0A2A" w14:paraId="581E0007" w14:textId="77777777" w:rsidTr="00582C9B">
        <w:trPr>
          <w:trHeight w:val="300"/>
        </w:trPr>
        <w:tc>
          <w:tcPr>
            <w:tcW w:w="960" w:type="dxa"/>
            <w:tcBorders>
              <w:top w:val="nil"/>
              <w:left w:val="nil"/>
              <w:bottom w:val="single" w:sz="4" w:space="0" w:color="ADD6EA"/>
              <w:right w:val="nil"/>
            </w:tcBorders>
            <w:shd w:val="clear" w:color="000000" w:fill="FFFFFF"/>
            <w:hideMark/>
          </w:tcPr>
          <w:p w14:paraId="3718C3C3"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40.30</w:t>
            </w:r>
          </w:p>
        </w:tc>
        <w:tc>
          <w:tcPr>
            <w:tcW w:w="3880" w:type="dxa"/>
            <w:tcBorders>
              <w:top w:val="nil"/>
              <w:left w:val="nil"/>
              <w:bottom w:val="single" w:sz="4" w:space="0" w:color="ADD6EA"/>
              <w:right w:val="nil"/>
            </w:tcBorders>
            <w:shd w:val="clear" w:color="000000" w:fill="FFFFFF"/>
            <w:hideMark/>
          </w:tcPr>
          <w:p w14:paraId="4C1ADAEB"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Alcohol and other drugs</w:t>
            </w:r>
          </w:p>
        </w:tc>
        <w:tc>
          <w:tcPr>
            <w:tcW w:w="4000" w:type="dxa"/>
            <w:tcBorders>
              <w:top w:val="nil"/>
              <w:left w:val="nil"/>
              <w:bottom w:val="single" w:sz="4" w:space="0" w:color="ADD6EA"/>
              <w:right w:val="nil"/>
            </w:tcBorders>
            <w:shd w:val="clear" w:color="000000" w:fill="FFFFFF"/>
            <w:hideMark/>
          </w:tcPr>
          <w:p w14:paraId="3D4D435C"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Alcohol and other drug services</w:t>
            </w:r>
          </w:p>
        </w:tc>
      </w:tr>
      <w:tr w:rsidR="00FF6CCB" w:rsidRPr="004A0A2A" w14:paraId="50BF5BCF" w14:textId="77777777" w:rsidTr="00582C9B">
        <w:trPr>
          <w:trHeight w:val="300"/>
        </w:trPr>
        <w:tc>
          <w:tcPr>
            <w:tcW w:w="960" w:type="dxa"/>
            <w:tcBorders>
              <w:top w:val="nil"/>
              <w:left w:val="nil"/>
              <w:bottom w:val="single" w:sz="4" w:space="0" w:color="ADD6EA"/>
              <w:right w:val="nil"/>
            </w:tcBorders>
            <w:shd w:val="clear" w:color="000000" w:fill="FFFFFF"/>
            <w:hideMark/>
          </w:tcPr>
          <w:p w14:paraId="11F4040F"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40.31</w:t>
            </w:r>
          </w:p>
        </w:tc>
        <w:tc>
          <w:tcPr>
            <w:tcW w:w="3880" w:type="dxa"/>
            <w:tcBorders>
              <w:top w:val="nil"/>
              <w:left w:val="nil"/>
              <w:bottom w:val="single" w:sz="4" w:space="0" w:color="ADD6EA"/>
              <w:right w:val="nil"/>
            </w:tcBorders>
            <w:shd w:val="clear" w:color="000000" w:fill="FFFFFF"/>
            <w:hideMark/>
          </w:tcPr>
          <w:p w14:paraId="594C5C0F"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Burns</w:t>
            </w:r>
          </w:p>
        </w:tc>
        <w:tc>
          <w:tcPr>
            <w:tcW w:w="4000" w:type="dxa"/>
            <w:tcBorders>
              <w:top w:val="nil"/>
              <w:left w:val="nil"/>
              <w:bottom w:val="single" w:sz="4" w:space="0" w:color="ADD6EA"/>
              <w:right w:val="nil"/>
            </w:tcBorders>
            <w:shd w:val="clear" w:color="000000" w:fill="FFFFFF"/>
            <w:hideMark/>
          </w:tcPr>
          <w:p w14:paraId="61749685"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FF6CCB" w:rsidRPr="004A0A2A" w14:paraId="1649CEFF" w14:textId="77777777" w:rsidTr="00582C9B">
        <w:trPr>
          <w:trHeight w:val="300"/>
        </w:trPr>
        <w:tc>
          <w:tcPr>
            <w:tcW w:w="960" w:type="dxa"/>
            <w:tcBorders>
              <w:top w:val="nil"/>
              <w:left w:val="nil"/>
              <w:bottom w:val="single" w:sz="4" w:space="0" w:color="ADD6EA"/>
              <w:right w:val="nil"/>
            </w:tcBorders>
            <w:shd w:val="clear" w:color="000000" w:fill="FFFFFF"/>
            <w:hideMark/>
          </w:tcPr>
          <w:p w14:paraId="5831F8D4"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40.32</w:t>
            </w:r>
          </w:p>
        </w:tc>
        <w:tc>
          <w:tcPr>
            <w:tcW w:w="3880" w:type="dxa"/>
            <w:tcBorders>
              <w:top w:val="nil"/>
              <w:left w:val="nil"/>
              <w:bottom w:val="single" w:sz="4" w:space="0" w:color="ADD6EA"/>
              <w:right w:val="nil"/>
            </w:tcBorders>
            <w:shd w:val="clear" w:color="000000" w:fill="FFFFFF"/>
            <w:hideMark/>
          </w:tcPr>
          <w:p w14:paraId="1023B4AF"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Continence</w:t>
            </w:r>
          </w:p>
        </w:tc>
        <w:tc>
          <w:tcPr>
            <w:tcW w:w="4000" w:type="dxa"/>
            <w:tcBorders>
              <w:top w:val="nil"/>
              <w:left w:val="nil"/>
              <w:bottom w:val="single" w:sz="4" w:space="0" w:color="ADD6EA"/>
              <w:right w:val="nil"/>
            </w:tcBorders>
            <w:shd w:val="clear" w:color="000000" w:fill="FFFFFF"/>
            <w:hideMark/>
          </w:tcPr>
          <w:p w14:paraId="44D764FB"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Continence services</w:t>
            </w:r>
          </w:p>
        </w:tc>
      </w:tr>
      <w:tr w:rsidR="00FF6CCB" w:rsidRPr="004A0A2A" w14:paraId="564F0F27" w14:textId="77777777" w:rsidTr="00582C9B">
        <w:trPr>
          <w:trHeight w:val="300"/>
        </w:trPr>
        <w:tc>
          <w:tcPr>
            <w:tcW w:w="960" w:type="dxa"/>
            <w:tcBorders>
              <w:top w:val="nil"/>
              <w:left w:val="nil"/>
              <w:bottom w:val="single" w:sz="4" w:space="0" w:color="ADD6EA"/>
              <w:right w:val="nil"/>
            </w:tcBorders>
            <w:shd w:val="clear" w:color="000000" w:fill="FFFFFF"/>
            <w:hideMark/>
          </w:tcPr>
          <w:p w14:paraId="2896D000"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40.35</w:t>
            </w:r>
          </w:p>
        </w:tc>
        <w:tc>
          <w:tcPr>
            <w:tcW w:w="3880" w:type="dxa"/>
            <w:tcBorders>
              <w:top w:val="nil"/>
              <w:left w:val="nil"/>
              <w:bottom w:val="single" w:sz="4" w:space="0" w:color="ADD6EA"/>
              <w:right w:val="nil"/>
            </w:tcBorders>
            <w:shd w:val="clear" w:color="000000" w:fill="FFFFFF"/>
            <w:hideMark/>
          </w:tcPr>
          <w:p w14:paraId="3CB64ECA"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Palliative care</w:t>
            </w:r>
          </w:p>
        </w:tc>
        <w:tc>
          <w:tcPr>
            <w:tcW w:w="4000" w:type="dxa"/>
            <w:tcBorders>
              <w:top w:val="nil"/>
              <w:left w:val="nil"/>
              <w:bottom w:val="single" w:sz="4" w:space="0" w:color="ADD6EA"/>
              <w:right w:val="nil"/>
            </w:tcBorders>
            <w:shd w:val="clear" w:color="000000" w:fill="FFFFFF"/>
            <w:hideMark/>
          </w:tcPr>
          <w:p w14:paraId="38F97D77"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FF6CCB" w:rsidRPr="004A0A2A" w14:paraId="1012167C" w14:textId="77777777" w:rsidTr="00582C9B">
        <w:trPr>
          <w:trHeight w:val="300"/>
        </w:trPr>
        <w:tc>
          <w:tcPr>
            <w:tcW w:w="960" w:type="dxa"/>
            <w:tcBorders>
              <w:top w:val="nil"/>
              <w:left w:val="nil"/>
              <w:bottom w:val="single" w:sz="4" w:space="0" w:color="ADD6EA"/>
              <w:right w:val="nil"/>
            </w:tcBorders>
            <w:shd w:val="clear" w:color="000000" w:fill="FFFFFF"/>
            <w:hideMark/>
          </w:tcPr>
          <w:p w14:paraId="32052B9A"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40.36</w:t>
            </w:r>
          </w:p>
        </w:tc>
        <w:tc>
          <w:tcPr>
            <w:tcW w:w="3880" w:type="dxa"/>
            <w:tcBorders>
              <w:top w:val="nil"/>
              <w:left w:val="nil"/>
              <w:bottom w:val="single" w:sz="4" w:space="0" w:color="ADD6EA"/>
              <w:right w:val="nil"/>
            </w:tcBorders>
            <w:shd w:val="clear" w:color="000000" w:fill="FFFFFF"/>
            <w:hideMark/>
          </w:tcPr>
          <w:p w14:paraId="0B668405"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Geriatric evaluation and management</w:t>
            </w:r>
          </w:p>
        </w:tc>
        <w:tc>
          <w:tcPr>
            <w:tcW w:w="4000" w:type="dxa"/>
            <w:tcBorders>
              <w:top w:val="nil"/>
              <w:left w:val="nil"/>
              <w:bottom w:val="single" w:sz="4" w:space="0" w:color="ADD6EA"/>
              <w:right w:val="nil"/>
            </w:tcBorders>
            <w:shd w:val="clear" w:color="000000" w:fill="FFFFFF"/>
            <w:hideMark/>
          </w:tcPr>
          <w:p w14:paraId="76E37BD2"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FF6CCB" w:rsidRPr="004A0A2A" w14:paraId="2B2B45E1" w14:textId="77777777" w:rsidTr="00582C9B">
        <w:trPr>
          <w:trHeight w:val="300"/>
        </w:trPr>
        <w:tc>
          <w:tcPr>
            <w:tcW w:w="960" w:type="dxa"/>
            <w:tcBorders>
              <w:top w:val="nil"/>
              <w:left w:val="nil"/>
              <w:bottom w:val="single" w:sz="4" w:space="0" w:color="ADD6EA"/>
              <w:right w:val="nil"/>
            </w:tcBorders>
            <w:shd w:val="clear" w:color="000000" w:fill="FFFFFF"/>
            <w:hideMark/>
          </w:tcPr>
          <w:p w14:paraId="20F55BCE"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40.37</w:t>
            </w:r>
          </w:p>
        </w:tc>
        <w:tc>
          <w:tcPr>
            <w:tcW w:w="3880" w:type="dxa"/>
            <w:tcBorders>
              <w:top w:val="nil"/>
              <w:left w:val="nil"/>
              <w:bottom w:val="single" w:sz="4" w:space="0" w:color="ADD6EA"/>
              <w:right w:val="nil"/>
            </w:tcBorders>
            <w:shd w:val="clear" w:color="000000" w:fill="FFFFFF"/>
            <w:hideMark/>
          </w:tcPr>
          <w:p w14:paraId="7FCFAF9F"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Psychogeriatric</w:t>
            </w:r>
          </w:p>
        </w:tc>
        <w:tc>
          <w:tcPr>
            <w:tcW w:w="4000" w:type="dxa"/>
            <w:tcBorders>
              <w:top w:val="nil"/>
              <w:left w:val="nil"/>
              <w:bottom w:val="single" w:sz="4" w:space="0" w:color="ADD6EA"/>
              <w:right w:val="nil"/>
            </w:tcBorders>
            <w:shd w:val="clear" w:color="000000" w:fill="FFFFFF"/>
            <w:hideMark/>
          </w:tcPr>
          <w:p w14:paraId="5D915308"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FF6CCB" w:rsidRPr="004A0A2A" w14:paraId="43D6FDEE" w14:textId="77777777" w:rsidTr="00582C9B">
        <w:trPr>
          <w:trHeight w:val="300"/>
        </w:trPr>
        <w:tc>
          <w:tcPr>
            <w:tcW w:w="960" w:type="dxa"/>
            <w:tcBorders>
              <w:top w:val="nil"/>
              <w:left w:val="nil"/>
              <w:bottom w:val="single" w:sz="4" w:space="0" w:color="ADD6EA"/>
              <w:right w:val="nil"/>
            </w:tcBorders>
            <w:shd w:val="clear" w:color="000000" w:fill="FFFFFF"/>
            <w:hideMark/>
          </w:tcPr>
          <w:p w14:paraId="362498C3"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40.38</w:t>
            </w:r>
          </w:p>
        </w:tc>
        <w:tc>
          <w:tcPr>
            <w:tcW w:w="3880" w:type="dxa"/>
            <w:tcBorders>
              <w:top w:val="nil"/>
              <w:left w:val="nil"/>
              <w:bottom w:val="single" w:sz="4" w:space="0" w:color="ADD6EA"/>
              <w:right w:val="nil"/>
            </w:tcBorders>
            <w:shd w:val="clear" w:color="000000" w:fill="FFFFFF"/>
            <w:hideMark/>
          </w:tcPr>
          <w:p w14:paraId="35054A61"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Infectious diseases</w:t>
            </w:r>
          </w:p>
        </w:tc>
        <w:tc>
          <w:tcPr>
            <w:tcW w:w="4000" w:type="dxa"/>
            <w:tcBorders>
              <w:top w:val="nil"/>
              <w:left w:val="nil"/>
              <w:bottom w:val="single" w:sz="4" w:space="0" w:color="ADD6EA"/>
              <w:right w:val="nil"/>
            </w:tcBorders>
            <w:shd w:val="clear" w:color="000000" w:fill="FFFFFF"/>
            <w:hideMark/>
          </w:tcPr>
          <w:p w14:paraId="27034767"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Communicable disease control</w:t>
            </w:r>
          </w:p>
        </w:tc>
      </w:tr>
      <w:tr w:rsidR="00FF6CCB" w:rsidRPr="004A0A2A" w14:paraId="2E17B2C5" w14:textId="77777777" w:rsidTr="00582C9B">
        <w:trPr>
          <w:trHeight w:val="300"/>
        </w:trPr>
        <w:tc>
          <w:tcPr>
            <w:tcW w:w="960" w:type="dxa"/>
            <w:tcBorders>
              <w:top w:val="nil"/>
              <w:left w:val="nil"/>
              <w:bottom w:val="single" w:sz="4" w:space="0" w:color="ADD6EA"/>
              <w:right w:val="nil"/>
            </w:tcBorders>
            <w:shd w:val="clear" w:color="000000" w:fill="FFFFFF"/>
            <w:hideMark/>
          </w:tcPr>
          <w:p w14:paraId="29D86030"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40.51</w:t>
            </w:r>
          </w:p>
        </w:tc>
        <w:tc>
          <w:tcPr>
            <w:tcW w:w="3880" w:type="dxa"/>
            <w:tcBorders>
              <w:top w:val="nil"/>
              <w:left w:val="nil"/>
              <w:bottom w:val="single" w:sz="4" w:space="0" w:color="ADD6EA"/>
              <w:right w:val="nil"/>
            </w:tcBorders>
            <w:shd w:val="clear" w:color="000000" w:fill="FFFFFF"/>
            <w:hideMark/>
          </w:tcPr>
          <w:p w14:paraId="6CEEEB46"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Breast</w:t>
            </w:r>
          </w:p>
        </w:tc>
        <w:tc>
          <w:tcPr>
            <w:tcW w:w="4000" w:type="dxa"/>
            <w:tcBorders>
              <w:top w:val="nil"/>
              <w:left w:val="nil"/>
              <w:bottom w:val="single" w:sz="4" w:space="0" w:color="ADD6EA"/>
              <w:right w:val="nil"/>
            </w:tcBorders>
            <w:shd w:val="clear" w:color="000000" w:fill="FFFFFF"/>
            <w:hideMark/>
          </w:tcPr>
          <w:p w14:paraId="24C4D478"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Cancer screening (bundled with main service)</w:t>
            </w:r>
          </w:p>
        </w:tc>
      </w:tr>
      <w:tr w:rsidR="00FF6CCB" w:rsidRPr="004A0A2A" w14:paraId="4B7660EB" w14:textId="77777777" w:rsidTr="00582C9B">
        <w:trPr>
          <w:trHeight w:val="300"/>
        </w:trPr>
        <w:tc>
          <w:tcPr>
            <w:tcW w:w="960" w:type="dxa"/>
            <w:tcBorders>
              <w:top w:val="nil"/>
              <w:left w:val="nil"/>
              <w:bottom w:val="single" w:sz="4" w:space="0" w:color="ADD6EA"/>
              <w:right w:val="nil"/>
            </w:tcBorders>
            <w:shd w:val="clear" w:color="000000" w:fill="FFFFFF"/>
            <w:hideMark/>
          </w:tcPr>
          <w:p w14:paraId="5E320BBA"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40.55</w:t>
            </w:r>
          </w:p>
        </w:tc>
        <w:tc>
          <w:tcPr>
            <w:tcW w:w="3880" w:type="dxa"/>
            <w:tcBorders>
              <w:top w:val="nil"/>
              <w:left w:val="nil"/>
              <w:bottom w:val="single" w:sz="4" w:space="0" w:color="ADD6EA"/>
              <w:right w:val="nil"/>
            </w:tcBorders>
            <w:shd w:val="clear" w:color="000000" w:fill="FFFFFF"/>
            <w:hideMark/>
          </w:tcPr>
          <w:p w14:paraId="40F8C872"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Paediatrics</w:t>
            </w:r>
          </w:p>
        </w:tc>
        <w:tc>
          <w:tcPr>
            <w:tcW w:w="4000" w:type="dxa"/>
            <w:tcBorders>
              <w:top w:val="nil"/>
              <w:left w:val="nil"/>
              <w:bottom w:val="single" w:sz="4" w:space="0" w:color="ADD6EA"/>
              <w:right w:val="nil"/>
            </w:tcBorders>
            <w:shd w:val="clear" w:color="000000" w:fill="FFFFFF"/>
            <w:hideMark/>
          </w:tcPr>
          <w:p w14:paraId="232E8A25"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Family and child health services</w:t>
            </w:r>
          </w:p>
        </w:tc>
      </w:tr>
      <w:tr w:rsidR="00FF6CCB" w:rsidRPr="004A0A2A" w14:paraId="77D7FB8D" w14:textId="77777777" w:rsidTr="00582C9B">
        <w:trPr>
          <w:trHeight w:val="300"/>
        </w:trPr>
        <w:tc>
          <w:tcPr>
            <w:tcW w:w="960" w:type="dxa"/>
            <w:tcBorders>
              <w:top w:val="nil"/>
              <w:left w:val="nil"/>
              <w:bottom w:val="single" w:sz="4" w:space="0" w:color="ADD6EA"/>
              <w:right w:val="nil"/>
            </w:tcBorders>
            <w:shd w:val="clear" w:color="000000" w:fill="FFFFFF"/>
            <w:hideMark/>
          </w:tcPr>
          <w:p w14:paraId="1770E90C"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40.56</w:t>
            </w:r>
          </w:p>
        </w:tc>
        <w:tc>
          <w:tcPr>
            <w:tcW w:w="3880" w:type="dxa"/>
            <w:tcBorders>
              <w:top w:val="nil"/>
              <w:left w:val="nil"/>
              <w:bottom w:val="single" w:sz="4" w:space="0" w:color="ADD6EA"/>
              <w:right w:val="nil"/>
            </w:tcBorders>
            <w:shd w:val="clear" w:color="000000" w:fill="FFFFFF"/>
            <w:hideMark/>
          </w:tcPr>
          <w:p w14:paraId="61A92462"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Falls prevention</w:t>
            </w:r>
          </w:p>
        </w:tc>
        <w:tc>
          <w:tcPr>
            <w:tcW w:w="4000" w:type="dxa"/>
            <w:tcBorders>
              <w:top w:val="nil"/>
              <w:left w:val="nil"/>
              <w:bottom w:val="single" w:sz="4" w:space="0" w:color="ADD6EA"/>
              <w:right w:val="nil"/>
            </w:tcBorders>
            <w:shd w:val="clear" w:color="000000" w:fill="FFFFFF"/>
            <w:hideMark/>
          </w:tcPr>
          <w:p w14:paraId="30E5B831"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FF6CCB" w:rsidRPr="004A0A2A" w14:paraId="4883D400" w14:textId="77777777" w:rsidTr="00582C9B">
        <w:trPr>
          <w:trHeight w:val="300"/>
        </w:trPr>
        <w:tc>
          <w:tcPr>
            <w:tcW w:w="960" w:type="dxa"/>
            <w:tcBorders>
              <w:top w:val="nil"/>
              <w:left w:val="nil"/>
              <w:bottom w:val="single" w:sz="4" w:space="0" w:color="ADD6EA"/>
              <w:right w:val="nil"/>
            </w:tcBorders>
            <w:shd w:val="clear" w:color="000000" w:fill="FFFFFF"/>
            <w:hideMark/>
          </w:tcPr>
          <w:p w14:paraId="33DA4290"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40.57</w:t>
            </w:r>
          </w:p>
        </w:tc>
        <w:tc>
          <w:tcPr>
            <w:tcW w:w="3880" w:type="dxa"/>
            <w:tcBorders>
              <w:top w:val="nil"/>
              <w:left w:val="nil"/>
              <w:bottom w:val="single" w:sz="4" w:space="0" w:color="ADD6EA"/>
              <w:right w:val="nil"/>
            </w:tcBorders>
            <w:shd w:val="clear" w:color="000000" w:fill="FFFFFF"/>
            <w:hideMark/>
          </w:tcPr>
          <w:p w14:paraId="57386F58"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Cognition and memory</w:t>
            </w:r>
          </w:p>
        </w:tc>
        <w:tc>
          <w:tcPr>
            <w:tcW w:w="4000" w:type="dxa"/>
            <w:tcBorders>
              <w:top w:val="nil"/>
              <w:left w:val="nil"/>
              <w:bottom w:val="single" w:sz="4" w:space="0" w:color="ADD6EA"/>
              <w:right w:val="nil"/>
            </w:tcBorders>
            <w:shd w:val="clear" w:color="000000" w:fill="FFFFFF"/>
            <w:hideMark/>
          </w:tcPr>
          <w:p w14:paraId="2B14656D"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FF6CCB" w:rsidRPr="004A0A2A" w14:paraId="5CFFF2E1" w14:textId="77777777" w:rsidTr="00582C9B">
        <w:trPr>
          <w:trHeight w:val="300"/>
        </w:trPr>
        <w:tc>
          <w:tcPr>
            <w:tcW w:w="960" w:type="dxa"/>
            <w:tcBorders>
              <w:top w:val="nil"/>
              <w:left w:val="nil"/>
              <w:bottom w:val="single" w:sz="4" w:space="0" w:color="ADD6EA"/>
              <w:right w:val="nil"/>
            </w:tcBorders>
            <w:shd w:val="clear" w:color="000000" w:fill="FFFFFF"/>
            <w:hideMark/>
          </w:tcPr>
          <w:p w14:paraId="0468CFD5"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40.58</w:t>
            </w:r>
          </w:p>
        </w:tc>
        <w:tc>
          <w:tcPr>
            <w:tcW w:w="3880" w:type="dxa"/>
            <w:tcBorders>
              <w:top w:val="nil"/>
              <w:left w:val="nil"/>
              <w:bottom w:val="single" w:sz="4" w:space="0" w:color="ADD6EA"/>
              <w:right w:val="nil"/>
            </w:tcBorders>
            <w:shd w:val="clear" w:color="000000" w:fill="FFFFFF"/>
            <w:hideMark/>
          </w:tcPr>
          <w:p w14:paraId="43F9CAF6"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Hospital avoidance programs</w:t>
            </w:r>
          </w:p>
        </w:tc>
        <w:tc>
          <w:tcPr>
            <w:tcW w:w="4000" w:type="dxa"/>
            <w:tcBorders>
              <w:top w:val="nil"/>
              <w:left w:val="nil"/>
              <w:bottom w:val="single" w:sz="4" w:space="0" w:color="ADD6EA"/>
              <w:right w:val="nil"/>
            </w:tcBorders>
            <w:shd w:val="clear" w:color="000000" w:fill="FFFFFF"/>
            <w:hideMark/>
          </w:tcPr>
          <w:p w14:paraId="60EC1C20"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Chronic disease management</w:t>
            </w:r>
          </w:p>
        </w:tc>
      </w:tr>
      <w:tr w:rsidR="00FF6CCB" w:rsidRPr="004A0A2A" w14:paraId="190C6893" w14:textId="77777777" w:rsidTr="00582C9B">
        <w:trPr>
          <w:trHeight w:val="300"/>
        </w:trPr>
        <w:tc>
          <w:tcPr>
            <w:tcW w:w="960" w:type="dxa"/>
            <w:tcBorders>
              <w:top w:val="nil"/>
              <w:left w:val="nil"/>
              <w:bottom w:val="single" w:sz="4" w:space="0" w:color="ADD6EA"/>
              <w:right w:val="nil"/>
            </w:tcBorders>
            <w:shd w:val="clear" w:color="000000" w:fill="FFFFFF"/>
            <w:hideMark/>
          </w:tcPr>
          <w:p w14:paraId="62159A39"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40.60</w:t>
            </w:r>
          </w:p>
        </w:tc>
        <w:tc>
          <w:tcPr>
            <w:tcW w:w="3880" w:type="dxa"/>
            <w:tcBorders>
              <w:top w:val="nil"/>
              <w:left w:val="nil"/>
              <w:bottom w:val="single" w:sz="4" w:space="0" w:color="ADD6EA"/>
              <w:right w:val="nil"/>
            </w:tcBorders>
            <w:shd w:val="clear" w:color="000000" w:fill="FFFFFF"/>
            <w:hideMark/>
          </w:tcPr>
          <w:p w14:paraId="71CA598A"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Pulmonary rehabilitation</w:t>
            </w:r>
          </w:p>
        </w:tc>
        <w:tc>
          <w:tcPr>
            <w:tcW w:w="4000" w:type="dxa"/>
            <w:tcBorders>
              <w:top w:val="nil"/>
              <w:left w:val="nil"/>
              <w:bottom w:val="single" w:sz="4" w:space="0" w:color="ADD6EA"/>
              <w:right w:val="nil"/>
            </w:tcBorders>
            <w:shd w:val="clear" w:color="000000" w:fill="FFFFFF"/>
            <w:hideMark/>
          </w:tcPr>
          <w:p w14:paraId="7ADA055B"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Chronic disease management</w:t>
            </w:r>
          </w:p>
        </w:tc>
      </w:tr>
      <w:tr w:rsidR="00FF6CCB" w:rsidRPr="004A0A2A" w14:paraId="016F410A" w14:textId="77777777" w:rsidTr="00582C9B">
        <w:trPr>
          <w:trHeight w:val="300"/>
        </w:trPr>
        <w:tc>
          <w:tcPr>
            <w:tcW w:w="960" w:type="dxa"/>
            <w:tcBorders>
              <w:top w:val="nil"/>
              <w:left w:val="nil"/>
              <w:bottom w:val="single" w:sz="4" w:space="0" w:color="ADD6EA"/>
              <w:right w:val="nil"/>
            </w:tcBorders>
            <w:shd w:val="clear" w:color="000000" w:fill="FFFFFF"/>
            <w:hideMark/>
          </w:tcPr>
          <w:p w14:paraId="0C149444"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40.63</w:t>
            </w:r>
          </w:p>
        </w:tc>
        <w:tc>
          <w:tcPr>
            <w:tcW w:w="3880" w:type="dxa"/>
            <w:tcBorders>
              <w:top w:val="nil"/>
              <w:left w:val="nil"/>
              <w:bottom w:val="single" w:sz="4" w:space="0" w:color="ADD6EA"/>
              <w:right w:val="nil"/>
            </w:tcBorders>
            <w:shd w:val="clear" w:color="000000" w:fill="FFFFFF"/>
            <w:hideMark/>
          </w:tcPr>
          <w:p w14:paraId="0C88A569"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COVID-19 response</w:t>
            </w:r>
          </w:p>
        </w:tc>
        <w:tc>
          <w:tcPr>
            <w:tcW w:w="4000" w:type="dxa"/>
            <w:tcBorders>
              <w:top w:val="nil"/>
              <w:left w:val="nil"/>
              <w:bottom w:val="single" w:sz="4" w:space="0" w:color="ADD6EA"/>
              <w:right w:val="nil"/>
            </w:tcBorders>
            <w:shd w:val="clear" w:color="000000" w:fill="FFFFFF"/>
            <w:hideMark/>
          </w:tcPr>
          <w:p w14:paraId="713E632A"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Communicable disease control</w:t>
            </w:r>
          </w:p>
        </w:tc>
      </w:tr>
      <w:tr w:rsidR="00FF6CCB" w:rsidRPr="004A0A2A" w14:paraId="2D704B36" w14:textId="77777777" w:rsidTr="00582C9B">
        <w:trPr>
          <w:trHeight w:val="300"/>
        </w:trPr>
        <w:tc>
          <w:tcPr>
            <w:tcW w:w="960" w:type="dxa"/>
            <w:tcBorders>
              <w:top w:val="nil"/>
              <w:left w:val="nil"/>
              <w:bottom w:val="single" w:sz="4" w:space="0" w:color="ADD6EA"/>
              <w:right w:val="nil"/>
            </w:tcBorders>
            <w:shd w:val="clear" w:color="000000" w:fill="FFFFFF"/>
            <w:hideMark/>
          </w:tcPr>
          <w:p w14:paraId="241EDD00"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40.64</w:t>
            </w:r>
          </w:p>
        </w:tc>
        <w:tc>
          <w:tcPr>
            <w:tcW w:w="3880" w:type="dxa"/>
            <w:tcBorders>
              <w:top w:val="nil"/>
              <w:left w:val="nil"/>
              <w:bottom w:val="single" w:sz="4" w:space="0" w:color="ADD6EA"/>
              <w:right w:val="nil"/>
            </w:tcBorders>
            <w:shd w:val="clear" w:color="000000" w:fill="FFFFFF"/>
            <w:hideMark/>
          </w:tcPr>
          <w:p w14:paraId="4F10FD9A"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Chronic pain management</w:t>
            </w:r>
          </w:p>
        </w:tc>
        <w:tc>
          <w:tcPr>
            <w:tcW w:w="4000" w:type="dxa"/>
            <w:tcBorders>
              <w:top w:val="nil"/>
              <w:left w:val="nil"/>
              <w:bottom w:val="single" w:sz="4" w:space="0" w:color="ADD6EA"/>
              <w:right w:val="nil"/>
            </w:tcBorders>
            <w:shd w:val="clear" w:color="000000" w:fill="FFFFFF"/>
            <w:hideMark/>
          </w:tcPr>
          <w:p w14:paraId="59DDCF8D" w14:textId="77777777" w:rsidR="00FF6CCB" w:rsidRPr="001B0BC2" w:rsidRDefault="00FF6CCB" w:rsidP="001B3B8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Chronic disease management</w:t>
            </w:r>
          </w:p>
        </w:tc>
      </w:tr>
    </w:tbl>
    <w:p w14:paraId="48021B2D" w14:textId="2CF5C6BF" w:rsidR="00FF6CCB" w:rsidRDefault="00FF6CCB" w:rsidP="00547CD8">
      <w:pPr>
        <w:pStyle w:val="CGC2025TableNote"/>
      </w:pPr>
      <w:r>
        <w:t>Source:</w:t>
      </w:r>
      <w:r>
        <w:tab/>
        <w:t xml:space="preserve">Commission decision based on </w:t>
      </w:r>
      <w:r w:rsidR="0071105F">
        <w:t xml:space="preserve">the IHACPA </w:t>
      </w:r>
      <w:hyperlink r:id="rId16" w:history="1">
        <w:r w:rsidRPr="002551F3">
          <w:rPr>
            <w:rStyle w:val="Hyperlink"/>
          </w:rPr>
          <w:t xml:space="preserve">Tier 2 </w:t>
        </w:r>
        <w:r w:rsidR="00825F3E" w:rsidRPr="002551F3">
          <w:rPr>
            <w:rStyle w:val="Hyperlink"/>
          </w:rPr>
          <w:t>N</w:t>
        </w:r>
        <w:r w:rsidRPr="002551F3">
          <w:rPr>
            <w:rStyle w:val="Hyperlink"/>
          </w:rPr>
          <w:t>on-</w:t>
        </w:r>
        <w:r w:rsidR="002551F3" w:rsidRPr="002551F3">
          <w:rPr>
            <w:rStyle w:val="Hyperlink"/>
          </w:rPr>
          <w:t>A</w:t>
        </w:r>
        <w:r w:rsidRPr="002551F3">
          <w:rPr>
            <w:rStyle w:val="Hyperlink"/>
          </w:rPr>
          <w:t xml:space="preserve">dmitted </w:t>
        </w:r>
        <w:r w:rsidR="00825F3E" w:rsidRPr="002551F3">
          <w:rPr>
            <w:rStyle w:val="Hyperlink"/>
          </w:rPr>
          <w:t>S</w:t>
        </w:r>
        <w:r w:rsidRPr="002551F3">
          <w:rPr>
            <w:rStyle w:val="Hyperlink"/>
          </w:rPr>
          <w:t>ervices 2021-22</w:t>
        </w:r>
      </w:hyperlink>
      <w:r w:rsidR="002551F3">
        <w:t>, accessed 30 January 2025</w:t>
      </w:r>
      <w:r w:rsidR="005350FD">
        <w:t>.</w:t>
      </w:r>
    </w:p>
    <w:p w14:paraId="232E7A5F" w14:textId="15955E26" w:rsidR="004660B4" w:rsidRDefault="004660B4" w:rsidP="006F0137">
      <w:pPr>
        <w:pStyle w:val="CGC2025ParaNumbers"/>
        <w:spacing w:before="60" w:after="60" w:line="300" w:lineRule="atLeast"/>
      </w:pPr>
      <w:r>
        <w:t xml:space="preserve">The </w:t>
      </w:r>
      <w:r w:rsidR="007D5F21">
        <w:t>NWAU</w:t>
      </w:r>
      <w:r>
        <w:t xml:space="preserve"> for emergency department triage 4 and 5 and selected non-admitted patient services </w:t>
      </w:r>
      <w:r w:rsidR="007A3BFF">
        <w:t>are summed</w:t>
      </w:r>
      <w:r w:rsidR="0068579F">
        <w:t xml:space="preserve"> to form the proxy indicator</w:t>
      </w:r>
      <w:r w:rsidR="007A3BFF">
        <w:t xml:space="preserve">. </w:t>
      </w:r>
      <w:r>
        <w:t>Based on the share of activity in these services</w:t>
      </w:r>
      <w:r w:rsidR="00325EA4">
        <w:t xml:space="preserve"> </w:t>
      </w:r>
      <w:r w:rsidR="00685F02">
        <w:t>in 202</w:t>
      </w:r>
      <w:r w:rsidR="00841391">
        <w:t>2</w:t>
      </w:r>
      <w:r w:rsidR="001D4FC1">
        <w:t>–</w:t>
      </w:r>
      <w:r w:rsidR="00841391">
        <w:t>23</w:t>
      </w:r>
      <w:r>
        <w:t xml:space="preserve">, the proxy </w:t>
      </w:r>
      <w:r w:rsidR="005A260C">
        <w:t xml:space="preserve">is </w:t>
      </w:r>
      <w:r>
        <w:t xml:space="preserve">around </w:t>
      </w:r>
      <w:r w:rsidR="00621274">
        <w:t>6</w:t>
      </w:r>
      <w:r w:rsidR="00841391">
        <w:t>2</w:t>
      </w:r>
      <w:r>
        <w:t xml:space="preserve">% emergency department triage category 4 and 5 and </w:t>
      </w:r>
      <w:r w:rsidR="00751012">
        <w:t>3</w:t>
      </w:r>
      <w:r w:rsidR="00841391">
        <w:t>8</w:t>
      </w:r>
      <w:r>
        <w:t>% non</w:t>
      </w:r>
      <w:r>
        <w:noBreakHyphen/>
        <w:t>admitted patient services</w:t>
      </w:r>
      <w:r w:rsidR="00B62B35">
        <w:t>. T</w:t>
      </w:r>
      <w:r w:rsidR="001F5E8B">
        <w:t>his ratio</w:t>
      </w:r>
      <w:r w:rsidR="005A260C">
        <w:t xml:space="preserve"> will change each year </w:t>
      </w:r>
      <w:r w:rsidR="00ED3AA1">
        <w:t>as</w:t>
      </w:r>
      <w:r w:rsidR="005A260C">
        <w:t xml:space="preserve"> the </w:t>
      </w:r>
      <w:r w:rsidR="003F1FBB">
        <w:t>proxy data</w:t>
      </w:r>
      <w:r w:rsidR="00ED3AA1">
        <w:t xml:space="preserve"> </w:t>
      </w:r>
      <w:r w:rsidR="00AD5077">
        <w:t>are</w:t>
      </w:r>
      <w:r w:rsidR="00ED3AA1">
        <w:t xml:space="preserve"> updated</w:t>
      </w:r>
      <w:r w:rsidR="003F1FBB">
        <w:t>.</w:t>
      </w:r>
    </w:p>
    <w:p w14:paraId="4919431C" w14:textId="1454CE39" w:rsidR="004660B4" w:rsidRDefault="00E00EAD" w:rsidP="006F0137">
      <w:pPr>
        <w:pStyle w:val="CGC2025ParaNumbers"/>
        <w:spacing w:before="80" w:after="60"/>
      </w:pPr>
      <w:r>
        <w:t>NWAU</w:t>
      </w:r>
      <w:r w:rsidR="004660B4">
        <w:t xml:space="preserve"> already incorporate adjustments for regional costs. Adjustments for service delivery scale</w:t>
      </w:r>
      <w:r w:rsidR="0094701F">
        <w:t xml:space="preserve"> (</w:t>
      </w:r>
      <w:r w:rsidR="004660B4">
        <w:t xml:space="preserve">the same as those </w:t>
      </w:r>
      <w:r w:rsidR="00AB1859">
        <w:t xml:space="preserve">used in </w:t>
      </w:r>
      <w:r w:rsidR="004660B4">
        <w:t>ambulatory community mental health</w:t>
      </w:r>
      <w:r w:rsidR="00B63C21">
        <w:t>)</w:t>
      </w:r>
      <w:r w:rsidR="00C470E7">
        <w:t xml:space="preserve"> </w:t>
      </w:r>
      <w:r w:rsidR="0031682E">
        <w:t>are</w:t>
      </w:r>
      <w:r w:rsidR="00C470E7">
        <w:t xml:space="preserve"> applied</w:t>
      </w:r>
      <w:r w:rsidR="00E27824">
        <w:t xml:space="preserve"> to the </w:t>
      </w:r>
      <w:r w:rsidR="001E2854">
        <w:t>national weighted activity units</w:t>
      </w:r>
      <w:r w:rsidR="00A7121B">
        <w:t xml:space="preserve"> (Table 14)</w:t>
      </w:r>
      <w:r w:rsidR="004660B4">
        <w:t>.</w:t>
      </w:r>
    </w:p>
    <w:p w14:paraId="693076A4" w14:textId="4CCFB4DE" w:rsidR="004660B4" w:rsidRDefault="004660B4" w:rsidP="009161D3">
      <w:pPr>
        <w:pStyle w:val="CGC2025ParaNumbers"/>
        <w:spacing w:before="80"/>
      </w:pPr>
      <w:r>
        <w:t xml:space="preserve">The socio-demographic assessed expenses </w:t>
      </w:r>
      <w:r w:rsidR="001E2854">
        <w:t xml:space="preserve">for the balance of community and public health </w:t>
      </w:r>
      <w:r w:rsidR="00975FD5">
        <w:t xml:space="preserve">services </w:t>
      </w:r>
      <w:r w:rsidR="0031682E">
        <w:t xml:space="preserve">are </w:t>
      </w:r>
      <w:r>
        <w:t xml:space="preserve">calculated using the same approach </w:t>
      </w:r>
      <w:r w:rsidR="007C6F33">
        <w:t>as for the</w:t>
      </w:r>
      <w:r>
        <w:t xml:space="preserve"> public hospital components. Since this </w:t>
      </w:r>
      <w:r w:rsidR="00975FD5">
        <w:t xml:space="preserve">calculation </w:t>
      </w:r>
      <w:r>
        <w:t xml:space="preserve">is based on proxy data, a </w:t>
      </w:r>
      <w:r w:rsidR="003169AD">
        <w:t>low-level</w:t>
      </w:r>
      <w:r>
        <w:t xml:space="preserve"> </w:t>
      </w:r>
      <w:r w:rsidR="00371F57">
        <w:t xml:space="preserve">discount </w:t>
      </w:r>
      <w:r>
        <w:t>(12.5%) is applied.</w:t>
      </w:r>
    </w:p>
    <w:p w14:paraId="0200176F" w14:textId="45FD71B5" w:rsidR="00DA5EF6" w:rsidRDefault="001B6EFE" w:rsidP="00F2599A">
      <w:pPr>
        <w:pStyle w:val="CGC2025ParaNumbers"/>
        <w:spacing w:before="80" w:line="300" w:lineRule="atLeast"/>
      </w:pPr>
      <w:r>
        <w:lastRenderedPageBreak/>
        <w:t>Figure 6</w:t>
      </w:r>
      <w:r w:rsidR="00070099">
        <w:t xml:space="preserve"> </w:t>
      </w:r>
      <w:r w:rsidR="00600610">
        <w:t xml:space="preserve">shows </w:t>
      </w:r>
      <w:r w:rsidR="00C13D14">
        <w:t xml:space="preserve">how </w:t>
      </w:r>
      <w:r w:rsidR="00600610">
        <w:t>spending on</w:t>
      </w:r>
      <w:r w:rsidR="00EF6C5B">
        <w:t xml:space="preserve"> </w:t>
      </w:r>
      <w:r w:rsidR="00C00AF2">
        <w:t xml:space="preserve">community and public health </w:t>
      </w:r>
      <w:r w:rsidR="00600610">
        <w:t>var</w:t>
      </w:r>
      <w:r w:rsidR="00981498">
        <w:t xml:space="preserve">y across </w:t>
      </w:r>
      <w:r w:rsidR="006F4583">
        <w:t>the</w:t>
      </w:r>
      <w:r w:rsidR="00DA5EF6">
        <w:t xml:space="preserve"> socio</w:t>
      </w:r>
      <w:r w:rsidR="00463782">
        <w:noBreakHyphen/>
      </w:r>
      <w:r w:rsidR="00DA5EF6">
        <w:t xml:space="preserve">demographic </w:t>
      </w:r>
      <w:r w:rsidR="00371CCB">
        <w:t>groups</w:t>
      </w:r>
      <w:r w:rsidR="00DA5EF6">
        <w:t>.</w:t>
      </w:r>
      <w:r w:rsidR="00685F02">
        <w:t xml:space="preserve"> </w:t>
      </w:r>
    </w:p>
    <w:p w14:paraId="79B7FEE7" w14:textId="27FA0582" w:rsidR="00DA5EF6" w:rsidRPr="0040121C" w:rsidRDefault="00C13D14" w:rsidP="00ED6EC8">
      <w:pPr>
        <w:pStyle w:val="CGC2025Caption"/>
        <w:spacing w:before="120"/>
        <w:ind w:left="1418" w:hanging="1418"/>
        <w:rPr>
          <w:bCs/>
        </w:rPr>
      </w:pPr>
      <w:bookmarkStart w:id="33" w:name="_Ref172902464"/>
      <w:r w:rsidRPr="0040121C">
        <w:rPr>
          <w:bCs/>
        </w:rPr>
        <w:t xml:space="preserve">Figure </w:t>
      </w:r>
      <w:bookmarkEnd w:id="33"/>
      <w:r w:rsidR="003149B6">
        <w:rPr>
          <w:bCs/>
        </w:rPr>
        <w:t>6</w:t>
      </w:r>
      <w:r w:rsidRPr="0040121C">
        <w:rPr>
          <w:bCs/>
        </w:rPr>
        <w:tab/>
      </w:r>
      <w:r w:rsidR="007C073A">
        <w:rPr>
          <w:bCs/>
        </w:rPr>
        <w:t>C</w:t>
      </w:r>
      <w:r w:rsidR="00DA5EF6" w:rsidRPr="0040121C">
        <w:rPr>
          <w:bCs/>
        </w:rPr>
        <w:t>ommunity</w:t>
      </w:r>
      <w:r w:rsidR="00FB6DAE" w:rsidRPr="0040121C">
        <w:rPr>
          <w:bCs/>
        </w:rPr>
        <w:t xml:space="preserve"> and public health e</w:t>
      </w:r>
      <w:r w:rsidR="00DA5EF6" w:rsidRPr="0040121C">
        <w:rPr>
          <w:bCs/>
        </w:rPr>
        <w:t>xpense</w:t>
      </w:r>
      <w:r w:rsidR="004A1721">
        <w:rPr>
          <w:bCs/>
        </w:rPr>
        <w:t>s</w:t>
      </w:r>
      <w:r w:rsidR="00DA5EF6" w:rsidRPr="0040121C">
        <w:rPr>
          <w:bCs/>
        </w:rPr>
        <w:t xml:space="preserve"> per capita by socio</w:t>
      </w:r>
      <w:r w:rsidR="0040121C">
        <w:rPr>
          <w:bCs/>
        </w:rPr>
        <w:noBreakHyphen/>
      </w:r>
      <w:r w:rsidR="00693FD1" w:rsidRPr="0040121C">
        <w:rPr>
          <w:bCs/>
        </w:rPr>
        <w:t xml:space="preserve">demographic variables, </w:t>
      </w:r>
      <w:r w:rsidR="00DA5EF6" w:rsidRPr="0040121C">
        <w:rPr>
          <w:bCs/>
        </w:rPr>
        <w:t>2022</w:t>
      </w:r>
      <w:r w:rsidR="00271408">
        <w:rPr>
          <w:bCs/>
        </w:rPr>
        <w:t>–</w:t>
      </w:r>
      <w:r w:rsidR="00DA5EF6" w:rsidRPr="0040121C">
        <w:rPr>
          <w:bCs/>
        </w:rPr>
        <w:t xml:space="preserve">23 </w:t>
      </w:r>
    </w:p>
    <w:p w14:paraId="41D5C8E9" w14:textId="5090B766" w:rsidR="00B42503" w:rsidRPr="00FB6DAE" w:rsidRDefault="003C108E" w:rsidP="00ED6EC8">
      <w:pPr>
        <w:pStyle w:val="CGC2025TableNote"/>
        <w:ind w:left="709" w:hanging="596"/>
      </w:pPr>
      <w:r w:rsidRPr="003C108E">
        <w:rPr>
          <w:noProof/>
        </w:rPr>
        <w:drawing>
          <wp:inline distT="0" distB="0" distL="0" distR="0" wp14:anchorId="063D4A7E" wp14:editId="6EF0B9C8">
            <wp:extent cx="5447191" cy="7649155"/>
            <wp:effectExtent l="0" t="0" r="1270" b="9525"/>
            <wp:docPr id="825841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2150" cy="7670162"/>
                    </a:xfrm>
                    <a:prstGeom prst="rect">
                      <a:avLst/>
                    </a:prstGeom>
                    <a:noFill/>
                    <a:ln>
                      <a:noFill/>
                    </a:ln>
                  </pic:spPr>
                </pic:pic>
              </a:graphicData>
            </a:graphic>
          </wp:inline>
        </w:drawing>
      </w:r>
    </w:p>
    <w:p w14:paraId="125299D6" w14:textId="6BD9ACF4" w:rsidR="00C13D14" w:rsidRDefault="00FB6DAE" w:rsidP="00ED6EC8">
      <w:pPr>
        <w:pStyle w:val="CGC2025TableNote"/>
        <w:ind w:left="709" w:hanging="596"/>
      </w:pPr>
      <w:r>
        <w:t xml:space="preserve">Source: </w:t>
      </w:r>
      <w:r>
        <w:tab/>
      </w:r>
      <w:r w:rsidR="002C3B04">
        <w:tab/>
      </w:r>
      <w:r>
        <w:t xml:space="preserve">Commission calculation using </w:t>
      </w:r>
      <w:r w:rsidR="0032214C">
        <w:t xml:space="preserve">AIHW </w:t>
      </w:r>
      <w:r w:rsidR="00C36F8C">
        <w:t xml:space="preserve">unpublished </w:t>
      </w:r>
      <w:r w:rsidR="00D91A77">
        <w:t>ambulatory community health service contacts with regi</w:t>
      </w:r>
      <w:r w:rsidR="00C96EA8">
        <w:t>o</w:t>
      </w:r>
      <w:r w:rsidR="00D91A77">
        <w:t xml:space="preserve">nal cost and SDS adjustments; </w:t>
      </w:r>
      <w:r w:rsidRPr="009C62E5">
        <w:t>I</w:t>
      </w:r>
      <w:r>
        <w:t xml:space="preserve">HACPA </w:t>
      </w:r>
      <w:r w:rsidR="00F93407">
        <w:t xml:space="preserve">unpublished </w:t>
      </w:r>
      <w:r>
        <w:t xml:space="preserve">national weighted activity unit data and ABS </w:t>
      </w:r>
      <w:r w:rsidR="00F93407">
        <w:t xml:space="preserve">unpublished </w:t>
      </w:r>
      <w:r>
        <w:t>GFS expenses and population data.</w:t>
      </w:r>
    </w:p>
    <w:p w14:paraId="04C024EC" w14:textId="77777777" w:rsidR="00EF310F" w:rsidRDefault="00EF310F" w:rsidP="00EF310F">
      <w:pPr>
        <w:pStyle w:val="Heading4"/>
      </w:pPr>
      <w:r>
        <w:lastRenderedPageBreak/>
        <w:t>Non-state sector health services assessment</w:t>
      </w:r>
    </w:p>
    <w:p w14:paraId="388EB9DB" w14:textId="6DC2A15F" w:rsidR="005E6E81" w:rsidRDefault="00984CDB">
      <w:pPr>
        <w:pStyle w:val="CGC2025ParaNumbers"/>
        <w:rPr>
          <w:shd w:val="clear" w:color="auto" w:fill="FFFFFF"/>
        </w:rPr>
      </w:pPr>
      <w:bookmarkStart w:id="34" w:name="_Ref189561224"/>
      <w:r w:rsidRPr="004A5DD6">
        <w:rPr>
          <w:shd w:val="clear" w:color="auto" w:fill="FFFFFF"/>
        </w:rPr>
        <w:t xml:space="preserve">A non-state sector adjustment is applied to </w:t>
      </w:r>
      <w:r w:rsidR="002D5C75">
        <w:rPr>
          <w:shd w:val="clear" w:color="auto" w:fill="FFFFFF"/>
        </w:rPr>
        <w:t xml:space="preserve">assessed expenses to </w:t>
      </w:r>
      <w:r w:rsidRPr="004A5DD6">
        <w:rPr>
          <w:shd w:val="clear" w:color="auto" w:fill="FFFFFF"/>
        </w:rPr>
        <w:t xml:space="preserve">recognise that the availability of </w:t>
      </w:r>
      <w:r w:rsidR="00FF6E54">
        <w:rPr>
          <w:shd w:val="clear" w:color="auto" w:fill="FFFFFF"/>
        </w:rPr>
        <w:t xml:space="preserve">a </w:t>
      </w:r>
      <w:r w:rsidRPr="004A5DD6">
        <w:rPr>
          <w:shd w:val="clear" w:color="auto" w:fill="FFFFFF"/>
        </w:rPr>
        <w:t xml:space="preserve">GP </w:t>
      </w:r>
      <w:r w:rsidR="008E33CB">
        <w:rPr>
          <w:shd w:val="clear" w:color="auto" w:fill="FFFFFF"/>
        </w:rPr>
        <w:t>and other non</w:t>
      </w:r>
      <w:r w:rsidR="00D4280A">
        <w:rPr>
          <w:shd w:val="clear" w:color="auto" w:fill="FFFFFF"/>
        </w:rPr>
        <w:noBreakHyphen/>
      </w:r>
      <w:r w:rsidR="008E33CB">
        <w:rPr>
          <w:shd w:val="clear" w:color="auto" w:fill="FFFFFF"/>
        </w:rPr>
        <w:t xml:space="preserve">referred </w:t>
      </w:r>
      <w:r w:rsidR="009E1678">
        <w:rPr>
          <w:shd w:val="clear" w:color="auto" w:fill="FFFFFF"/>
        </w:rPr>
        <w:t xml:space="preserve">services </w:t>
      </w:r>
      <w:r w:rsidR="008E33CB">
        <w:rPr>
          <w:shd w:val="clear" w:color="auto" w:fill="FFFFFF"/>
        </w:rPr>
        <w:t>are</w:t>
      </w:r>
      <w:r w:rsidR="009E1678">
        <w:rPr>
          <w:shd w:val="clear" w:color="auto" w:fill="FFFFFF"/>
        </w:rPr>
        <w:t xml:space="preserve"> likely to </w:t>
      </w:r>
      <w:r w:rsidRPr="004A5DD6">
        <w:rPr>
          <w:shd w:val="clear" w:color="auto" w:fill="FFFFFF"/>
        </w:rPr>
        <w:t xml:space="preserve">affect the level of </w:t>
      </w:r>
      <w:r w:rsidR="004A5DD6" w:rsidRPr="004A5DD6">
        <w:rPr>
          <w:shd w:val="clear" w:color="auto" w:fill="FFFFFF"/>
        </w:rPr>
        <w:t>s</w:t>
      </w:r>
      <w:r w:rsidRPr="004A5DD6">
        <w:rPr>
          <w:shd w:val="clear" w:color="auto" w:fill="FFFFFF"/>
        </w:rPr>
        <w:t>tate spending on community and public health services.</w:t>
      </w:r>
      <w:bookmarkEnd w:id="34"/>
      <w:r w:rsidR="004A5DD6" w:rsidRPr="004A5DD6">
        <w:rPr>
          <w:shd w:val="clear" w:color="auto" w:fill="FFFFFF"/>
        </w:rPr>
        <w:t xml:space="preserve"> </w:t>
      </w:r>
    </w:p>
    <w:p w14:paraId="6EBC1F4D" w14:textId="29E22739" w:rsidR="00286CC7" w:rsidRDefault="00C42C31">
      <w:pPr>
        <w:pStyle w:val="CGC2025ParaNumbers"/>
        <w:rPr>
          <w:shd w:val="clear" w:color="auto" w:fill="FFFFFF"/>
        </w:rPr>
      </w:pPr>
      <w:r>
        <w:rPr>
          <w:shd w:val="clear" w:color="auto" w:fill="FFFFFF"/>
        </w:rPr>
        <w:t xml:space="preserve">The </w:t>
      </w:r>
      <w:r w:rsidR="00F64833">
        <w:rPr>
          <w:shd w:val="clear" w:color="auto" w:fill="FFFFFF"/>
        </w:rPr>
        <w:t xml:space="preserve">calculation of the </w:t>
      </w:r>
      <w:r>
        <w:rPr>
          <w:shd w:val="clear" w:color="auto" w:fill="FFFFFF"/>
        </w:rPr>
        <w:t>non</w:t>
      </w:r>
      <w:r>
        <w:rPr>
          <w:shd w:val="clear" w:color="auto" w:fill="FFFFFF"/>
        </w:rPr>
        <w:noBreakHyphen/>
        <w:t xml:space="preserve">state sector adjustment for </w:t>
      </w:r>
      <w:r w:rsidR="00F64833">
        <w:rPr>
          <w:shd w:val="clear" w:color="auto" w:fill="FFFFFF"/>
        </w:rPr>
        <w:t xml:space="preserve">community and public health services </w:t>
      </w:r>
      <w:r w:rsidR="000135DF">
        <w:rPr>
          <w:shd w:val="clear" w:color="auto" w:fill="FFFFFF"/>
        </w:rPr>
        <w:t>is the same as for hospital services (Box 2).</w:t>
      </w:r>
    </w:p>
    <w:p w14:paraId="6D2D6CC5" w14:textId="4BA29C2C" w:rsidR="00E239FE" w:rsidRPr="00F25704" w:rsidRDefault="00F25704" w:rsidP="005A0938">
      <w:pPr>
        <w:pStyle w:val="Heading5"/>
      </w:pPr>
      <w:bookmarkStart w:id="35" w:name="_Ref177648033"/>
      <w:r>
        <w:t>Levels of non-state sector substitutability</w:t>
      </w:r>
    </w:p>
    <w:p w14:paraId="2503E15C" w14:textId="64ACF7F9" w:rsidR="00976791" w:rsidRPr="00976791" w:rsidRDefault="004E3A20" w:rsidP="00E55D97">
      <w:pPr>
        <w:pStyle w:val="CGC2025ParaNumbers"/>
      </w:pPr>
      <w:r>
        <w:rPr>
          <w:color w:val="000000"/>
          <w:shd w:val="clear" w:color="auto" w:fill="FFFFFF"/>
        </w:rPr>
        <w:t xml:space="preserve">The level of substitutability </w:t>
      </w:r>
      <w:r w:rsidR="00FE7787">
        <w:rPr>
          <w:color w:val="000000"/>
          <w:shd w:val="clear" w:color="auto" w:fill="FFFFFF"/>
        </w:rPr>
        <w:t>varies f</w:t>
      </w:r>
      <w:r w:rsidR="00913232">
        <w:rPr>
          <w:color w:val="000000"/>
          <w:shd w:val="clear" w:color="auto" w:fill="FFFFFF"/>
        </w:rPr>
        <w:t xml:space="preserve">or individual community </w:t>
      </w:r>
      <w:r w:rsidR="00566028">
        <w:rPr>
          <w:color w:val="000000"/>
          <w:shd w:val="clear" w:color="auto" w:fill="FFFFFF"/>
        </w:rPr>
        <w:t xml:space="preserve">and public health </w:t>
      </w:r>
      <w:r w:rsidR="00913232">
        <w:rPr>
          <w:color w:val="000000"/>
          <w:shd w:val="clear" w:color="auto" w:fill="FFFFFF"/>
        </w:rPr>
        <w:t>services</w:t>
      </w:r>
      <w:r w:rsidR="00464A69">
        <w:rPr>
          <w:color w:val="000000"/>
          <w:shd w:val="clear" w:color="auto" w:fill="FFFFFF"/>
        </w:rPr>
        <w:t>.</w:t>
      </w:r>
      <w:bookmarkEnd w:id="35"/>
      <w:r w:rsidR="00976791" w:rsidRPr="00976791">
        <w:t xml:space="preserve"> </w:t>
      </w:r>
      <w:r w:rsidR="00976791" w:rsidRPr="00DD56E0">
        <w:t>If the state and non-state sectors provide similar services, and accessibility and out-of-pocket costs are comparable, the potential substitutability would be high. On the other hand, if state and non-state sectors provide different services, with different accessibility and/or costs, the potential substitutability would be lower.</w:t>
      </w:r>
    </w:p>
    <w:p w14:paraId="53C9E439" w14:textId="61D27A50" w:rsidR="00FE7787" w:rsidRPr="00FE7787" w:rsidRDefault="00001116" w:rsidP="00E55D97">
      <w:pPr>
        <w:pStyle w:val="CGC2025ParaNumbers"/>
      </w:pPr>
      <w:r>
        <w:rPr>
          <w:color w:val="000000"/>
          <w:shd w:val="clear" w:color="auto" w:fill="FFFFFF"/>
        </w:rPr>
        <w:t xml:space="preserve">The following </w:t>
      </w:r>
      <w:r w:rsidR="00AC10F5">
        <w:rPr>
          <w:color w:val="000000"/>
          <w:shd w:val="clear" w:color="auto" w:fill="FFFFFF"/>
        </w:rPr>
        <w:t>substitutability ranges were established in the 2015 Review</w:t>
      </w:r>
      <w:r w:rsidR="00C72F4B">
        <w:rPr>
          <w:color w:val="000000"/>
          <w:shd w:val="clear" w:color="auto" w:fill="FFFFFF"/>
        </w:rPr>
        <w:t>:</w:t>
      </w:r>
    </w:p>
    <w:p w14:paraId="3D86333C" w14:textId="4EF13922" w:rsidR="00216E53" w:rsidRDefault="00216E53" w:rsidP="00163A12">
      <w:pPr>
        <w:pStyle w:val="CGC2025Bullet1"/>
      </w:pPr>
      <w:r w:rsidRPr="00163A12">
        <w:t>Very high level of substitutability (81</w:t>
      </w:r>
      <w:r w:rsidR="00D17561">
        <w:t>–</w:t>
      </w:r>
      <w:r w:rsidRPr="00163A12">
        <w:t>100%)</w:t>
      </w:r>
    </w:p>
    <w:p w14:paraId="6D115E05" w14:textId="0C30F2D5" w:rsidR="00676793" w:rsidRPr="00163A12" w:rsidRDefault="00CD741A" w:rsidP="000A2BC4">
      <w:pPr>
        <w:pStyle w:val="CGC2025Bullet2"/>
      </w:pPr>
      <w:r w:rsidRPr="00163A12" w:rsidDel="00DF1327">
        <w:t>C</w:t>
      </w:r>
      <w:r w:rsidR="000B4346" w:rsidRPr="00163A12">
        <w:t>ommunity health services</w:t>
      </w:r>
      <w:r w:rsidR="00E0356E" w:rsidRPr="00163A12">
        <w:t xml:space="preserve"> </w:t>
      </w:r>
      <w:r w:rsidR="008B13ED" w:rsidRPr="00163A12">
        <w:t>provided in a community setting</w:t>
      </w:r>
      <w:r w:rsidR="009B1D17" w:rsidRPr="00163A12">
        <w:t xml:space="preserve"> </w:t>
      </w:r>
      <w:r w:rsidR="000A2BC4" w:rsidRPr="000A2BC4">
        <w:t>—</w:t>
      </w:r>
      <w:r w:rsidR="009B1D17" w:rsidRPr="00163A12">
        <w:t xml:space="preserve"> </w:t>
      </w:r>
      <w:r w:rsidR="00921618" w:rsidRPr="00163A12">
        <w:t xml:space="preserve">baby clinics, </w:t>
      </w:r>
      <w:r w:rsidR="00963204" w:rsidRPr="00163A12">
        <w:t xml:space="preserve">home </w:t>
      </w:r>
      <w:r w:rsidR="00F92480" w:rsidRPr="00163A12">
        <w:t>n</w:t>
      </w:r>
      <w:r w:rsidR="00000ED3" w:rsidRPr="00163A12">
        <w:t>ursing</w:t>
      </w:r>
      <w:r w:rsidR="00514EC8" w:rsidRPr="00163A12">
        <w:t xml:space="preserve"> services, community </w:t>
      </w:r>
      <w:r w:rsidR="000931D5" w:rsidRPr="00163A12">
        <w:t>health centre programs</w:t>
      </w:r>
      <w:r w:rsidR="001B294F" w:rsidRPr="00163A12">
        <w:t>, family planning</w:t>
      </w:r>
      <w:r w:rsidR="00511FB1" w:rsidRPr="00163A12">
        <w:t xml:space="preserve">, </w:t>
      </w:r>
      <w:r w:rsidR="00B152E1" w:rsidRPr="00163A12">
        <w:t>etc</w:t>
      </w:r>
      <w:r w:rsidR="00A84EBA" w:rsidRPr="00163A12">
        <w:t>.</w:t>
      </w:r>
    </w:p>
    <w:p w14:paraId="0FF91797" w14:textId="66E12935" w:rsidR="00216E53" w:rsidRDefault="00216E53">
      <w:pPr>
        <w:pStyle w:val="CGC2025Bullet1"/>
      </w:pPr>
      <w:r>
        <w:t>High level of substitutability (61</w:t>
      </w:r>
      <w:r w:rsidR="00D17561">
        <w:t>–</w:t>
      </w:r>
      <w:r>
        <w:t>80%)</w:t>
      </w:r>
    </w:p>
    <w:p w14:paraId="40ACA948" w14:textId="19B0D750" w:rsidR="003B5DD5" w:rsidRDefault="003514F5" w:rsidP="00216E53">
      <w:pPr>
        <w:pStyle w:val="CGC2025Bullet2"/>
      </w:pPr>
      <w:r>
        <w:t>O</w:t>
      </w:r>
      <w:r w:rsidR="00E3760D">
        <w:t>rganised immunisation</w:t>
      </w:r>
      <w:r w:rsidR="009E3474">
        <w:t xml:space="preserve"> </w:t>
      </w:r>
      <w:r w:rsidR="002D7A8E">
        <w:t>—</w:t>
      </w:r>
      <w:r w:rsidR="009E3474">
        <w:t xml:space="preserve"> states </w:t>
      </w:r>
      <w:r w:rsidR="00313A8B">
        <w:t>are responsible for coordinati</w:t>
      </w:r>
      <w:r w:rsidR="004D3D81">
        <w:t>ng</w:t>
      </w:r>
      <w:r w:rsidR="00313A8B">
        <w:t xml:space="preserve"> and impl</w:t>
      </w:r>
      <w:r w:rsidR="002C0719">
        <w:t>ementing the National Immunisation Program</w:t>
      </w:r>
      <w:r w:rsidR="00B50BB3">
        <w:t xml:space="preserve"> </w:t>
      </w:r>
      <w:r w:rsidR="005E7035">
        <w:t xml:space="preserve">Schedule </w:t>
      </w:r>
      <w:r w:rsidR="006313EF">
        <w:t>with vaccine</w:t>
      </w:r>
      <w:r w:rsidR="00D7493F">
        <w:t xml:space="preserve">s mainly administered </w:t>
      </w:r>
      <w:r w:rsidR="00A06918">
        <w:t>by the non-state sector</w:t>
      </w:r>
      <w:r w:rsidR="00C47998">
        <w:t>.</w:t>
      </w:r>
    </w:p>
    <w:p w14:paraId="60026BB6" w14:textId="0FC68EF8" w:rsidR="00216E53" w:rsidRDefault="00216E53" w:rsidP="00CD741A">
      <w:pPr>
        <w:pStyle w:val="CGC2025Bullet1"/>
      </w:pPr>
      <w:r>
        <w:t>Medium level of substitutability (41</w:t>
      </w:r>
      <w:r w:rsidR="00D17561">
        <w:t>–</w:t>
      </w:r>
      <w:r>
        <w:t>60%)</w:t>
      </w:r>
    </w:p>
    <w:p w14:paraId="213241A3" w14:textId="751D7BD1" w:rsidR="00CD4CC5" w:rsidRDefault="00B85B8F" w:rsidP="00216E53">
      <w:pPr>
        <w:pStyle w:val="CGC2025Bullet2"/>
      </w:pPr>
      <w:r>
        <w:t>Cancer screening</w:t>
      </w:r>
      <w:r w:rsidR="006318B2">
        <w:t xml:space="preserve"> </w:t>
      </w:r>
      <w:r w:rsidR="002D7A8E">
        <w:t>—</w:t>
      </w:r>
      <w:r w:rsidR="006318B2">
        <w:t xml:space="preserve"> these include</w:t>
      </w:r>
      <w:r w:rsidR="00D57BB5">
        <w:t xml:space="preserve"> </w:t>
      </w:r>
      <w:r w:rsidR="00481DAC">
        <w:t xml:space="preserve">population-based </w:t>
      </w:r>
      <w:r w:rsidR="00D57BB5">
        <w:t>screening</w:t>
      </w:r>
      <w:r w:rsidR="00AC1A01">
        <w:t xml:space="preserve"> </w:t>
      </w:r>
      <w:r w:rsidR="00365ABA">
        <w:t>programs for</w:t>
      </w:r>
      <w:r w:rsidR="00750B51">
        <w:t xml:space="preserve"> </w:t>
      </w:r>
      <w:r w:rsidR="00F83F1E">
        <w:t xml:space="preserve">breast, cervical and </w:t>
      </w:r>
      <w:r w:rsidR="009E3AE1">
        <w:t>b</w:t>
      </w:r>
      <w:r w:rsidR="00F83F1E">
        <w:t>owel cancer</w:t>
      </w:r>
      <w:r w:rsidR="00C47998">
        <w:t>.</w:t>
      </w:r>
      <w:r w:rsidR="00C12188">
        <w:t xml:space="preserve"> </w:t>
      </w:r>
    </w:p>
    <w:p w14:paraId="02933D29" w14:textId="2F507AE3" w:rsidR="00B85B8F" w:rsidRDefault="00CB2275" w:rsidP="00216E53">
      <w:pPr>
        <w:pStyle w:val="CGC2025Bullet2"/>
      </w:pPr>
      <w:r>
        <w:t>Alcohol and other drug services</w:t>
      </w:r>
      <w:r w:rsidR="003F6B96">
        <w:t xml:space="preserve"> </w:t>
      </w:r>
      <w:r w:rsidR="002D7A8E">
        <w:t>—</w:t>
      </w:r>
      <w:r w:rsidR="003F6B96">
        <w:t xml:space="preserve"> </w:t>
      </w:r>
      <w:r w:rsidR="00D554E1">
        <w:t>these include</w:t>
      </w:r>
      <w:r w:rsidR="00E612D0">
        <w:t xml:space="preserve"> </w:t>
      </w:r>
      <w:r w:rsidR="00BE6399">
        <w:t xml:space="preserve">assessment, counselling, withdrawal </w:t>
      </w:r>
      <w:r w:rsidR="00D32753">
        <w:t xml:space="preserve">management and support and </w:t>
      </w:r>
      <w:r w:rsidR="0042625A">
        <w:t>information and education.</w:t>
      </w:r>
    </w:p>
    <w:p w14:paraId="00DB078F" w14:textId="4F96DBB1" w:rsidR="00216E53" w:rsidRDefault="00216E53" w:rsidP="00CD741A">
      <w:pPr>
        <w:pStyle w:val="CGC2025Bullet1"/>
      </w:pPr>
      <w:r>
        <w:t>Low level of substitutability (21</w:t>
      </w:r>
      <w:r w:rsidR="00D17561">
        <w:t>–</w:t>
      </w:r>
      <w:r>
        <w:t>40%)</w:t>
      </w:r>
    </w:p>
    <w:p w14:paraId="32803AAA" w14:textId="51C00B46" w:rsidR="00CD741A" w:rsidRDefault="00B21E50" w:rsidP="00216E53">
      <w:pPr>
        <w:pStyle w:val="CGC2025Bullet2"/>
      </w:pPr>
      <w:r>
        <w:t>M</w:t>
      </w:r>
      <w:r w:rsidR="00CD741A">
        <w:t>ental health</w:t>
      </w:r>
      <w:r w:rsidR="00CD741A" w:rsidDel="008173C3">
        <w:t xml:space="preserve"> </w:t>
      </w:r>
      <w:r w:rsidR="002D7A8E">
        <w:t>—</w:t>
      </w:r>
      <w:r w:rsidR="00C15766">
        <w:t xml:space="preserve"> mental health</w:t>
      </w:r>
      <w:r w:rsidR="00C337E2">
        <w:t xml:space="preserve"> </w:t>
      </w:r>
      <w:r w:rsidR="00C15766">
        <w:t>services provided in</w:t>
      </w:r>
      <w:r w:rsidR="00C42B46">
        <w:t xml:space="preserve"> </w:t>
      </w:r>
      <w:r w:rsidR="00C15766">
        <w:t>a community setting</w:t>
      </w:r>
      <w:r w:rsidR="00F70D69">
        <w:t xml:space="preserve"> </w:t>
      </w:r>
    </w:p>
    <w:p w14:paraId="45E6D8EE" w14:textId="309796E8" w:rsidR="00236E20" w:rsidRDefault="00236E20" w:rsidP="00216E53">
      <w:pPr>
        <w:pStyle w:val="CGC2025Bullet2"/>
      </w:pPr>
      <w:r>
        <w:t>Public dental services</w:t>
      </w:r>
      <w:r w:rsidR="00C47998">
        <w:t>.</w:t>
      </w:r>
    </w:p>
    <w:p w14:paraId="19AE7779" w14:textId="178E7D14" w:rsidR="00030787" w:rsidRPr="00030787" w:rsidRDefault="00216E53" w:rsidP="003514F5">
      <w:pPr>
        <w:pStyle w:val="CGC2025Bullet1"/>
      </w:pPr>
      <w:r>
        <w:rPr>
          <w:shd w:val="clear" w:color="auto" w:fill="FFFFFF"/>
        </w:rPr>
        <w:t>Very low level of substitutability (0</w:t>
      </w:r>
      <w:r w:rsidR="00D17561">
        <w:rPr>
          <w:shd w:val="clear" w:color="auto" w:fill="FFFFFF"/>
        </w:rPr>
        <w:t>–</w:t>
      </w:r>
      <w:r>
        <w:rPr>
          <w:shd w:val="clear" w:color="auto" w:fill="FFFFFF"/>
        </w:rPr>
        <w:t>20%)</w:t>
      </w:r>
    </w:p>
    <w:p w14:paraId="4E9A25CE" w14:textId="46328753" w:rsidR="000A260B" w:rsidRPr="00030787" w:rsidRDefault="00180853" w:rsidP="00030787">
      <w:pPr>
        <w:pStyle w:val="CGC2025Bullet2"/>
      </w:pPr>
      <w:r>
        <w:t>Other p</w:t>
      </w:r>
      <w:r w:rsidR="003514F5">
        <w:t xml:space="preserve">ublic health services </w:t>
      </w:r>
      <w:r w:rsidR="002D7A8E">
        <w:t>—</w:t>
      </w:r>
      <w:r w:rsidR="003514F5">
        <w:t xml:space="preserve"> these include health promotion, communicable disease control</w:t>
      </w:r>
      <w:r w:rsidR="005E3092">
        <w:t>,</w:t>
      </w:r>
      <w:r w:rsidR="003514F5">
        <w:t xml:space="preserve"> prevention of hazardous and harmful drug use</w:t>
      </w:r>
      <w:r w:rsidR="00E45BFA">
        <w:t>,</w:t>
      </w:r>
      <w:r w:rsidR="001C28BB">
        <w:t xml:space="preserve"> and</w:t>
      </w:r>
      <w:r w:rsidR="003514F5">
        <w:t xml:space="preserve"> </w:t>
      </w:r>
      <w:r w:rsidR="00C95FE3">
        <w:rPr>
          <w:shd w:val="clear" w:color="auto" w:fill="FFFFFF"/>
        </w:rPr>
        <w:t xml:space="preserve">health </w:t>
      </w:r>
      <w:r w:rsidR="005E3092">
        <w:rPr>
          <w:shd w:val="clear" w:color="auto" w:fill="FFFFFF"/>
        </w:rPr>
        <w:t>research and administration</w:t>
      </w:r>
      <w:r w:rsidR="00C47998">
        <w:rPr>
          <w:shd w:val="clear" w:color="auto" w:fill="FFFFFF"/>
        </w:rPr>
        <w:t>.</w:t>
      </w:r>
    </w:p>
    <w:p w14:paraId="1A89FC9F" w14:textId="7EB09DFC" w:rsidR="006728FE" w:rsidRPr="00E75C81" w:rsidRDefault="00464A69" w:rsidP="006B353C">
      <w:pPr>
        <w:pStyle w:val="CGC2025ParaNumbers"/>
        <w:rPr>
          <w:shd w:val="clear" w:color="auto" w:fill="FFFFFF"/>
        </w:rPr>
      </w:pPr>
      <w:r w:rsidRPr="000D51FC">
        <w:rPr>
          <w:shd w:val="clear" w:color="auto" w:fill="FFFFFF"/>
        </w:rPr>
        <w:t xml:space="preserve">The </w:t>
      </w:r>
      <w:r w:rsidR="00984A30" w:rsidRPr="000D51FC">
        <w:rPr>
          <w:shd w:val="clear" w:color="auto" w:fill="FFFFFF"/>
        </w:rPr>
        <w:t xml:space="preserve">overall </w:t>
      </w:r>
      <w:r w:rsidRPr="000D51FC">
        <w:rPr>
          <w:shd w:val="clear" w:color="auto" w:fill="FFFFFF"/>
        </w:rPr>
        <w:t>substitutability level is estimated by</w:t>
      </w:r>
      <w:r w:rsidR="00154C83">
        <w:t xml:space="preserve"> </w:t>
      </w:r>
      <w:r w:rsidR="00154C83" w:rsidRPr="00DD56E0">
        <w:t>taking the midpoint of the</w:t>
      </w:r>
      <w:r w:rsidR="00154C83">
        <w:t xml:space="preserve"> subs</w:t>
      </w:r>
      <w:r w:rsidR="0076350A">
        <w:t>titutability</w:t>
      </w:r>
      <w:r w:rsidR="00154C83" w:rsidRPr="00DD56E0">
        <w:t xml:space="preserve"> ranges and multiplying it by the share of expenses for each sub</w:t>
      </w:r>
      <w:r w:rsidR="00154C83" w:rsidRPr="00DD56E0">
        <w:noBreakHyphen/>
        <w:t>component</w:t>
      </w:r>
      <w:r w:rsidR="0076350A">
        <w:t>.</w:t>
      </w:r>
    </w:p>
    <w:p w14:paraId="0C20F78B" w14:textId="77777777" w:rsidR="00286B19" w:rsidRDefault="00286B19">
      <w:pPr>
        <w:tabs>
          <w:tab w:val="clear" w:pos="567"/>
        </w:tabs>
        <w:spacing w:before="0" w:after="200" w:line="276" w:lineRule="auto"/>
        <w:rPr>
          <w:rFonts w:ascii="Work Sans" w:hAnsi="Work Sans"/>
          <w:szCs w:val="24"/>
          <w:shd w:val="clear" w:color="auto" w:fill="FFFFFF"/>
        </w:rPr>
      </w:pPr>
      <w:r>
        <w:rPr>
          <w:shd w:val="clear" w:color="auto" w:fill="FFFFFF"/>
        </w:rPr>
        <w:br w:type="page"/>
      </w:r>
    </w:p>
    <w:p w14:paraId="34218E0B" w14:textId="6E5D4B5C" w:rsidR="008A21E4" w:rsidRDefault="00706C34">
      <w:pPr>
        <w:pStyle w:val="CGC2025ParaNumbers"/>
        <w:rPr>
          <w:shd w:val="clear" w:color="auto" w:fill="FFFFFF"/>
        </w:rPr>
      </w:pPr>
      <w:r w:rsidRPr="00DB23AF">
        <w:rPr>
          <w:shd w:val="clear" w:color="auto" w:fill="FFFFFF"/>
        </w:rPr>
        <w:lastRenderedPageBreak/>
        <w:t xml:space="preserve">This produces an estimate </w:t>
      </w:r>
      <w:r w:rsidR="006A546A" w:rsidRPr="00DB23AF">
        <w:rPr>
          <w:shd w:val="clear" w:color="auto" w:fill="FFFFFF"/>
        </w:rPr>
        <w:t>of 62% for the</w:t>
      </w:r>
      <w:r w:rsidRPr="00DB23AF">
        <w:rPr>
          <w:shd w:val="clear" w:color="auto" w:fill="FFFFFF"/>
        </w:rPr>
        <w:t xml:space="preserve"> overall proportion of state expenses considered substitutable</w:t>
      </w:r>
      <w:r w:rsidR="00A61915">
        <w:rPr>
          <w:shd w:val="clear" w:color="auto" w:fill="FFFFFF"/>
        </w:rPr>
        <w:t xml:space="preserve"> </w:t>
      </w:r>
      <w:r w:rsidR="00A61915" w:rsidRPr="00DB23AF">
        <w:rPr>
          <w:shd w:val="clear" w:color="auto" w:fill="FFFFFF"/>
        </w:rPr>
        <w:t>(</w:t>
      </w:r>
      <w:r w:rsidR="001B6EFE">
        <w:rPr>
          <w:shd w:val="clear" w:color="auto" w:fill="FFFFFF"/>
        </w:rPr>
        <w:t>Table 16</w:t>
      </w:r>
      <w:r w:rsidR="00A61915" w:rsidRPr="00DB23AF">
        <w:rPr>
          <w:shd w:val="clear" w:color="auto" w:fill="FFFFFF"/>
        </w:rPr>
        <w:t>)</w:t>
      </w:r>
      <w:r w:rsidR="006A546A" w:rsidRPr="00DB23AF">
        <w:rPr>
          <w:shd w:val="clear" w:color="auto" w:fill="FFFFFF"/>
        </w:rPr>
        <w:t>. The</w:t>
      </w:r>
      <w:r w:rsidR="006A546A" w:rsidRPr="00DB23AF" w:rsidDel="0076350A">
        <w:rPr>
          <w:shd w:val="clear" w:color="auto" w:fill="FFFFFF"/>
        </w:rPr>
        <w:t xml:space="preserve"> </w:t>
      </w:r>
      <w:r w:rsidR="006A546A" w:rsidRPr="00DB23AF">
        <w:rPr>
          <w:shd w:val="clear" w:color="auto" w:fill="FFFFFF"/>
        </w:rPr>
        <w:t>substitutability level</w:t>
      </w:r>
      <w:r w:rsidRPr="00DB23AF">
        <w:rPr>
          <w:shd w:val="clear" w:color="auto" w:fill="FFFFFF"/>
        </w:rPr>
        <w:t xml:space="preserve"> </w:t>
      </w:r>
      <w:r w:rsidR="0076350A">
        <w:rPr>
          <w:shd w:val="clear" w:color="auto" w:fill="FFFFFF"/>
        </w:rPr>
        <w:t xml:space="preserve">is set </w:t>
      </w:r>
      <w:r w:rsidR="006A546A" w:rsidRPr="00DB23AF">
        <w:rPr>
          <w:shd w:val="clear" w:color="auto" w:fill="FFFFFF"/>
        </w:rPr>
        <w:t>at</w:t>
      </w:r>
      <w:r w:rsidRPr="00DB23AF">
        <w:rPr>
          <w:shd w:val="clear" w:color="auto" w:fill="FFFFFF"/>
        </w:rPr>
        <w:t xml:space="preserve"> 6</w:t>
      </w:r>
      <w:r w:rsidR="00B96987">
        <w:rPr>
          <w:shd w:val="clear" w:color="auto" w:fill="FFFFFF"/>
        </w:rPr>
        <w:t>2</w:t>
      </w:r>
      <w:r w:rsidRPr="00DB23AF">
        <w:rPr>
          <w:shd w:val="clear" w:color="auto" w:fill="FFFFFF"/>
        </w:rPr>
        <w:t xml:space="preserve">% </w:t>
      </w:r>
      <w:r w:rsidR="00994511">
        <w:rPr>
          <w:shd w:val="clear" w:color="auto" w:fill="FFFFFF"/>
        </w:rPr>
        <w:t xml:space="preserve">and this </w:t>
      </w:r>
      <w:r w:rsidR="00DB23AF" w:rsidRPr="00DB23AF">
        <w:rPr>
          <w:shd w:val="clear" w:color="auto" w:fill="FFFFFF"/>
        </w:rPr>
        <w:t xml:space="preserve">level will be maintained </w:t>
      </w:r>
      <w:r w:rsidR="00994511">
        <w:rPr>
          <w:shd w:val="clear" w:color="auto" w:fill="FFFFFF"/>
        </w:rPr>
        <w:t>f</w:t>
      </w:r>
      <w:r w:rsidR="00DB23AF" w:rsidRPr="00DB23AF">
        <w:rPr>
          <w:shd w:val="clear" w:color="auto" w:fill="FFFFFF"/>
        </w:rPr>
        <w:t xml:space="preserve">or the 2025 Review. </w:t>
      </w:r>
    </w:p>
    <w:p w14:paraId="2A4D62B7" w14:textId="329EBE7D" w:rsidR="007F51E9" w:rsidRPr="001E1C13" w:rsidRDefault="007F51E9" w:rsidP="0065183C">
      <w:pPr>
        <w:pStyle w:val="CGC2025Caption"/>
        <w:keepNext/>
      </w:pPr>
      <w:bookmarkStart w:id="36" w:name="_Ref169532255"/>
      <w:r w:rsidRPr="001E1C13">
        <w:t xml:space="preserve">Table </w:t>
      </w:r>
      <w:bookmarkEnd w:id="36"/>
      <w:r w:rsidR="003149B6">
        <w:t>16</w:t>
      </w:r>
      <w:r w:rsidRPr="001E1C13">
        <w:tab/>
      </w:r>
      <w:r w:rsidR="003F040B">
        <w:t>C</w:t>
      </w:r>
      <w:r w:rsidR="003F040B" w:rsidRPr="001E1C13">
        <w:t xml:space="preserve">ommunity and public health </w:t>
      </w:r>
      <w:r w:rsidRPr="001E1C13">
        <w:t xml:space="preserve">substitutability level </w:t>
      </w:r>
    </w:p>
    <w:tbl>
      <w:tblPr>
        <w:tblW w:w="8942" w:type="dxa"/>
        <w:tblLook w:val="04A0" w:firstRow="1" w:lastRow="0" w:firstColumn="1" w:lastColumn="0" w:noHBand="0" w:noVBand="1"/>
      </w:tblPr>
      <w:tblGrid>
        <w:gridCol w:w="2867"/>
        <w:gridCol w:w="2025"/>
        <w:gridCol w:w="2025"/>
        <w:gridCol w:w="2025"/>
      </w:tblGrid>
      <w:tr w:rsidR="00C03B7F" w:rsidRPr="00C03B7F" w14:paraId="6DC329C7" w14:textId="77777777" w:rsidTr="00582C9B">
        <w:trPr>
          <w:trHeight w:val="600"/>
        </w:trPr>
        <w:tc>
          <w:tcPr>
            <w:tcW w:w="2860" w:type="dxa"/>
            <w:tcBorders>
              <w:top w:val="nil"/>
              <w:left w:val="nil"/>
              <w:bottom w:val="nil"/>
              <w:right w:val="nil"/>
            </w:tcBorders>
            <w:shd w:val="clear" w:color="000000" w:fill="006991"/>
            <w:vAlign w:val="center"/>
            <w:hideMark/>
          </w:tcPr>
          <w:p w14:paraId="27C486C0" w14:textId="77777777" w:rsidR="00C03B7F" w:rsidRPr="00C03B7F" w:rsidRDefault="00C03B7F" w:rsidP="0065183C">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03B7F">
              <w:rPr>
                <w:rFonts w:ascii="Open Sans Semibold" w:eastAsia="Times New Roman" w:hAnsi="Open Sans Semibold" w:cs="Open Sans Semibold"/>
                <w:color w:val="FFFFFF"/>
                <w:sz w:val="16"/>
                <w:szCs w:val="16"/>
                <w:lang w:eastAsia="en-AU"/>
              </w:rPr>
              <w:t>Group of services</w:t>
            </w:r>
          </w:p>
        </w:tc>
        <w:tc>
          <w:tcPr>
            <w:tcW w:w="2020" w:type="dxa"/>
            <w:tcBorders>
              <w:top w:val="nil"/>
              <w:left w:val="nil"/>
              <w:bottom w:val="nil"/>
              <w:right w:val="nil"/>
            </w:tcBorders>
            <w:shd w:val="clear" w:color="000000" w:fill="006991"/>
            <w:vAlign w:val="center"/>
            <w:hideMark/>
          </w:tcPr>
          <w:p w14:paraId="39724E6A"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03B7F">
              <w:rPr>
                <w:rFonts w:ascii="Open Sans Semibold" w:eastAsia="Times New Roman" w:hAnsi="Open Sans Semibold" w:cs="Open Sans Semibold"/>
                <w:color w:val="FFFFFF"/>
                <w:sz w:val="16"/>
                <w:szCs w:val="16"/>
                <w:lang w:eastAsia="en-AU"/>
              </w:rPr>
              <w:t>Substitutability range</w:t>
            </w:r>
          </w:p>
        </w:tc>
        <w:tc>
          <w:tcPr>
            <w:tcW w:w="2020" w:type="dxa"/>
            <w:tcBorders>
              <w:top w:val="nil"/>
              <w:left w:val="nil"/>
              <w:bottom w:val="nil"/>
              <w:right w:val="nil"/>
            </w:tcBorders>
            <w:shd w:val="clear" w:color="000000" w:fill="006991"/>
            <w:vAlign w:val="center"/>
            <w:hideMark/>
          </w:tcPr>
          <w:p w14:paraId="71370A1A" w14:textId="641C6079"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03B7F">
              <w:rPr>
                <w:rFonts w:ascii="Open Sans Semibold" w:eastAsia="Times New Roman" w:hAnsi="Open Sans Semibold" w:cs="Open Sans Semibold"/>
                <w:color w:val="FFFFFF"/>
                <w:sz w:val="16"/>
                <w:szCs w:val="16"/>
                <w:lang w:eastAsia="en-AU"/>
              </w:rPr>
              <w:t>Share of expen</w:t>
            </w:r>
            <w:r w:rsidR="00D923FB">
              <w:rPr>
                <w:rFonts w:ascii="Open Sans Semibold" w:eastAsia="Times New Roman" w:hAnsi="Open Sans Semibold" w:cs="Open Sans Semibold"/>
                <w:color w:val="FFFFFF"/>
                <w:sz w:val="16"/>
                <w:szCs w:val="16"/>
                <w:lang w:eastAsia="en-AU"/>
              </w:rPr>
              <w:t>ses</w:t>
            </w:r>
            <w:r w:rsidRPr="00C03B7F">
              <w:rPr>
                <w:rFonts w:ascii="Open Sans Semibold" w:eastAsia="Times New Roman" w:hAnsi="Open Sans Semibold" w:cs="Open Sans Semibold"/>
                <w:color w:val="FFFFFF"/>
                <w:sz w:val="16"/>
                <w:szCs w:val="16"/>
                <w:lang w:eastAsia="en-AU"/>
              </w:rPr>
              <w:t xml:space="preserve"> </w:t>
            </w:r>
            <w:r w:rsidRPr="00C03B7F">
              <w:rPr>
                <w:rFonts w:ascii="Open Sans Semibold" w:eastAsia="Times New Roman" w:hAnsi="Open Sans Semibold" w:cs="Open Sans Semibold"/>
                <w:color w:val="FFFFFF"/>
                <w:sz w:val="16"/>
                <w:szCs w:val="16"/>
                <w:lang w:eastAsia="en-AU"/>
              </w:rPr>
              <w:br/>
              <w:t>2019-20</w:t>
            </w:r>
          </w:p>
        </w:tc>
        <w:tc>
          <w:tcPr>
            <w:tcW w:w="2020" w:type="dxa"/>
            <w:tcBorders>
              <w:top w:val="nil"/>
              <w:left w:val="nil"/>
              <w:bottom w:val="nil"/>
              <w:right w:val="nil"/>
            </w:tcBorders>
            <w:shd w:val="clear" w:color="000000" w:fill="006991"/>
            <w:vAlign w:val="center"/>
            <w:hideMark/>
          </w:tcPr>
          <w:p w14:paraId="678B803A" w14:textId="5D219D73"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03B7F">
              <w:rPr>
                <w:rFonts w:ascii="Open Sans Semibold" w:eastAsia="Times New Roman" w:hAnsi="Open Sans Semibold" w:cs="Open Sans Semibold"/>
                <w:color w:val="FFFFFF"/>
                <w:sz w:val="16"/>
                <w:szCs w:val="16"/>
                <w:lang w:eastAsia="en-AU"/>
              </w:rPr>
              <w:t>Expen</w:t>
            </w:r>
            <w:r w:rsidR="00D923FB">
              <w:rPr>
                <w:rFonts w:ascii="Open Sans Semibold" w:eastAsia="Times New Roman" w:hAnsi="Open Sans Semibold" w:cs="Open Sans Semibold"/>
                <w:color w:val="FFFFFF"/>
                <w:sz w:val="16"/>
                <w:szCs w:val="16"/>
                <w:lang w:eastAsia="en-AU"/>
              </w:rPr>
              <w:t>se</w:t>
            </w:r>
            <w:r w:rsidRPr="00C03B7F">
              <w:rPr>
                <w:rFonts w:ascii="Open Sans Semibold" w:eastAsia="Times New Roman" w:hAnsi="Open Sans Semibold" w:cs="Open Sans Semibold"/>
                <w:color w:val="FFFFFF"/>
                <w:sz w:val="16"/>
                <w:szCs w:val="16"/>
                <w:lang w:eastAsia="en-AU"/>
              </w:rPr>
              <w:t xml:space="preserve"> weighted substitutability</w:t>
            </w:r>
          </w:p>
        </w:tc>
      </w:tr>
      <w:tr w:rsidR="00C03B7F" w:rsidRPr="00C03B7F" w14:paraId="43C0E276" w14:textId="77777777" w:rsidTr="00582C9B">
        <w:trPr>
          <w:trHeight w:val="259"/>
        </w:trPr>
        <w:tc>
          <w:tcPr>
            <w:tcW w:w="2860" w:type="dxa"/>
            <w:tcBorders>
              <w:top w:val="single" w:sz="4" w:space="0" w:color="ADD6EA"/>
              <w:left w:val="nil"/>
              <w:bottom w:val="nil"/>
              <w:right w:val="nil"/>
            </w:tcBorders>
            <w:shd w:val="clear" w:color="000000" w:fill="B6D5E4"/>
            <w:vAlign w:val="bottom"/>
            <w:hideMark/>
          </w:tcPr>
          <w:p w14:paraId="7326A908" w14:textId="77777777" w:rsidR="00C03B7F" w:rsidRPr="00C03B7F" w:rsidRDefault="00C03B7F" w:rsidP="0065183C">
            <w:pPr>
              <w:keepNext/>
              <w:keepLines/>
              <w:tabs>
                <w:tab w:val="clear" w:pos="567"/>
              </w:tabs>
              <w:spacing w:before="0" w:line="240" w:lineRule="auto"/>
              <w:rPr>
                <w:rFonts w:ascii="Open Sans Semibold" w:eastAsia="Times New Roman" w:hAnsi="Open Sans Semibold" w:cs="Open Sans Semibold"/>
                <w:b/>
                <w:bCs/>
                <w:color w:val="000000"/>
                <w:sz w:val="16"/>
                <w:szCs w:val="16"/>
                <w:lang w:eastAsia="en-AU"/>
              </w:rPr>
            </w:pPr>
            <w:r w:rsidRPr="00C03B7F">
              <w:rPr>
                <w:rFonts w:ascii="Open Sans Semibold" w:eastAsia="Times New Roman" w:hAnsi="Open Sans Semibold" w:cs="Open Sans Semibold"/>
                <w:b/>
                <w:bCs/>
                <w:color w:val="000000"/>
                <w:sz w:val="16"/>
                <w:szCs w:val="16"/>
                <w:lang w:eastAsia="en-AU"/>
              </w:rPr>
              <w:t> </w:t>
            </w:r>
          </w:p>
        </w:tc>
        <w:tc>
          <w:tcPr>
            <w:tcW w:w="2020" w:type="dxa"/>
            <w:tcBorders>
              <w:top w:val="single" w:sz="4" w:space="0" w:color="ADD6EA"/>
              <w:left w:val="nil"/>
              <w:bottom w:val="nil"/>
              <w:right w:val="nil"/>
            </w:tcBorders>
            <w:shd w:val="clear" w:color="000000" w:fill="B6D5E4"/>
            <w:noWrap/>
            <w:vAlign w:val="bottom"/>
            <w:hideMark/>
          </w:tcPr>
          <w:p w14:paraId="2D2F8DEB"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w:t>
            </w:r>
          </w:p>
        </w:tc>
        <w:tc>
          <w:tcPr>
            <w:tcW w:w="2020" w:type="dxa"/>
            <w:tcBorders>
              <w:top w:val="nil"/>
              <w:left w:val="nil"/>
              <w:bottom w:val="nil"/>
              <w:right w:val="nil"/>
            </w:tcBorders>
            <w:shd w:val="clear" w:color="000000" w:fill="B6D5E4"/>
            <w:noWrap/>
            <w:vAlign w:val="center"/>
            <w:hideMark/>
          </w:tcPr>
          <w:p w14:paraId="14644D83" w14:textId="77777777" w:rsidR="00C03B7F" w:rsidRPr="00C03B7F" w:rsidRDefault="00C03B7F" w:rsidP="0065183C">
            <w:pPr>
              <w:keepNext/>
              <w:keepLines/>
              <w:tabs>
                <w:tab w:val="clear" w:pos="567"/>
              </w:tabs>
              <w:spacing w:before="0" w:line="240" w:lineRule="auto"/>
              <w:jc w:val="right"/>
              <w:rPr>
                <w:rFonts w:ascii="Calibri" w:eastAsia="Times New Roman" w:hAnsi="Calibri" w:cs="Calibri"/>
                <w:b/>
                <w:bCs/>
                <w:color w:val="000000"/>
                <w:sz w:val="16"/>
                <w:szCs w:val="16"/>
                <w:lang w:eastAsia="en-AU"/>
              </w:rPr>
            </w:pPr>
            <w:r w:rsidRPr="00C03B7F">
              <w:rPr>
                <w:rFonts w:ascii="Calibri" w:eastAsia="Times New Roman" w:hAnsi="Calibri" w:cs="Calibri"/>
                <w:b/>
                <w:bCs/>
                <w:color w:val="000000"/>
                <w:sz w:val="16"/>
                <w:szCs w:val="16"/>
                <w:lang w:eastAsia="en-AU"/>
              </w:rPr>
              <w:t>%</w:t>
            </w:r>
          </w:p>
        </w:tc>
        <w:tc>
          <w:tcPr>
            <w:tcW w:w="2020" w:type="dxa"/>
            <w:tcBorders>
              <w:top w:val="nil"/>
              <w:left w:val="nil"/>
              <w:bottom w:val="nil"/>
              <w:right w:val="nil"/>
            </w:tcBorders>
            <w:shd w:val="clear" w:color="000000" w:fill="B6D5E4"/>
            <w:noWrap/>
            <w:vAlign w:val="center"/>
            <w:hideMark/>
          </w:tcPr>
          <w:p w14:paraId="66FE4599" w14:textId="77777777" w:rsidR="00C03B7F" w:rsidRPr="00C03B7F" w:rsidRDefault="00C03B7F" w:rsidP="0065183C">
            <w:pPr>
              <w:keepNext/>
              <w:keepLines/>
              <w:tabs>
                <w:tab w:val="clear" w:pos="567"/>
              </w:tabs>
              <w:spacing w:before="0" w:line="240" w:lineRule="auto"/>
              <w:jc w:val="right"/>
              <w:rPr>
                <w:rFonts w:ascii="Calibri" w:eastAsia="Times New Roman" w:hAnsi="Calibri" w:cs="Calibri"/>
                <w:b/>
                <w:bCs/>
                <w:color w:val="000000"/>
                <w:sz w:val="16"/>
                <w:szCs w:val="16"/>
                <w:lang w:eastAsia="en-AU"/>
              </w:rPr>
            </w:pPr>
            <w:r w:rsidRPr="00C03B7F">
              <w:rPr>
                <w:rFonts w:ascii="Calibri" w:eastAsia="Times New Roman" w:hAnsi="Calibri" w:cs="Calibri"/>
                <w:b/>
                <w:bCs/>
                <w:color w:val="000000"/>
                <w:sz w:val="16"/>
                <w:szCs w:val="16"/>
                <w:lang w:eastAsia="en-AU"/>
              </w:rPr>
              <w:t>%</w:t>
            </w:r>
          </w:p>
        </w:tc>
      </w:tr>
      <w:tr w:rsidR="00C03B7F" w:rsidRPr="00C03B7F" w14:paraId="20C2A687" w14:textId="77777777" w:rsidTr="00582C9B">
        <w:trPr>
          <w:trHeight w:val="300"/>
        </w:trPr>
        <w:tc>
          <w:tcPr>
            <w:tcW w:w="2860" w:type="dxa"/>
            <w:tcBorders>
              <w:top w:val="single" w:sz="4" w:space="0" w:color="ADD6EA"/>
              <w:left w:val="nil"/>
              <w:bottom w:val="single" w:sz="4" w:space="0" w:color="ADD6EA"/>
              <w:right w:val="nil"/>
            </w:tcBorders>
            <w:shd w:val="clear" w:color="000000" w:fill="D6E7F0"/>
            <w:vAlign w:val="center"/>
            <w:hideMark/>
          </w:tcPr>
          <w:p w14:paraId="59BCA793" w14:textId="77777777" w:rsidR="00C03B7F" w:rsidRPr="00C03B7F" w:rsidRDefault="00C03B7F" w:rsidP="0065183C">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Community health services</w:t>
            </w:r>
          </w:p>
        </w:tc>
        <w:tc>
          <w:tcPr>
            <w:tcW w:w="2020" w:type="dxa"/>
            <w:tcBorders>
              <w:top w:val="single" w:sz="4" w:space="0" w:color="ADD6EA"/>
              <w:left w:val="nil"/>
              <w:bottom w:val="single" w:sz="4" w:space="0" w:color="ADD6EA"/>
              <w:right w:val="nil"/>
            </w:tcBorders>
            <w:shd w:val="clear" w:color="000000" w:fill="D6E7F0"/>
            <w:noWrap/>
            <w:vAlign w:val="center"/>
            <w:hideMark/>
          </w:tcPr>
          <w:p w14:paraId="3575A305"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 </w:t>
            </w:r>
          </w:p>
        </w:tc>
        <w:tc>
          <w:tcPr>
            <w:tcW w:w="2020" w:type="dxa"/>
            <w:tcBorders>
              <w:top w:val="single" w:sz="4" w:space="0" w:color="ADD6EA"/>
              <w:left w:val="nil"/>
              <w:bottom w:val="single" w:sz="4" w:space="0" w:color="ADD6EA"/>
              <w:right w:val="nil"/>
            </w:tcBorders>
            <w:shd w:val="clear" w:color="000000" w:fill="D6E7F0"/>
            <w:noWrap/>
            <w:vAlign w:val="center"/>
            <w:hideMark/>
          </w:tcPr>
          <w:p w14:paraId="7CFBD0E0"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 </w:t>
            </w:r>
          </w:p>
        </w:tc>
        <w:tc>
          <w:tcPr>
            <w:tcW w:w="2020" w:type="dxa"/>
            <w:tcBorders>
              <w:top w:val="single" w:sz="4" w:space="0" w:color="ADD6EA"/>
              <w:left w:val="nil"/>
              <w:bottom w:val="single" w:sz="4" w:space="0" w:color="ADD6EA"/>
              <w:right w:val="nil"/>
            </w:tcBorders>
            <w:shd w:val="clear" w:color="000000" w:fill="D6E7F0"/>
            <w:noWrap/>
            <w:vAlign w:val="center"/>
            <w:hideMark/>
          </w:tcPr>
          <w:p w14:paraId="63892E50"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 </w:t>
            </w:r>
          </w:p>
        </w:tc>
      </w:tr>
      <w:tr w:rsidR="00C03B7F" w:rsidRPr="00C03B7F" w14:paraId="35916CDD" w14:textId="77777777" w:rsidTr="00582C9B">
        <w:trPr>
          <w:trHeight w:val="300"/>
        </w:trPr>
        <w:tc>
          <w:tcPr>
            <w:tcW w:w="2860" w:type="dxa"/>
            <w:tcBorders>
              <w:top w:val="nil"/>
              <w:left w:val="nil"/>
              <w:bottom w:val="single" w:sz="4" w:space="0" w:color="ADD6EA"/>
              <w:right w:val="nil"/>
            </w:tcBorders>
            <w:shd w:val="clear" w:color="auto" w:fill="auto"/>
            <w:noWrap/>
            <w:vAlign w:val="center"/>
            <w:hideMark/>
          </w:tcPr>
          <w:p w14:paraId="667B5F5C" w14:textId="77777777"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 xml:space="preserve">Public dental services </w:t>
            </w:r>
          </w:p>
        </w:tc>
        <w:tc>
          <w:tcPr>
            <w:tcW w:w="2020" w:type="dxa"/>
            <w:tcBorders>
              <w:top w:val="nil"/>
              <w:left w:val="nil"/>
              <w:bottom w:val="single" w:sz="4" w:space="0" w:color="ADD6EA"/>
              <w:right w:val="nil"/>
            </w:tcBorders>
            <w:shd w:val="clear" w:color="auto" w:fill="auto"/>
            <w:noWrap/>
            <w:vAlign w:val="center"/>
            <w:hideMark/>
          </w:tcPr>
          <w:p w14:paraId="26062FDB" w14:textId="1500E7CF"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Low (21</w:t>
            </w:r>
            <w:r w:rsidR="005C198B">
              <w:rPr>
                <w:rFonts w:eastAsia="Times New Roman" w:cs="Open Sans Light"/>
                <w:color w:val="000000"/>
                <w:sz w:val="16"/>
                <w:szCs w:val="16"/>
                <w:lang w:eastAsia="en-AU"/>
              </w:rPr>
              <w:t>–</w:t>
            </w:r>
            <w:r w:rsidRPr="00C03B7F">
              <w:rPr>
                <w:rFonts w:eastAsia="Times New Roman" w:cs="Open Sans Light"/>
                <w:color w:val="000000"/>
                <w:sz w:val="16"/>
                <w:szCs w:val="16"/>
                <w:lang w:eastAsia="en-AU"/>
              </w:rPr>
              <w:t>40)</w:t>
            </w:r>
          </w:p>
        </w:tc>
        <w:tc>
          <w:tcPr>
            <w:tcW w:w="2020" w:type="dxa"/>
            <w:tcBorders>
              <w:top w:val="nil"/>
              <w:left w:val="nil"/>
              <w:bottom w:val="single" w:sz="4" w:space="0" w:color="ADD6EA"/>
              <w:right w:val="nil"/>
            </w:tcBorders>
            <w:shd w:val="clear" w:color="auto" w:fill="auto"/>
            <w:noWrap/>
            <w:vAlign w:val="center"/>
            <w:hideMark/>
          </w:tcPr>
          <w:p w14:paraId="56669975"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3</w:t>
            </w:r>
          </w:p>
        </w:tc>
        <w:tc>
          <w:tcPr>
            <w:tcW w:w="2020" w:type="dxa"/>
            <w:tcBorders>
              <w:top w:val="nil"/>
              <w:left w:val="nil"/>
              <w:bottom w:val="single" w:sz="4" w:space="0" w:color="ADD6EA"/>
              <w:right w:val="nil"/>
            </w:tcBorders>
            <w:shd w:val="clear" w:color="auto" w:fill="auto"/>
            <w:noWrap/>
            <w:vAlign w:val="center"/>
            <w:hideMark/>
          </w:tcPr>
          <w:p w14:paraId="391A007C" w14:textId="411D55F9" w:rsidR="00C03B7F" w:rsidRPr="00C03B7F" w:rsidRDefault="002C7EFB" w:rsidP="0065183C">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w:t>
            </w:r>
          </w:p>
        </w:tc>
      </w:tr>
      <w:tr w:rsidR="00C03B7F" w:rsidRPr="00C03B7F" w14:paraId="20EF42AF" w14:textId="77777777" w:rsidTr="00582C9B">
        <w:trPr>
          <w:trHeight w:val="300"/>
        </w:trPr>
        <w:tc>
          <w:tcPr>
            <w:tcW w:w="2860" w:type="dxa"/>
            <w:tcBorders>
              <w:top w:val="nil"/>
              <w:left w:val="nil"/>
              <w:bottom w:val="single" w:sz="4" w:space="0" w:color="ADD6EA"/>
              <w:right w:val="nil"/>
            </w:tcBorders>
            <w:shd w:val="clear" w:color="auto" w:fill="auto"/>
            <w:noWrap/>
            <w:vAlign w:val="center"/>
            <w:hideMark/>
          </w:tcPr>
          <w:p w14:paraId="270A2FA1" w14:textId="633D0FAF"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Alcohol and other drug</w:t>
            </w:r>
            <w:r w:rsidR="00EC3ED6">
              <w:rPr>
                <w:rFonts w:eastAsia="Times New Roman" w:cs="Open Sans Light"/>
                <w:color w:val="000000"/>
                <w:sz w:val="16"/>
                <w:szCs w:val="16"/>
                <w:lang w:eastAsia="en-AU"/>
              </w:rPr>
              <w:t>s</w:t>
            </w:r>
            <w:r w:rsidRPr="00C03B7F">
              <w:rPr>
                <w:rFonts w:eastAsia="Times New Roman" w:cs="Open Sans Light"/>
                <w:color w:val="000000"/>
                <w:sz w:val="16"/>
                <w:szCs w:val="16"/>
                <w:lang w:eastAsia="en-AU"/>
              </w:rPr>
              <w:t xml:space="preserve"> services</w:t>
            </w:r>
          </w:p>
        </w:tc>
        <w:tc>
          <w:tcPr>
            <w:tcW w:w="2020" w:type="dxa"/>
            <w:tcBorders>
              <w:top w:val="nil"/>
              <w:left w:val="nil"/>
              <w:bottom w:val="single" w:sz="4" w:space="0" w:color="ADD6EA"/>
              <w:right w:val="nil"/>
            </w:tcBorders>
            <w:shd w:val="clear" w:color="auto" w:fill="auto"/>
            <w:noWrap/>
            <w:vAlign w:val="center"/>
            <w:hideMark/>
          </w:tcPr>
          <w:p w14:paraId="4CD2090E" w14:textId="5A3AB53F"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Medium (41</w:t>
            </w:r>
            <w:r w:rsidR="005C198B">
              <w:rPr>
                <w:rFonts w:eastAsia="Times New Roman" w:cs="Open Sans Light"/>
                <w:color w:val="000000"/>
                <w:sz w:val="16"/>
                <w:szCs w:val="16"/>
                <w:lang w:eastAsia="en-AU"/>
              </w:rPr>
              <w:t>–</w:t>
            </w:r>
            <w:r w:rsidRPr="00C03B7F">
              <w:rPr>
                <w:rFonts w:eastAsia="Times New Roman" w:cs="Open Sans Light"/>
                <w:color w:val="000000"/>
                <w:sz w:val="16"/>
                <w:szCs w:val="16"/>
                <w:lang w:eastAsia="en-AU"/>
              </w:rPr>
              <w:t>60)</w:t>
            </w:r>
          </w:p>
        </w:tc>
        <w:tc>
          <w:tcPr>
            <w:tcW w:w="2020" w:type="dxa"/>
            <w:tcBorders>
              <w:top w:val="nil"/>
              <w:left w:val="nil"/>
              <w:bottom w:val="single" w:sz="4" w:space="0" w:color="ADD6EA"/>
              <w:right w:val="nil"/>
            </w:tcBorders>
            <w:shd w:val="clear" w:color="auto" w:fill="auto"/>
            <w:noWrap/>
            <w:vAlign w:val="center"/>
            <w:hideMark/>
          </w:tcPr>
          <w:p w14:paraId="30B2488F"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3</w:t>
            </w:r>
          </w:p>
        </w:tc>
        <w:tc>
          <w:tcPr>
            <w:tcW w:w="2020" w:type="dxa"/>
            <w:tcBorders>
              <w:top w:val="nil"/>
              <w:left w:val="nil"/>
              <w:bottom w:val="single" w:sz="4" w:space="0" w:color="ADD6EA"/>
              <w:right w:val="nil"/>
            </w:tcBorders>
            <w:shd w:val="clear" w:color="auto" w:fill="auto"/>
            <w:noWrap/>
            <w:vAlign w:val="center"/>
            <w:hideMark/>
          </w:tcPr>
          <w:p w14:paraId="4296740F" w14:textId="1D78023B" w:rsidR="00C03B7F" w:rsidRPr="00C03B7F" w:rsidRDefault="00254A87" w:rsidP="0065183C">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w:t>
            </w:r>
          </w:p>
        </w:tc>
      </w:tr>
      <w:tr w:rsidR="00C03B7F" w:rsidRPr="00C03B7F" w14:paraId="5AE8F2C7" w14:textId="77777777" w:rsidTr="00582C9B">
        <w:trPr>
          <w:trHeight w:val="300"/>
        </w:trPr>
        <w:tc>
          <w:tcPr>
            <w:tcW w:w="2860" w:type="dxa"/>
            <w:tcBorders>
              <w:top w:val="nil"/>
              <w:left w:val="nil"/>
              <w:bottom w:val="single" w:sz="4" w:space="0" w:color="ADD6EA"/>
              <w:right w:val="nil"/>
            </w:tcBorders>
            <w:shd w:val="clear" w:color="auto" w:fill="auto"/>
            <w:noWrap/>
            <w:vAlign w:val="center"/>
            <w:hideMark/>
          </w:tcPr>
          <w:p w14:paraId="15DE083F" w14:textId="77777777"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Community mental health services</w:t>
            </w:r>
          </w:p>
        </w:tc>
        <w:tc>
          <w:tcPr>
            <w:tcW w:w="2020" w:type="dxa"/>
            <w:tcBorders>
              <w:top w:val="nil"/>
              <w:left w:val="nil"/>
              <w:bottom w:val="single" w:sz="4" w:space="0" w:color="ADD6EA"/>
              <w:right w:val="nil"/>
            </w:tcBorders>
            <w:shd w:val="clear" w:color="auto" w:fill="auto"/>
            <w:noWrap/>
            <w:vAlign w:val="center"/>
            <w:hideMark/>
          </w:tcPr>
          <w:p w14:paraId="01EF161B" w14:textId="2563711B"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Low (21</w:t>
            </w:r>
            <w:r w:rsidR="005C198B">
              <w:rPr>
                <w:rFonts w:eastAsia="Times New Roman" w:cs="Open Sans Light"/>
                <w:color w:val="000000"/>
                <w:sz w:val="16"/>
                <w:szCs w:val="16"/>
                <w:lang w:eastAsia="en-AU"/>
              </w:rPr>
              <w:t>–</w:t>
            </w:r>
            <w:r w:rsidRPr="00C03B7F">
              <w:rPr>
                <w:rFonts w:eastAsia="Times New Roman" w:cs="Open Sans Light"/>
                <w:color w:val="000000"/>
                <w:sz w:val="16"/>
                <w:szCs w:val="16"/>
                <w:lang w:eastAsia="en-AU"/>
              </w:rPr>
              <w:t>40)</w:t>
            </w:r>
          </w:p>
        </w:tc>
        <w:tc>
          <w:tcPr>
            <w:tcW w:w="2020" w:type="dxa"/>
            <w:tcBorders>
              <w:top w:val="nil"/>
              <w:left w:val="nil"/>
              <w:bottom w:val="single" w:sz="4" w:space="0" w:color="ADD6EA"/>
              <w:right w:val="nil"/>
            </w:tcBorders>
            <w:shd w:val="clear" w:color="auto" w:fill="auto"/>
            <w:noWrap/>
            <w:vAlign w:val="center"/>
            <w:hideMark/>
          </w:tcPr>
          <w:p w14:paraId="4C2FCCA5"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18</w:t>
            </w:r>
          </w:p>
        </w:tc>
        <w:tc>
          <w:tcPr>
            <w:tcW w:w="2020" w:type="dxa"/>
            <w:tcBorders>
              <w:top w:val="nil"/>
              <w:left w:val="nil"/>
              <w:bottom w:val="single" w:sz="4" w:space="0" w:color="ADD6EA"/>
              <w:right w:val="nil"/>
            </w:tcBorders>
            <w:shd w:val="clear" w:color="auto" w:fill="auto"/>
            <w:noWrap/>
            <w:vAlign w:val="center"/>
            <w:hideMark/>
          </w:tcPr>
          <w:p w14:paraId="60CAB0AE" w14:textId="1FFA63EF"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5</w:t>
            </w:r>
          </w:p>
        </w:tc>
      </w:tr>
      <w:tr w:rsidR="00C03B7F" w:rsidRPr="00C03B7F" w14:paraId="18F3F0E9" w14:textId="77777777" w:rsidTr="00582C9B">
        <w:trPr>
          <w:trHeight w:val="300"/>
        </w:trPr>
        <w:tc>
          <w:tcPr>
            <w:tcW w:w="2860" w:type="dxa"/>
            <w:tcBorders>
              <w:top w:val="nil"/>
              <w:left w:val="nil"/>
              <w:bottom w:val="nil"/>
              <w:right w:val="nil"/>
            </w:tcBorders>
            <w:shd w:val="clear" w:color="auto" w:fill="auto"/>
            <w:noWrap/>
            <w:vAlign w:val="center"/>
            <w:hideMark/>
          </w:tcPr>
          <w:p w14:paraId="35B6A7E4" w14:textId="77777777"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Other community health services</w:t>
            </w:r>
          </w:p>
        </w:tc>
        <w:tc>
          <w:tcPr>
            <w:tcW w:w="2020" w:type="dxa"/>
            <w:tcBorders>
              <w:top w:val="nil"/>
              <w:left w:val="nil"/>
              <w:bottom w:val="nil"/>
              <w:right w:val="nil"/>
            </w:tcBorders>
            <w:shd w:val="clear" w:color="auto" w:fill="auto"/>
            <w:noWrap/>
            <w:vAlign w:val="center"/>
            <w:hideMark/>
          </w:tcPr>
          <w:p w14:paraId="3B53A960" w14:textId="25344F5F"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Very high (81</w:t>
            </w:r>
            <w:r w:rsidR="005C198B">
              <w:rPr>
                <w:rFonts w:eastAsia="Times New Roman" w:cs="Open Sans Light"/>
                <w:color w:val="000000"/>
                <w:sz w:val="16"/>
                <w:szCs w:val="16"/>
                <w:lang w:eastAsia="en-AU"/>
              </w:rPr>
              <w:t>–</w:t>
            </w:r>
            <w:r w:rsidRPr="00C03B7F">
              <w:rPr>
                <w:rFonts w:eastAsia="Times New Roman" w:cs="Open Sans Light"/>
                <w:color w:val="000000"/>
                <w:sz w:val="16"/>
                <w:szCs w:val="16"/>
                <w:lang w:eastAsia="en-AU"/>
              </w:rPr>
              <w:t>100)</w:t>
            </w:r>
          </w:p>
        </w:tc>
        <w:tc>
          <w:tcPr>
            <w:tcW w:w="2020" w:type="dxa"/>
            <w:tcBorders>
              <w:top w:val="nil"/>
              <w:left w:val="nil"/>
              <w:bottom w:val="nil"/>
              <w:right w:val="nil"/>
            </w:tcBorders>
            <w:shd w:val="clear" w:color="auto" w:fill="auto"/>
            <w:noWrap/>
            <w:vAlign w:val="center"/>
            <w:hideMark/>
          </w:tcPr>
          <w:p w14:paraId="13958FA9"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55</w:t>
            </w:r>
          </w:p>
        </w:tc>
        <w:tc>
          <w:tcPr>
            <w:tcW w:w="2020" w:type="dxa"/>
            <w:tcBorders>
              <w:top w:val="nil"/>
              <w:left w:val="nil"/>
              <w:bottom w:val="nil"/>
              <w:right w:val="nil"/>
            </w:tcBorders>
            <w:shd w:val="clear" w:color="auto" w:fill="auto"/>
            <w:noWrap/>
            <w:vAlign w:val="center"/>
            <w:hideMark/>
          </w:tcPr>
          <w:p w14:paraId="6BB4FA51" w14:textId="63D87AC6" w:rsidR="00C03B7F" w:rsidRPr="00C03B7F" w:rsidRDefault="00254A87" w:rsidP="0065183C">
            <w:pPr>
              <w:keepNext/>
              <w:keepLines/>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50</w:t>
            </w:r>
          </w:p>
        </w:tc>
      </w:tr>
      <w:tr w:rsidR="00C03B7F" w:rsidRPr="00C03B7F" w14:paraId="22DC1FF4" w14:textId="77777777" w:rsidTr="00582C9B">
        <w:trPr>
          <w:trHeight w:val="300"/>
        </w:trPr>
        <w:tc>
          <w:tcPr>
            <w:tcW w:w="2860" w:type="dxa"/>
            <w:tcBorders>
              <w:top w:val="single" w:sz="4" w:space="0" w:color="ADD6EA"/>
              <w:left w:val="nil"/>
              <w:bottom w:val="single" w:sz="4" w:space="0" w:color="ADD6EA"/>
              <w:right w:val="nil"/>
            </w:tcBorders>
            <w:shd w:val="clear" w:color="000000" w:fill="D6E7F0"/>
            <w:vAlign w:val="center"/>
            <w:hideMark/>
          </w:tcPr>
          <w:p w14:paraId="616DDB4E" w14:textId="77777777" w:rsidR="00C03B7F" w:rsidRPr="00C03B7F" w:rsidRDefault="00C03B7F" w:rsidP="0065183C">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Public health services</w:t>
            </w:r>
          </w:p>
        </w:tc>
        <w:tc>
          <w:tcPr>
            <w:tcW w:w="2020" w:type="dxa"/>
            <w:tcBorders>
              <w:top w:val="single" w:sz="4" w:space="0" w:color="ADD6EA"/>
              <w:left w:val="nil"/>
              <w:bottom w:val="single" w:sz="4" w:space="0" w:color="ADD6EA"/>
              <w:right w:val="nil"/>
            </w:tcBorders>
            <w:shd w:val="clear" w:color="000000" w:fill="D6E7F0"/>
            <w:noWrap/>
            <w:vAlign w:val="center"/>
            <w:hideMark/>
          </w:tcPr>
          <w:p w14:paraId="4E83362C"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 </w:t>
            </w:r>
          </w:p>
        </w:tc>
        <w:tc>
          <w:tcPr>
            <w:tcW w:w="2020" w:type="dxa"/>
            <w:tcBorders>
              <w:top w:val="single" w:sz="4" w:space="0" w:color="ADD6EA"/>
              <w:left w:val="nil"/>
              <w:bottom w:val="single" w:sz="4" w:space="0" w:color="ADD6EA"/>
              <w:right w:val="nil"/>
            </w:tcBorders>
            <w:shd w:val="clear" w:color="000000" w:fill="D6E7F0"/>
            <w:noWrap/>
            <w:vAlign w:val="center"/>
            <w:hideMark/>
          </w:tcPr>
          <w:p w14:paraId="1AC212F9"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D0D0D"/>
                <w:sz w:val="16"/>
                <w:szCs w:val="16"/>
                <w:lang w:eastAsia="en-AU"/>
              </w:rPr>
            </w:pPr>
            <w:r w:rsidRPr="00C03B7F">
              <w:rPr>
                <w:rFonts w:ascii="Open Sans Semibold" w:eastAsia="Times New Roman" w:hAnsi="Open Sans Semibold" w:cs="Open Sans Semibold"/>
                <w:color w:val="0D0D0D"/>
                <w:sz w:val="16"/>
                <w:szCs w:val="16"/>
                <w:lang w:eastAsia="en-AU"/>
              </w:rPr>
              <w:t> </w:t>
            </w:r>
          </w:p>
        </w:tc>
        <w:tc>
          <w:tcPr>
            <w:tcW w:w="2020" w:type="dxa"/>
            <w:tcBorders>
              <w:top w:val="single" w:sz="4" w:space="0" w:color="ADD6EA"/>
              <w:left w:val="nil"/>
              <w:bottom w:val="single" w:sz="4" w:space="0" w:color="ADD6EA"/>
              <w:right w:val="nil"/>
            </w:tcBorders>
            <w:shd w:val="clear" w:color="000000" w:fill="D6E7F0"/>
            <w:noWrap/>
            <w:vAlign w:val="center"/>
            <w:hideMark/>
          </w:tcPr>
          <w:p w14:paraId="225E9DE5"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 </w:t>
            </w:r>
          </w:p>
        </w:tc>
      </w:tr>
      <w:tr w:rsidR="00C03B7F" w:rsidRPr="00C03B7F" w14:paraId="62165F60" w14:textId="77777777" w:rsidTr="00582C9B">
        <w:trPr>
          <w:trHeight w:val="300"/>
        </w:trPr>
        <w:tc>
          <w:tcPr>
            <w:tcW w:w="2860" w:type="dxa"/>
            <w:tcBorders>
              <w:top w:val="nil"/>
              <w:left w:val="nil"/>
              <w:bottom w:val="single" w:sz="4" w:space="0" w:color="ADD6EA"/>
              <w:right w:val="nil"/>
            </w:tcBorders>
            <w:shd w:val="clear" w:color="auto" w:fill="auto"/>
            <w:noWrap/>
            <w:vAlign w:val="center"/>
            <w:hideMark/>
          </w:tcPr>
          <w:p w14:paraId="71C28B3C" w14:textId="77777777"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Cancer screening</w:t>
            </w:r>
          </w:p>
        </w:tc>
        <w:tc>
          <w:tcPr>
            <w:tcW w:w="2020" w:type="dxa"/>
            <w:tcBorders>
              <w:top w:val="nil"/>
              <w:left w:val="nil"/>
              <w:bottom w:val="single" w:sz="4" w:space="0" w:color="ADD6EA"/>
              <w:right w:val="nil"/>
            </w:tcBorders>
            <w:shd w:val="clear" w:color="auto" w:fill="auto"/>
            <w:noWrap/>
            <w:vAlign w:val="center"/>
            <w:hideMark/>
          </w:tcPr>
          <w:p w14:paraId="4F647475" w14:textId="7DB363B4"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Medium (41</w:t>
            </w:r>
            <w:r w:rsidR="005C198B">
              <w:rPr>
                <w:rFonts w:eastAsia="Times New Roman" w:cs="Open Sans Light"/>
                <w:color w:val="000000"/>
                <w:sz w:val="16"/>
                <w:szCs w:val="16"/>
                <w:lang w:eastAsia="en-AU"/>
              </w:rPr>
              <w:t>–</w:t>
            </w:r>
            <w:r w:rsidRPr="00C03B7F">
              <w:rPr>
                <w:rFonts w:eastAsia="Times New Roman" w:cs="Open Sans Light"/>
                <w:color w:val="000000"/>
                <w:sz w:val="16"/>
                <w:szCs w:val="16"/>
                <w:lang w:eastAsia="en-AU"/>
              </w:rPr>
              <w:t>60)</w:t>
            </w:r>
          </w:p>
        </w:tc>
        <w:tc>
          <w:tcPr>
            <w:tcW w:w="2020" w:type="dxa"/>
            <w:tcBorders>
              <w:top w:val="nil"/>
              <w:left w:val="nil"/>
              <w:bottom w:val="single" w:sz="4" w:space="0" w:color="ADD6EA"/>
              <w:right w:val="nil"/>
            </w:tcBorders>
            <w:shd w:val="clear" w:color="auto" w:fill="auto"/>
            <w:noWrap/>
            <w:vAlign w:val="center"/>
            <w:hideMark/>
          </w:tcPr>
          <w:p w14:paraId="5BD4897D"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3</w:t>
            </w:r>
          </w:p>
        </w:tc>
        <w:tc>
          <w:tcPr>
            <w:tcW w:w="2020" w:type="dxa"/>
            <w:tcBorders>
              <w:top w:val="nil"/>
              <w:left w:val="nil"/>
              <w:bottom w:val="single" w:sz="4" w:space="0" w:color="ADD6EA"/>
              <w:right w:val="nil"/>
            </w:tcBorders>
            <w:shd w:val="clear" w:color="auto" w:fill="auto"/>
            <w:noWrap/>
            <w:vAlign w:val="center"/>
            <w:hideMark/>
          </w:tcPr>
          <w:p w14:paraId="03AB6A37" w14:textId="02EAEB8E"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1</w:t>
            </w:r>
          </w:p>
        </w:tc>
      </w:tr>
      <w:tr w:rsidR="00C03B7F" w:rsidRPr="00C03B7F" w14:paraId="0C66B979" w14:textId="77777777" w:rsidTr="00582C9B">
        <w:trPr>
          <w:trHeight w:val="300"/>
        </w:trPr>
        <w:tc>
          <w:tcPr>
            <w:tcW w:w="2860" w:type="dxa"/>
            <w:tcBorders>
              <w:top w:val="nil"/>
              <w:left w:val="nil"/>
              <w:bottom w:val="single" w:sz="4" w:space="0" w:color="ADD6EA"/>
              <w:right w:val="nil"/>
            </w:tcBorders>
            <w:shd w:val="clear" w:color="auto" w:fill="auto"/>
            <w:noWrap/>
            <w:vAlign w:val="center"/>
            <w:hideMark/>
          </w:tcPr>
          <w:p w14:paraId="0F55C3D7" w14:textId="77777777"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Organised immunisation</w:t>
            </w:r>
          </w:p>
        </w:tc>
        <w:tc>
          <w:tcPr>
            <w:tcW w:w="2020" w:type="dxa"/>
            <w:tcBorders>
              <w:top w:val="nil"/>
              <w:left w:val="nil"/>
              <w:bottom w:val="single" w:sz="4" w:space="0" w:color="ADD6EA"/>
              <w:right w:val="nil"/>
            </w:tcBorders>
            <w:shd w:val="clear" w:color="auto" w:fill="auto"/>
            <w:noWrap/>
            <w:vAlign w:val="center"/>
            <w:hideMark/>
          </w:tcPr>
          <w:p w14:paraId="6846BA0A" w14:textId="604DF92E"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High (61</w:t>
            </w:r>
            <w:r w:rsidR="005C198B">
              <w:rPr>
                <w:rFonts w:eastAsia="Times New Roman" w:cs="Open Sans Light"/>
                <w:color w:val="000000"/>
                <w:sz w:val="16"/>
                <w:szCs w:val="16"/>
                <w:lang w:eastAsia="en-AU"/>
              </w:rPr>
              <w:t>–</w:t>
            </w:r>
            <w:r w:rsidRPr="00C03B7F">
              <w:rPr>
                <w:rFonts w:eastAsia="Times New Roman" w:cs="Open Sans Light"/>
                <w:color w:val="000000"/>
                <w:sz w:val="16"/>
                <w:szCs w:val="16"/>
                <w:lang w:eastAsia="en-AU"/>
              </w:rPr>
              <w:t>80)</w:t>
            </w:r>
          </w:p>
        </w:tc>
        <w:tc>
          <w:tcPr>
            <w:tcW w:w="2020" w:type="dxa"/>
            <w:tcBorders>
              <w:top w:val="nil"/>
              <w:left w:val="nil"/>
              <w:bottom w:val="single" w:sz="4" w:space="0" w:color="ADD6EA"/>
              <w:right w:val="nil"/>
            </w:tcBorders>
            <w:shd w:val="clear" w:color="auto" w:fill="auto"/>
            <w:noWrap/>
            <w:vAlign w:val="center"/>
            <w:hideMark/>
          </w:tcPr>
          <w:p w14:paraId="7C5BEE8A"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3</w:t>
            </w:r>
          </w:p>
        </w:tc>
        <w:tc>
          <w:tcPr>
            <w:tcW w:w="2020" w:type="dxa"/>
            <w:tcBorders>
              <w:top w:val="nil"/>
              <w:left w:val="nil"/>
              <w:bottom w:val="single" w:sz="4" w:space="0" w:color="ADD6EA"/>
              <w:right w:val="nil"/>
            </w:tcBorders>
            <w:shd w:val="clear" w:color="auto" w:fill="auto"/>
            <w:noWrap/>
            <w:vAlign w:val="center"/>
            <w:hideMark/>
          </w:tcPr>
          <w:p w14:paraId="6DDB2D53" w14:textId="095B501A"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2</w:t>
            </w:r>
          </w:p>
        </w:tc>
      </w:tr>
      <w:tr w:rsidR="00C03B7F" w:rsidRPr="00C03B7F" w14:paraId="5D2EA174" w14:textId="77777777" w:rsidTr="00582C9B">
        <w:trPr>
          <w:trHeight w:val="300"/>
        </w:trPr>
        <w:tc>
          <w:tcPr>
            <w:tcW w:w="2860" w:type="dxa"/>
            <w:tcBorders>
              <w:top w:val="nil"/>
              <w:left w:val="nil"/>
              <w:bottom w:val="single" w:sz="4" w:space="0" w:color="ADD6EA"/>
              <w:right w:val="nil"/>
            </w:tcBorders>
            <w:shd w:val="clear" w:color="auto" w:fill="auto"/>
            <w:noWrap/>
            <w:vAlign w:val="center"/>
            <w:hideMark/>
          </w:tcPr>
          <w:p w14:paraId="5BE61539" w14:textId="77777777"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Selected health promotion</w:t>
            </w:r>
          </w:p>
        </w:tc>
        <w:tc>
          <w:tcPr>
            <w:tcW w:w="2020" w:type="dxa"/>
            <w:tcBorders>
              <w:top w:val="nil"/>
              <w:left w:val="nil"/>
              <w:bottom w:val="single" w:sz="4" w:space="0" w:color="ADD6EA"/>
              <w:right w:val="nil"/>
            </w:tcBorders>
            <w:shd w:val="clear" w:color="auto" w:fill="auto"/>
            <w:noWrap/>
            <w:vAlign w:val="center"/>
            <w:hideMark/>
          </w:tcPr>
          <w:p w14:paraId="24C90360" w14:textId="57E45B47"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Very low (0</w:t>
            </w:r>
            <w:r w:rsidR="005C198B">
              <w:rPr>
                <w:rFonts w:eastAsia="Times New Roman" w:cs="Open Sans Light"/>
                <w:color w:val="000000"/>
                <w:sz w:val="16"/>
                <w:szCs w:val="16"/>
                <w:lang w:eastAsia="en-AU"/>
              </w:rPr>
              <w:t>–</w:t>
            </w:r>
            <w:r w:rsidRPr="00C03B7F">
              <w:rPr>
                <w:rFonts w:eastAsia="Times New Roman" w:cs="Open Sans Light"/>
                <w:color w:val="000000"/>
                <w:sz w:val="16"/>
                <w:szCs w:val="16"/>
                <w:lang w:eastAsia="en-AU"/>
              </w:rPr>
              <w:t>20)</w:t>
            </w:r>
          </w:p>
        </w:tc>
        <w:tc>
          <w:tcPr>
            <w:tcW w:w="2020" w:type="dxa"/>
            <w:tcBorders>
              <w:top w:val="nil"/>
              <w:left w:val="nil"/>
              <w:bottom w:val="single" w:sz="4" w:space="0" w:color="ADD6EA"/>
              <w:right w:val="nil"/>
            </w:tcBorders>
            <w:shd w:val="clear" w:color="auto" w:fill="auto"/>
            <w:noWrap/>
            <w:vAlign w:val="center"/>
            <w:hideMark/>
          </w:tcPr>
          <w:p w14:paraId="4E934148"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4</w:t>
            </w:r>
          </w:p>
        </w:tc>
        <w:tc>
          <w:tcPr>
            <w:tcW w:w="2020" w:type="dxa"/>
            <w:tcBorders>
              <w:top w:val="nil"/>
              <w:left w:val="nil"/>
              <w:bottom w:val="single" w:sz="4" w:space="0" w:color="ADD6EA"/>
              <w:right w:val="nil"/>
            </w:tcBorders>
            <w:shd w:val="clear" w:color="auto" w:fill="auto"/>
            <w:noWrap/>
            <w:vAlign w:val="center"/>
            <w:hideMark/>
          </w:tcPr>
          <w:p w14:paraId="023C44F8" w14:textId="0F1C9AB1"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0</w:t>
            </w:r>
          </w:p>
        </w:tc>
      </w:tr>
      <w:tr w:rsidR="00C03B7F" w:rsidRPr="00C03B7F" w14:paraId="40CF8795" w14:textId="77777777" w:rsidTr="00582C9B">
        <w:trPr>
          <w:trHeight w:val="300"/>
        </w:trPr>
        <w:tc>
          <w:tcPr>
            <w:tcW w:w="2860" w:type="dxa"/>
            <w:tcBorders>
              <w:top w:val="nil"/>
              <w:left w:val="nil"/>
              <w:bottom w:val="single" w:sz="4" w:space="0" w:color="ADD6EA"/>
              <w:right w:val="nil"/>
            </w:tcBorders>
            <w:shd w:val="clear" w:color="auto" w:fill="auto"/>
            <w:noWrap/>
            <w:vAlign w:val="center"/>
            <w:hideMark/>
          </w:tcPr>
          <w:p w14:paraId="60F4C44B" w14:textId="77777777"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Communicable disease control</w:t>
            </w:r>
          </w:p>
        </w:tc>
        <w:tc>
          <w:tcPr>
            <w:tcW w:w="2020" w:type="dxa"/>
            <w:tcBorders>
              <w:top w:val="nil"/>
              <w:left w:val="nil"/>
              <w:bottom w:val="single" w:sz="4" w:space="0" w:color="ADD6EA"/>
              <w:right w:val="nil"/>
            </w:tcBorders>
            <w:shd w:val="clear" w:color="auto" w:fill="auto"/>
            <w:noWrap/>
            <w:vAlign w:val="center"/>
            <w:hideMark/>
          </w:tcPr>
          <w:p w14:paraId="291B6A55" w14:textId="77777777"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Nil</w:t>
            </w:r>
          </w:p>
        </w:tc>
        <w:tc>
          <w:tcPr>
            <w:tcW w:w="2020" w:type="dxa"/>
            <w:tcBorders>
              <w:top w:val="nil"/>
              <w:left w:val="nil"/>
              <w:bottom w:val="single" w:sz="4" w:space="0" w:color="ADD6EA"/>
              <w:right w:val="nil"/>
            </w:tcBorders>
            <w:shd w:val="clear" w:color="auto" w:fill="auto"/>
            <w:noWrap/>
            <w:vAlign w:val="center"/>
            <w:hideMark/>
          </w:tcPr>
          <w:p w14:paraId="1BCB06BD"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6</w:t>
            </w:r>
          </w:p>
        </w:tc>
        <w:tc>
          <w:tcPr>
            <w:tcW w:w="2020" w:type="dxa"/>
            <w:tcBorders>
              <w:top w:val="nil"/>
              <w:left w:val="nil"/>
              <w:bottom w:val="nil"/>
              <w:right w:val="nil"/>
            </w:tcBorders>
            <w:shd w:val="clear" w:color="auto" w:fill="auto"/>
            <w:noWrap/>
            <w:vAlign w:val="center"/>
            <w:hideMark/>
          </w:tcPr>
          <w:p w14:paraId="56CE3B8D" w14:textId="576726F8"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0</w:t>
            </w:r>
          </w:p>
        </w:tc>
      </w:tr>
      <w:tr w:rsidR="00C03B7F" w:rsidRPr="00C03B7F" w14:paraId="31CE48D9" w14:textId="77777777" w:rsidTr="00582C9B">
        <w:trPr>
          <w:trHeight w:val="300"/>
        </w:trPr>
        <w:tc>
          <w:tcPr>
            <w:tcW w:w="2860" w:type="dxa"/>
            <w:tcBorders>
              <w:top w:val="nil"/>
              <w:left w:val="nil"/>
              <w:bottom w:val="single" w:sz="4" w:space="0" w:color="ADD6EA"/>
              <w:right w:val="nil"/>
            </w:tcBorders>
            <w:shd w:val="clear" w:color="auto" w:fill="auto"/>
            <w:noWrap/>
            <w:vAlign w:val="center"/>
            <w:hideMark/>
          </w:tcPr>
          <w:p w14:paraId="74914687" w14:textId="77777777"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Environmental health</w:t>
            </w:r>
          </w:p>
        </w:tc>
        <w:tc>
          <w:tcPr>
            <w:tcW w:w="2020" w:type="dxa"/>
            <w:tcBorders>
              <w:top w:val="nil"/>
              <w:left w:val="nil"/>
              <w:bottom w:val="single" w:sz="4" w:space="0" w:color="ADD6EA"/>
              <w:right w:val="nil"/>
            </w:tcBorders>
            <w:shd w:val="clear" w:color="auto" w:fill="auto"/>
            <w:noWrap/>
            <w:vAlign w:val="center"/>
            <w:hideMark/>
          </w:tcPr>
          <w:p w14:paraId="044B9C5D" w14:textId="77777777"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Nil</w:t>
            </w:r>
          </w:p>
        </w:tc>
        <w:tc>
          <w:tcPr>
            <w:tcW w:w="2020" w:type="dxa"/>
            <w:tcBorders>
              <w:top w:val="nil"/>
              <w:left w:val="nil"/>
              <w:bottom w:val="single" w:sz="4" w:space="0" w:color="ADD6EA"/>
              <w:right w:val="nil"/>
            </w:tcBorders>
            <w:shd w:val="clear" w:color="auto" w:fill="auto"/>
            <w:noWrap/>
            <w:vAlign w:val="center"/>
            <w:hideMark/>
          </w:tcPr>
          <w:p w14:paraId="63BA3DE0"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1</w:t>
            </w:r>
          </w:p>
        </w:tc>
        <w:tc>
          <w:tcPr>
            <w:tcW w:w="2020" w:type="dxa"/>
            <w:tcBorders>
              <w:top w:val="nil"/>
              <w:left w:val="nil"/>
              <w:bottom w:val="single" w:sz="4" w:space="0" w:color="ADD6EA"/>
              <w:right w:val="nil"/>
            </w:tcBorders>
            <w:shd w:val="clear" w:color="auto" w:fill="auto"/>
            <w:noWrap/>
            <w:vAlign w:val="center"/>
            <w:hideMark/>
          </w:tcPr>
          <w:p w14:paraId="7AE4AD03" w14:textId="2B4EEF45"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0</w:t>
            </w:r>
          </w:p>
        </w:tc>
      </w:tr>
      <w:tr w:rsidR="00C03B7F" w:rsidRPr="00C03B7F" w14:paraId="639A7C1C" w14:textId="77777777" w:rsidTr="00582C9B">
        <w:trPr>
          <w:trHeight w:val="300"/>
        </w:trPr>
        <w:tc>
          <w:tcPr>
            <w:tcW w:w="2860" w:type="dxa"/>
            <w:tcBorders>
              <w:top w:val="nil"/>
              <w:left w:val="nil"/>
              <w:bottom w:val="nil"/>
              <w:right w:val="nil"/>
            </w:tcBorders>
            <w:shd w:val="clear" w:color="auto" w:fill="auto"/>
            <w:noWrap/>
            <w:vAlign w:val="center"/>
            <w:hideMark/>
          </w:tcPr>
          <w:p w14:paraId="51CD70F1" w14:textId="77777777" w:rsidR="00C03B7F" w:rsidRPr="00C03B7F" w:rsidRDefault="00C03B7F" w:rsidP="0065183C">
            <w:pPr>
              <w:keepNext/>
              <w:keepLines/>
              <w:tabs>
                <w:tab w:val="clear" w:pos="567"/>
              </w:tabs>
              <w:spacing w:before="0" w:line="240" w:lineRule="auto"/>
              <w:rPr>
                <w:rFonts w:eastAsia="Times New Roman" w:cs="Open Sans Light"/>
                <w:color w:val="000000"/>
                <w:sz w:val="16"/>
                <w:szCs w:val="16"/>
                <w:lang w:eastAsia="en-AU"/>
              </w:rPr>
            </w:pPr>
            <w:r w:rsidRPr="00C03B7F">
              <w:rPr>
                <w:rFonts w:eastAsia="Times New Roman" w:cs="Open Sans Light"/>
                <w:color w:val="000000"/>
                <w:sz w:val="16"/>
                <w:szCs w:val="16"/>
                <w:lang w:eastAsia="en-AU"/>
              </w:rPr>
              <w:t>Other public health services</w:t>
            </w:r>
          </w:p>
        </w:tc>
        <w:tc>
          <w:tcPr>
            <w:tcW w:w="2020" w:type="dxa"/>
            <w:tcBorders>
              <w:top w:val="nil"/>
              <w:left w:val="nil"/>
              <w:bottom w:val="nil"/>
              <w:right w:val="nil"/>
            </w:tcBorders>
            <w:shd w:val="clear" w:color="auto" w:fill="auto"/>
            <w:noWrap/>
            <w:vAlign w:val="center"/>
            <w:hideMark/>
          </w:tcPr>
          <w:p w14:paraId="5172ABA9" w14:textId="75931633"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Very low (0</w:t>
            </w:r>
            <w:r w:rsidR="005C198B">
              <w:rPr>
                <w:rFonts w:eastAsia="Times New Roman" w:cs="Open Sans Light"/>
                <w:color w:val="000000"/>
                <w:sz w:val="16"/>
                <w:szCs w:val="16"/>
                <w:lang w:eastAsia="en-AU"/>
              </w:rPr>
              <w:t>–</w:t>
            </w:r>
            <w:r w:rsidRPr="00C03B7F">
              <w:rPr>
                <w:rFonts w:eastAsia="Times New Roman" w:cs="Open Sans Light"/>
                <w:color w:val="000000"/>
                <w:sz w:val="16"/>
                <w:szCs w:val="16"/>
                <w:lang w:eastAsia="en-AU"/>
              </w:rPr>
              <w:t>20)</w:t>
            </w:r>
          </w:p>
        </w:tc>
        <w:tc>
          <w:tcPr>
            <w:tcW w:w="2020" w:type="dxa"/>
            <w:tcBorders>
              <w:top w:val="nil"/>
              <w:left w:val="nil"/>
              <w:bottom w:val="single" w:sz="4" w:space="0" w:color="ADD6EA"/>
              <w:right w:val="nil"/>
            </w:tcBorders>
            <w:shd w:val="clear" w:color="auto" w:fill="auto"/>
            <w:noWrap/>
            <w:vAlign w:val="center"/>
            <w:hideMark/>
          </w:tcPr>
          <w:p w14:paraId="373051A1" w14:textId="77777777" w:rsidR="00C03B7F" w:rsidRPr="00C03B7F" w:rsidRDefault="00C03B7F" w:rsidP="0065183C">
            <w:pPr>
              <w:keepNext/>
              <w:keepLines/>
              <w:tabs>
                <w:tab w:val="clear" w:pos="567"/>
              </w:tabs>
              <w:spacing w:before="0" w:line="240" w:lineRule="auto"/>
              <w:jc w:val="right"/>
              <w:rPr>
                <w:rFonts w:eastAsia="Times New Roman" w:cs="Open Sans Light"/>
                <w:color w:val="0D0D0D"/>
                <w:sz w:val="16"/>
                <w:szCs w:val="16"/>
                <w:lang w:eastAsia="en-AU"/>
              </w:rPr>
            </w:pPr>
            <w:r w:rsidRPr="00C03B7F">
              <w:rPr>
                <w:rFonts w:eastAsia="Times New Roman" w:cs="Open Sans Light"/>
                <w:color w:val="0D0D0D"/>
                <w:sz w:val="16"/>
                <w:szCs w:val="16"/>
                <w:lang w:eastAsia="en-AU"/>
              </w:rPr>
              <w:t>4</w:t>
            </w:r>
          </w:p>
        </w:tc>
        <w:tc>
          <w:tcPr>
            <w:tcW w:w="2020" w:type="dxa"/>
            <w:tcBorders>
              <w:top w:val="nil"/>
              <w:left w:val="nil"/>
              <w:bottom w:val="single" w:sz="4" w:space="0" w:color="ADD6EA"/>
              <w:right w:val="nil"/>
            </w:tcBorders>
            <w:shd w:val="clear" w:color="auto" w:fill="auto"/>
            <w:noWrap/>
            <w:vAlign w:val="center"/>
            <w:hideMark/>
          </w:tcPr>
          <w:p w14:paraId="53B86228" w14:textId="0E3DECE8" w:rsidR="00C03B7F" w:rsidRPr="00C03B7F" w:rsidRDefault="00C03B7F" w:rsidP="0065183C">
            <w:pPr>
              <w:keepNext/>
              <w:keepLines/>
              <w:tabs>
                <w:tab w:val="clear" w:pos="567"/>
              </w:tabs>
              <w:spacing w:before="0" w:line="240" w:lineRule="auto"/>
              <w:jc w:val="right"/>
              <w:rPr>
                <w:rFonts w:eastAsia="Times New Roman" w:cs="Open Sans Light"/>
                <w:color w:val="000000"/>
                <w:sz w:val="16"/>
                <w:szCs w:val="16"/>
                <w:lang w:eastAsia="en-AU"/>
              </w:rPr>
            </w:pPr>
            <w:r w:rsidRPr="00C03B7F">
              <w:rPr>
                <w:rFonts w:eastAsia="Times New Roman" w:cs="Open Sans Light"/>
                <w:color w:val="000000"/>
                <w:sz w:val="16"/>
                <w:szCs w:val="16"/>
                <w:lang w:eastAsia="en-AU"/>
              </w:rPr>
              <w:t>0</w:t>
            </w:r>
          </w:p>
        </w:tc>
      </w:tr>
      <w:tr w:rsidR="00C03B7F" w:rsidRPr="00C03B7F" w14:paraId="0E7A0BE6" w14:textId="77777777" w:rsidTr="00582C9B">
        <w:trPr>
          <w:trHeight w:val="300"/>
        </w:trPr>
        <w:tc>
          <w:tcPr>
            <w:tcW w:w="2860" w:type="dxa"/>
            <w:tcBorders>
              <w:top w:val="nil"/>
              <w:left w:val="nil"/>
              <w:bottom w:val="single" w:sz="4" w:space="0" w:color="ADD6EA"/>
              <w:right w:val="nil"/>
            </w:tcBorders>
            <w:shd w:val="clear" w:color="000000" w:fill="B6D5E4"/>
            <w:noWrap/>
            <w:vAlign w:val="center"/>
            <w:hideMark/>
          </w:tcPr>
          <w:p w14:paraId="02B9F79B" w14:textId="1E01A4A2" w:rsidR="00C03B7F" w:rsidRPr="00C03B7F" w:rsidRDefault="00E30CB9" w:rsidP="0065183C">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CH s</w:t>
            </w:r>
            <w:r w:rsidR="00C03B7F" w:rsidRPr="00C03B7F">
              <w:rPr>
                <w:rFonts w:ascii="Open Sans Semibold" w:eastAsia="Times New Roman" w:hAnsi="Open Sans Semibold" w:cs="Open Sans Semibold"/>
                <w:color w:val="000000"/>
                <w:sz w:val="16"/>
                <w:szCs w:val="16"/>
                <w:lang w:eastAsia="en-AU"/>
              </w:rPr>
              <w:t>ubstitutability level</w:t>
            </w:r>
          </w:p>
        </w:tc>
        <w:tc>
          <w:tcPr>
            <w:tcW w:w="2020" w:type="dxa"/>
            <w:tcBorders>
              <w:top w:val="nil"/>
              <w:left w:val="nil"/>
              <w:bottom w:val="single" w:sz="4" w:space="0" w:color="ADD6EA"/>
              <w:right w:val="nil"/>
            </w:tcBorders>
            <w:shd w:val="clear" w:color="000000" w:fill="B6D5E4"/>
            <w:noWrap/>
            <w:vAlign w:val="center"/>
            <w:hideMark/>
          </w:tcPr>
          <w:p w14:paraId="335CB034"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 </w:t>
            </w:r>
          </w:p>
        </w:tc>
        <w:tc>
          <w:tcPr>
            <w:tcW w:w="2020" w:type="dxa"/>
            <w:tcBorders>
              <w:top w:val="nil"/>
              <w:left w:val="nil"/>
              <w:bottom w:val="single" w:sz="4" w:space="0" w:color="ADD6EA"/>
              <w:right w:val="nil"/>
            </w:tcBorders>
            <w:shd w:val="clear" w:color="000000" w:fill="B6D5E4"/>
            <w:noWrap/>
            <w:vAlign w:val="center"/>
            <w:hideMark/>
          </w:tcPr>
          <w:p w14:paraId="05E08BE5" w14:textId="77777777"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 </w:t>
            </w:r>
          </w:p>
        </w:tc>
        <w:tc>
          <w:tcPr>
            <w:tcW w:w="2020" w:type="dxa"/>
            <w:tcBorders>
              <w:top w:val="nil"/>
              <w:left w:val="nil"/>
              <w:bottom w:val="single" w:sz="4" w:space="0" w:color="ADD6EA"/>
              <w:right w:val="nil"/>
            </w:tcBorders>
            <w:shd w:val="clear" w:color="000000" w:fill="B6D5E4"/>
            <w:noWrap/>
            <w:vAlign w:val="center"/>
            <w:hideMark/>
          </w:tcPr>
          <w:p w14:paraId="126381DF" w14:textId="181A0A0E" w:rsidR="00C03B7F" w:rsidRPr="00C03B7F" w:rsidRDefault="00C03B7F" w:rsidP="0065183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03B7F">
              <w:rPr>
                <w:rFonts w:ascii="Open Sans Semibold" w:eastAsia="Times New Roman" w:hAnsi="Open Sans Semibold" w:cs="Open Sans Semibold"/>
                <w:color w:val="000000"/>
                <w:sz w:val="16"/>
                <w:szCs w:val="16"/>
                <w:lang w:eastAsia="en-AU"/>
              </w:rPr>
              <w:t>6</w:t>
            </w:r>
            <w:r w:rsidR="00A860CD">
              <w:rPr>
                <w:rFonts w:ascii="Open Sans Semibold" w:eastAsia="Times New Roman" w:hAnsi="Open Sans Semibold" w:cs="Open Sans Semibold"/>
                <w:color w:val="000000"/>
                <w:sz w:val="16"/>
                <w:szCs w:val="16"/>
                <w:lang w:eastAsia="en-AU"/>
              </w:rPr>
              <w:t>2</w:t>
            </w:r>
          </w:p>
        </w:tc>
      </w:tr>
    </w:tbl>
    <w:p w14:paraId="473FA1F1" w14:textId="7B525EDE" w:rsidR="00471F40" w:rsidRPr="003A5D71" w:rsidRDefault="005661F8" w:rsidP="00603B6A">
      <w:pPr>
        <w:pStyle w:val="CGC2025TableNote"/>
        <w:keepNext/>
        <w:ind w:left="567" w:hanging="454"/>
      </w:pPr>
      <w:r>
        <w:t>Note:</w:t>
      </w:r>
      <w:r>
        <w:tab/>
      </w:r>
      <w:r w:rsidR="00D74F41" w:rsidRPr="003A5D71">
        <w:t>The substitutability level was estimated using 2019</w:t>
      </w:r>
      <w:r w:rsidR="00174AF0">
        <w:t>–</w:t>
      </w:r>
      <w:r w:rsidR="00D74F41" w:rsidRPr="003A5D71">
        <w:t>20</w:t>
      </w:r>
      <w:r w:rsidR="00D40448" w:rsidRPr="003A5D71">
        <w:t xml:space="preserve"> expenses</w:t>
      </w:r>
      <w:r w:rsidR="004633D2">
        <w:t xml:space="preserve"> </w:t>
      </w:r>
      <w:r w:rsidR="00DB76F4" w:rsidRPr="003A5D71">
        <w:t>as e</w:t>
      </w:r>
      <w:r w:rsidR="00BA46F2" w:rsidRPr="003A5D71">
        <w:t xml:space="preserve">xpenses for later years </w:t>
      </w:r>
      <w:r w:rsidR="001A44F0" w:rsidRPr="003A5D71">
        <w:t>we</w:t>
      </w:r>
      <w:r w:rsidR="00AC2654" w:rsidRPr="003A5D71">
        <w:t>re heavily COVID affected</w:t>
      </w:r>
      <w:r w:rsidR="00205D24" w:rsidRPr="003A5D71">
        <w:t>.</w:t>
      </w:r>
    </w:p>
    <w:p w14:paraId="72387726" w14:textId="4067DE71" w:rsidR="007F51E9" w:rsidRDefault="00471F40" w:rsidP="00603B6A">
      <w:pPr>
        <w:pStyle w:val="CGC2025TableNote"/>
        <w:keepNext/>
        <w:ind w:left="567" w:hanging="454"/>
      </w:pPr>
      <w:r>
        <w:t>S</w:t>
      </w:r>
      <w:r w:rsidR="007F51E9">
        <w:t>ource:</w:t>
      </w:r>
      <w:r w:rsidR="005661F8">
        <w:tab/>
      </w:r>
      <w:r w:rsidR="007F51E9">
        <w:t xml:space="preserve">Commission calculation using </w:t>
      </w:r>
      <w:r w:rsidR="00F9378F">
        <w:t>AIHW</w:t>
      </w:r>
      <w:r w:rsidR="007F51E9">
        <w:t xml:space="preserve"> </w:t>
      </w:r>
      <w:r w:rsidR="00E11F12">
        <w:t xml:space="preserve">unpublished </w:t>
      </w:r>
      <w:r w:rsidR="007F51E9">
        <w:t>expense data.</w:t>
      </w:r>
    </w:p>
    <w:p w14:paraId="1DC46209" w14:textId="339D50EC" w:rsidR="00A548A8" w:rsidRPr="00F11172" w:rsidRDefault="00A548A8" w:rsidP="005A0938">
      <w:pPr>
        <w:pStyle w:val="Heading5"/>
        <w:rPr>
          <w:rStyle w:val="CGC2025ParaNumbersChar"/>
          <w:szCs w:val="22"/>
        </w:rPr>
      </w:pPr>
      <w:r>
        <w:t>Indicator of non</w:t>
      </w:r>
      <w:r w:rsidR="00F11172">
        <w:noBreakHyphen/>
      </w:r>
      <w:r>
        <w:t>state sector activity</w:t>
      </w:r>
    </w:p>
    <w:p w14:paraId="60C24213" w14:textId="5B45391E" w:rsidR="00A548A8" w:rsidRPr="00A548A8" w:rsidRDefault="00A548A8" w:rsidP="00F11172">
      <w:pPr>
        <w:pStyle w:val="CGC2025ParaNumbers"/>
      </w:pPr>
      <w:r>
        <w:t>The non</w:t>
      </w:r>
      <w:r>
        <w:noBreakHyphen/>
        <w:t xml:space="preserve">state </w:t>
      </w:r>
      <w:r w:rsidR="00F11172">
        <w:t xml:space="preserve">sector indicator for community and public health is </w:t>
      </w:r>
      <w:r w:rsidR="00F11172" w:rsidRPr="00F402EC">
        <w:rPr>
          <w:i/>
          <w:iCs/>
        </w:rPr>
        <w:t>Medicare bulk billed benefits paid from non</w:t>
      </w:r>
      <w:r w:rsidR="00F11172" w:rsidRPr="00F402EC">
        <w:rPr>
          <w:i/>
          <w:iCs/>
        </w:rPr>
        <w:noBreakHyphen/>
        <w:t>referred attendances</w:t>
      </w:r>
      <w:r w:rsidR="00F11172">
        <w:t xml:space="preserve"> (i.e. GP services).</w:t>
      </w:r>
    </w:p>
    <w:p w14:paraId="6A7CAEF5" w14:textId="68186733" w:rsidR="00E36346" w:rsidRDefault="00E36346" w:rsidP="00A56ED8">
      <w:pPr>
        <w:pStyle w:val="Heading4"/>
      </w:pPr>
      <w:r>
        <w:t>Cross</w:t>
      </w:r>
      <w:r w:rsidR="00833396">
        <w:t>-</w:t>
      </w:r>
      <w:r>
        <w:t xml:space="preserve">border adjustment </w:t>
      </w:r>
    </w:p>
    <w:p w14:paraId="3895828E" w14:textId="79192F71" w:rsidR="00E36346" w:rsidRPr="008859D5" w:rsidRDefault="00E36346">
      <w:pPr>
        <w:pStyle w:val="CGC2025ParaNumbers"/>
      </w:pPr>
      <w:r>
        <w:t>A cross</w:t>
      </w:r>
      <w:r w:rsidR="00833396">
        <w:t>-</w:t>
      </w:r>
      <w:r>
        <w:t xml:space="preserve">border adjustment is applied to community and public health services between the ACT and New South Wales. The </w:t>
      </w:r>
      <w:r w:rsidR="001479A6">
        <w:t xml:space="preserve">net </w:t>
      </w:r>
      <w:r>
        <w:t>value of cross</w:t>
      </w:r>
      <w:r w:rsidR="00833396">
        <w:t>-</w:t>
      </w:r>
      <w:r>
        <w:t xml:space="preserve">border services </w:t>
      </w:r>
      <w:r w:rsidR="001479A6">
        <w:t xml:space="preserve">provided by the ACT to New South Wales </w:t>
      </w:r>
      <w:r w:rsidR="00AC3D64">
        <w:t xml:space="preserve">residents </w:t>
      </w:r>
      <w:r>
        <w:t xml:space="preserve">is estimated </w:t>
      </w:r>
      <w:r w:rsidR="00094500">
        <w:t xml:space="preserve">at </w:t>
      </w:r>
      <w:r>
        <w:t>4% of the ACT’s gross expenses on community and public health services</w:t>
      </w:r>
      <w:r w:rsidR="00EB44B0">
        <w:t>,</w:t>
      </w:r>
      <w:r w:rsidR="00076644">
        <w:t xml:space="preserve"> excluding expenses on </w:t>
      </w:r>
      <w:r w:rsidR="00076644" w:rsidRPr="008859D5">
        <w:t>community mental health</w:t>
      </w:r>
      <w:r w:rsidR="00391F27" w:rsidRPr="008859D5">
        <w:t>.</w:t>
      </w:r>
      <w:r w:rsidR="007F0E36" w:rsidRPr="008859D5">
        <w:rPr>
          <w:rStyle w:val="FootnoteReference"/>
        </w:rPr>
        <w:footnoteReference w:id="10"/>
      </w:r>
      <w:r w:rsidR="00D55F01" w:rsidRPr="008859D5">
        <w:t xml:space="preserve"> </w:t>
      </w:r>
      <w:r w:rsidR="00247939" w:rsidRPr="008859D5">
        <w:t xml:space="preserve">This amount is added to the ACT’s assessed expenses and </w:t>
      </w:r>
      <w:r w:rsidR="00D55F01" w:rsidRPr="008859D5">
        <w:t>removed from New South Wales’.</w:t>
      </w:r>
    </w:p>
    <w:p w14:paraId="2112F513" w14:textId="09E9E90A" w:rsidR="00E0620F" w:rsidRDefault="002927E5" w:rsidP="00A56ED8">
      <w:pPr>
        <w:pStyle w:val="Heading4"/>
      </w:pPr>
      <w:r>
        <w:t>Applying w</w:t>
      </w:r>
      <w:r w:rsidR="00E0620F">
        <w:t>age costs</w:t>
      </w:r>
    </w:p>
    <w:p w14:paraId="5B329122" w14:textId="28A46C11" w:rsidR="00E0620F" w:rsidRDefault="005C1ACB" w:rsidP="00956F0B">
      <w:pPr>
        <w:pStyle w:val="CGC2025ParaNumbers"/>
      </w:pPr>
      <w:r w:rsidRPr="00236AD4">
        <w:t xml:space="preserve">Wages costs are a significant share of the total cost of providing health services. Differences in wage costs between states have a differential effect on the cost of providing </w:t>
      </w:r>
      <w:r w:rsidR="00B91FC2">
        <w:t>community and public health</w:t>
      </w:r>
      <w:r w:rsidRPr="00236AD4">
        <w:t xml:space="preserve"> services. The health assessment uses the Commission’s general method for measuring the influence of wage costs. </w:t>
      </w:r>
      <w:r w:rsidR="00EC19B9">
        <w:t>D</w:t>
      </w:r>
      <w:r w:rsidRPr="00236AD4">
        <w:t xml:space="preserve">etails on </w:t>
      </w:r>
      <w:r w:rsidRPr="00236AD4">
        <w:lastRenderedPageBreak/>
        <w:t>how this is calculated</w:t>
      </w:r>
      <w:r w:rsidR="00EC19B9">
        <w:t xml:space="preserve"> are in</w:t>
      </w:r>
      <w:r w:rsidR="00232950">
        <w:t xml:space="preserve"> </w:t>
      </w:r>
      <w:r w:rsidRPr="00236AD4">
        <w:t>the wage costs chapter</w:t>
      </w:r>
      <w:r w:rsidR="008C7939">
        <w:t xml:space="preserve"> </w:t>
      </w:r>
      <w:r w:rsidR="00B03936">
        <w:t>of</w:t>
      </w:r>
      <w:r w:rsidR="008C7939">
        <w:t xml:space="preserve"> the </w:t>
      </w:r>
      <w:r w:rsidR="008C7939" w:rsidRPr="00603B6A">
        <w:rPr>
          <w:i/>
          <w:iCs/>
        </w:rPr>
        <w:t xml:space="preserve">Commission’s </w:t>
      </w:r>
      <w:r w:rsidR="00603B6A">
        <w:rPr>
          <w:i/>
          <w:iCs/>
        </w:rPr>
        <w:t>A</w:t>
      </w:r>
      <w:r w:rsidR="008C7939" w:rsidRPr="00603B6A">
        <w:rPr>
          <w:i/>
          <w:iCs/>
        </w:rPr>
        <w:t xml:space="preserve">ssessment </w:t>
      </w:r>
      <w:r w:rsidR="00603B6A">
        <w:rPr>
          <w:i/>
          <w:iCs/>
        </w:rPr>
        <w:t>M</w:t>
      </w:r>
      <w:r w:rsidR="008C7939" w:rsidRPr="00603B6A">
        <w:rPr>
          <w:i/>
          <w:iCs/>
        </w:rPr>
        <w:t>ethodology</w:t>
      </w:r>
      <w:r w:rsidRPr="00236AD4">
        <w:t>.</w:t>
      </w:r>
    </w:p>
    <w:p w14:paraId="4C82904F" w14:textId="4661E926" w:rsidR="0049477E" w:rsidRDefault="001B52AC" w:rsidP="009A4162">
      <w:pPr>
        <w:pStyle w:val="Heading3"/>
        <w:keepNext/>
      </w:pPr>
      <w:r>
        <w:t>Non-hospital patient transport</w:t>
      </w:r>
      <w:r w:rsidR="005111C4">
        <w:t xml:space="preserve"> component</w:t>
      </w:r>
    </w:p>
    <w:p w14:paraId="3C7BCBE7" w14:textId="265C8E65" w:rsidR="00C93D49" w:rsidRDefault="00D02D99" w:rsidP="00C93D49">
      <w:pPr>
        <w:pStyle w:val="CGC2025ParaNumbers"/>
      </w:pPr>
      <w:r>
        <w:t>P</w:t>
      </w:r>
      <w:r w:rsidR="00C93D49">
        <w:t xml:space="preserve">atient transport expenses comprise: </w:t>
      </w:r>
    </w:p>
    <w:p w14:paraId="744A42AB" w14:textId="26CB6463" w:rsidR="00C93D49" w:rsidRDefault="00C93D49" w:rsidP="0071301C">
      <w:pPr>
        <w:pStyle w:val="CGC2025Bullet1"/>
      </w:pPr>
      <w:r>
        <w:t xml:space="preserve">land ambulance </w:t>
      </w:r>
    </w:p>
    <w:p w14:paraId="5FEC8D95" w14:textId="46A93653" w:rsidR="00C93D49" w:rsidRDefault="00C93D49" w:rsidP="0071301C">
      <w:pPr>
        <w:pStyle w:val="CGC2025Bullet1"/>
      </w:pPr>
      <w:r>
        <w:t xml:space="preserve">aero-medical ambulance, including the Royal Flying Doctor Service </w:t>
      </w:r>
    </w:p>
    <w:p w14:paraId="60CDAC58" w14:textId="78D51F73" w:rsidR="0071301C" w:rsidRDefault="00C93D49" w:rsidP="0071301C">
      <w:pPr>
        <w:pStyle w:val="CGC2025Bullet1"/>
      </w:pPr>
      <w:r>
        <w:t>Patient Assisted Travel/Transport Scheme (PATS)</w:t>
      </w:r>
      <w:r w:rsidR="008811B5">
        <w:t>.</w:t>
      </w:r>
    </w:p>
    <w:p w14:paraId="673B9FE4" w14:textId="77777777" w:rsidR="00176D6E" w:rsidRDefault="005200CA">
      <w:pPr>
        <w:pStyle w:val="CGC2025ParaNumbers"/>
      </w:pPr>
      <w:r>
        <w:t xml:space="preserve">Land ambulance expenses are included in the </w:t>
      </w:r>
      <w:r w:rsidR="007E494A">
        <w:t xml:space="preserve">admitted patient </w:t>
      </w:r>
      <w:r>
        <w:t xml:space="preserve">component because the </w:t>
      </w:r>
      <w:r w:rsidR="007521D4">
        <w:t>drivers</w:t>
      </w:r>
      <w:r>
        <w:t xml:space="preserve"> that influence land ambulance expenses are similar to the </w:t>
      </w:r>
      <w:r w:rsidR="007521D4">
        <w:t>drivers</w:t>
      </w:r>
      <w:r>
        <w:t xml:space="preserve"> that influence hospital-based services.</w:t>
      </w:r>
      <w:r w:rsidR="000D42C9">
        <w:t xml:space="preserve"> </w:t>
      </w:r>
    </w:p>
    <w:p w14:paraId="6791CBA1" w14:textId="2CC09C8C" w:rsidR="008E3D72" w:rsidRDefault="006749CA">
      <w:pPr>
        <w:pStyle w:val="CGC2025ParaNumbers"/>
      </w:pPr>
      <w:r>
        <w:t>A</w:t>
      </w:r>
      <w:r w:rsidR="000D42C9">
        <w:t xml:space="preserve">ero-medical services and </w:t>
      </w:r>
      <w:r w:rsidR="00B91488">
        <w:t xml:space="preserve">subsidies for patient travel </w:t>
      </w:r>
      <w:r w:rsidR="000D42C9">
        <w:t>are provided disproportionately to people in remote and very remote regions</w:t>
      </w:r>
      <w:r w:rsidR="00831852">
        <w:t>, so these are assessed separately</w:t>
      </w:r>
      <w:r w:rsidR="000D42C9">
        <w:t>.</w:t>
      </w:r>
      <w:r w:rsidR="00B91488">
        <w:t xml:space="preserve"> </w:t>
      </w:r>
    </w:p>
    <w:p w14:paraId="0C816DA3" w14:textId="5129D43E" w:rsidR="00C17C63" w:rsidRPr="002064D6" w:rsidRDefault="008C25BF" w:rsidP="004A4CD3">
      <w:pPr>
        <w:pStyle w:val="CGC2025ParaNumbers"/>
      </w:pPr>
      <w:r w:rsidRPr="002064D6">
        <w:t xml:space="preserve">Government Finance Statistics </w:t>
      </w:r>
      <w:r w:rsidR="00F6311E" w:rsidRPr="002064D6">
        <w:t xml:space="preserve">data </w:t>
      </w:r>
      <w:r w:rsidR="007233EE" w:rsidRPr="002064D6">
        <w:t xml:space="preserve">on patient transport </w:t>
      </w:r>
      <w:r w:rsidR="00587BAD" w:rsidRPr="002064D6">
        <w:t xml:space="preserve">do </w:t>
      </w:r>
      <w:r w:rsidR="00F6311E" w:rsidRPr="002064D6">
        <w:t>not dis</w:t>
      </w:r>
      <w:r w:rsidR="007233EE" w:rsidRPr="002064D6">
        <w:t xml:space="preserve">tinguish between </w:t>
      </w:r>
      <w:r w:rsidR="00F6311E" w:rsidRPr="002064D6">
        <w:t xml:space="preserve">land </w:t>
      </w:r>
      <w:r w:rsidR="004A2D3C" w:rsidRPr="002064D6">
        <w:t>ambulance,</w:t>
      </w:r>
      <w:r w:rsidR="00730795" w:rsidRPr="002064D6">
        <w:t xml:space="preserve"> aero-medical ambulance </w:t>
      </w:r>
      <w:r w:rsidR="00AF5DDF" w:rsidRPr="002064D6">
        <w:t xml:space="preserve">and </w:t>
      </w:r>
      <w:r w:rsidR="00F81636" w:rsidRPr="002064D6">
        <w:t xml:space="preserve">other </w:t>
      </w:r>
      <w:r w:rsidR="00E86BF3" w:rsidRPr="002064D6">
        <w:t xml:space="preserve">patient transport </w:t>
      </w:r>
      <w:r w:rsidR="00616441" w:rsidRPr="002064D6">
        <w:t xml:space="preserve">expenses. </w:t>
      </w:r>
      <w:r w:rsidR="00AF5B96" w:rsidRPr="002064D6">
        <w:t>Data provided by s</w:t>
      </w:r>
      <w:r w:rsidR="00F6311E" w:rsidRPr="002064D6">
        <w:t>tate</w:t>
      </w:r>
      <w:r w:rsidR="00AF5B96" w:rsidRPr="002064D6">
        <w:t>s for the 2025 Review</w:t>
      </w:r>
      <w:r w:rsidR="00F6311E" w:rsidRPr="002064D6">
        <w:t xml:space="preserve"> </w:t>
      </w:r>
      <w:r w:rsidR="00BC45E9" w:rsidRPr="002064D6">
        <w:t>show</w:t>
      </w:r>
      <w:r w:rsidR="00AF5B96" w:rsidRPr="002064D6">
        <w:t>ed</w:t>
      </w:r>
      <w:r w:rsidR="00BC45E9" w:rsidRPr="002064D6">
        <w:t xml:space="preserve"> that </w:t>
      </w:r>
      <w:r w:rsidR="00F6311E" w:rsidRPr="002064D6">
        <w:t>aero-medical and Patient Assisted Travel Scheme expenses</w:t>
      </w:r>
      <w:r w:rsidR="00F9311B" w:rsidRPr="002064D6">
        <w:t xml:space="preserve"> represent 19% of </w:t>
      </w:r>
      <w:r w:rsidR="005C0F6F" w:rsidRPr="002064D6">
        <w:t>state spending on patient transport</w:t>
      </w:r>
      <w:r w:rsidR="00F6311E" w:rsidRPr="002064D6">
        <w:t>.</w:t>
      </w:r>
      <w:r w:rsidR="00015ECB" w:rsidRPr="002064D6">
        <w:t xml:space="preserve"> This proportion </w:t>
      </w:r>
      <w:r w:rsidR="002064D6" w:rsidRPr="002064D6">
        <w:t>is</w:t>
      </w:r>
      <w:r w:rsidR="00015ECB" w:rsidRPr="002064D6">
        <w:t xml:space="preserve"> used to </w:t>
      </w:r>
      <w:r w:rsidR="007503E2" w:rsidRPr="002064D6">
        <w:t>apportion</w:t>
      </w:r>
      <w:r w:rsidR="00015ECB" w:rsidRPr="002064D6">
        <w:t xml:space="preserve"> </w:t>
      </w:r>
      <w:r w:rsidR="007503E2" w:rsidRPr="002064D6">
        <w:t>total patient transport expenses between the admitted patient component and the non</w:t>
      </w:r>
      <w:r w:rsidR="007503E2" w:rsidRPr="002064D6">
        <w:noBreakHyphen/>
        <w:t xml:space="preserve">hospital patient </w:t>
      </w:r>
      <w:r w:rsidR="00B93DF4" w:rsidRPr="002064D6">
        <w:t xml:space="preserve">transport </w:t>
      </w:r>
      <w:r w:rsidR="007503E2" w:rsidRPr="002064D6">
        <w:t>component for the duration of the 2025 Review</w:t>
      </w:r>
      <w:r w:rsidR="00A4351F" w:rsidRPr="002064D6">
        <w:t xml:space="preserve"> period</w:t>
      </w:r>
      <w:r w:rsidR="007503E2" w:rsidRPr="002064D6">
        <w:t>.</w:t>
      </w:r>
    </w:p>
    <w:p w14:paraId="2C457791" w14:textId="77777777" w:rsidR="0076743C" w:rsidRPr="002F6C32" w:rsidRDefault="0076743C" w:rsidP="0076743C">
      <w:pPr>
        <w:pStyle w:val="Heading4"/>
      </w:pPr>
      <w:r w:rsidRPr="002F6C32">
        <w:t xml:space="preserve">Socio-demographic composition </w:t>
      </w:r>
      <w:r>
        <w:t>assessment</w:t>
      </w:r>
    </w:p>
    <w:p w14:paraId="4C2140B3" w14:textId="53D01EF7" w:rsidR="003D09E6" w:rsidRDefault="003D09E6" w:rsidP="0076743C">
      <w:pPr>
        <w:pStyle w:val="Heading5"/>
      </w:pPr>
      <w:r>
        <w:t>Drivers</w:t>
      </w:r>
    </w:p>
    <w:p w14:paraId="1644C306" w14:textId="207D6962" w:rsidR="00725B7B" w:rsidRDefault="00486AE9" w:rsidP="00796DC5">
      <w:pPr>
        <w:pStyle w:val="Heading6"/>
      </w:pPr>
      <w:r>
        <w:t>Remoteness</w:t>
      </w:r>
    </w:p>
    <w:p w14:paraId="1CA22AD3" w14:textId="66A7DB9D" w:rsidR="00187AD7" w:rsidRPr="0056653D" w:rsidRDefault="00DA45D3">
      <w:pPr>
        <w:pStyle w:val="CGC2025ParaNumbers"/>
      </w:pPr>
      <w:r w:rsidRPr="0056653D">
        <w:t>Data provided by states f</w:t>
      </w:r>
      <w:r w:rsidR="00C10EC6" w:rsidRPr="0056653D">
        <w:t xml:space="preserve">or the 2025 Review shows that expenses on </w:t>
      </w:r>
      <w:r w:rsidR="008C6962" w:rsidRPr="0056653D">
        <w:t xml:space="preserve">aero-medical and Patient Assisted Travel Scheme </w:t>
      </w:r>
      <w:r w:rsidR="00B2258B" w:rsidRPr="0056653D">
        <w:t xml:space="preserve">services are disproportionately </w:t>
      </w:r>
      <w:r w:rsidR="00B820E1" w:rsidRPr="0056653D">
        <w:t xml:space="preserve">incurred in assisting </w:t>
      </w:r>
      <w:r w:rsidR="00B2258B" w:rsidRPr="0056653D">
        <w:t>people in remote and very remote regions</w:t>
      </w:r>
      <w:r w:rsidR="00B820E1" w:rsidRPr="0056653D">
        <w:t>.</w:t>
      </w:r>
      <w:r w:rsidR="00F91669" w:rsidRPr="0056653D">
        <w:t xml:space="preserve"> The state data on expenses by remoteness area and </w:t>
      </w:r>
      <w:r w:rsidR="00D02D99">
        <w:t>ABS C</w:t>
      </w:r>
      <w:r w:rsidR="00F91669" w:rsidRPr="0056653D">
        <w:t xml:space="preserve">ensus data on state population by remoteness area are used to produce a regional cost gradient. The gradient for the 2025 Review is shown in </w:t>
      </w:r>
      <w:r w:rsidR="001B6EFE">
        <w:t>Table 17</w:t>
      </w:r>
      <w:r w:rsidR="00F91669" w:rsidRPr="0056653D">
        <w:t>.</w:t>
      </w:r>
    </w:p>
    <w:p w14:paraId="429F158B" w14:textId="58B1E55E" w:rsidR="00D9311C" w:rsidRDefault="00562836" w:rsidP="00A26509">
      <w:pPr>
        <w:pStyle w:val="CGC2025Caption"/>
        <w:keepNext/>
      </w:pPr>
      <w:bookmarkStart w:id="37" w:name="_Ref173507993"/>
      <w:r>
        <w:t xml:space="preserve">Table </w:t>
      </w:r>
      <w:bookmarkEnd w:id="37"/>
      <w:r w:rsidR="003149B6">
        <w:t>17</w:t>
      </w:r>
      <w:r>
        <w:tab/>
      </w:r>
      <w:r w:rsidR="00161F48">
        <w:t>Remoteness cost weights for the non-hospital patient transport component</w:t>
      </w:r>
    </w:p>
    <w:tbl>
      <w:tblPr>
        <w:tblW w:w="8931" w:type="dxa"/>
        <w:tblLook w:val="04A0" w:firstRow="1" w:lastRow="0" w:firstColumn="1" w:lastColumn="0" w:noHBand="0" w:noVBand="1"/>
      </w:tblPr>
      <w:tblGrid>
        <w:gridCol w:w="3596"/>
        <w:gridCol w:w="5335"/>
      </w:tblGrid>
      <w:tr w:rsidR="00DC6C22" w:rsidRPr="00DC6C22" w14:paraId="25B174DE" w14:textId="77777777" w:rsidTr="00A015C3">
        <w:trPr>
          <w:trHeight w:val="375"/>
        </w:trPr>
        <w:tc>
          <w:tcPr>
            <w:tcW w:w="3596" w:type="dxa"/>
            <w:tcBorders>
              <w:top w:val="nil"/>
              <w:left w:val="nil"/>
              <w:bottom w:val="nil"/>
              <w:right w:val="nil"/>
            </w:tcBorders>
            <w:shd w:val="clear" w:color="000000" w:fill="006991"/>
            <w:noWrap/>
            <w:vAlign w:val="center"/>
            <w:hideMark/>
          </w:tcPr>
          <w:p w14:paraId="1EE8C6DD" w14:textId="77777777" w:rsidR="00DC6C22" w:rsidRPr="00DC6C22" w:rsidRDefault="00DC6C22" w:rsidP="00A26509">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DC6C22">
              <w:rPr>
                <w:rFonts w:ascii="Open Sans Semibold" w:eastAsia="Times New Roman" w:hAnsi="Open Sans Semibold" w:cs="Open Sans Semibold"/>
                <w:color w:val="FFFFFF"/>
                <w:sz w:val="16"/>
                <w:szCs w:val="16"/>
                <w:lang w:eastAsia="en-AU"/>
              </w:rPr>
              <w:t> </w:t>
            </w:r>
          </w:p>
        </w:tc>
        <w:tc>
          <w:tcPr>
            <w:tcW w:w="5335" w:type="dxa"/>
            <w:tcBorders>
              <w:top w:val="nil"/>
              <w:left w:val="nil"/>
              <w:bottom w:val="nil"/>
              <w:right w:val="nil"/>
            </w:tcBorders>
            <w:shd w:val="clear" w:color="000000" w:fill="006991"/>
            <w:noWrap/>
            <w:vAlign w:val="center"/>
            <w:hideMark/>
          </w:tcPr>
          <w:p w14:paraId="6321E094" w14:textId="77777777" w:rsidR="00DC6C22" w:rsidRPr="00DC6C22" w:rsidRDefault="00DC6C22" w:rsidP="00A26509">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6C22">
              <w:rPr>
                <w:rFonts w:ascii="Open Sans Semibold" w:eastAsia="Times New Roman" w:hAnsi="Open Sans Semibold" w:cs="Open Sans Semibold"/>
                <w:color w:val="FFFFFF"/>
                <w:sz w:val="16"/>
                <w:szCs w:val="16"/>
                <w:lang w:eastAsia="en-AU"/>
              </w:rPr>
              <w:t>Cost weight</w:t>
            </w:r>
          </w:p>
        </w:tc>
      </w:tr>
      <w:tr w:rsidR="00DC6C22" w:rsidRPr="00DC6C22" w14:paraId="1C19CD85" w14:textId="77777777" w:rsidTr="00A015C3">
        <w:trPr>
          <w:trHeight w:val="315"/>
        </w:trPr>
        <w:tc>
          <w:tcPr>
            <w:tcW w:w="3596" w:type="dxa"/>
            <w:tcBorders>
              <w:top w:val="nil"/>
              <w:left w:val="nil"/>
              <w:bottom w:val="single" w:sz="4" w:space="0" w:color="ADD6EA"/>
              <w:right w:val="nil"/>
            </w:tcBorders>
            <w:shd w:val="clear" w:color="000000" w:fill="FFFFFF"/>
            <w:hideMark/>
          </w:tcPr>
          <w:p w14:paraId="23DD4018" w14:textId="77777777" w:rsidR="00DC6C22" w:rsidRPr="00F62E02" w:rsidRDefault="00DC6C22" w:rsidP="00A26509">
            <w:pPr>
              <w:keepNext/>
              <w:tabs>
                <w:tab w:val="clear" w:pos="567"/>
              </w:tabs>
              <w:spacing w:before="0" w:line="240" w:lineRule="auto"/>
              <w:rPr>
                <w:rFonts w:eastAsia="Times New Roman" w:cs="Open Sans Light"/>
                <w:color w:val="000000"/>
                <w:sz w:val="16"/>
                <w:szCs w:val="16"/>
                <w:lang w:eastAsia="en-AU"/>
              </w:rPr>
            </w:pPr>
            <w:r w:rsidRPr="00F62E02">
              <w:rPr>
                <w:rFonts w:eastAsia="Times New Roman" w:cs="Open Sans Light"/>
                <w:color w:val="000000"/>
                <w:sz w:val="16"/>
                <w:szCs w:val="16"/>
                <w:lang w:eastAsia="en-AU"/>
              </w:rPr>
              <w:t>Non-remote</w:t>
            </w:r>
          </w:p>
        </w:tc>
        <w:tc>
          <w:tcPr>
            <w:tcW w:w="5335" w:type="dxa"/>
            <w:tcBorders>
              <w:top w:val="nil"/>
              <w:left w:val="nil"/>
              <w:bottom w:val="single" w:sz="4" w:space="0" w:color="ADD6EA"/>
              <w:right w:val="nil"/>
            </w:tcBorders>
            <w:shd w:val="clear" w:color="000000" w:fill="FFFFFF"/>
            <w:hideMark/>
          </w:tcPr>
          <w:p w14:paraId="79F08B38" w14:textId="77777777" w:rsidR="00DC6C22" w:rsidRPr="00F62E02" w:rsidRDefault="00DC6C22" w:rsidP="00A26509">
            <w:pPr>
              <w:keepNext/>
              <w:tabs>
                <w:tab w:val="clear" w:pos="567"/>
              </w:tabs>
              <w:spacing w:before="0" w:line="240" w:lineRule="auto"/>
              <w:jc w:val="right"/>
              <w:rPr>
                <w:rFonts w:eastAsia="Times New Roman" w:cs="Open Sans Light"/>
                <w:color w:val="000000"/>
                <w:sz w:val="16"/>
                <w:szCs w:val="16"/>
                <w:lang w:eastAsia="en-AU"/>
              </w:rPr>
            </w:pPr>
            <w:r w:rsidRPr="00F62E02">
              <w:rPr>
                <w:rFonts w:eastAsia="Times New Roman" w:cs="Open Sans Light"/>
                <w:color w:val="000000"/>
                <w:sz w:val="16"/>
                <w:szCs w:val="16"/>
                <w:lang w:eastAsia="en-AU"/>
              </w:rPr>
              <w:t>1</w:t>
            </w:r>
          </w:p>
        </w:tc>
      </w:tr>
      <w:tr w:rsidR="00DC6C22" w:rsidRPr="00DC6C22" w14:paraId="5D7A5B9C" w14:textId="77777777" w:rsidTr="00A015C3">
        <w:trPr>
          <w:trHeight w:val="315"/>
        </w:trPr>
        <w:tc>
          <w:tcPr>
            <w:tcW w:w="3596" w:type="dxa"/>
            <w:tcBorders>
              <w:top w:val="nil"/>
              <w:left w:val="nil"/>
              <w:bottom w:val="single" w:sz="4" w:space="0" w:color="ADD6EA"/>
              <w:right w:val="nil"/>
            </w:tcBorders>
            <w:shd w:val="clear" w:color="000000" w:fill="FFFFFF"/>
            <w:hideMark/>
          </w:tcPr>
          <w:p w14:paraId="24EE29A1" w14:textId="77777777" w:rsidR="00DC6C22" w:rsidRPr="00F62E02" w:rsidRDefault="00DC6C22" w:rsidP="00A26509">
            <w:pPr>
              <w:keepNext/>
              <w:tabs>
                <w:tab w:val="clear" w:pos="567"/>
              </w:tabs>
              <w:spacing w:before="0" w:line="240" w:lineRule="auto"/>
              <w:rPr>
                <w:rFonts w:eastAsia="Times New Roman" w:cs="Open Sans Light"/>
                <w:color w:val="000000"/>
                <w:sz w:val="16"/>
                <w:szCs w:val="16"/>
                <w:lang w:eastAsia="en-AU"/>
              </w:rPr>
            </w:pPr>
            <w:r w:rsidRPr="00F62E02">
              <w:rPr>
                <w:rFonts w:eastAsia="Times New Roman" w:cs="Open Sans Light"/>
                <w:color w:val="000000"/>
                <w:sz w:val="16"/>
                <w:szCs w:val="16"/>
                <w:lang w:eastAsia="en-AU"/>
              </w:rPr>
              <w:t>Remote</w:t>
            </w:r>
          </w:p>
        </w:tc>
        <w:tc>
          <w:tcPr>
            <w:tcW w:w="5335" w:type="dxa"/>
            <w:tcBorders>
              <w:top w:val="nil"/>
              <w:left w:val="nil"/>
              <w:bottom w:val="single" w:sz="4" w:space="0" w:color="ADD6EA"/>
              <w:right w:val="nil"/>
            </w:tcBorders>
            <w:shd w:val="clear" w:color="000000" w:fill="FFFFFF"/>
            <w:hideMark/>
          </w:tcPr>
          <w:p w14:paraId="5FBFD5CF" w14:textId="77777777" w:rsidR="00DC6C22" w:rsidRPr="00F62E02" w:rsidRDefault="00DC6C22" w:rsidP="00A26509">
            <w:pPr>
              <w:keepNext/>
              <w:tabs>
                <w:tab w:val="clear" w:pos="567"/>
              </w:tabs>
              <w:spacing w:before="0" w:line="240" w:lineRule="auto"/>
              <w:jc w:val="right"/>
              <w:rPr>
                <w:rFonts w:eastAsia="Times New Roman" w:cs="Open Sans Light"/>
                <w:color w:val="000000"/>
                <w:sz w:val="16"/>
                <w:szCs w:val="16"/>
                <w:lang w:eastAsia="en-AU"/>
              </w:rPr>
            </w:pPr>
            <w:r w:rsidRPr="00F62E02">
              <w:rPr>
                <w:rFonts w:eastAsia="Times New Roman" w:cs="Open Sans Light"/>
                <w:color w:val="000000"/>
                <w:sz w:val="16"/>
                <w:szCs w:val="16"/>
                <w:lang w:eastAsia="en-AU"/>
              </w:rPr>
              <w:t>13</w:t>
            </w:r>
          </w:p>
        </w:tc>
      </w:tr>
      <w:tr w:rsidR="00DC6C22" w:rsidRPr="00DC6C22" w14:paraId="2989966A" w14:textId="77777777" w:rsidTr="00A015C3">
        <w:trPr>
          <w:trHeight w:val="315"/>
        </w:trPr>
        <w:tc>
          <w:tcPr>
            <w:tcW w:w="3596" w:type="dxa"/>
            <w:tcBorders>
              <w:top w:val="nil"/>
              <w:left w:val="nil"/>
              <w:bottom w:val="single" w:sz="4" w:space="0" w:color="ADD6EA"/>
              <w:right w:val="nil"/>
            </w:tcBorders>
            <w:shd w:val="clear" w:color="000000" w:fill="FFFFFF"/>
            <w:hideMark/>
          </w:tcPr>
          <w:p w14:paraId="3A1961B7" w14:textId="77777777" w:rsidR="00DC6C22" w:rsidRPr="00F62E02" w:rsidRDefault="00DC6C22" w:rsidP="00A26509">
            <w:pPr>
              <w:keepNext/>
              <w:tabs>
                <w:tab w:val="clear" w:pos="567"/>
              </w:tabs>
              <w:spacing w:before="0" w:line="240" w:lineRule="auto"/>
              <w:rPr>
                <w:rFonts w:eastAsia="Times New Roman" w:cs="Open Sans Light"/>
                <w:color w:val="000000"/>
                <w:sz w:val="16"/>
                <w:szCs w:val="16"/>
                <w:lang w:eastAsia="en-AU"/>
              </w:rPr>
            </w:pPr>
            <w:r w:rsidRPr="00F62E02">
              <w:rPr>
                <w:rFonts w:eastAsia="Times New Roman" w:cs="Open Sans Light"/>
                <w:color w:val="000000"/>
                <w:sz w:val="16"/>
                <w:szCs w:val="16"/>
                <w:lang w:eastAsia="en-AU"/>
              </w:rPr>
              <w:t>Very remote</w:t>
            </w:r>
          </w:p>
        </w:tc>
        <w:tc>
          <w:tcPr>
            <w:tcW w:w="5335" w:type="dxa"/>
            <w:tcBorders>
              <w:top w:val="nil"/>
              <w:left w:val="nil"/>
              <w:bottom w:val="single" w:sz="4" w:space="0" w:color="ADD6EA"/>
              <w:right w:val="nil"/>
            </w:tcBorders>
            <w:shd w:val="clear" w:color="000000" w:fill="FFFFFF"/>
            <w:hideMark/>
          </w:tcPr>
          <w:p w14:paraId="7AC66E7C" w14:textId="77777777" w:rsidR="00DC6C22" w:rsidRPr="00F62E02" w:rsidRDefault="00DC6C22" w:rsidP="00A26509">
            <w:pPr>
              <w:keepNext/>
              <w:tabs>
                <w:tab w:val="clear" w:pos="567"/>
              </w:tabs>
              <w:spacing w:before="0" w:line="240" w:lineRule="auto"/>
              <w:jc w:val="right"/>
              <w:rPr>
                <w:rFonts w:eastAsia="Times New Roman" w:cs="Open Sans Light"/>
                <w:color w:val="000000"/>
                <w:sz w:val="16"/>
                <w:szCs w:val="16"/>
                <w:lang w:eastAsia="en-AU"/>
              </w:rPr>
            </w:pPr>
            <w:r w:rsidRPr="00F62E02">
              <w:rPr>
                <w:rFonts w:eastAsia="Times New Roman" w:cs="Open Sans Light"/>
                <w:color w:val="000000"/>
                <w:sz w:val="16"/>
                <w:szCs w:val="16"/>
                <w:lang w:eastAsia="en-AU"/>
              </w:rPr>
              <w:t>37</w:t>
            </w:r>
          </w:p>
        </w:tc>
      </w:tr>
    </w:tbl>
    <w:p w14:paraId="040BC8C4" w14:textId="51B8E599" w:rsidR="00DE37AC" w:rsidRPr="00DE37AC" w:rsidRDefault="00DE37AC" w:rsidP="00547CD8">
      <w:pPr>
        <w:pStyle w:val="CGC2025TableNote"/>
      </w:pPr>
      <w:r w:rsidRPr="00DE37AC">
        <w:t xml:space="preserve">Source: </w:t>
      </w:r>
      <w:r>
        <w:t>Commission calculation using</w:t>
      </w:r>
      <w:r w:rsidR="00492C6D">
        <w:t xml:space="preserve"> state </w:t>
      </w:r>
      <w:r w:rsidR="000401DE">
        <w:t xml:space="preserve">provided </w:t>
      </w:r>
      <w:r w:rsidR="00492C6D">
        <w:t>aero-medical and PATS expenses and</w:t>
      </w:r>
      <w:r w:rsidR="00A26509">
        <w:t xml:space="preserve"> ABS </w:t>
      </w:r>
      <w:r w:rsidR="00436D85">
        <w:t xml:space="preserve">unpublished </w:t>
      </w:r>
      <w:r w:rsidR="00A26509">
        <w:t>population data.</w:t>
      </w:r>
      <w:r w:rsidR="00492C6D">
        <w:t xml:space="preserve"> </w:t>
      </w:r>
    </w:p>
    <w:p w14:paraId="5920DC31" w14:textId="683502EE" w:rsidR="00BB273E" w:rsidRPr="000351EC" w:rsidRDefault="00FE1FDF" w:rsidP="00BB273E">
      <w:pPr>
        <w:pStyle w:val="CGC2025ParaNumbers"/>
      </w:pPr>
      <w:r w:rsidRPr="000351EC">
        <w:lastRenderedPageBreak/>
        <w:t xml:space="preserve">The regional cost gradient </w:t>
      </w:r>
      <w:r w:rsidR="00BE4133" w:rsidRPr="000351EC">
        <w:t xml:space="preserve">is applied to state populations in each remoteness area. </w:t>
      </w:r>
      <w:r w:rsidR="00B52B19" w:rsidRPr="000351EC">
        <w:t>The</w:t>
      </w:r>
      <w:r w:rsidR="00977BB6" w:rsidRPr="000351EC">
        <w:t xml:space="preserve"> cost-weighted </w:t>
      </w:r>
      <w:r w:rsidR="00B52B19" w:rsidRPr="000351EC">
        <w:t>populations are used to apportion national expenses on non</w:t>
      </w:r>
      <w:r w:rsidR="00B52B19" w:rsidRPr="000351EC">
        <w:noBreakHyphen/>
        <w:t>hospital</w:t>
      </w:r>
      <w:r w:rsidR="00E54376" w:rsidRPr="000351EC">
        <w:t xml:space="preserve"> patient transport to </w:t>
      </w:r>
      <w:r w:rsidR="00BC7530" w:rsidRPr="000351EC">
        <w:t>produce state assessed expenses.</w:t>
      </w:r>
    </w:p>
    <w:p w14:paraId="61DB0461" w14:textId="695B3961" w:rsidR="00BC7530" w:rsidRDefault="00232950" w:rsidP="009E46F7">
      <w:pPr>
        <w:pStyle w:val="Heading4"/>
      </w:pPr>
      <w:r>
        <w:t>Applying w</w:t>
      </w:r>
      <w:r w:rsidR="00BC7530">
        <w:t>age costs</w:t>
      </w:r>
    </w:p>
    <w:p w14:paraId="65998B42" w14:textId="3ED37988" w:rsidR="00AE07EA" w:rsidRDefault="00AE07EA" w:rsidP="00AE07EA">
      <w:pPr>
        <w:pStyle w:val="CGC2025ParaNumbers"/>
      </w:pPr>
      <w:r w:rsidRPr="00236AD4">
        <w:t xml:space="preserve">Wages costs are a significant share of the total cost of providing </w:t>
      </w:r>
      <w:r w:rsidR="00AD0845">
        <w:t>non-hospital patient transport</w:t>
      </w:r>
      <w:r w:rsidRPr="00236AD4">
        <w:t xml:space="preserve"> services. Differences in wage costs between states have a differential effect on the cost of providing hospital services. The health assessment uses the Commission’s general method for measuring the influence of wage costs. </w:t>
      </w:r>
      <w:r w:rsidR="00692B7D">
        <w:t>D</w:t>
      </w:r>
      <w:r w:rsidRPr="00236AD4">
        <w:t>etails on how this is calculated</w:t>
      </w:r>
      <w:r w:rsidR="00692B7D">
        <w:t xml:space="preserve"> are in</w:t>
      </w:r>
      <w:r w:rsidR="001B6EFE">
        <w:t xml:space="preserve"> </w:t>
      </w:r>
      <w:r w:rsidRPr="00236AD4">
        <w:t>the wage costs chapter</w:t>
      </w:r>
      <w:r w:rsidR="00D46EEC">
        <w:t xml:space="preserve"> </w:t>
      </w:r>
      <w:r w:rsidR="00B03936">
        <w:t>of</w:t>
      </w:r>
      <w:r w:rsidR="00D46EEC">
        <w:t xml:space="preserve"> the </w:t>
      </w:r>
      <w:r w:rsidR="00D46EEC" w:rsidRPr="00603B6A">
        <w:rPr>
          <w:i/>
          <w:iCs/>
        </w:rPr>
        <w:t xml:space="preserve">Commission’s </w:t>
      </w:r>
      <w:r w:rsidR="00603B6A">
        <w:rPr>
          <w:i/>
          <w:iCs/>
        </w:rPr>
        <w:t>A</w:t>
      </w:r>
      <w:r w:rsidR="00D46EEC" w:rsidRPr="008627AF">
        <w:rPr>
          <w:i/>
          <w:iCs/>
        </w:rPr>
        <w:t xml:space="preserve">ssessment </w:t>
      </w:r>
      <w:r w:rsidR="00603B6A">
        <w:rPr>
          <w:i/>
          <w:iCs/>
        </w:rPr>
        <w:t>M</w:t>
      </w:r>
      <w:r w:rsidR="00D46EEC" w:rsidRPr="008627AF">
        <w:rPr>
          <w:i/>
          <w:iCs/>
        </w:rPr>
        <w:t>ethodology</w:t>
      </w:r>
      <w:r w:rsidRPr="00236AD4">
        <w:t>.</w:t>
      </w:r>
    </w:p>
    <w:p w14:paraId="368C51BB" w14:textId="7747A60D" w:rsidR="001B52AC" w:rsidRPr="001B52AC" w:rsidRDefault="0069634A" w:rsidP="00222871">
      <w:pPr>
        <w:pStyle w:val="Heading3"/>
      </w:pPr>
      <w:r>
        <w:t>COVID-19</w:t>
      </w:r>
      <w:r w:rsidR="005111C4">
        <w:t xml:space="preserve"> component</w:t>
      </w:r>
    </w:p>
    <w:p w14:paraId="240721F6" w14:textId="01F994EB" w:rsidR="00514723" w:rsidRDefault="004B3CCF" w:rsidP="0019206B">
      <w:pPr>
        <w:pStyle w:val="CGC2025ParaNumbers"/>
      </w:pPr>
      <w:r>
        <w:t>S</w:t>
      </w:r>
      <w:r w:rsidR="005B58F3">
        <w:t>tate spending on COVID</w:t>
      </w:r>
      <w:r w:rsidR="005B58F3">
        <w:noBreakHyphen/>
        <w:t>19</w:t>
      </w:r>
      <w:r w:rsidR="00FE5B6C">
        <w:t>–</w:t>
      </w:r>
      <w:r w:rsidR="005B58F3">
        <w:t xml:space="preserve">related public hospital and public health services </w:t>
      </w:r>
      <w:r w:rsidR="0031682E">
        <w:t>are</w:t>
      </w:r>
      <w:r>
        <w:t xml:space="preserve"> assessed separately</w:t>
      </w:r>
      <w:r w:rsidR="00C66A19">
        <w:t xml:space="preserve">. </w:t>
      </w:r>
    </w:p>
    <w:p w14:paraId="04563FB4" w14:textId="5EC4DF39" w:rsidR="00514723" w:rsidRDefault="00514723" w:rsidP="00514723">
      <w:pPr>
        <w:pStyle w:val="Heading4"/>
      </w:pPr>
      <w:r>
        <w:t>Expenses</w:t>
      </w:r>
    </w:p>
    <w:p w14:paraId="3DABCF74" w14:textId="4ABA3748" w:rsidR="00732F6B" w:rsidRDefault="002A3880" w:rsidP="008C1460">
      <w:pPr>
        <w:pStyle w:val="CGC2025ParaNumbers"/>
      </w:pPr>
      <w:r>
        <w:t>The value of expenses</w:t>
      </w:r>
      <w:r w:rsidR="00E43B29">
        <w:t xml:space="preserve"> in the COVID</w:t>
      </w:r>
      <w:r w:rsidR="00E43B29">
        <w:noBreakHyphen/>
        <w:t>19 component</w:t>
      </w:r>
      <w:r w:rsidR="0068265E">
        <w:t xml:space="preserve"> is determined by the </w:t>
      </w:r>
      <w:r w:rsidR="00E43B29">
        <w:t>amount of funding contributed by the Commonwealth and the states</w:t>
      </w:r>
      <w:r w:rsidR="00732F6B">
        <w:t xml:space="preserve"> under the National Partnership on COVID</w:t>
      </w:r>
      <w:r w:rsidR="00732F6B">
        <w:noBreakHyphen/>
        <w:t>19 Response</w:t>
      </w:r>
      <w:r w:rsidR="00FE33B4">
        <w:t xml:space="preserve"> for public hospital and public health services.</w:t>
      </w:r>
      <w:r w:rsidR="00FD3782">
        <w:rPr>
          <w:rStyle w:val="FootnoteReference"/>
        </w:rPr>
        <w:footnoteReference w:id="11"/>
      </w:r>
    </w:p>
    <w:p w14:paraId="29CCA364" w14:textId="7495039B" w:rsidR="008C1460" w:rsidRDefault="008C1460" w:rsidP="008C1460">
      <w:pPr>
        <w:pStyle w:val="CGC2025ParaNumbers"/>
      </w:pPr>
      <w:r>
        <w:t>The reconciled value of the payments (rather than the estimates published in the Commonwealth</w:t>
      </w:r>
      <w:r w:rsidR="00B06F83">
        <w:t xml:space="preserve"> of Australia</w:t>
      </w:r>
      <w:r>
        <w:t xml:space="preserve">’s </w:t>
      </w:r>
      <w:r w:rsidRPr="00F62E02">
        <w:rPr>
          <w:i/>
          <w:iCs/>
        </w:rPr>
        <w:t>Final Budget Outcome</w:t>
      </w:r>
      <w:r>
        <w:t>) are used as these provide a more accurate reflection of state spending</w:t>
      </w:r>
      <w:r w:rsidR="00A83595">
        <w:t xml:space="preserve"> that align with activity data</w:t>
      </w:r>
      <w:r>
        <w:t>.</w:t>
      </w:r>
      <w:r w:rsidR="00E14C57">
        <w:t xml:space="preserve"> </w:t>
      </w:r>
      <w:r w:rsidR="00E14C57">
        <w:rPr>
          <w:rStyle w:val="normaltextrun"/>
          <w:color w:val="000000"/>
          <w:szCs w:val="20"/>
          <w:bdr w:val="none" w:sz="0" w:space="0" w:color="auto" w:frame="1"/>
        </w:rPr>
        <w:t xml:space="preserve">This represents half of total </w:t>
      </w:r>
      <w:r w:rsidR="0066583F">
        <w:rPr>
          <w:rStyle w:val="normaltextrun"/>
          <w:color w:val="000000"/>
          <w:szCs w:val="20"/>
          <w:bdr w:val="none" w:sz="0" w:space="0" w:color="auto" w:frame="1"/>
        </w:rPr>
        <w:t>expenses</w:t>
      </w:r>
      <w:r w:rsidR="00E14C57">
        <w:rPr>
          <w:rStyle w:val="normaltextrun"/>
          <w:color w:val="000000"/>
          <w:szCs w:val="20"/>
          <w:bdr w:val="none" w:sz="0" w:space="0" w:color="auto" w:frame="1"/>
        </w:rPr>
        <w:t xml:space="preserve"> as states matched the Commonwealth contribution.</w:t>
      </w:r>
    </w:p>
    <w:p w14:paraId="170759D2" w14:textId="7BB800EC" w:rsidR="00C04EFC" w:rsidRDefault="00C04EFC" w:rsidP="00C04EFC">
      <w:pPr>
        <w:pStyle w:val="CGC2025ParaNumbers"/>
      </w:pPr>
      <w:r>
        <w:t xml:space="preserve">The National Partnership on COVID-19 Response ceased in 2022–23. The separate assessment of state spending under the national partnership will continue until the 2027 Update when </w:t>
      </w:r>
      <w:r w:rsidR="00301B27">
        <w:t xml:space="preserve">the </w:t>
      </w:r>
      <w:r>
        <w:t xml:space="preserve">2022–23 </w:t>
      </w:r>
      <w:r w:rsidR="00301B27">
        <w:t xml:space="preserve">financial year </w:t>
      </w:r>
      <w:r>
        <w:t xml:space="preserve">drops out of the Commission’s </w:t>
      </w:r>
      <w:r w:rsidR="00E60C4B">
        <w:t>3-year</w:t>
      </w:r>
      <w:r w:rsidR="00CE24DD">
        <w:t xml:space="preserve"> </w:t>
      </w:r>
      <w:r>
        <w:t>assessment</w:t>
      </w:r>
      <w:r w:rsidDel="00CE24DD">
        <w:t xml:space="preserve"> </w:t>
      </w:r>
      <w:r>
        <w:t xml:space="preserve">period. </w:t>
      </w:r>
    </w:p>
    <w:p w14:paraId="100D79E0" w14:textId="19FE661E" w:rsidR="00C04EFC" w:rsidRDefault="00C04EFC" w:rsidP="00C04EFC">
      <w:pPr>
        <w:pStyle w:val="CGC2025Bullet1"/>
      </w:pPr>
      <w:r>
        <w:t>The 2025 Review includes the 3 assessment years 2021–22 to 2023–24, and there will be a separate assessment of state spending on COVID-19 spending for 2021</w:t>
      </w:r>
      <w:r w:rsidR="001178CE">
        <w:t>–</w:t>
      </w:r>
      <w:r w:rsidR="001178CE">
        <w:rPr>
          <w:rFonts w:ascii="Times New Roman" w:hAnsi="Times New Roman" w:cs="Times New Roman" w:hint="eastAsia"/>
          <w:rtl/>
        </w:rPr>
        <w:t>‍</w:t>
      </w:r>
      <w:r>
        <w:t xml:space="preserve">22 and 2022–23. </w:t>
      </w:r>
    </w:p>
    <w:p w14:paraId="70093CC5" w14:textId="77777777" w:rsidR="00C04EFC" w:rsidRDefault="00C04EFC" w:rsidP="00C04EFC">
      <w:pPr>
        <w:pStyle w:val="CGC2025Bullet1"/>
      </w:pPr>
      <w:r>
        <w:t xml:space="preserve">In the 2026 Update, there will be a separate assessment on COVID-19 spending only for 2022–23 because 2021–22 will drop out of the assessment period. </w:t>
      </w:r>
    </w:p>
    <w:p w14:paraId="2D6D4CD3" w14:textId="77777777" w:rsidR="00C04EFC" w:rsidRDefault="00C04EFC" w:rsidP="00C04EFC">
      <w:pPr>
        <w:pStyle w:val="CGC2025Bullet1"/>
      </w:pPr>
      <w:r>
        <w:t>For the 2027 Update, 2022–23, the last year for the National Partnership on COVID-19 Response, will drop out of the assessment period.</w:t>
      </w:r>
    </w:p>
    <w:p w14:paraId="3F64A3B8" w14:textId="2C225A7D" w:rsidR="008C1460" w:rsidRDefault="008F3321" w:rsidP="008F3321">
      <w:pPr>
        <w:pStyle w:val="Heading4"/>
      </w:pPr>
      <w:r>
        <w:lastRenderedPageBreak/>
        <w:t>Drivers</w:t>
      </w:r>
    </w:p>
    <w:p w14:paraId="76FD3A65" w14:textId="54D82093" w:rsidR="00176806" w:rsidRDefault="002C439F" w:rsidP="002C439F">
      <w:pPr>
        <w:pStyle w:val="CGC2025ParaNumbers"/>
      </w:pPr>
      <w:r>
        <w:t xml:space="preserve">The usual </w:t>
      </w:r>
      <w:r w:rsidR="00107009">
        <w:t xml:space="preserve">drivers </w:t>
      </w:r>
      <w:r w:rsidR="00360550">
        <w:t xml:space="preserve">in the health assessment do not </w:t>
      </w:r>
      <w:r w:rsidR="00813F0E">
        <w:t xml:space="preserve">adequately reflect </w:t>
      </w:r>
      <w:r w:rsidR="00107009">
        <w:t xml:space="preserve">state </w:t>
      </w:r>
      <w:r w:rsidR="005B454C">
        <w:t>expense needs for COVID</w:t>
      </w:r>
      <w:r w:rsidR="005B454C">
        <w:noBreakHyphen/>
        <w:t>19</w:t>
      </w:r>
      <w:r w:rsidR="006B6EA6">
        <w:t>–</w:t>
      </w:r>
      <w:r w:rsidR="005B454C">
        <w:t xml:space="preserve">related </w:t>
      </w:r>
      <w:r w:rsidR="00CB7AA3">
        <w:t>hospital and public health</w:t>
      </w:r>
      <w:r w:rsidR="00CD13EA">
        <w:t xml:space="preserve"> services</w:t>
      </w:r>
      <w:r w:rsidR="00D2369E">
        <w:t xml:space="preserve"> during the period in which the National Partnership on COVID-19 Response</w:t>
      </w:r>
      <w:r w:rsidR="003D4226">
        <w:t xml:space="preserve"> wa</w:t>
      </w:r>
      <w:r w:rsidR="00A66997">
        <w:t xml:space="preserve">s </w:t>
      </w:r>
      <w:r w:rsidR="008125C4">
        <w:t>in place.</w:t>
      </w:r>
    </w:p>
    <w:p w14:paraId="49343CD0" w14:textId="50B31762" w:rsidR="00FB1B66" w:rsidRDefault="005B5C86" w:rsidP="00E82A8C">
      <w:pPr>
        <w:pStyle w:val="CGC2025ParaNumbers"/>
      </w:pPr>
      <w:r>
        <w:t>COVID</w:t>
      </w:r>
      <w:r>
        <w:noBreakHyphen/>
        <w:t xml:space="preserve">19 </w:t>
      </w:r>
      <w:r w:rsidR="000432EE">
        <w:t xml:space="preserve">component </w:t>
      </w:r>
      <w:r>
        <w:t xml:space="preserve">expenses </w:t>
      </w:r>
      <w:r w:rsidR="005E6429">
        <w:t>(both Commonwealth and state funded</w:t>
      </w:r>
      <w:r w:rsidR="009E0023">
        <w:t xml:space="preserve">) </w:t>
      </w:r>
      <w:r w:rsidR="006367DB">
        <w:t>are</w:t>
      </w:r>
      <w:r>
        <w:t xml:space="preserve"> assessed on an actual per capita basis. </w:t>
      </w:r>
      <w:r w:rsidR="00CD13EA">
        <w:t>S</w:t>
      </w:r>
      <w:r w:rsidR="00C94444">
        <w:t xml:space="preserve">tate responses to the COVID-19 pandemic </w:t>
      </w:r>
      <w:r w:rsidR="007B6DAB">
        <w:t>are</w:t>
      </w:r>
      <w:r w:rsidR="00A34441">
        <w:t xml:space="preserve"> considered to </w:t>
      </w:r>
      <w:r w:rsidR="00C94444">
        <w:t>largely reflect</w:t>
      </w:r>
      <w:r w:rsidR="00A34441">
        <w:t xml:space="preserve"> state</w:t>
      </w:r>
      <w:r w:rsidR="00C94444">
        <w:t xml:space="preserve"> circumstances rather than state-specific policy choice</w:t>
      </w:r>
      <w:r w:rsidR="00D77C17">
        <w:t xml:space="preserve">s. The </w:t>
      </w:r>
      <w:r w:rsidR="00D77C17" w:rsidRPr="00EF73E4">
        <w:t>National Partnership on COVID-19 Response</w:t>
      </w:r>
      <w:r w:rsidR="005D5531">
        <w:t xml:space="preserve"> ensure</w:t>
      </w:r>
      <w:r w:rsidR="00034DA8">
        <w:t>d</w:t>
      </w:r>
      <w:r w:rsidR="005D5531">
        <w:t xml:space="preserve"> state</w:t>
      </w:r>
      <w:r w:rsidR="00C23EA9">
        <w:t xml:space="preserve"> spending was broadly policy neutral</w:t>
      </w:r>
      <w:r w:rsidR="00E82A8C">
        <w:t>.</w:t>
      </w:r>
    </w:p>
    <w:p w14:paraId="157D3242" w14:textId="6B10A1F1" w:rsidR="009A1366" w:rsidRPr="0015091D" w:rsidRDefault="009A1366" w:rsidP="00FC5090">
      <w:pPr>
        <w:pStyle w:val="Heading2"/>
        <w:keepNext/>
      </w:pPr>
      <w:bookmarkStart w:id="38" w:name="_Toc164798169"/>
      <w:r w:rsidRPr="0015091D">
        <w:t xml:space="preserve">GST distribution in the 2025 </w:t>
      </w:r>
      <w:bookmarkEnd w:id="38"/>
      <w:r w:rsidR="00FB359A">
        <w:t>Review</w:t>
      </w:r>
    </w:p>
    <w:p w14:paraId="7EFDDBD3" w14:textId="6F6B5714" w:rsidR="009A1366" w:rsidRPr="0015091D" w:rsidRDefault="001B6EFE" w:rsidP="00FC5090">
      <w:pPr>
        <w:pStyle w:val="CGC2025ParaNumbers"/>
        <w:keepNext/>
      </w:pPr>
      <w:r>
        <w:t xml:space="preserve">Table 18 </w:t>
      </w:r>
      <w:r w:rsidR="009A1366" w:rsidRPr="0015091D">
        <w:t xml:space="preserve">shows the GST impact of the assessment in the 2025 </w:t>
      </w:r>
      <w:r w:rsidR="00C85972">
        <w:t>Review</w:t>
      </w:r>
      <w:r w:rsidR="009A1366" w:rsidRPr="0015091D">
        <w:t xml:space="preserve">. </w:t>
      </w:r>
    </w:p>
    <w:p w14:paraId="588B0017" w14:textId="3846AFB9" w:rsidR="005B6E72" w:rsidRPr="0015091D" w:rsidRDefault="009A1366" w:rsidP="005B6E72">
      <w:pPr>
        <w:pStyle w:val="CGC2025Caption"/>
      </w:pPr>
      <w:bookmarkStart w:id="39" w:name="_Ref138159811"/>
      <w:r w:rsidRPr="00D91355">
        <w:t xml:space="preserve">Table </w:t>
      </w:r>
      <w:bookmarkEnd w:id="39"/>
      <w:r w:rsidR="003149B6">
        <w:t>18</w:t>
      </w:r>
      <w:r w:rsidRPr="00D91355">
        <w:tab/>
        <w:t xml:space="preserve">GST impact of the </w:t>
      </w:r>
      <w:r w:rsidR="00A40F54" w:rsidRPr="00D91355">
        <w:t>health</w:t>
      </w:r>
      <w:r w:rsidRPr="00D91355">
        <w:t xml:space="preserve"> assessment, 2025</w:t>
      </w:r>
      <w:r w:rsidR="004D07DF">
        <w:t>–</w:t>
      </w:r>
      <w:r w:rsidRPr="00D91355">
        <w:t>26</w:t>
      </w:r>
    </w:p>
    <w:tbl>
      <w:tblPr>
        <w:tblW w:w="8942" w:type="dxa"/>
        <w:tblLook w:val="04A0" w:firstRow="1" w:lastRow="0" w:firstColumn="1" w:lastColumn="0" w:noHBand="0" w:noVBand="1"/>
      </w:tblPr>
      <w:tblGrid>
        <w:gridCol w:w="2678"/>
        <w:gridCol w:w="699"/>
        <w:gridCol w:w="705"/>
        <w:gridCol w:w="684"/>
        <w:gridCol w:w="684"/>
        <w:gridCol w:w="684"/>
        <w:gridCol w:w="705"/>
        <w:gridCol w:w="688"/>
        <w:gridCol w:w="705"/>
        <w:gridCol w:w="710"/>
      </w:tblGrid>
      <w:tr w:rsidR="00C93046" w:rsidRPr="00C93046" w14:paraId="466DAC8B" w14:textId="77777777" w:rsidTr="00C93046">
        <w:trPr>
          <w:trHeight w:val="553"/>
        </w:trPr>
        <w:tc>
          <w:tcPr>
            <w:tcW w:w="2678" w:type="dxa"/>
            <w:tcBorders>
              <w:top w:val="nil"/>
              <w:left w:val="nil"/>
              <w:bottom w:val="nil"/>
              <w:right w:val="nil"/>
            </w:tcBorders>
            <w:shd w:val="clear" w:color="000000" w:fill="006991"/>
            <w:vAlign w:val="center"/>
            <w:hideMark/>
          </w:tcPr>
          <w:p w14:paraId="72B1F974" w14:textId="77777777" w:rsidR="00C93046" w:rsidRPr="00C93046" w:rsidRDefault="00C93046" w:rsidP="00C93046">
            <w:pPr>
              <w:tabs>
                <w:tab w:val="clear" w:pos="567"/>
              </w:tabs>
              <w:spacing w:before="0" w:line="240" w:lineRule="auto"/>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 </w:t>
            </w:r>
          </w:p>
        </w:tc>
        <w:tc>
          <w:tcPr>
            <w:tcW w:w="699" w:type="dxa"/>
            <w:tcBorders>
              <w:top w:val="nil"/>
              <w:left w:val="nil"/>
              <w:bottom w:val="nil"/>
              <w:right w:val="nil"/>
            </w:tcBorders>
            <w:shd w:val="clear" w:color="000000" w:fill="006991"/>
            <w:vAlign w:val="center"/>
            <w:hideMark/>
          </w:tcPr>
          <w:p w14:paraId="30BBC151"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NSW</w:t>
            </w:r>
          </w:p>
        </w:tc>
        <w:tc>
          <w:tcPr>
            <w:tcW w:w="705" w:type="dxa"/>
            <w:tcBorders>
              <w:top w:val="nil"/>
              <w:left w:val="nil"/>
              <w:bottom w:val="nil"/>
              <w:right w:val="nil"/>
            </w:tcBorders>
            <w:shd w:val="clear" w:color="000000" w:fill="006991"/>
            <w:vAlign w:val="center"/>
            <w:hideMark/>
          </w:tcPr>
          <w:p w14:paraId="2DF402BD"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Vic</w:t>
            </w:r>
          </w:p>
        </w:tc>
        <w:tc>
          <w:tcPr>
            <w:tcW w:w="684" w:type="dxa"/>
            <w:tcBorders>
              <w:top w:val="nil"/>
              <w:left w:val="nil"/>
              <w:bottom w:val="nil"/>
              <w:right w:val="nil"/>
            </w:tcBorders>
            <w:shd w:val="clear" w:color="000000" w:fill="006991"/>
            <w:vAlign w:val="center"/>
            <w:hideMark/>
          </w:tcPr>
          <w:p w14:paraId="0519DCFD"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Qld</w:t>
            </w:r>
          </w:p>
        </w:tc>
        <w:tc>
          <w:tcPr>
            <w:tcW w:w="684" w:type="dxa"/>
            <w:tcBorders>
              <w:top w:val="nil"/>
              <w:left w:val="nil"/>
              <w:bottom w:val="nil"/>
              <w:right w:val="nil"/>
            </w:tcBorders>
            <w:shd w:val="clear" w:color="000000" w:fill="006991"/>
            <w:vAlign w:val="center"/>
            <w:hideMark/>
          </w:tcPr>
          <w:p w14:paraId="4C3F7E99"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WA</w:t>
            </w:r>
          </w:p>
        </w:tc>
        <w:tc>
          <w:tcPr>
            <w:tcW w:w="684" w:type="dxa"/>
            <w:tcBorders>
              <w:top w:val="nil"/>
              <w:left w:val="nil"/>
              <w:bottom w:val="nil"/>
              <w:right w:val="nil"/>
            </w:tcBorders>
            <w:shd w:val="clear" w:color="000000" w:fill="006991"/>
            <w:vAlign w:val="center"/>
            <w:hideMark/>
          </w:tcPr>
          <w:p w14:paraId="3AE87F43"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SA</w:t>
            </w:r>
          </w:p>
        </w:tc>
        <w:tc>
          <w:tcPr>
            <w:tcW w:w="705" w:type="dxa"/>
            <w:tcBorders>
              <w:top w:val="nil"/>
              <w:left w:val="nil"/>
              <w:bottom w:val="nil"/>
              <w:right w:val="nil"/>
            </w:tcBorders>
            <w:shd w:val="clear" w:color="000000" w:fill="006991"/>
            <w:vAlign w:val="center"/>
            <w:hideMark/>
          </w:tcPr>
          <w:p w14:paraId="0466F25A"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Tas</w:t>
            </w:r>
          </w:p>
        </w:tc>
        <w:tc>
          <w:tcPr>
            <w:tcW w:w="688" w:type="dxa"/>
            <w:tcBorders>
              <w:top w:val="nil"/>
              <w:left w:val="nil"/>
              <w:bottom w:val="nil"/>
              <w:right w:val="nil"/>
            </w:tcBorders>
            <w:shd w:val="clear" w:color="000000" w:fill="006991"/>
            <w:vAlign w:val="center"/>
            <w:hideMark/>
          </w:tcPr>
          <w:p w14:paraId="7C6C2555"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ACT</w:t>
            </w:r>
          </w:p>
        </w:tc>
        <w:tc>
          <w:tcPr>
            <w:tcW w:w="705" w:type="dxa"/>
            <w:tcBorders>
              <w:top w:val="nil"/>
              <w:left w:val="nil"/>
              <w:bottom w:val="nil"/>
              <w:right w:val="nil"/>
            </w:tcBorders>
            <w:shd w:val="clear" w:color="000000" w:fill="006991"/>
            <w:vAlign w:val="center"/>
            <w:hideMark/>
          </w:tcPr>
          <w:p w14:paraId="5BE12863"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NT</w:t>
            </w:r>
          </w:p>
        </w:tc>
        <w:tc>
          <w:tcPr>
            <w:tcW w:w="710" w:type="dxa"/>
            <w:tcBorders>
              <w:top w:val="nil"/>
              <w:left w:val="nil"/>
              <w:bottom w:val="nil"/>
              <w:right w:val="nil"/>
            </w:tcBorders>
            <w:shd w:val="clear" w:color="000000" w:fill="006991"/>
            <w:vAlign w:val="center"/>
            <w:hideMark/>
          </w:tcPr>
          <w:p w14:paraId="67D73734"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3046">
              <w:rPr>
                <w:rFonts w:ascii="Open Sans Semibold" w:eastAsia="Times New Roman" w:hAnsi="Open Sans Semibold" w:cs="Open Sans Semibold"/>
                <w:color w:val="FFFFFF"/>
                <w:sz w:val="16"/>
                <w:szCs w:val="16"/>
                <w:lang w:eastAsia="en-AU"/>
              </w:rPr>
              <w:t>Total effect</w:t>
            </w:r>
          </w:p>
        </w:tc>
      </w:tr>
      <w:tr w:rsidR="00C93046" w:rsidRPr="00C93046" w14:paraId="13A35AAE" w14:textId="77777777" w:rsidTr="00C93046">
        <w:trPr>
          <w:trHeight w:val="260"/>
        </w:trPr>
        <w:tc>
          <w:tcPr>
            <w:tcW w:w="2678" w:type="dxa"/>
            <w:tcBorders>
              <w:top w:val="single" w:sz="4" w:space="0" w:color="ADD6EA"/>
              <w:left w:val="nil"/>
              <w:bottom w:val="nil"/>
              <w:right w:val="nil"/>
            </w:tcBorders>
            <w:shd w:val="clear" w:color="000000" w:fill="B6D5E4"/>
            <w:vAlign w:val="bottom"/>
            <w:hideMark/>
          </w:tcPr>
          <w:p w14:paraId="7881247D" w14:textId="77777777" w:rsidR="00C93046" w:rsidRPr="00C93046" w:rsidRDefault="00C93046" w:rsidP="00C93046">
            <w:pPr>
              <w:tabs>
                <w:tab w:val="clear" w:pos="567"/>
              </w:tabs>
              <w:spacing w:before="0" w:line="240" w:lineRule="auto"/>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 </w:t>
            </w:r>
          </w:p>
        </w:tc>
        <w:tc>
          <w:tcPr>
            <w:tcW w:w="699" w:type="dxa"/>
            <w:tcBorders>
              <w:top w:val="single" w:sz="4" w:space="0" w:color="ADD6EA"/>
              <w:left w:val="nil"/>
              <w:bottom w:val="nil"/>
              <w:right w:val="nil"/>
            </w:tcBorders>
            <w:shd w:val="clear" w:color="000000" w:fill="B6D5E4"/>
            <w:vAlign w:val="center"/>
            <w:hideMark/>
          </w:tcPr>
          <w:p w14:paraId="0D61C101"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$m</w:t>
            </w:r>
          </w:p>
        </w:tc>
        <w:tc>
          <w:tcPr>
            <w:tcW w:w="705" w:type="dxa"/>
            <w:tcBorders>
              <w:top w:val="single" w:sz="4" w:space="0" w:color="ADD6EA"/>
              <w:left w:val="nil"/>
              <w:bottom w:val="nil"/>
              <w:right w:val="nil"/>
            </w:tcBorders>
            <w:shd w:val="clear" w:color="000000" w:fill="B6D5E4"/>
            <w:vAlign w:val="center"/>
            <w:hideMark/>
          </w:tcPr>
          <w:p w14:paraId="7A3604EC"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$m</w:t>
            </w:r>
          </w:p>
        </w:tc>
        <w:tc>
          <w:tcPr>
            <w:tcW w:w="684" w:type="dxa"/>
            <w:tcBorders>
              <w:top w:val="single" w:sz="4" w:space="0" w:color="ADD6EA"/>
              <w:left w:val="nil"/>
              <w:bottom w:val="nil"/>
              <w:right w:val="nil"/>
            </w:tcBorders>
            <w:shd w:val="clear" w:color="000000" w:fill="B6D5E4"/>
            <w:vAlign w:val="center"/>
            <w:hideMark/>
          </w:tcPr>
          <w:p w14:paraId="0567CF78"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$m</w:t>
            </w:r>
          </w:p>
        </w:tc>
        <w:tc>
          <w:tcPr>
            <w:tcW w:w="684" w:type="dxa"/>
            <w:tcBorders>
              <w:top w:val="single" w:sz="4" w:space="0" w:color="ADD6EA"/>
              <w:left w:val="nil"/>
              <w:bottom w:val="nil"/>
              <w:right w:val="nil"/>
            </w:tcBorders>
            <w:shd w:val="clear" w:color="000000" w:fill="B6D5E4"/>
            <w:vAlign w:val="center"/>
            <w:hideMark/>
          </w:tcPr>
          <w:p w14:paraId="7A8EDA46"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$m</w:t>
            </w:r>
          </w:p>
        </w:tc>
        <w:tc>
          <w:tcPr>
            <w:tcW w:w="684" w:type="dxa"/>
            <w:tcBorders>
              <w:top w:val="single" w:sz="4" w:space="0" w:color="ADD6EA"/>
              <w:left w:val="nil"/>
              <w:bottom w:val="nil"/>
              <w:right w:val="nil"/>
            </w:tcBorders>
            <w:shd w:val="clear" w:color="000000" w:fill="B6D5E4"/>
            <w:vAlign w:val="center"/>
            <w:hideMark/>
          </w:tcPr>
          <w:p w14:paraId="5558ABA9"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$m</w:t>
            </w:r>
          </w:p>
        </w:tc>
        <w:tc>
          <w:tcPr>
            <w:tcW w:w="705" w:type="dxa"/>
            <w:tcBorders>
              <w:top w:val="single" w:sz="4" w:space="0" w:color="ADD6EA"/>
              <w:left w:val="nil"/>
              <w:bottom w:val="nil"/>
              <w:right w:val="nil"/>
            </w:tcBorders>
            <w:shd w:val="clear" w:color="000000" w:fill="B6D5E4"/>
            <w:vAlign w:val="center"/>
            <w:hideMark/>
          </w:tcPr>
          <w:p w14:paraId="45BE5287"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$m</w:t>
            </w:r>
          </w:p>
        </w:tc>
        <w:tc>
          <w:tcPr>
            <w:tcW w:w="688" w:type="dxa"/>
            <w:tcBorders>
              <w:top w:val="single" w:sz="4" w:space="0" w:color="ADD6EA"/>
              <w:left w:val="nil"/>
              <w:bottom w:val="nil"/>
              <w:right w:val="nil"/>
            </w:tcBorders>
            <w:shd w:val="clear" w:color="000000" w:fill="B6D5E4"/>
            <w:vAlign w:val="center"/>
            <w:hideMark/>
          </w:tcPr>
          <w:p w14:paraId="3170E09B"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$m</w:t>
            </w:r>
          </w:p>
        </w:tc>
        <w:tc>
          <w:tcPr>
            <w:tcW w:w="705" w:type="dxa"/>
            <w:tcBorders>
              <w:top w:val="single" w:sz="4" w:space="0" w:color="ADD6EA"/>
              <w:left w:val="nil"/>
              <w:bottom w:val="nil"/>
              <w:right w:val="nil"/>
            </w:tcBorders>
            <w:shd w:val="clear" w:color="000000" w:fill="B6D5E4"/>
            <w:vAlign w:val="center"/>
            <w:hideMark/>
          </w:tcPr>
          <w:p w14:paraId="526572CC"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$m</w:t>
            </w:r>
          </w:p>
        </w:tc>
        <w:tc>
          <w:tcPr>
            <w:tcW w:w="710" w:type="dxa"/>
            <w:tcBorders>
              <w:top w:val="single" w:sz="4" w:space="0" w:color="ADD6EA"/>
              <w:left w:val="nil"/>
              <w:bottom w:val="nil"/>
              <w:right w:val="nil"/>
            </w:tcBorders>
            <w:shd w:val="clear" w:color="000000" w:fill="B6D5E4"/>
            <w:vAlign w:val="center"/>
            <w:hideMark/>
          </w:tcPr>
          <w:p w14:paraId="18F1E9CF"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$m</w:t>
            </w:r>
          </w:p>
        </w:tc>
      </w:tr>
      <w:tr w:rsidR="00C93046" w:rsidRPr="00C93046" w14:paraId="4BB4EA76" w14:textId="77777777" w:rsidTr="00C93046">
        <w:trPr>
          <w:trHeight w:val="320"/>
        </w:trPr>
        <w:tc>
          <w:tcPr>
            <w:tcW w:w="2678" w:type="dxa"/>
            <w:tcBorders>
              <w:top w:val="single" w:sz="4" w:space="0" w:color="ADD6EA"/>
              <w:left w:val="nil"/>
              <w:bottom w:val="nil"/>
              <w:right w:val="nil"/>
            </w:tcBorders>
            <w:shd w:val="clear" w:color="000000" w:fill="FFFFFF"/>
            <w:vAlign w:val="center"/>
            <w:hideMark/>
          </w:tcPr>
          <w:p w14:paraId="23D070CB" w14:textId="77777777" w:rsidR="00C93046" w:rsidRPr="00C93046" w:rsidRDefault="00C93046" w:rsidP="00C93046">
            <w:pPr>
              <w:tabs>
                <w:tab w:val="clear" w:pos="567"/>
              </w:tabs>
              <w:spacing w:before="0" w:line="240" w:lineRule="auto"/>
              <w:rPr>
                <w:rFonts w:eastAsia="Times New Roman" w:cs="Open Sans Light"/>
                <w:color w:val="000000"/>
                <w:sz w:val="16"/>
                <w:szCs w:val="16"/>
                <w:lang w:eastAsia="en-AU"/>
              </w:rPr>
            </w:pPr>
            <w:r w:rsidRPr="00C93046">
              <w:rPr>
                <w:rFonts w:eastAsia="Times New Roman" w:cs="Open Sans Light"/>
                <w:color w:val="000000"/>
                <w:sz w:val="16"/>
                <w:szCs w:val="16"/>
                <w:lang w:eastAsia="en-AU"/>
              </w:rPr>
              <w:t xml:space="preserve"> Admitted patients</w:t>
            </w:r>
          </w:p>
        </w:tc>
        <w:tc>
          <w:tcPr>
            <w:tcW w:w="699" w:type="dxa"/>
            <w:tcBorders>
              <w:top w:val="single" w:sz="4" w:space="0" w:color="ADD6EA"/>
              <w:left w:val="nil"/>
              <w:bottom w:val="nil"/>
              <w:right w:val="nil"/>
            </w:tcBorders>
            <w:shd w:val="clear" w:color="000000" w:fill="FFFFFF"/>
            <w:vAlign w:val="center"/>
            <w:hideMark/>
          </w:tcPr>
          <w:p w14:paraId="0E83DD89"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-170</w:t>
            </w:r>
          </w:p>
        </w:tc>
        <w:tc>
          <w:tcPr>
            <w:tcW w:w="705" w:type="dxa"/>
            <w:tcBorders>
              <w:top w:val="single" w:sz="4" w:space="0" w:color="ADD6EA"/>
              <w:left w:val="nil"/>
              <w:bottom w:val="nil"/>
              <w:right w:val="nil"/>
            </w:tcBorders>
            <w:shd w:val="clear" w:color="000000" w:fill="FFFFFF"/>
            <w:vAlign w:val="center"/>
            <w:hideMark/>
          </w:tcPr>
          <w:p w14:paraId="73D696AD"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-920</w:t>
            </w:r>
          </w:p>
        </w:tc>
        <w:tc>
          <w:tcPr>
            <w:tcW w:w="684" w:type="dxa"/>
            <w:tcBorders>
              <w:top w:val="single" w:sz="4" w:space="0" w:color="ADD6EA"/>
              <w:left w:val="nil"/>
              <w:bottom w:val="nil"/>
              <w:right w:val="nil"/>
            </w:tcBorders>
            <w:shd w:val="clear" w:color="000000" w:fill="FFFFFF"/>
            <w:vAlign w:val="center"/>
            <w:hideMark/>
          </w:tcPr>
          <w:p w14:paraId="0A5F56BF"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208</w:t>
            </w:r>
          </w:p>
        </w:tc>
        <w:tc>
          <w:tcPr>
            <w:tcW w:w="684" w:type="dxa"/>
            <w:tcBorders>
              <w:top w:val="single" w:sz="4" w:space="0" w:color="ADD6EA"/>
              <w:left w:val="nil"/>
              <w:bottom w:val="nil"/>
              <w:right w:val="nil"/>
            </w:tcBorders>
            <w:shd w:val="clear" w:color="000000" w:fill="FFFFFF"/>
            <w:vAlign w:val="center"/>
            <w:hideMark/>
          </w:tcPr>
          <w:p w14:paraId="068FA672"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30</w:t>
            </w:r>
          </w:p>
        </w:tc>
        <w:tc>
          <w:tcPr>
            <w:tcW w:w="684" w:type="dxa"/>
            <w:tcBorders>
              <w:top w:val="single" w:sz="4" w:space="0" w:color="ADD6EA"/>
              <w:left w:val="nil"/>
              <w:bottom w:val="nil"/>
              <w:right w:val="nil"/>
            </w:tcBorders>
            <w:shd w:val="clear" w:color="000000" w:fill="FFFFFF"/>
            <w:vAlign w:val="center"/>
            <w:hideMark/>
          </w:tcPr>
          <w:p w14:paraId="4FF11AB6"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294</w:t>
            </w:r>
          </w:p>
        </w:tc>
        <w:tc>
          <w:tcPr>
            <w:tcW w:w="705" w:type="dxa"/>
            <w:tcBorders>
              <w:top w:val="single" w:sz="4" w:space="0" w:color="ADD6EA"/>
              <w:left w:val="nil"/>
              <w:bottom w:val="nil"/>
              <w:right w:val="nil"/>
            </w:tcBorders>
            <w:shd w:val="clear" w:color="000000" w:fill="FFFFFF"/>
            <w:vAlign w:val="center"/>
            <w:hideMark/>
          </w:tcPr>
          <w:p w14:paraId="6F9A93E7"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337</w:t>
            </w:r>
          </w:p>
        </w:tc>
        <w:tc>
          <w:tcPr>
            <w:tcW w:w="688" w:type="dxa"/>
            <w:tcBorders>
              <w:top w:val="single" w:sz="4" w:space="0" w:color="ADD6EA"/>
              <w:left w:val="nil"/>
              <w:bottom w:val="nil"/>
              <w:right w:val="nil"/>
            </w:tcBorders>
            <w:shd w:val="clear" w:color="000000" w:fill="FFFFFF"/>
            <w:vAlign w:val="center"/>
            <w:hideMark/>
          </w:tcPr>
          <w:p w14:paraId="1828F251"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-204</w:t>
            </w:r>
          </w:p>
        </w:tc>
        <w:tc>
          <w:tcPr>
            <w:tcW w:w="705" w:type="dxa"/>
            <w:tcBorders>
              <w:top w:val="single" w:sz="4" w:space="0" w:color="ADD6EA"/>
              <w:left w:val="nil"/>
              <w:bottom w:val="nil"/>
              <w:right w:val="nil"/>
            </w:tcBorders>
            <w:shd w:val="clear" w:color="000000" w:fill="FFFFFF"/>
            <w:vAlign w:val="center"/>
            <w:hideMark/>
          </w:tcPr>
          <w:p w14:paraId="75E4C864"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425</w:t>
            </w:r>
          </w:p>
        </w:tc>
        <w:tc>
          <w:tcPr>
            <w:tcW w:w="710" w:type="dxa"/>
            <w:tcBorders>
              <w:top w:val="single" w:sz="4" w:space="0" w:color="ADD6EA"/>
              <w:left w:val="nil"/>
              <w:bottom w:val="nil"/>
              <w:right w:val="nil"/>
            </w:tcBorders>
            <w:shd w:val="clear" w:color="000000" w:fill="FFFFFF"/>
            <w:vAlign w:val="center"/>
            <w:hideMark/>
          </w:tcPr>
          <w:p w14:paraId="64E8A2A8"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1,294</w:t>
            </w:r>
          </w:p>
        </w:tc>
      </w:tr>
      <w:tr w:rsidR="00C93046" w:rsidRPr="00C93046" w14:paraId="13DBC1F9" w14:textId="77777777" w:rsidTr="00C93046">
        <w:trPr>
          <w:trHeight w:val="320"/>
        </w:trPr>
        <w:tc>
          <w:tcPr>
            <w:tcW w:w="2678" w:type="dxa"/>
            <w:tcBorders>
              <w:top w:val="single" w:sz="4" w:space="0" w:color="ADD6EA"/>
              <w:left w:val="nil"/>
              <w:bottom w:val="nil"/>
              <w:right w:val="nil"/>
            </w:tcBorders>
            <w:shd w:val="clear" w:color="000000" w:fill="FFFFFF"/>
            <w:vAlign w:val="center"/>
            <w:hideMark/>
          </w:tcPr>
          <w:p w14:paraId="76938C20" w14:textId="77777777" w:rsidR="00C93046" w:rsidRPr="00C93046" w:rsidRDefault="00C93046" w:rsidP="00C93046">
            <w:pPr>
              <w:tabs>
                <w:tab w:val="clear" w:pos="567"/>
              </w:tabs>
              <w:spacing w:before="0" w:line="240" w:lineRule="auto"/>
              <w:rPr>
                <w:rFonts w:eastAsia="Times New Roman" w:cs="Open Sans Light"/>
                <w:color w:val="000000"/>
                <w:sz w:val="16"/>
                <w:szCs w:val="16"/>
                <w:lang w:eastAsia="en-AU"/>
              </w:rPr>
            </w:pPr>
            <w:r w:rsidRPr="00C93046">
              <w:rPr>
                <w:rFonts w:eastAsia="Times New Roman" w:cs="Open Sans Light"/>
                <w:color w:val="000000"/>
                <w:sz w:val="16"/>
                <w:szCs w:val="16"/>
                <w:lang w:eastAsia="en-AU"/>
              </w:rPr>
              <w:t xml:space="preserve"> Emergency departments</w:t>
            </w:r>
          </w:p>
        </w:tc>
        <w:tc>
          <w:tcPr>
            <w:tcW w:w="699" w:type="dxa"/>
            <w:tcBorders>
              <w:top w:val="single" w:sz="4" w:space="0" w:color="ADD6EA"/>
              <w:left w:val="nil"/>
              <w:bottom w:val="nil"/>
              <w:right w:val="nil"/>
            </w:tcBorders>
            <w:shd w:val="clear" w:color="000000" w:fill="FFFFFF"/>
            <w:vAlign w:val="center"/>
            <w:hideMark/>
          </w:tcPr>
          <w:p w14:paraId="1573B0F9"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-112</w:t>
            </w:r>
          </w:p>
        </w:tc>
        <w:tc>
          <w:tcPr>
            <w:tcW w:w="705" w:type="dxa"/>
            <w:tcBorders>
              <w:top w:val="single" w:sz="4" w:space="0" w:color="ADD6EA"/>
              <w:left w:val="nil"/>
              <w:bottom w:val="nil"/>
              <w:right w:val="nil"/>
            </w:tcBorders>
            <w:shd w:val="clear" w:color="000000" w:fill="FFFFFF"/>
            <w:vAlign w:val="center"/>
            <w:hideMark/>
          </w:tcPr>
          <w:p w14:paraId="1258F1FD"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-200</w:t>
            </w:r>
          </w:p>
        </w:tc>
        <w:tc>
          <w:tcPr>
            <w:tcW w:w="684" w:type="dxa"/>
            <w:tcBorders>
              <w:top w:val="single" w:sz="4" w:space="0" w:color="ADD6EA"/>
              <w:left w:val="nil"/>
              <w:bottom w:val="nil"/>
              <w:right w:val="nil"/>
            </w:tcBorders>
            <w:shd w:val="clear" w:color="000000" w:fill="FFFFFF"/>
            <w:vAlign w:val="center"/>
            <w:hideMark/>
          </w:tcPr>
          <w:p w14:paraId="79482CDB"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99</w:t>
            </w:r>
          </w:p>
        </w:tc>
        <w:tc>
          <w:tcPr>
            <w:tcW w:w="684" w:type="dxa"/>
            <w:tcBorders>
              <w:top w:val="single" w:sz="4" w:space="0" w:color="ADD6EA"/>
              <w:left w:val="nil"/>
              <w:bottom w:val="nil"/>
              <w:right w:val="nil"/>
            </w:tcBorders>
            <w:shd w:val="clear" w:color="000000" w:fill="FFFFFF"/>
            <w:vAlign w:val="center"/>
            <w:hideMark/>
          </w:tcPr>
          <w:p w14:paraId="60EDC55E"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48</w:t>
            </w:r>
          </w:p>
        </w:tc>
        <w:tc>
          <w:tcPr>
            <w:tcW w:w="684" w:type="dxa"/>
            <w:tcBorders>
              <w:top w:val="single" w:sz="4" w:space="0" w:color="ADD6EA"/>
              <w:left w:val="nil"/>
              <w:bottom w:val="nil"/>
              <w:right w:val="nil"/>
            </w:tcBorders>
            <w:shd w:val="clear" w:color="000000" w:fill="FFFFFF"/>
            <w:vAlign w:val="center"/>
            <w:hideMark/>
          </w:tcPr>
          <w:p w14:paraId="1CB99213"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22</w:t>
            </w:r>
          </w:p>
        </w:tc>
        <w:tc>
          <w:tcPr>
            <w:tcW w:w="705" w:type="dxa"/>
            <w:tcBorders>
              <w:top w:val="single" w:sz="4" w:space="0" w:color="ADD6EA"/>
              <w:left w:val="nil"/>
              <w:bottom w:val="nil"/>
              <w:right w:val="nil"/>
            </w:tcBorders>
            <w:shd w:val="clear" w:color="000000" w:fill="FFFFFF"/>
            <w:vAlign w:val="center"/>
            <w:hideMark/>
          </w:tcPr>
          <w:p w14:paraId="16259E19"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67</w:t>
            </w:r>
          </w:p>
        </w:tc>
        <w:tc>
          <w:tcPr>
            <w:tcW w:w="688" w:type="dxa"/>
            <w:tcBorders>
              <w:top w:val="single" w:sz="4" w:space="0" w:color="ADD6EA"/>
              <w:left w:val="nil"/>
              <w:bottom w:val="nil"/>
              <w:right w:val="nil"/>
            </w:tcBorders>
            <w:shd w:val="clear" w:color="000000" w:fill="FFFFFF"/>
            <w:vAlign w:val="center"/>
            <w:hideMark/>
          </w:tcPr>
          <w:p w14:paraId="3C2EEB97"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-28</w:t>
            </w:r>
          </w:p>
        </w:tc>
        <w:tc>
          <w:tcPr>
            <w:tcW w:w="705" w:type="dxa"/>
            <w:tcBorders>
              <w:top w:val="single" w:sz="4" w:space="0" w:color="ADD6EA"/>
              <w:left w:val="nil"/>
              <w:bottom w:val="nil"/>
              <w:right w:val="nil"/>
            </w:tcBorders>
            <w:shd w:val="clear" w:color="000000" w:fill="FFFFFF"/>
            <w:vAlign w:val="center"/>
            <w:hideMark/>
          </w:tcPr>
          <w:p w14:paraId="6F10D6C5"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103</w:t>
            </w:r>
          </w:p>
        </w:tc>
        <w:tc>
          <w:tcPr>
            <w:tcW w:w="710" w:type="dxa"/>
            <w:tcBorders>
              <w:top w:val="single" w:sz="4" w:space="0" w:color="ADD6EA"/>
              <w:left w:val="nil"/>
              <w:bottom w:val="nil"/>
              <w:right w:val="nil"/>
            </w:tcBorders>
            <w:shd w:val="clear" w:color="000000" w:fill="FFFFFF"/>
            <w:vAlign w:val="center"/>
            <w:hideMark/>
          </w:tcPr>
          <w:p w14:paraId="740C3860"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340</w:t>
            </w:r>
          </w:p>
        </w:tc>
      </w:tr>
      <w:tr w:rsidR="00C93046" w:rsidRPr="00C93046" w14:paraId="7D49B9EF" w14:textId="77777777" w:rsidTr="00C93046">
        <w:trPr>
          <w:trHeight w:val="320"/>
        </w:trPr>
        <w:tc>
          <w:tcPr>
            <w:tcW w:w="2678" w:type="dxa"/>
            <w:tcBorders>
              <w:top w:val="single" w:sz="4" w:space="0" w:color="ADD6EA"/>
              <w:left w:val="nil"/>
              <w:bottom w:val="nil"/>
              <w:right w:val="nil"/>
            </w:tcBorders>
            <w:shd w:val="clear" w:color="000000" w:fill="FFFFFF"/>
            <w:vAlign w:val="center"/>
            <w:hideMark/>
          </w:tcPr>
          <w:p w14:paraId="70AD341D" w14:textId="77777777" w:rsidR="00C93046" w:rsidRPr="00C93046" w:rsidRDefault="00C93046" w:rsidP="00C93046">
            <w:pPr>
              <w:tabs>
                <w:tab w:val="clear" w:pos="567"/>
              </w:tabs>
              <w:spacing w:before="0" w:line="240" w:lineRule="auto"/>
              <w:rPr>
                <w:rFonts w:eastAsia="Times New Roman" w:cs="Open Sans Light"/>
                <w:color w:val="000000"/>
                <w:sz w:val="16"/>
                <w:szCs w:val="16"/>
                <w:lang w:eastAsia="en-AU"/>
              </w:rPr>
            </w:pPr>
            <w:r w:rsidRPr="00C93046">
              <w:rPr>
                <w:rFonts w:eastAsia="Times New Roman" w:cs="Open Sans Light"/>
                <w:color w:val="000000"/>
                <w:sz w:val="16"/>
                <w:szCs w:val="16"/>
                <w:lang w:eastAsia="en-AU"/>
              </w:rPr>
              <w:t xml:space="preserve"> Non-admitted patients</w:t>
            </w:r>
          </w:p>
        </w:tc>
        <w:tc>
          <w:tcPr>
            <w:tcW w:w="699" w:type="dxa"/>
            <w:tcBorders>
              <w:top w:val="single" w:sz="4" w:space="0" w:color="ADD6EA"/>
              <w:left w:val="nil"/>
              <w:bottom w:val="nil"/>
              <w:right w:val="nil"/>
            </w:tcBorders>
            <w:shd w:val="clear" w:color="000000" w:fill="FFFFFF"/>
            <w:vAlign w:val="center"/>
            <w:hideMark/>
          </w:tcPr>
          <w:p w14:paraId="3FB52164"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-219</w:t>
            </w:r>
          </w:p>
        </w:tc>
        <w:tc>
          <w:tcPr>
            <w:tcW w:w="705" w:type="dxa"/>
            <w:tcBorders>
              <w:top w:val="single" w:sz="4" w:space="0" w:color="ADD6EA"/>
              <w:left w:val="nil"/>
              <w:bottom w:val="nil"/>
              <w:right w:val="nil"/>
            </w:tcBorders>
            <w:shd w:val="clear" w:color="000000" w:fill="FFFFFF"/>
            <w:vAlign w:val="center"/>
            <w:hideMark/>
          </w:tcPr>
          <w:p w14:paraId="22CEBFB0"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-183</w:t>
            </w:r>
          </w:p>
        </w:tc>
        <w:tc>
          <w:tcPr>
            <w:tcW w:w="684" w:type="dxa"/>
            <w:tcBorders>
              <w:top w:val="single" w:sz="4" w:space="0" w:color="ADD6EA"/>
              <w:left w:val="nil"/>
              <w:bottom w:val="nil"/>
              <w:right w:val="nil"/>
            </w:tcBorders>
            <w:shd w:val="clear" w:color="000000" w:fill="FFFFFF"/>
            <w:vAlign w:val="center"/>
            <w:hideMark/>
          </w:tcPr>
          <w:p w14:paraId="709C8BEA"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73</w:t>
            </w:r>
          </w:p>
        </w:tc>
        <w:tc>
          <w:tcPr>
            <w:tcW w:w="684" w:type="dxa"/>
            <w:tcBorders>
              <w:top w:val="single" w:sz="4" w:space="0" w:color="ADD6EA"/>
              <w:left w:val="nil"/>
              <w:bottom w:val="nil"/>
              <w:right w:val="nil"/>
            </w:tcBorders>
            <w:shd w:val="clear" w:color="000000" w:fill="FFFFFF"/>
            <w:vAlign w:val="center"/>
            <w:hideMark/>
          </w:tcPr>
          <w:p w14:paraId="40B08D10"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158</w:t>
            </w:r>
          </w:p>
        </w:tc>
        <w:tc>
          <w:tcPr>
            <w:tcW w:w="684" w:type="dxa"/>
            <w:tcBorders>
              <w:top w:val="single" w:sz="4" w:space="0" w:color="ADD6EA"/>
              <w:left w:val="nil"/>
              <w:bottom w:val="nil"/>
              <w:right w:val="nil"/>
            </w:tcBorders>
            <w:shd w:val="clear" w:color="000000" w:fill="FFFFFF"/>
            <w:vAlign w:val="center"/>
            <w:hideMark/>
          </w:tcPr>
          <w:p w14:paraId="50207ECC"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62</w:t>
            </w:r>
          </w:p>
        </w:tc>
        <w:tc>
          <w:tcPr>
            <w:tcW w:w="705" w:type="dxa"/>
            <w:tcBorders>
              <w:top w:val="single" w:sz="4" w:space="0" w:color="ADD6EA"/>
              <w:left w:val="nil"/>
              <w:bottom w:val="nil"/>
              <w:right w:val="nil"/>
            </w:tcBorders>
            <w:shd w:val="clear" w:color="000000" w:fill="FFFFFF"/>
            <w:vAlign w:val="center"/>
            <w:hideMark/>
          </w:tcPr>
          <w:p w14:paraId="09AD25BD"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53</w:t>
            </w:r>
          </w:p>
        </w:tc>
        <w:tc>
          <w:tcPr>
            <w:tcW w:w="688" w:type="dxa"/>
            <w:tcBorders>
              <w:top w:val="single" w:sz="4" w:space="0" w:color="ADD6EA"/>
              <w:left w:val="nil"/>
              <w:bottom w:val="nil"/>
              <w:right w:val="nil"/>
            </w:tcBorders>
            <w:shd w:val="clear" w:color="000000" w:fill="FFFFFF"/>
            <w:vAlign w:val="center"/>
            <w:hideMark/>
          </w:tcPr>
          <w:p w14:paraId="528D7E07"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-15</w:t>
            </w:r>
          </w:p>
        </w:tc>
        <w:tc>
          <w:tcPr>
            <w:tcW w:w="705" w:type="dxa"/>
            <w:tcBorders>
              <w:top w:val="single" w:sz="4" w:space="0" w:color="ADD6EA"/>
              <w:left w:val="nil"/>
              <w:bottom w:val="nil"/>
              <w:right w:val="nil"/>
            </w:tcBorders>
            <w:shd w:val="clear" w:color="000000" w:fill="FFFFFF"/>
            <w:vAlign w:val="center"/>
            <w:hideMark/>
          </w:tcPr>
          <w:p w14:paraId="1928BF7E"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71</w:t>
            </w:r>
          </w:p>
        </w:tc>
        <w:tc>
          <w:tcPr>
            <w:tcW w:w="710" w:type="dxa"/>
            <w:tcBorders>
              <w:top w:val="single" w:sz="4" w:space="0" w:color="ADD6EA"/>
              <w:left w:val="nil"/>
              <w:bottom w:val="nil"/>
              <w:right w:val="nil"/>
            </w:tcBorders>
            <w:shd w:val="clear" w:color="000000" w:fill="FFFFFF"/>
            <w:vAlign w:val="center"/>
            <w:hideMark/>
          </w:tcPr>
          <w:p w14:paraId="4B46FC4C"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417</w:t>
            </w:r>
          </w:p>
        </w:tc>
      </w:tr>
      <w:tr w:rsidR="00C93046" w:rsidRPr="00C93046" w14:paraId="692A95C5" w14:textId="77777777" w:rsidTr="00C93046">
        <w:trPr>
          <w:trHeight w:val="320"/>
        </w:trPr>
        <w:tc>
          <w:tcPr>
            <w:tcW w:w="2678" w:type="dxa"/>
            <w:tcBorders>
              <w:top w:val="single" w:sz="4" w:space="0" w:color="ADD6EA"/>
              <w:left w:val="nil"/>
              <w:bottom w:val="nil"/>
              <w:right w:val="nil"/>
            </w:tcBorders>
            <w:shd w:val="clear" w:color="000000" w:fill="FFFFFF"/>
            <w:vAlign w:val="center"/>
            <w:hideMark/>
          </w:tcPr>
          <w:p w14:paraId="106F0D39" w14:textId="227A7C10" w:rsidR="00C93046" w:rsidRPr="00C93046" w:rsidRDefault="00C93046" w:rsidP="00C93046">
            <w:pPr>
              <w:tabs>
                <w:tab w:val="clear" w:pos="567"/>
              </w:tabs>
              <w:spacing w:before="0" w:line="240" w:lineRule="auto"/>
              <w:rPr>
                <w:rFonts w:eastAsia="Times New Roman" w:cs="Open Sans Light"/>
                <w:color w:val="000000"/>
                <w:sz w:val="16"/>
                <w:szCs w:val="16"/>
                <w:lang w:eastAsia="en-AU"/>
              </w:rPr>
            </w:pPr>
            <w:r w:rsidRPr="00C93046">
              <w:rPr>
                <w:rFonts w:eastAsia="Times New Roman" w:cs="Open Sans Light"/>
                <w:color w:val="000000"/>
                <w:sz w:val="16"/>
                <w:szCs w:val="16"/>
                <w:lang w:eastAsia="en-AU"/>
              </w:rPr>
              <w:t xml:space="preserve"> Community and </w:t>
            </w:r>
            <w:r w:rsidR="00CE0BA9">
              <w:rPr>
                <w:rFonts w:eastAsia="Times New Roman" w:cs="Open Sans Light"/>
                <w:color w:val="000000"/>
                <w:sz w:val="16"/>
                <w:szCs w:val="16"/>
                <w:lang w:eastAsia="en-AU"/>
              </w:rPr>
              <w:t>public</w:t>
            </w:r>
            <w:r w:rsidRPr="00C93046">
              <w:rPr>
                <w:rFonts w:eastAsia="Times New Roman" w:cs="Open Sans Light"/>
                <w:color w:val="000000"/>
                <w:sz w:val="16"/>
                <w:szCs w:val="16"/>
                <w:lang w:eastAsia="en-AU"/>
              </w:rPr>
              <w:t xml:space="preserve"> health</w:t>
            </w:r>
          </w:p>
        </w:tc>
        <w:tc>
          <w:tcPr>
            <w:tcW w:w="699" w:type="dxa"/>
            <w:tcBorders>
              <w:top w:val="single" w:sz="4" w:space="0" w:color="ADD6EA"/>
              <w:left w:val="nil"/>
              <w:bottom w:val="nil"/>
              <w:right w:val="nil"/>
            </w:tcBorders>
            <w:shd w:val="clear" w:color="000000" w:fill="FFFFFF"/>
            <w:vAlign w:val="center"/>
            <w:hideMark/>
          </w:tcPr>
          <w:p w14:paraId="0F5AFFE1"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-406</w:t>
            </w:r>
          </w:p>
        </w:tc>
        <w:tc>
          <w:tcPr>
            <w:tcW w:w="705" w:type="dxa"/>
            <w:tcBorders>
              <w:top w:val="single" w:sz="4" w:space="0" w:color="ADD6EA"/>
              <w:left w:val="nil"/>
              <w:bottom w:val="nil"/>
              <w:right w:val="nil"/>
            </w:tcBorders>
            <w:shd w:val="clear" w:color="000000" w:fill="FFFFFF"/>
            <w:vAlign w:val="center"/>
            <w:hideMark/>
          </w:tcPr>
          <w:p w14:paraId="311708BF"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-520</w:t>
            </w:r>
          </w:p>
        </w:tc>
        <w:tc>
          <w:tcPr>
            <w:tcW w:w="684" w:type="dxa"/>
            <w:tcBorders>
              <w:top w:val="single" w:sz="4" w:space="0" w:color="ADD6EA"/>
              <w:left w:val="nil"/>
              <w:bottom w:val="nil"/>
              <w:right w:val="nil"/>
            </w:tcBorders>
            <w:shd w:val="clear" w:color="000000" w:fill="FFFFFF"/>
            <w:vAlign w:val="center"/>
            <w:hideMark/>
          </w:tcPr>
          <w:p w14:paraId="5BB74F17"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218</w:t>
            </w:r>
          </w:p>
        </w:tc>
        <w:tc>
          <w:tcPr>
            <w:tcW w:w="684" w:type="dxa"/>
            <w:tcBorders>
              <w:top w:val="single" w:sz="4" w:space="0" w:color="ADD6EA"/>
              <w:left w:val="nil"/>
              <w:bottom w:val="nil"/>
              <w:right w:val="nil"/>
            </w:tcBorders>
            <w:shd w:val="clear" w:color="000000" w:fill="FFFFFF"/>
            <w:vAlign w:val="center"/>
            <w:hideMark/>
          </w:tcPr>
          <w:p w14:paraId="22621F0B"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234</w:t>
            </w:r>
          </w:p>
        </w:tc>
        <w:tc>
          <w:tcPr>
            <w:tcW w:w="684" w:type="dxa"/>
            <w:tcBorders>
              <w:top w:val="single" w:sz="4" w:space="0" w:color="ADD6EA"/>
              <w:left w:val="nil"/>
              <w:bottom w:val="nil"/>
              <w:right w:val="nil"/>
            </w:tcBorders>
            <w:shd w:val="clear" w:color="000000" w:fill="FFFFFF"/>
            <w:vAlign w:val="center"/>
            <w:hideMark/>
          </w:tcPr>
          <w:p w14:paraId="294D9BE0"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89</w:t>
            </w:r>
          </w:p>
        </w:tc>
        <w:tc>
          <w:tcPr>
            <w:tcW w:w="705" w:type="dxa"/>
            <w:tcBorders>
              <w:top w:val="single" w:sz="4" w:space="0" w:color="ADD6EA"/>
              <w:left w:val="nil"/>
              <w:bottom w:val="nil"/>
              <w:right w:val="nil"/>
            </w:tcBorders>
            <w:shd w:val="clear" w:color="000000" w:fill="FFFFFF"/>
            <w:vAlign w:val="center"/>
            <w:hideMark/>
          </w:tcPr>
          <w:p w14:paraId="2161A0AA"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158</w:t>
            </w:r>
          </w:p>
        </w:tc>
        <w:tc>
          <w:tcPr>
            <w:tcW w:w="688" w:type="dxa"/>
            <w:tcBorders>
              <w:top w:val="single" w:sz="4" w:space="0" w:color="ADD6EA"/>
              <w:left w:val="nil"/>
              <w:bottom w:val="nil"/>
              <w:right w:val="nil"/>
            </w:tcBorders>
            <w:shd w:val="clear" w:color="000000" w:fill="FFFFFF"/>
            <w:vAlign w:val="center"/>
            <w:hideMark/>
          </w:tcPr>
          <w:p w14:paraId="395D6DC1"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18</w:t>
            </w:r>
          </w:p>
        </w:tc>
        <w:tc>
          <w:tcPr>
            <w:tcW w:w="705" w:type="dxa"/>
            <w:tcBorders>
              <w:top w:val="single" w:sz="4" w:space="0" w:color="ADD6EA"/>
              <w:left w:val="nil"/>
              <w:bottom w:val="nil"/>
              <w:right w:val="nil"/>
            </w:tcBorders>
            <w:shd w:val="clear" w:color="000000" w:fill="FFFFFF"/>
            <w:vAlign w:val="center"/>
            <w:hideMark/>
          </w:tcPr>
          <w:p w14:paraId="50485057"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210</w:t>
            </w:r>
          </w:p>
        </w:tc>
        <w:tc>
          <w:tcPr>
            <w:tcW w:w="710" w:type="dxa"/>
            <w:tcBorders>
              <w:top w:val="single" w:sz="4" w:space="0" w:color="ADD6EA"/>
              <w:left w:val="nil"/>
              <w:bottom w:val="nil"/>
              <w:right w:val="nil"/>
            </w:tcBorders>
            <w:shd w:val="clear" w:color="000000" w:fill="FFFFFF"/>
            <w:vAlign w:val="center"/>
            <w:hideMark/>
          </w:tcPr>
          <w:p w14:paraId="013F0189"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927</w:t>
            </w:r>
          </w:p>
        </w:tc>
      </w:tr>
      <w:tr w:rsidR="00C93046" w:rsidRPr="00C93046" w14:paraId="0C50547D" w14:textId="77777777" w:rsidTr="00C93046">
        <w:trPr>
          <w:trHeight w:val="320"/>
        </w:trPr>
        <w:tc>
          <w:tcPr>
            <w:tcW w:w="2678" w:type="dxa"/>
            <w:tcBorders>
              <w:top w:val="single" w:sz="4" w:space="0" w:color="ADD6EA"/>
              <w:left w:val="nil"/>
              <w:bottom w:val="nil"/>
              <w:right w:val="nil"/>
            </w:tcBorders>
            <w:shd w:val="clear" w:color="000000" w:fill="FFFFFF"/>
            <w:vAlign w:val="center"/>
            <w:hideMark/>
          </w:tcPr>
          <w:p w14:paraId="21C09ED4" w14:textId="4FF62CB5" w:rsidR="00C93046" w:rsidRPr="00C93046" w:rsidRDefault="00C93046" w:rsidP="00C93046">
            <w:pPr>
              <w:tabs>
                <w:tab w:val="clear" w:pos="567"/>
              </w:tabs>
              <w:spacing w:before="0" w:line="240" w:lineRule="auto"/>
              <w:rPr>
                <w:rFonts w:eastAsia="Times New Roman" w:cs="Open Sans Light"/>
                <w:color w:val="000000"/>
                <w:sz w:val="16"/>
                <w:szCs w:val="16"/>
                <w:lang w:eastAsia="en-AU"/>
              </w:rPr>
            </w:pPr>
            <w:r w:rsidRPr="00C93046">
              <w:rPr>
                <w:rFonts w:eastAsia="Times New Roman" w:cs="Open Sans Light"/>
                <w:color w:val="000000"/>
                <w:sz w:val="16"/>
                <w:szCs w:val="16"/>
                <w:lang w:eastAsia="en-AU"/>
              </w:rPr>
              <w:t xml:space="preserve"> Non-hospital patient transport</w:t>
            </w:r>
          </w:p>
        </w:tc>
        <w:tc>
          <w:tcPr>
            <w:tcW w:w="699" w:type="dxa"/>
            <w:tcBorders>
              <w:top w:val="single" w:sz="4" w:space="0" w:color="ADD6EA"/>
              <w:left w:val="nil"/>
              <w:bottom w:val="nil"/>
              <w:right w:val="nil"/>
            </w:tcBorders>
            <w:shd w:val="clear" w:color="000000" w:fill="FFFFFF"/>
            <w:vAlign w:val="center"/>
            <w:hideMark/>
          </w:tcPr>
          <w:p w14:paraId="7599FE68"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-56</w:t>
            </w:r>
          </w:p>
        </w:tc>
        <w:tc>
          <w:tcPr>
            <w:tcW w:w="705" w:type="dxa"/>
            <w:tcBorders>
              <w:top w:val="single" w:sz="4" w:space="0" w:color="ADD6EA"/>
              <w:left w:val="nil"/>
              <w:bottom w:val="nil"/>
              <w:right w:val="nil"/>
            </w:tcBorders>
            <w:shd w:val="clear" w:color="000000" w:fill="FFFFFF"/>
            <w:vAlign w:val="center"/>
            <w:hideMark/>
          </w:tcPr>
          <w:p w14:paraId="2FC1E25B"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-56</w:t>
            </w:r>
          </w:p>
        </w:tc>
        <w:tc>
          <w:tcPr>
            <w:tcW w:w="684" w:type="dxa"/>
            <w:tcBorders>
              <w:top w:val="single" w:sz="4" w:space="0" w:color="ADD6EA"/>
              <w:left w:val="nil"/>
              <w:bottom w:val="nil"/>
              <w:right w:val="nil"/>
            </w:tcBorders>
            <w:shd w:val="clear" w:color="000000" w:fill="FFFFFF"/>
            <w:vAlign w:val="center"/>
            <w:hideMark/>
          </w:tcPr>
          <w:p w14:paraId="3C15793A"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12</w:t>
            </w:r>
          </w:p>
        </w:tc>
        <w:tc>
          <w:tcPr>
            <w:tcW w:w="684" w:type="dxa"/>
            <w:tcBorders>
              <w:top w:val="single" w:sz="4" w:space="0" w:color="ADD6EA"/>
              <w:left w:val="nil"/>
              <w:bottom w:val="nil"/>
              <w:right w:val="nil"/>
            </w:tcBorders>
            <w:shd w:val="clear" w:color="000000" w:fill="FFFFFF"/>
            <w:vAlign w:val="center"/>
            <w:hideMark/>
          </w:tcPr>
          <w:p w14:paraId="1ED87A71"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52</w:t>
            </w:r>
          </w:p>
        </w:tc>
        <w:tc>
          <w:tcPr>
            <w:tcW w:w="684" w:type="dxa"/>
            <w:tcBorders>
              <w:top w:val="single" w:sz="4" w:space="0" w:color="ADD6EA"/>
              <w:left w:val="nil"/>
              <w:bottom w:val="nil"/>
              <w:right w:val="nil"/>
            </w:tcBorders>
            <w:shd w:val="clear" w:color="000000" w:fill="FFFFFF"/>
            <w:vAlign w:val="center"/>
            <w:hideMark/>
          </w:tcPr>
          <w:p w14:paraId="71DE08C1"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5</w:t>
            </w:r>
          </w:p>
        </w:tc>
        <w:tc>
          <w:tcPr>
            <w:tcW w:w="705" w:type="dxa"/>
            <w:tcBorders>
              <w:top w:val="single" w:sz="4" w:space="0" w:color="ADD6EA"/>
              <w:left w:val="nil"/>
              <w:bottom w:val="nil"/>
              <w:right w:val="nil"/>
            </w:tcBorders>
            <w:shd w:val="clear" w:color="000000" w:fill="FFFFFF"/>
            <w:vAlign w:val="center"/>
            <w:hideMark/>
          </w:tcPr>
          <w:p w14:paraId="6E02CDCB"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w:t>
            </w:r>
          </w:p>
        </w:tc>
        <w:tc>
          <w:tcPr>
            <w:tcW w:w="688" w:type="dxa"/>
            <w:tcBorders>
              <w:top w:val="single" w:sz="4" w:space="0" w:color="ADD6EA"/>
              <w:left w:val="nil"/>
              <w:bottom w:val="nil"/>
              <w:right w:val="nil"/>
            </w:tcBorders>
            <w:shd w:val="clear" w:color="000000" w:fill="FFFFFF"/>
            <w:vAlign w:val="center"/>
            <w:hideMark/>
          </w:tcPr>
          <w:p w14:paraId="7C9DE458"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-3</w:t>
            </w:r>
          </w:p>
        </w:tc>
        <w:tc>
          <w:tcPr>
            <w:tcW w:w="705" w:type="dxa"/>
            <w:tcBorders>
              <w:top w:val="single" w:sz="4" w:space="0" w:color="ADD6EA"/>
              <w:left w:val="nil"/>
              <w:bottom w:val="nil"/>
              <w:right w:val="nil"/>
            </w:tcBorders>
            <w:shd w:val="clear" w:color="000000" w:fill="FFFFFF"/>
            <w:vAlign w:val="center"/>
            <w:hideMark/>
          </w:tcPr>
          <w:p w14:paraId="504E110F"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46</w:t>
            </w:r>
          </w:p>
        </w:tc>
        <w:tc>
          <w:tcPr>
            <w:tcW w:w="710" w:type="dxa"/>
            <w:tcBorders>
              <w:top w:val="single" w:sz="4" w:space="0" w:color="ADD6EA"/>
              <w:left w:val="nil"/>
              <w:bottom w:val="nil"/>
              <w:right w:val="nil"/>
            </w:tcBorders>
            <w:shd w:val="clear" w:color="000000" w:fill="FFFFFF"/>
            <w:vAlign w:val="center"/>
            <w:hideMark/>
          </w:tcPr>
          <w:p w14:paraId="5DF1477C" w14:textId="7777777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116</w:t>
            </w:r>
          </w:p>
        </w:tc>
      </w:tr>
      <w:tr w:rsidR="00C93046" w:rsidRPr="00C93046" w14:paraId="7B7C20E9" w14:textId="77777777" w:rsidTr="00C93046">
        <w:trPr>
          <w:trHeight w:val="320"/>
        </w:trPr>
        <w:tc>
          <w:tcPr>
            <w:tcW w:w="2678" w:type="dxa"/>
            <w:tcBorders>
              <w:top w:val="single" w:sz="4" w:space="0" w:color="ADD6EA"/>
              <w:left w:val="nil"/>
              <w:bottom w:val="nil"/>
              <w:right w:val="nil"/>
            </w:tcBorders>
            <w:shd w:val="clear" w:color="000000" w:fill="FFFFFF"/>
            <w:vAlign w:val="center"/>
            <w:hideMark/>
          </w:tcPr>
          <w:p w14:paraId="00C5FD3B" w14:textId="40F205CD" w:rsidR="00C93046" w:rsidRPr="00C93046" w:rsidRDefault="00C93046" w:rsidP="00C93046">
            <w:pPr>
              <w:tabs>
                <w:tab w:val="clear" w:pos="567"/>
              </w:tabs>
              <w:spacing w:before="0" w:line="240" w:lineRule="auto"/>
              <w:rPr>
                <w:rFonts w:eastAsia="Times New Roman" w:cs="Open Sans Light"/>
                <w:color w:val="000000"/>
                <w:sz w:val="16"/>
                <w:szCs w:val="16"/>
                <w:lang w:eastAsia="en-AU"/>
              </w:rPr>
            </w:pPr>
            <w:r w:rsidRPr="00C93046">
              <w:rPr>
                <w:rFonts w:eastAsia="Times New Roman" w:cs="Open Sans Light"/>
                <w:color w:val="000000"/>
                <w:sz w:val="16"/>
                <w:szCs w:val="16"/>
                <w:lang w:eastAsia="en-AU"/>
              </w:rPr>
              <w:t xml:space="preserve"> COVID </w:t>
            </w:r>
            <w:r w:rsidR="00F05D5E">
              <w:rPr>
                <w:rFonts w:eastAsia="Times New Roman" w:cs="Open Sans Light"/>
                <w:color w:val="000000"/>
                <w:sz w:val="16"/>
                <w:szCs w:val="16"/>
                <w:lang w:eastAsia="en-AU"/>
              </w:rPr>
              <w:t>h</w:t>
            </w:r>
            <w:r w:rsidRPr="00C93046">
              <w:rPr>
                <w:rFonts w:eastAsia="Times New Roman" w:cs="Open Sans Light"/>
                <w:color w:val="000000"/>
                <w:sz w:val="16"/>
                <w:szCs w:val="16"/>
                <w:lang w:eastAsia="en-AU"/>
              </w:rPr>
              <w:t>ealth</w:t>
            </w:r>
          </w:p>
        </w:tc>
        <w:tc>
          <w:tcPr>
            <w:tcW w:w="699" w:type="dxa"/>
            <w:tcBorders>
              <w:top w:val="single" w:sz="4" w:space="0" w:color="ADD6EA"/>
              <w:left w:val="nil"/>
              <w:bottom w:val="nil"/>
              <w:right w:val="nil"/>
            </w:tcBorders>
            <w:shd w:val="clear" w:color="000000" w:fill="FFFFFF"/>
            <w:vAlign w:val="center"/>
            <w:hideMark/>
          </w:tcPr>
          <w:p w14:paraId="46906E4A" w14:textId="0B62713B"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308</w:t>
            </w:r>
          </w:p>
        </w:tc>
        <w:tc>
          <w:tcPr>
            <w:tcW w:w="705" w:type="dxa"/>
            <w:tcBorders>
              <w:top w:val="single" w:sz="4" w:space="0" w:color="ADD6EA"/>
              <w:left w:val="nil"/>
              <w:bottom w:val="nil"/>
              <w:right w:val="nil"/>
            </w:tcBorders>
            <w:shd w:val="clear" w:color="000000" w:fill="FFFFFF"/>
            <w:vAlign w:val="center"/>
            <w:hideMark/>
          </w:tcPr>
          <w:p w14:paraId="2DE3ED05" w14:textId="10846AD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412</w:t>
            </w:r>
          </w:p>
        </w:tc>
        <w:tc>
          <w:tcPr>
            <w:tcW w:w="684" w:type="dxa"/>
            <w:tcBorders>
              <w:top w:val="single" w:sz="4" w:space="0" w:color="ADD6EA"/>
              <w:left w:val="nil"/>
              <w:bottom w:val="nil"/>
              <w:right w:val="nil"/>
            </w:tcBorders>
            <w:shd w:val="clear" w:color="000000" w:fill="FFFFFF"/>
            <w:vAlign w:val="center"/>
            <w:hideMark/>
          </w:tcPr>
          <w:p w14:paraId="1C08997B" w14:textId="75BADCDC"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-574</w:t>
            </w:r>
          </w:p>
        </w:tc>
        <w:tc>
          <w:tcPr>
            <w:tcW w:w="684" w:type="dxa"/>
            <w:tcBorders>
              <w:top w:val="single" w:sz="4" w:space="0" w:color="ADD6EA"/>
              <w:left w:val="nil"/>
              <w:bottom w:val="nil"/>
              <w:right w:val="nil"/>
            </w:tcBorders>
            <w:shd w:val="clear" w:color="000000" w:fill="FFFFFF"/>
            <w:vAlign w:val="center"/>
            <w:hideMark/>
          </w:tcPr>
          <w:p w14:paraId="10F4D429" w14:textId="52227A8D"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-31</w:t>
            </w:r>
          </w:p>
        </w:tc>
        <w:tc>
          <w:tcPr>
            <w:tcW w:w="684" w:type="dxa"/>
            <w:tcBorders>
              <w:top w:val="single" w:sz="4" w:space="0" w:color="ADD6EA"/>
              <w:left w:val="nil"/>
              <w:bottom w:val="nil"/>
              <w:right w:val="nil"/>
            </w:tcBorders>
            <w:shd w:val="clear" w:color="000000" w:fill="FFFFFF"/>
            <w:vAlign w:val="center"/>
            <w:hideMark/>
          </w:tcPr>
          <w:p w14:paraId="1B7BDF85" w14:textId="7A45BF8A"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-134</w:t>
            </w:r>
          </w:p>
        </w:tc>
        <w:tc>
          <w:tcPr>
            <w:tcW w:w="705" w:type="dxa"/>
            <w:tcBorders>
              <w:top w:val="single" w:sz="4" w:space="0" w:color="ADD6EA"/>
              <w:left w:val="nil"/>
              <w:bottom w:val="nil"/>
              <w:right w:val="nil"/>
            </w:tcBorders>
            <w:shd w:val="clear" w:color="000000" w:fill="FFFFFF"/>
            <w:vAlign w:val="center"/>
            <w:hideMark/>
          </w:tcPr>
          <w:p w14:paraId="7A3AB4C0" w14:textId="75744779"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14</w:t>
            </w:r>
          </w:p>
        </w:tc>
        <w:tc>
          <w:tcPr>
            <w:tcW w:w="688" w:type="dxa"/>
            <w:tcBorders>
              <w:top w:val="single" w:sz="4" w:space="0" w:color="ADD6EA"/>
              <w:left w:val="nil"/>
              <w:bottom w:val="nil"/>
              <w:right w:val="nil"/>
            </w:tcBorders>
            <w:shd w:val="clear" w:color="000000" w:fill="FFFFFF"/>
            <w:vAlign w:val="center"/>
            <w:hideMark/>
          </w:tcPr>
          <w:p w14:paraId="393515DF" w14:textId="1BE349B7"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-14</w:t>
            </w:r>
          </w:p>
        </w:tc>
        <w:tc>
          <w:tcPr>
            <w:tcW w:w="705" w:type="dxa"/>
            <w:tcBorders>
              <w:top w:val="single" w:sz="4" w:space="0" w:color="ADD6EA"/>
              <w:left w:val="nil"/>
              <w:bottom w:val="nil"/>
              <w:right w:val="nil"/>
            </w:tcBorders>
            <w:shd w:val="clear" w:color="000000" w:fill="FFFFFF"/>
            <w:vAlign w:val="center"/>
            <w:hideMark/>
          </w:tcPr>
          <w:p w14:paraId="4494EA0C" w14:textId="1664C06E"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20</w:t>
            </w:r>
          </w:p>
        </w:tc>
        <w:tc>
          <w:tcPr>
            <w:tcW w:w="710" w:type="dxa"/>
            <w:tcBorders>
              <w:top w:val="single" w:sz="4" w:space="0" w:color="ADD6EA"/>
              <w:left w:val="nil"/>
              <w:bottom w:val="nil"/>
              <w:right w:val="nil"/>
            </w:tcBorders>
            <w:shd w:val="clear" w:color="000000" w:fill="FFFFFF"/>
            <w:vAlign w:val="center"/>
            <w:hideMark/>
          </w:tcPr>
          <w:p w14:paraId="1FE3A6A1" w14:textId="0127A661" w:rsidR="00C93046" w:rsidRPr="00C93046" w:rsidRDefault="00C93046" w:rsidP="00C93046">
            <w:pPr>
              <w:tabs>
                <w:tab w:val="clear" w:pos="567"/>
              </w:tabs>
              <w:spacing w:before="0" w:line="240" w:lineRule="auto"/>
              <w:jc w:val="right"/>
              <w:rPr>
                <w:rFonts w:eastAsia="Times New Roman" w:cs="Open Sans Light"/>
                <w:color w:val="000000"/>
                <w:sz w:val="16"/>
                <w:szCs w:val="16"/>
                <w:lang w:eastAsia="en-AU"/>
              </w:rPr>
            </w:pPr>
            <w:r w:rsidRPr="00C93046">
              <w:rPr>
                <w:rFonts w:eastAsia="Times New Roman" w:cs="Open Sans Light"/>
                <w:color w:val="000000"/>
                <w:sz w:val="16"/>
                <w:szCs w:val="16"/>
                <w:lang w:eastAsia="en-AU"/>
              </w:rPr>
              <w:t>753</w:t>
            </w:r>
          </w:p>
        </w:tc>
      </w:tr>
      <w:tr w:rsidR="00C93046" w:rsidRPr="00C93046" w14:paraId="3FD95FEA" w14:textId="77777777" w:rsidTr="00C93046">
        <w:trPr>
          <w:trHeight w:val="320"/>
        </w:trPr>
        <w:tc>
          <w:tcPr>
            <w:tcW w:w="2678" w:type="dxa"/>
            <w:tcBorders>
              <w:top w:val="single" w:sz="4" w:space="0" w:color="ADD6EA"/>
              <w:left w:val="nil"/>
              <w:bottom w:val="nil"/>
              <w:right w:val="nil"/>
            </w:tcBorders>
            <w:shd w:val="clear" w:color="000000" w:fill="D6E7F0"/>
            <w:vAlign w:val="center"/>
            <w:hideMark/>
          </w:tcPr>
          <w:p w14:paraId="1B760ECA" w14:textId="04D12DB0" w:rsidR="00C93046" w:rsidRPr="00C93046" w:rsidRDefault="00C93046" w:rsidP="00C93046">
            <w:pPr>
              <w:tabs>
                <w:tab w:val="clear" w:pos="567"/>
              </w:tabs>
              <w:spacing w:before="0" w:line="240" w:lineRule="auto"/>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Total</w:t>
            </w:r>
            <w:r w:rsidR="00A8646E">
              <w:rPr>
                <w:rFonts w:ascii="Open Sans Semibold" w:eastAsia="Times New Roman" w:hAnsi="Open Sans Semibold" w:cs="Open Sans Semibold"/>
                <w:color w:val="000000"/>
                <w:sz w:val="16"/>
                <w:szCs w:val="16"/>
                <w:lang w:eastAsia="en-AU"/>
              </w:rPr>
              <w:t xml:space="preserve"> </w:t>
            </w:r>
            <w:r w:rsidR="00EE78F2">
              <w:rPr>
                <w:rFonts w:ascii="Open Sans Semibold" w:eastAsia="Times New Roman" w:hAnsi="Open Sans Semibold" w:cs="Open Sans Semibold"/>
                <w:color w:val="000000"/>
                <w:sz w:val="16"/>
                <w:szCs w:val="16"/>
                <w:lang w:eastAsia="en-AU"/>
              </w:rPr>
              <w:t>($m)</w:t>
            </w:r>
          </w:p>
        </w:tc>
        <w:tc>
          <w:tcPr>
            <w:tcW w:w="699" w:type="dxa"/>
            <w:tcBorders>
              <w:top w:val="single" w:sz="4" w:space="0" w:color="ADD6EA"/>
              <w:left w:val="nil"/>
              <w:bottom w:val="nil"/>
              <w:right w:val="nil"/>
            </w:tcBorders>
            <w:shd w:val="clear" w:color="000000" w:fill="D6E7F0"/>
            <w:vAlign w:val="center"/>
            <w:hideMark/>
          </w:tcPr>
          <w:p w14:paraId="1B222C4F"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-655</w:t>
            </w:r>
          </w:p>
        </w:tc>
        <w:tc>
          <w:tcPr>
            <w:tcW w:w="705" w:type="dxa"/>
            <w:tcBorders>
              <w:top w:val="single" w:sz="4" w:space="0" w:color="ADD6EA"/>
              <w:left w:val="nil"/>
              <w:bottom w:val="nil"/>
              <w:right w:val="nil"/>
            </w:tcBorders>
            <w:shd w:val="clear" w:color="000000" w:fill="D6E7F0"/>
            <w:vAlign w:val="center"/>
            <w:hideMark/>
          </w:tcPr>
          <w:p w14:paraId="090A8CC6"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-1,467</w:t>
            </w:r>
          </w:p>
        </w:tc>
        <w:tc>
          <w:tcPr>
            <w:tcW w:w="684" w:type="dxa"/>
            <w:tcBorders>
              <w:top w:val="single" w:sz="4" w:space="0" w:color="ADD6EA"/>
              <w:left w:val="nil"/>
              <w:bottom w:val="nil"/>
              <w:right w:val="nil"/>
            </w:tcBorders>
            <w:shd w:val="clear" w:color="000000" w:fill="D6E7F0"/>
            <w:vAlign w:val="center"/>
            <w:hideMark/>
          </w:tcPr>
          <w:p w14:paraId="74C732A3"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35</w:t>
            </w:r>
          </w:p>
        </w:tc>
        <w:tc>
          <w:tcPr>
            <w:tcW w:w="684" w:type="dxa"/>
            <w:tcBorders>
              <w:top w:val="single" w:sz="4" w:space="0" w:color="ADD6EA"/>
              <w:left w:val="nil"/>
              <w:bottom w:val="nil"/>
              <w:right w:val="nil"/>
            </w:tcBorders>
            <w:shd w:val="clear" w:color="000000" w:fill="D6E7F0"/>
            <w:vAlign w:val="center"/>
            <w:hideMark/>
          </w:tcPr>
          <w:p w14:paraId="18EE8596"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491</w:t>
            </w:r>
          </w:p>
        </w:tc>
        <w:tc>
          <w:tcPr>
            <w:tcW w:w="684" w:type="dxa"/>
            <w:tcBorders>
              <w:top w:val="single" w:sz="4" w:space="0" w:color="ADD6EA"/>
              <w:left w:val="nil"/>
              <w:bottom w:val="nil"/>
              <w:right w:val="nil"/>
            </w:tcBorders>
            <w:shd w:val="clear" w:color="000000" w:fill="D6E7F0"/>
            <w:vAlign w:val="center"/>
            <w:hideMark/>
          </w:tcPr>
          <w:p w14:paraId="11879467"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338</w:t>
            </w:r>
          </w:p>
        </w:tc>
        <w:tc>
          <w:tcPr>
            <w:tcW w:w="705" w:type="dxa"/>
            <w:tcBorders>
              <w:top w:val="single" w:sz="4" w:space="0" w:color="ADD6EA"/>
              <w:left w:val="nil"/>
              <w:bottom w:val="nil"/>
              <w:right w:val="nil"/>
            </w:tcBorders>
            <w:shd w:val="clear" w:color="000000" w:fill="D6E7F0"/>
            <w:vAlign w:val="center"/>
            <w:hideMark/>
          </w:tcPr>
          <w:p w14:paraId="1954DCC8"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628</w:t>
            </w:r>
          </w:p>
        </w:tc>
        <w:tc>
          <w:tcPr>
            <w:tcW w:w="688" w:type="dxa"/>
            <w:tcBorders>
              <w:top w:val="single" w:sz="4" w:space="0" w:color="ADD6EA"/>
              <w:left w:val="nil"/>
              <w:bottom w:val="nil"/>
              <w:right w:val="nil"/>
            </w:tcBorders>
            <w:shd w:val="clear" w:color="000000" w:fill="D6E7F0"/>
            <w:vAlign w:val="center"/>
            <w:hideMark/>
          </w:tcPr>
          <w:p w14:paraId="67A6A252"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-246</w:t>
            </w:r>
          </w:p>
        </w:tc>
        <w:tc>
          <w:tcPr>
            <w:tcW w:w="705" w:type="dxa"/>
            <w:tcBorders>
              <w:top w:val="single" w:sz="4" w:space="0" w:color="ADD6EA"/>
              <w:left w:val="nil"/>
              <w:bottom w:val="nil"/>
              <w:right w:val="nil"/>
            </w:tcBorders>
            <w:shd w:val="clear" w:color="000000" w:fill="D6E7F0"/>
            <w:vAlign w:val="center"/>
            <w:hideMark/>
          </w:tcPr>
          <w:p w14:paraId="7EAE106E"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876</w:t>
            </w:r>
          </w:p>
        </w:tc>
        <w:tc>
          <w:tcPr>
            <w:tcW w:w="710" w:type="dxa"/>
            <w:tcBorders>
              <w:top w:val="single" w:sz="4" w:space="0" w:color="ADD6EA"/>
              <w:left w:val="nil"/>
              <w:bottom w:val="nil"/>
              <w:right w:val="nil"/>
            </w:tcBorders>
            <w:shd w:val="clear" w:color="000000" w:fill="D6E7F0"/>
            <w:vAlign w:val="center"/>
            <w:hideMark/>
          </w:tcPr>
          <w:p w14:paraId="76B95AB2"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2,369</w:t>
            </w:r>
          </w:p>
        </w:tc>
      </w:tr>
      <w:tr w:rsidR="00C93046" w:rsidRPr="00C93046" w14:paraId="6BB24EC1" w14:textId="77777777" w:rsidTr="00C93046">
        <w:trPr>
          <w:trHeight w:val="320"/>
        </w:trPr>
        <w:tc>
          <w:tcPr>
            <w:tcW w:w="2678" w:type="dxa"/>
            <w:tcBorders>
              <w:top w:val="single" w:sz="4" w:space="0" w:color="ADD6EA"/>
              <w:left w:val="nil"/>
              <w:bottom w:val="single" w:sz="4" w:space="0" w:color="ADD6EA"/>
              <w:right w:val="nil"/>
            </w:tcBorders>
            <w:shd w:val="clear" w:color="000000" w:fill="D6E7F0"/>
            <w:vAlign w:val="center"/>
            <w:hideMark/>
          </w:tcPr>
          <w:p w14:paraId="11417A96" w14:textId="6622EDC4" w:rsidR="00C93046" w:rsidRPr="00C93046" w:rsidRDefault="00C93046" w:rsidP="00C93046">
            <w:pPr>
              <w:tabs>
                <w:tab w:val="clear" w:pos="567"/>
              </w:tabs>
              <w:spacing w:before="0" w:line="240" w:lineRule="auto"/>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Total (</w:t>
            </w:r>
            <w:r w:rsidR="00EE78F2">
              <w:rPr>
                <w:rFonts w:ascii="Open Sans Semibold" w:eastAsia="Times New Roman" w:hAnsi="Open Sans Semibold" w:cs="Open Sans Semibold"/>
                <w:color w:val="000000"/>
                <w:sz w:val="16"/>
                <w:szCs w:val="16"/>
                <w:lang w:eastAsia="en-AU"/>
              </w:rPr>
              <w:t>$</w:t>
            </w:r>
            <w:r w:rsidRPr="00C93046">
              <w:rPr>
                <w:rFonts w:ascii="Open Sans Semibold" w:eastAsia="Times New Roman" w:hAnsi="Open Sans Semibold" w:cs="Open Sans Semibold"/>
                <w:color w:val="000000"/>
                <w:sz w:val="16"/>
                <w:szCs w:val="16"/>
                <w:lang w:eastAsia="en-AU"/>
              </w:rPr>
              <w:t>pc)</w:t>
            </w:r>
          </w:p>
        </w:tc>
        <w:tc>
          <w:tcPr>
            <w:tcW w:w="699" w:type="dxa"/>
            <w:tcBorders>
              <w:top w:val="single" w:sz="4" w:space="0" w:color="ADD6EA"/>
              <w:left w:val="nil"/>
              <w:bottom w:val="single" w:sz="4" w:space="0" w:color="ADD6EA"/>
              <w:right w:val="nil"/>
            </w:tcBorders>
            <w:shd w:val="clear" w:color="000000" w:fill="D6E7F0"/>
            <w:vAlign w:val="center"/>
            <w:hideMark/>
          </w:tcPr>
          <w:p w14:paraId="18089985"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-76</w:t>
            </w:r>
          </w:p>
        </w:tc>
        <w:tc>
          <w:tcPr>
            <w:tcW w:w="705" w:type="dxa"/>
            <w:tcBorders>
              <w:top w:val="single" w:sz="4" w:space="0" w:color="ADD6EA"/>
              <w:left w:val="nil"/>
              <w:bottom w:val="single" w:sz="4" w:space="0" w:color="ADD6EA"/>
              <w:right w:val="nil"/>
            </w:tcBorders>
            <w:shd w:val="clear" w:color="000000" w:fill="D6E7F0"/>
            <w:vAlign w:val="center"/>
            <w:hideMark/>
          </w:tcPr>
          <w:p w14:paraId="1CF652AB"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-205</w:t>
            </w:r>
          </w:p>
        </w:tc>
        <w:tc>
          <w:tcPr>
            <w:tcW w:w="684" w:type="dxa"/>
            <w:tcBorders>
              <w:top w:val="single" w:sz="4" w:space="0" w:color="ADD6EA"/>
              <w:left w:val="nil"/>
              <w:bottom w:val="single" w:sz="4" w:space="0" w:color="ADD6EA"/>
              <w:right w:val="nil"/>
            </w:tcBorders>
            <w:shd w:val="clear" w:color="000000" w:fill="D6E7F0"/>
            <w:vAlign w:val="center"/>
            <w:hideMark/>
          </w:tcPr>
          <w:p w14:paraId="30CE2B4F"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6</w:t>
            </w:r>
          </w:p>
        </w:tc>
        <w:tc>
          <w:tcPr>
            <w:tcW w:w="684" w:type="dxa"/>
            <w:tcBorders>
              <w:top w:val="single" w:sz="4" w:space="0" w:color="ADD6EA"/>
              <w:left w:val="nil"/>
              <w:bottom w:val="single" w:sz="4" w:space="0" w:color="ADD6EA"/>
              <w:right w:val="nil"/>
            </w:tcBorders>
            <w:shd w:val="clear" w:color="000000" w:fill="D6E7F0"/>
            <w:vAlign w:val="center"/>
            <w:hideMark/>
          </w:tcPr>
          <w:p w14:paraId="70605096"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161</w:t>
            </w:r>
          </w:p>
        </w:tc>
        <w:tc>
          <w:tcPr>
            <w:tcW w:w="684" w:type="dxa"/>
            <w:tcBorders>
              <w:top w:val="single" w:sz="4" w:space="0" w:color="ADD6EA"/>
              <w:left w:val="nil"/>
              <w:bottom w:val="single" w:sz="4" w:space="0" w:color="ADD6EA"/>
              <w:right w:val="nil"/>
            </w:tcBorders>
            <w:shd w:val="clear" w:color="000000" w:fill="D6E7F0"/>
            <w:vAlign w:val="center"/>
            <w:hideMark/>
          </w:tcPr>
          <w:p w14:paraId="3A0070FF"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178</w:t>
            </w:r>
          </w:p>
        </w:tc>
        <w:tc>
          <w:tcPr>
            <w:tcW w:w="705" w:type="dxa"/>
            <w:tcBorders>
              <w:top w:val="single" w:sz="4" w:space="0" w:color="ADD6EA"/>
              <w:left w:val="nil"/>
              <w:bottom w:val="single" w:sz="4" w:space="0" w:color="ADD6EA"/>
              <w:right w:val="nil"/>
            </w:tcBorders>
            <w:shd w:val="clear" w:color="000000" w:fill="D6E7F0"/>
            <w:vAlign w:val="center"/>
            <w:hideMark/>
          </w:tcPr>
          <w:p w14:paraId="3DFBACB2"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1,087</w:t>
            </w:r>
          </w:p>
        </w:tc>
        <w:tc>
          <w:tcPr>
            <w:tcW w:w="688" w:type="dxa"/>
            <w:tcBorders>
              <w:top w:val="single" w:sz="4" w:space="0" w:color="ADD6EA"/>
              <w:left w:val="nil"/>
              <w:bottom w:val="single" w:sz="4" w:space="0" w:color="ADD6EA"/>
              <w:right w:val="nil"/>
            </w:tcBorders>
            <w:shd w:val="clear" w:color="000000" w:fill="D6E7F0"/>
            <w:vAlign w:val="center"/>
            <w:hideMark/>
          </w:tcPr>
          <w:p w14:paraId="7B1CFC22"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-510</w:t>
            </w:r>
          </w:p>
        </w:tc>
        <w:tc>
          <w:tcPr>
            <w:tcW w:w="705" w:type="dxa"/>
            <w:tcBorders>
              <w:top w:val="single" w:sz="4" w:space="0" w:color="ADD6EA"/>
              <w:left w:val="nil"/>
              <w:bottom w:val="single" w:sz="4" w:space="0" w:color="ADD6EA"/>
              <w:right w:val="nil"/>
            </w:tcBorders>
            <w:shd w:val="clear" w:color="000000" w:fill="D6E7F0"/>
            <w:vAlign w:val="center"/>
            <w:hideMark/>
          </w:tcPr>
          <w:p w14:paraId="22018B88"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3,406</w:t>
            </w:r>
          </w:p>
        </w:tc>
        <w:tc>
          <w:tcPr>
            <w:tcW w:w="710" w:type="dxa"/>
            <w:tcBorders>
              <w:top w:val="single" w:sz="4" w:space="0" w:color="ADD6EA"/>
              <w:left w:val="nil"/>
              <w:bottom w:val="single" w:sz="4" w:space="0" w:color="ADD6EA"/>
              <w:right w:val="nil"/>
            </w:tcBorders>
            <w:shd w:val="clear" w:color="000000" w:fill="D6E7F0"/>
            <w:vAlign w:val="center"/>
            <w:hideMark/>
          </w:tcPr>
          <w:p w14:paraId="30529887" w14:textId="77777777" w:rsidR="00C93046" w:rsidRPr="00C93046" w:rsidRDefault="00C93046" w:rsidP="00C93046">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3046">
              <w:rPr>
                <w:rFonts w:ascii="Open Sans Semibold" w:eastAsia="Times New Roman" w:hAnsi="Open Sans Semibold" w:cs="Open Sans Semibold"/>
                <w:color w:val="000000"/>
                <w:sz w:val="16"/>
                <w:szCs w:val="16"/>
                <w:lang w:eastAsia="en-AU"/>
              </w:rPr>
              <w:t>85</w:t>
            </w:r>
          </w:p>
        </w:tc>
      </w:tr>
    </w:tbl>
    <w:p w14:paraId="6EF27618" w14:textId="59B815E7" w:rsidR="003F1697" w:rsidRPr="0015091D" w:rsidRDefault="003F1697" w:rsidP="003F1697">
      <w:pPr>
        <w:pStyle w:val="CGC2025TableNote"/>
      </w:pPr>
      <w:r w:rsidRPr="0015091D">
        <w:t xml:space="preserve">Note: Magnitude and direction of GST </w:t>
      </w:r>
      <w:r w:rsidR="00692B7D">
        <w:t>impact</w:t>
      </w:r>
      <w:r w:rsidR="00692B7D" w:rsidRPr="0015091D">
        <w:t xml:space="preserve"> </w:t>
      </w:r>
      <w:r w:rsidRPr="0015091D">
        <w:t>can change from year to year.</w:t>
      </w:r>
    </w:p>
    <w:sectPr w:rsidR="003F1697" w:rsidRPr="0015091D" w:rsidSect="0019728A">
      <w:headerReference w:type="even" r:id="rId18"/>
      <w:footerReference w:type="even" r:id="rId19"/>
      <w:footerReference w:type="default" r:id="rId20"/>
      <w:headerReference w:type="first" r:id="rId21"/>
      <w:footerReference w:type="first" r:id="rId22"/>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C094" w14:textId="77777777" w:rsidR="00642B01" w:rsidRDefault="00642B01">
      <w:r>
        <w:separator/>
      </w:r>
    </w:p>
    <w:p w14:paraId="7A86B026" w14:textId="77777777" w:rsidR="00642B01" w:rsidRDefault="00642B01"/>
  </w:endnote>
  <w:endnote w:type="continuationSeparator" w:id="0">
    <w:p w14:paraId="2A923CDF" w14:textId="77777777" w:rsidR="00642B01" w:rsidRDefault="00642B01">
      <w:r>
        <w:continuationSeparator/>
      </w:r>
    </w:p>
    <w:p w14:paraId="47360A08" w14:textId="77777777" w:rsidR="00642B01" w:rsidRDefault="00642B01"/>
  </w:endnote>
  <w:endnote w:type="continuationNotice" w:id="1">
    <w:p w14:paraId="4B5715FD" w14:textId="77777777" w:rsidR="00642B01" w:rsidRDefault="00642B01">
      <w:pPr>
        <w:spacing w:before="0" w:line="240" w:lineRule="auto"/>
      </w:pPr>
    </w:p>
    <w:p w14:paraId="66F35D8E" w14:textId="77777777" w:rsidR="00642B01" w:rsidRDefault="0064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3761" w14:textId="54C7669D" w:rsidR="00941624" w:rsidRDefault="00941624">
    <w:pPr>
      <w:pStyle w:val="Footer"/>
    </w:pPr>
    <w:r>
      <w:rPr>
        <w:noProof/>
      </w:rPr>
      <mc:AlternateContent>
        <mc:Choice Requires="wps">
          <w:drawing>
            <wp:anchor distT="0" distB="0" distL="0" distR="0" simplePos="0" relativeHeight="251658244" behindDoc="0" locked="0" layoutInCell="1" allowOverlap="1" wp14:anchorId="00B87D90" wp14:editId="0E35E327">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3D92E" w14:textId="4C5FA41C" w:rsidR="00941624" w:rsidRPr="00941624" w:rsidRDefault="00941624" w:rsidP="00941624">
                          <w:pPr>
                            <w:rPr>
                              <w:rFonts w:ascii="Calibri" w:eastAsia="Calibri" w:hAnsi="Calibri" w:cs="Calibri"/>
                              <w:noProof/>
                              <w:color w:val="FF0000"/>
                              <w:sz w:val="24"/>
                              <w:szCs w:val="24"/>
                            </w:rPr>
                          </w:pPr>
                          <w:r w:rsidRPr="009416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87D90" id="_x0000_t202" coordsize="21600,21600" o:spt="202" path="m,l,21600r21600,l21600,xe">
              <v:stroke joinstyle="miter"/>
              <v:path gradientshapeok="t" o:connecttype="rect"/>
            </v:shapetype>
            <v:shape id="Text Box 10"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73D92E" w14:textId="4C5FA41C" w:rsidR="00941624" w:rsidRPr="00941624" w:rsidRDefault="00941624" w:rsidP="00941624">
                    <w:pPr>
                      <w:rPr>
                        <w:rFonts w:ascii="Calibri" w:eastAsia="Calibri" w:hAnsi="Calibri" w:cs="Calibri"/>
                        <w:noProof/>
                        <w:color w:val="FF0000"/>
                        <w:sz w:val="24"/>
                        <w:szCs w:val="24"/>
                      </w:rPr>
                    </w:pPr>
                    <w:r w:rsidRPr="0094162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67B" w14:textId="161CA75E" w:rsidR="00E035E0" w:rsidRPr="00E035E0" w:rsidRDefault="00000000" w:rsidP="000E1909">
    <w:pPr>
      <w:pStyle w:val="Footer"/>
      <w:jc w:val="left"/>
      <w:rPr>
        <w:rFonts w:ascii="Work Sans" w:hAnsi="Work Sans"/>
        <w:b w:val="0"/>
        <w:bCs/>
        <w:color w:val="auto"/>
        <w:sz w:val="14"/>
        <w:szCs w:val="14"/>
      </w:rPr>
    </w:pPr>
    <w:sdt>
      <w:sdtPr>
        <w:id w:val="-1468659055"/>
        <w:docPartObj>
          <w:docPartGallery w:val="Page Numbers (Bottom of Page)"/>
          <w:docPartUnique/>
        </w:docPartObj>
      </w:sdtPr>
      <w:sdtEndPr>
        <w:rPr>
          <w:rFonts w:ascii="Open Sans" w:hAnsi="Open Sans" w:cs="Open Sans"/>
          <w:b w:val="0"/>
          <w:bCs/>
          <w:noProof/>
          <w:color w:val="auto"/>
          <w:sz w:val="14"/>
          <w:szCs w:val="14"/>
        </w:rPr>
      </w:sdtEndPr>
      <w:sdtContent>
        <w:r w:rsidR="000E1909" w:rsidRPr="009272FF">
          <w:rPr>
            <w:rFonts w:ascii="Open Sans Semibold" w:hAnsi="Open Sans Semibold" w:cs="Open Sans Semibold"/>
            <w:b w:val="0"/>
            <w:bCs/>
            <w:color w:val="006991"/>
            <w:sz w:val="14"/>
            <w:szCs w:val="14"/>
          </w:rPr>
          <w:t>Commonwealth Grants Commission</w:t>
        </w:r>
        <w:r w:rsidR="00DD1F70">
          <w:rPr>
            <w:rFonts w:ascii="Open Sans" w:hAnsi="Open Sans" w:cs="Open Sans"/>
            <w:b w:val="0"/>
            <w:bCs/>
            <w:color w:val="auto"/>
            <w:sz w:val="14"/>
            <w:szCs w:val="14"/>
          </w:rPr>
          <w:t xml:space="preserve"> Commission’s </w:t>
        </w:r>
        <w:r w:rsidR="00CC35F7">
          <w:rPr>
            <w:rFonts w:ascii="Open Sans" w:hAnsi="Open Sans" w:cs="Open Sans"/>
            <w:b w:val="0"/>
            <w:bCs/>
            <w:color w:val="auto"/>
            <w:sz w:val="14"/>
            <w:szCs w:val="14"/>
          </w:rPr>
          <w:t>A</w:t>
        </w:r>
        <w:r w:rsidR="00DD1F70">
          <w:rPr>
            <w:rFonts w:ascii="Open Sans" w:hAnsi="Open Sans" w:cs="Open Sans"/>
            <w:b w:val="0"/>
            <w:bCs/>
            <w:color w:val="auto"/>
            <w:sz w:val="14"/>
            <w:szCs w:val="14"/>
          </w:rPr>
          <w:t xml:space="preserve">ssessment </w:t>
        </w:r>
        <w:r w:rsidR="00CC35F7">
          <w:rPr>
            <w:rFonts w:ascii="Open Sans" w:hAnsi="Open Sans" w:cs="Open Sans"/>
            <w:b w:val="0"/>
            <w:bCs/>
            <w:color w:val="auto"/>
            <w:sz w:val="14"/>
            <w:szCs w:val="14"/>
          </w:rPr>
          <w:t>M</w:t>
        </w:r>
        <w:r w:rsidR="00DD1F70">
          <w:rPr>
            <w:rFonts w:ascii="Open Sans" w:hAnsi="Open Sans" w:cs="Open Sans"/>
            <w:b w:val="0"/>
            <w:bCs/>
            <w:color w:val="auto"/>
            <w:sz w:val="14"/>
            <w:szCs w:val="14"/>
          </w:rPr>
          <w:t>ethodology</w:t>
        </w:r>
        <w:r w:rsidR="000E1909">
          <w:rPr>
            <w:rFonts w:ascii="Open Sans" w:hAnsi="Open Sans" w:cs="Open Sans"/>
            <w:b w:val="0"/>
            <w:bCs/>
            <w:color w:val="auto"/>
            <w:sz w:val="14"/>
            <w:szCs w:val="14"/>
          </w:rPr>
          <w:tab/>
        </w:r>
      </w:sdtContent>
    </w:sdt>
  </w:p>
  <w:p w14:paraId="39C6AF0D"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E1C6" w14:textId="7C831A00" w:rsidR="00941624" w:rsidRDefault="00941624">
    <w:pPr>
      <w:pStyle w:val="Footer"/>
    </w:pPr>
    <w:r>
      <w:rPr>
        <w:noProof/>
      </w:rPr>
      <mc:AlternateContent>
        <mc:Choice Requires="wps">
          <w:drawing>
            <wp:anchor distT="0" distB="0" distL="0" distR="0" simplePos="0" relativeHeight="251658243" behindDoc="0" locked="0" layoutInCell="1" allowOverlap="1" wp14:anchorId="4C896D55" wp14:editId="7B7CAC1D">
              <wp:simplePos x="635" y="635"/>
              <wp:positionH relativeFrom="page">
                <wp:align>center</wp:align>
              </wp:positionH>
              <wp:positionV relativeFrom="page">
                <wp:align>bottom</wp:align>
              </wp:positionV>
              <wp:extent cx="443865" cy="443865"/>
              <wp:effectExtent l="0" t="0" r="63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D8D38" w14:textId="01BF6893" w:rsidR="00941624" w:rsidRPr="00941624" w:rsidRDefault="00941624" w:rsidP="00941624">
                          <w:pPr>
                            <w:rPr>
                              <w:rFonts w:ascii="Calibri" w:eastAsia="Calibri" w:hAnsi="Calibri" w:cs="Calibri"/>
                              <w:noProof/>
                              <w:color w:val="FF0000"/>
                              <w:sz w:val="24"/>
                              <w:szCs w:val="24"/>
                            </w:rPr>
                          </w:pPr>
                          <w:r w:rsidRPr="009416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96D55"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1D8D38" w14:textId="01BF6893" w:rsidR="00941624" w:rsidRPr="00941624" w:rsidRDefault="00941624" w:rsidP="00941624">
                    <w:pPr>
                      <w:rPr>
                        <w:rFonts w:ascii="Calibri" w:eastAsia="Calibri" w:hAnsi="Calibri" w:cs="Calibri"/>
                        <w:noProof/>
                        <w:color w:val="FF0000"/>
                        <w:sz w:val="24"/>
                        <w:szCs w:val="24"/>
                      </w:rPr>
                    </w:pPr>
                    <w:r w:rsidRPr="0094162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1012" w14:textId="77777777" w:rsidR="00642B01" w:rsidRPr="001C1AC5" w:rsidRDefault="00642B01">
      <w:pPr>
        <w:rPr>
          <w:color w:val="ADD6EA"/>
        </w:rPr>
      </w:pPr>
      <w:r w:rsidRPr="001C1AC5">
        <w:rPr>
          <w:color w:val="ADD6EA"/>
        </w:rPr>
        <w:separator/>
      </w:r>
    </w:p>
  </w:footnote>
  <w:footnote w:type="continuationSeparator" w:id="0">
    <w:p w14:paraId="4112329F" w14:textId="77777777" w:rsidR="00642B01" w:rsidRDefault="00642B01">
      <w:r>
        <w:continuationSeparator/>
      </w:r>
    </w:p>
    <w:p w14:paraId="722CE2FD" w14:textId="77777777" w:rsidR="00642B01" w:rsidRDefault="00642B01"/>
  </w:footnote>
  <w:footnote w:type="continuationNotice" w:id="1">
    <w:p w14:paraId="6DEB6651" w14:textId="77777777" w:rsidR="00642B01" w:rsidRDefault="00642B01">
      <w:pPr>
        <w:spacing w:before="0" w:line="240" w:lineRule="auto"/>
      </w:pPr>
    </w:p>
    <w:p w14:paraId="7AC1202B" w14:textId="77777777" w:rsidR="00642B01" w:rsidRDefault="00642B01"/>
  </w:footnote>
  <w:footnote w:id="2">
    <w:p w14:paraId="287DCD11" w14:textId="6CD73150" w:rsidR="003B426C" w:rsidRDefault="003B426C">
      <w:pPr>
        <w:pStyle w:val="FootnoteText"/>
      </w:pPr>
      <w:r>
        <w:rPr>
          <w:rStyle w:val="FootnoteReference"/>
        </w:rPr>
        <w:footnoteRef/>
      </w:r>
      <w:r>
        <w:t xml:space="preserve"> </w:t>
      </w:r>
      <w:r w:rsidR="0058411E">
        <w:tab/>
      </w:r>
      <w:r w:rsidR="00D70EE7">
        <w:t>Adjusted budget calculations use ABS G</w:t>
      </w:r>
      <w:r w:rsidR="000C265A">
        <w:t xml:space="preserve">overnment </w:t>
      </w:r>
      <w:r w:rsidR="00D70EE7">
        <w:t>F</w:t>
      </w:r>
      <w:r w:rsidR="000C265A">
        <w:t>inanc</w:t>
      </w:r>
      <w:r w:rsidR="00DB6294">
        <w:t>e</w:t>
      </w:r>
      <w:r w:rsidR="000C265A">
        <w:t xml:space="preserve"> </w:t>
      </w:r>
      <w:r w:rsidR="00D70EE7">
        <w:t>S</w:t>
      </w:r>
      <w:r w:rsidR="000C265A">
        <w:t>tatistics</w:t>
      </w:r>
      <w:r w:rsidR="00D70EE7">
        <w:t xml:space="preserve"> data to determine actual state expenses. For further details see the adjusted budget chapter</w:t>
      </w:r>
      <w:r w:rsidR="00B06D0F">
        <w:t xml:space="preserve"> of the </w:t>
      </w:r>
      <w:r w:rsidR="00B06D0F" w:rsidRPr="00CC35F7">
        <w:rPr>
          <w:i/>
          <w:iCs/>
        </w:rPr>
        <w:t xml:space="preserve">Commission’s </w:t>
      </w:r>
      <w:r w:rsidR="00CC35F7">
        <w:rPr>
          <w:i/>
          <w:iCs/>
        </w:rPr>
        <w:t>A</w:t>
      </w:r>
      <w:r w:rsidR="00B06D0F" w:rsidRPr="00FA31B8">
        <w:rPr>
          <w:i/>
          <w:iCs/>
        </w:rPr>
        <w:t xml:space="preserve">ssessment </w:t>
      </w:r>
      <w:r w:rsidR="00CC35F7">
        <w:rPr>
          <w:i/>
          <w:iCs/>
        </w:rPr>
        <w:t>M</w:t>
      </w:r>
      <w:r w:rsidR="00B06D0F" w:rsidRPr="00FA31B8">
        <w:rPr>
          <w:i/>
          <w:iCs/>
        </w:rPr>
        <w:t>ethodology</w:t>
      </w:r>
      <w:r w:rsidR="00D70EE7">
        <w:t>.</w:t>
      </w:r>
    </w:p>
  </w:footnote>
  <w:footnote w:id="3">
    <w:p w14:paraId="17131243" w14:textId="0B6BC5C7" w:rsidR="00CD60D9" w:rsidRDefault="00CD60D9">
      <w:pPr>
        <w:pStyle w:val="FootnoteText"/>
      </w:pPr>
      <w:r>
        <w:rPr>
          <w:rStyle w:val="FootnoteReference"/>
        </w:rPr>
        <w:footnoteRef/>
      </w:r>
      <w:r>
        <w:t xml:space="preserve"> </w:t>
      </w:r>
      <w:r w:rsidR="005A60EB">
        <w:tab/>
      </w:r>
      <w:r w:rsidR="007F47F9">
        <w:t>Tables in this chapter, unless otherwise stated, use 2022–23 data.</w:t>
      </w:r>
    </w:p>
  </w:footnote>
  <w:footnote w:id="4">
    <w:p w14:paraId="357BA9B9" w14:textId="0EE1DBE8" w:rsidR="00E76980" w:rsidRDefault="00E76980">
      <w:pPr>
        <w:pStyle w:val="FootnoteText"/>
      </w:pPr>
      <w:r>
        <w:rPr>
          <w:rStyle w:val="FootnoteReference"/>
        </w:rPr>
        <w:footnoteRef/>
      </w:r>
      <w:r>
        <w:t xml:space="preserve"> </w:t>
      </w:r>
      <w:r w:rsidR="00186A1F">
        <w:tab/>
      </w:r>
      <w:r w:rsidR="00235E78">
        <w:t>A separate assessment of the expenses associated with the National Partnership on COVID</w:t>
      </w:r>
      <w:r w:rsidR="00235E78">
        <w:noBreakHyphen/>
        <w:t xml:space="preserve">19 </w:t>
      </w:r>
      <w:r w:rsidR="00007C8A">
        <w:t>R</w:t>
      </w:r>
      <w:r w:rsidR="00235E78">
        <w:t xml:space="preserve">esponse </w:t>
      </w:r>
      <w:r w:rsidR="00552A10">
        <w:t xml:space="preserve">will </w:t>
      </w:r>
      <w:r w:rsidR="00604BD4">
        <w:t xml:space="preserve">be undertaken </w:t>
      </w:r>
      <w:r w:rsidR="00814A30">
        <w:t>for</w:t>
      </w:r>
      <w:r w:rsidR="008C1207">
        <w:t xml:space="preserve"> the recommendation of GST relativities for 2025</w:t>
      </w:r>
      <w:r w:rsidR="00897AF7">
        <w:t>–</w:t>
      </w:r>
      <w:r w:rsidR="008C1207">
        <w:t>26 and 2026</w:t>
      </w:r>
      <w:r w:rsidR="00897AF7">
        <w:t>–</w:t>
      </w:r>
      <w:r w:rsidR="008C1207">
        <w:t>27.</w:t>
      </w:r>
    </w:p>
  </w:footnote>
  <w:footnote w:id="5">
    <w:p w14:paraId="24784B15" w14:textId="1F2EF16B" w:rsidR="002304D8" w:rsidRDefault="002304D8">
      <w:pPr>
        <w:pStyle w:val="FootnoteText"/>
      </w:pPr>
      <w:r>
        <w:rPr>
          <w:rStyle w:val="FootnoteReference"/>
        </w:rPr>
        <w:footnoteRef/>
      </w:r>
      <w:r>
        <w:t xml:space="preserve"> </w:t>
      </w:r>
      <w:r w:rsidR="003B1F0D">
        <w:t>These indexes are b</w:t>
      </w:r>
      <w:r w:rsidR="006E32B4" w:rsidRPr="006E32B4">
        <w:t xml:space="preserve">ased on the </w:t>
      </w:r>
      <w:r w:rsidR="00EC0004">
        <w:t xml:space="preserve">same variables and methodology as </w:t>
      </w:r>
      <w:r w:rsidR="00B601C3">
        <w:t xml:space="preserve">the </w:t>
      </w:r>
      <w:r w:rsidR="006E32B4" w:rsidRPr="006E32B4">
        <w:t xml:space="preserve">ABS </w:t>
      </w:r>
      <w:r w:rsidR="006E32B4" w:rsidRPr="00A353DA">
        <w:t>Socio</w:t>
      </w:r>
      <w:r w:rsidR="00C650AE" w:rsidRPr="00A353DA">
        <w:t>-</w:t>
      </w:r>
      <w:r w:rsidR="002B1EE4">
        <w:t>E</w:t>
      </w:r>
      <w:r w:rsidR="006E32B4" w:rsidRPr="00A353DA">
        <w:t xml:space="preserve">conomic </w:t>
      </w:r>
      <w:r w:rsidR="00A82114" w:rsidRPr="00A353DA">
        <w:t>Indexes for Areas (SEIFA)</w:t>
      </w:r>
      <w:r w:rsidR="00F25FC3" w:rsidRPr="00A353DA">
        <w:t xml:space="preserve"> </w:t>
      </w:r>
      <w:r w:rsidR="00C650AE" w:rsidRPr="00A353DA">
        <w:t>–</w:t>
      </w:r>
      <w:r w:rsidR="00F25FC3" w:rsidRPr="00A353DA">
        <w:t xml:space="preserve"> </w:t>
      </w:r>
      <w:r w:rsidR="00C650AE" w:rsidRPr="00A353DA">
        <w:t xml:space="preserve">Index of Relative Socio-economic </w:t>
      </w:r>
      <w:r w:rsidR="00891D46" w:rsidRPr="00A353DA">
        <w:t>Disadvantage</w:t>
      </w:r>
      <w:r w:rsidR="00891D46">
        <w:t>.</w:t>
      </w:r>
    </w:p>
  </w:footnote>
  <w:footnote w:id="6">
    <w:p w14:paraId="1D8A7605" w14:textId="77777777" w:rsidR="00D732AE" w:rsidRDefault="00D732AE" w:rsidP="00D732AE">
      <w:pPr>
        <w:pStyle w:val="FootnoteText"/>
      </w:pPr>
      <w:r>
        <w:rPr>
          <w:rStyle w:val="FootnoteReference"/>
        </w:rPr>
        <w:footnoteRef/>
      </w:r>
      <w:r>
        <w:t xml:space="preserve"> There are s</w:t>
      </w:r>
      <w:r w:rsidRPr="003949F0">
        <w:t xml:space="preserve">imilar adjustments in the community and public health assessment </w:t>
      </w:r>
      <w:r>
        <w:t xml:space="preserve">that are </w:t>
      </w:r>
      <w:r w:rsidRPr="003949F0">
        <w:t>applied to all activity</w:t>
      </w:r>
      <w:r>
        <w:t>.</w:t>
      </w:r>
    </w:p>
  </w:footnote>
  <w:footnote w:id="7">
    <w:p w14:paraId="72407B42" w14:textId="7B1EE524" w:rsidR="007B206A" w:rsidRDefault="007B206A">
      <w:pPr>
        <w:pStyle w:val="FootnoteText"/>
      </w:pPr>
      <w:r>
        <w:rPr>
          <w:rStyle w:val="FootnoteReference"/>
        </w:rPr>
        <w:footnoteRef/>
      </w:r>
      <w:r>
        <w:t xml:space="preserve"> </w:t>
      </w:r>
      <w:r w:rsidR="0043273C">
        <w:tab/>
      </w:r>
      <w:r w:rsidR="0030029C" w:rsidRPr="0030029C">
        <w:t>The method developed by the A</w:t>
      </w:r>
      <w:r w:rsidR="0030029C">
        <w:t xml:space="preserve">IHW </w:t>
      </w:r>
      <w:r w:rsidR="0030029C" w:rsidRPr="0030029C">
        <w:t>define</w:t>
      </w:r>
      <w:r w:rsidR="008B506C">
        <w:t xml:space="preserve">s low urgency presentations </w:t>
      </w:r>
      <w:r w:rsidR="0030029C" w:rsidRPr="0030029C">
        <w:t xml:space="preserve">to an emergency department as any self-referred, non-ambulance, police or community service presentation classified as triage 4 and 5 (less urgent). </w:t>
      </w:r>
      <w:r>
        <w:t xml:space="preserve">The AIHW </w:t>
      </w:r>
      <w:r w:rsidR="00F54745">
        <w:t xml:space="preserve">data notes indicate </w:t>
      </w:r>
      <w:r w:rsidR="009E2EA8">
        <w:t>that c</w:t>
      </w:r>
      <w:r w:rsidRPr="007B206A">
        <w:t>are should be taken when using th</w:t>
      </w:r>
      <w:r w:rsidR="009E2EA8">
        <w:t>e</w:t>
      </w:r>
      <w:r w:rsidRPr="007B206A">
        <w:t xml:space="preserve"> data to identify ‘avoidable GP</w:t>
      </w:r>
      <w:r w:rsidR="0015106A">
        <w:t>-</w:t>
      </w:r>
      <w:r w:rsidRPr="007B206A">
        <w:t>type’ or ‘GP</w:t>
      </w:r>
      <w:r w:rsidR="0095793D">
        <w:t>-</w:t>
      </w:r>
      <w:r w:rsidRPr="007B206A">
        <w:t>style’ presentations because it is based on urgency (triage) categories which may not reflect the various factors that influence the use of EDs such as the complexity of a presentation, the patient’s choice or condition, the most appropriate model of care for such presentations, or the accessibility and availability of primary and community health services.</w:t>
      </w:r>
    </w:p>
  </w:footnote>
  <w:footnote w:id="8">
    <w:p w14:paraId="4B281DAA" w14:textId="2E454196" w:rsidR="00D16799" w:rsidRDefault="00D16799">
      <w:pPr>
        <w:pStyle w:val="FootnoteText"/>
      </w:pPr>
      <w:r>
        <w:rPr>
          <w:rStyle w:val="FootnoteReference"/>
        </w:rPr>
        <w:footnoteRef/>
      </w:r>
      <w:r>
        <w:t xml:space="preserve"> </w:t>
      </w:r>
      <w:r w:rsidR="0043273C">
        <w:tab/>
      </w:r>
      <w:r w:rsidRPr="00D16799">
        <w:t>The method developed by the Australasian College for Emergency Medicine defined a GP</w:t>
      </w:r>
      <w:r w:rsidR="00763712">
        <w:t>-</w:t>
      </w:r>
      <w:r w:rsidRPr="00D16799">
        <w:t>type presentation at an emergency department to be any self-referred, non-ambulance patient with a medical consultation time less than one hour.</w:t>
      </w:r>
    </w:p>
  </w:footnote>
  <w:footnote w:id="9">
    <w:p w14:paraId="027732FC" w14:textId="0744A7C2" w:rsidR="00512914" w:rsidRDefault="00512914">
      <w:pPr>
        <w:pStyle w:val="FootnoteText"/>
      </w:pPr>
      <w:r>
        <w:rPr>
          <w:rStyle w:val="FootnoteReference"/>
        </w:rPr>
        <w:footnoteRef/>
      </w:r>
      <w:r>
        <w:t xml:space="preserve"> </w:t>
      </w:r>
      <w:r w:rsidR="00025590">
        <w:tab/>
      </w:r>
      <w:r w:rsidRPr="00512914">
        <w:t>Activity in COVID</w:t>
      </w:r>
      <w:r w:rsidR="00D269FF">
        <w:t>-</w:t>
      </w:r>
      <w:r w:rsidRPr="00512914">
        <w:t>19 clinics will not be included in the proxy for the assessment of GST relativities for 2025</w:t>
      </w:r>
      <w:r w:rsidR="00A450C3">
        <w:t>–</w:t>
      </w:r>
      <w:r w:rsidRPr="00512914">
        <w:t>26 and 2026</w:t>
      </w:r>
      <w:r w:rsidR="00A450C3">
        <w:t>–</w:t>
      </w:r>
      <w:r w:rsidRPr="00512914">
        <w:t xml:space="preserve">27 on the assumption that these clinics are funded by the National Partnership on COVID-19 Response. Expenses under the </w:t>
      </w:r>
      <w:r w:rsidR="00A450C3">
        <w:t>n</w:t>
      </w:r>
      <w:r w:rsidRPr="00512914">
        <w:t xml:space="preserve">ational </w:t>
      </w:r>
      <w:r w:rsidR="00A450C3">
        <w:t>p</w:t>
      </w:r>
      <w:r w:rsidRPr="00512914">
        <w:t>artnership are being assessed separately.</w:t>
      </w:r>
    </w:p>
  </w:footnote>
  <w:footnote w:id="10">
    <w:p w14:paraId="2B9BF47B" w14:textId="2D1DC593" w:rsidR="007F0E36" w:rsidRDefault="007F0E36">
      <w:pPr>
        <w:pStyle w:val="FootnoteText"/>
      </w:pPr>
      <w:r>
        <w:rPr>
          <w:rStyle w:val="FootnoteReference"/>
        </w:rPr>
        <w:footnoteRef/>
      </w:r>
      <w:r>
        <w:t xml:space="preserve"> </w:t>
      </w:r>
      <w:r w:rsidR="002E4F5A">
        <w:tab/>
      </w:r>
      <w:r w:rsidR="00C2123D">
        <w:t>The Commission does not need to make a similar adjustment for cross</w:t>
      </w:r>
      <w:r w:rsidR="0013041F">
        <w:t>-</w:t>
      </w:r>
      <w:r w:rsidR="00C2123D">
        <w:t xml:space="preserve">border hospital services. </w:t>
      </w:r>
      <w:r w:rsidR="00C2123D" w:rsidRPr="00C2123D">
        <w:t>The National Health Funding Body monitors cross</w:t>
      </w:r>
      <w:r w:rsidR="00F025E6">
        <w:t>-</w:t>
      </w:r>
      <w:r w:rsidR="00C2123D" w:rsidRPr="00C2123D">
        <w:t>border flows of hospital activity funded under the National Health Reform Agreement to ensure that states are compensated for the Commonwealth contribution when providing hospital services to residents of other states. Bilateral agreements between states facilitate reimbursement of the state contribution to cross border service use.</w:t>
      </w:r>
    </w:p>
  </w:footnote>
  <w:footnote w:id="11">
    <w:p w14:paraId="64E7B0D4" w14:textId="62F0D349" w:rsidR="00FD3782" w:rsidRDefault="00FD3782">
      <w:pPr>
        <w:pStyle w:val="FootnoteText"/>
      </w:pPr>
      <w:r>
        <w:rPr>
          <w:rStyle w:val="FootnoteReference"/>
        </w:rPr>
        <w:footnoteRef/>
      </w:r>
      <w:r>
        <w:t xml:space="preserve"> </w:t>
      </w:r>
      <w:r w:rsidRPr="00FD3782">
        <w:t xml:space="preserve">The Commonwealth payment to maintain private hospital viability is treated as </w:t>
      </w:r>
      <w:r w:rsidR="00A0548E">
        <w:t xml:space="preserve">no impact </w:t>
      </w:r>
      <w:r w:rsidR="00924C95">
        <w:t>and is</w:t>
      </w:r>
      <w:r w:rsidR="0076197A">
        <w:t xml:space="preserve"> </w:t>
      </w:r>
      <w:r w:rsidR="00792AAB">
        <w:t xml:space="preserve">not included in component expenses </w:t>
      </w:r>
      <w:r w:rsidRPr="00FD3782">
        <w:t xml:space="preserve">because these </w:t>
      </w:r>
      <w:r w:rsidR="000E300D">
        <w:t xml:space="preserve">expenses </w:t>
      </w:r>
      <w:r w:rsidRPr="00FD3782">
        <w:t>are not related to a usual state responsibility for which needs are assessed.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56D4" w14:textId="2F4B2168" w:rsidR="00941624" w:rsidRDefault="00941624">
    <w:pPr>
      <w:pStyle w:val="Header"/>
    </w:pPr>
    <w:r>
      <w:rPr>
        <w:noProof/>
      </w:rPr>
      <mc:AlternateContent>
        <mc:Choice Requires="wps">
          <w:drawing>
            <wp:anchor distT="0" distB="0" distL="0" distR="0" simplePos="0" relativeHeight="251658241" behindDoc="0" locked="0" layoutInCell="1" allowOverlap="1" wp14:anchorId="704D5AEF" wp14:editId="5C35F45A">
              <wp:simplePos x="635" y="635"/>
              <wp:positionH relativeFrom="page">
                <wp:align>center</wp:align>
              </wp:positionH>
              <wp:positionV relativeFrom="page">
                <wp:align>top</wp:align>
              </wp:positionV>
              <wp:extent cx="443865" cy="443865"/>
              <wp:effectExtent l="0" t="0" r="635" b="1270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56297" w14:textId="01E43E35" w:rsidR="00941624" w:rsidRPr="00941624" w:rsidRDefault="00941624" w:rsidP="00941624">
                          <w:pPr>
                            <w:rPr>
                              <w:rFonts w:ascii="Calibri" w:eastAsia="Calibri" w:hAnsi="Calibri" w:cs="Calibri"/>
                              <w:noProof/>
                              <w:color w:val="FF0000"/>
                              <w:sz w:val="24"/>
                              <w:szCs w:val="24"/>
                            </w:rPr>
                          </w:pPr>
                          <w:r w:rsidRPr="009416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D5AEF" id="_x0000_t202" coordsize="21600,21600" o:spt="202" path="m,l,21600r21600,l21600,xe">
              <v:stroke joinstyle="miter"/>
              <v:path gradientshapeok="t" o:connecttype="rect"/>
            </v:shapetype>
            <v:shape id="Text Box 7" o:spid="_x0000_s1028"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5456297" w14:textId="01E43E35" w:rsidR="00941624" w:rsidRPr="00941624" w:rsidRDefault="00941624" w:rsidP="00941624">
                    <w:pPr>
                      <w:rPr>
                        <w:rFonts w:ascii="Calibri" w:eastAsia="Calibri" w:hAnsi="Calibri" w:cs="Calibri"/>
                        <w:noProof/>
                        <w:color w:val="FF0000"/>
                        <w:sz w:val="24"/>
                        <w:szCs w:val="24"/>
                      </w:rPr>
                    </w:pPr>
                    <w:r w:rsidRPr="0094162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6048" w14:textId="7F720C7D" w:rsidR="00941624" w:rsidRDefault="00941624">
    <w:pPr>
      <w:pStyle w:val="Header"/>
    </w:pPr>
    <w:r>
      <w:rPr>
        <w:noProof/>
      </w:rPr>
      <mc:AlternateContent>
        <mc:Choice Requires="wps">
          <w:drawing>
            <wp:anchor distT="0" distB="0" distL="0" distR="0" simplePos="0" relativeHeight="251658240" behindDoc="0" locked="0" layoutInCell="1" allowOverlap="1" wp14:anchorId="55561F41" wp14:editId="17E64469">
              <wp:simplePos x="635" y="635"/>
              <wp:positionH relativeFrom="page">
                <wp:align>center</wp:align>
              </wp:positionH>
              <wp:positionV relativeFrom="page">
                <wp:align>top</wp:align>
              </wp:positionV>
              <wp:extent cx="443865" cy="443865"/>
              <wp:effectExtent l="0" t="0" r="635" b="1270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3B83D" w14:textId="109FE0B8" w:rsidR="00941624" w:rsidRPr="00941624" w:rsidRDefault="00941624" w:rsidP="00941624">
                          <w:pPr>
                            <w:rPr>
                              <w:rFonts w:ascii="Calibri" w:eastAsia="Calibri" w:hAnsi="Calibri" w:cs="Calibri"/>
                              <w:noProof/>
                              <w:color w:val="FF0000"/>
                              <w:sz w:val="24"/>
                              <w:szCs w:val="24"/>
                            </w:rPr>
                          </w:pPr>
                          <w:r w:rsidRPr="009416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561F41" id="_x0000_t202" coordsize="21600,21600" o:spt="202" path="m,l,21600r21600,l21600,xe">
              <v:stroke joinstyle="miter"/>
              <v:path gradientshapeok="t" o:connecttype="rect"/>
            </v:shapetype>
            <v:shape id="Text Box 6"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463B83D" w14:textId="109FE0B8" w:rsidR="00941624" w:rsidRPr="00941624" w:rsidRDefault="00941624" w:rsidP="00941624">
                    <w:pPr>
                      <w:rPr>
                        <w:rFonts w:ascii="Calibri" w:eastAsia="Calibri" w:hAnsi="Calibri" w:cs="Calibri"/>
                        <w:noProof/>
                        <w:color w:val="FF0000"/>
                        <w:sz w:val="24"/>
                        <w:szCs w:val="24"/>
                      </w:rPr>
                    </w:pPr>
                    <w:r w:rsidRPr="0094162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5428" w:hanging="360"/>
      </w:pPr>
      <w:rPr>
        <w:rFonts w:hint="default"/>
      </w:rPr>
    </w:lvl>
    <w:lvl w:ilvl="1" w:tplc="0C090019" w:tentative="1">
      <w:start w:val="1"/>
      <w:numFmt w:val="lowerLetter"/>
      <w:lvlText w:val="%2."/>
      <w:lvlJc w:val="left"/>
      <w:pPr>
        <w:ind w:left="6148" w:hanging="360"/>
      </w:pPr>
    </w:lvl>
    <w:lvl w:ilvl="2" w:tplc="0C09001B" w:tentative="1">
      <w:start w:val="1"/>
      <w:numFmt w:val="lowerRoman"/>
      <w:lvlText w:val="%3."/>
      <w:lvlJc w:val="right"/>
      <w:pPr>
        <w:ind w:left="6868" w:hanging="180"/>
      </w:pPr>
    </w:lvl>
    <w:lvl w:ilvl="3" w:tplc="0C09000F" w:tentative="1">
      <w:start w:val="1"/>
      <w:numFmt w:val="decimal"/>
      <w:lvlText w:val="%4."/>
      <w:lvlJc w:val="left"/>
      <w:pPr>
        <w:ind w:left="7588" w:hanging="360"/>
      </w:pPr>
    </w:lvl>
    <w:lvl w:ilvl="4" w:tplc="0C090019" w:tentative="1">
      <w:start w:val="1"/>
      <w:numFmt w:val="lowerLetter"/>
      <w:lvlText w:val="%5."/>
      <w:lvlJc w:val="left"/>
      <w:pPr>
        <w:ind w:left="8308" w:hanging="360"/>
      </w:pPr>
    </w:lvl>
    <w:lvl w:ilvl="5" w:tplc="0C09001B" w:tentative="1">
      <w:start w:val="1"/>
      <w:numFmt w:val="lowerRoman"/>
      <w:lvlText w:val="%6."/>
      <w:lvlJc w:val="right"/>
      <w:pPr>
        <w:ind w:left="9028" w:hanging="180"/>
      </w:pPr>
    </w:lvl>
    <w:lvl w:ilvl="6" w:tplc="0C09000F" w:tentative="1">
      <w:start w:val="1"/>
      <w:numFmt w:val="decimal"/>
      <w:lvlText w:val="%7."/>
      <w:lvlJc w:val="left"/>
      <w:pPr>
        <w:ind w:left="9748" w:hanging="360"/>
      </w:pPr>
    </w:lvl>
    <w:lvl w:ilvl="7" w:tplc="0C090019" w:tentative="1">
      <w:start w:val="1"/>
      <w:numFmt w:val="lowerLetter"/>
      <w:lvlText w:val="%8."/>
      <w:lvlJc w:val="left"/>
      <w:pPr>
        <w:ind w:left="10468" w:hanging="360"/>
      </w:pPr>
    </w:lvl>
    <w:lvl w:ilvl="8" w:tplc="0C09001B" w:tentative="1">
      <w:start w:val="1"/>
      <w:numFmt w:val="lowerRoman"/>
      <w:lvlText w:val="%9."/>
      <w:lvlJc w:val="right"/>
      <w:pPr>
        <w:ind w:left="11188" w:hanging="180"/>
      </w:pPr>
    </w:lvl>
  </w:abstractNum>
  <w:abstractNum w:abstractNumId="1" w15:restartNumberingAfterBreak="0">
    <w:nsid w:val="02094040"/>
    <w:multiLevelType w:val="hybridMultilevel"/>
    <w:tmpl w:val="80166BD6"/>
    <w:lvl w:ilvl="0" w:tplc="71F091C4">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 w15:restartNumberingAfterBreak="0">
    <w:nsid w:val="0DFA53A7"/>
    <w:multiLevelType w:val="hybridMultilevel"/>
    <w:tmpl w:val="9A5E753A"/>
    <w:lvl w:ilvl="0" w:tplc="4D202068">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153D7BB4"/>
    <w:multiLevelType w:val="multilevel"/>
    <w:tmpl w:val="561CD76A"/>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i w:val="0"/>
        <w:iCs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E7B98"/>
    <w:multiLevelType w:val="hybridMultilevel"/>
    <w:tmpl w:val="E7E612BC"/>
    <w:lvl w:ilvl="0" w:tplc="AAF60BB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873" w:hanging="360"/>
      </w:pPr>
      <w:rPr>
        <w:rFonts w:ascii="Symbol" w:hAnsi="Symbol" w:hint="default"/>
        <w:color w:val="636466"/>
      </w:rPr>
    </w:lvl>
    <w:lvl w:ilvl="1" w:tplc="0C090003">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7" w15:restartNumberingAfterBreak="0">
    <w:nsid w:val="22845337"/>
    <w:multiLevelType w:val="hybridMultilevel"/>
    <w:tmpl w:val="F2D09BB8"/>
    <w:lvl w:ilvl="0" w:tplc="6838AB9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A386666"/>
    <w:multiLevelType w:val="hybridMultilevel"/>
    <w:tmpl w:val="1DD4AC14"/>
    <w:lvl w:ilvl="0" w:tplc="ED068FC8">
      <w:start w:val="1"/>
      <w:numFmt w:val="lowerLetter"/>
      <w:lvlText w:val="(%1)"/>
      <w:lvlJc w:val="left"/>
      <w:pPr>
        <w:ind w:left="473" w:hanging="360"/>
      </w:pPr>
      <w:rPr>
        <w:rFonts w:ascii="Work Sans" w:eastAsiaTheme="minorHAnsi" w:hAnsi="Work Sans" w:cstheme="minorBidi"/>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3702BE"/>
    <w:multiLevelType w:val="hybridMultilevel"/>
    <w:tmpl w:val="997468E6"/>
    <w:lvl w:ilvl="0" w:tplc="B12A4746">
      <w:start w:val="3"/>
      <w:numFmt w:val="bullet"/>
      <w:lvlText w:val="-"/>
      <w:lvlJc w:val="left"/>
      <w:pPr>
        <w:ind w:left="927" w:hanging="360"/>
      </w:pPr>
      <w:rPr>
        <w:rFonts w:ascii="Work Sans" w:eastAsiaTheme="minorHAnsi" w:hAnsi="Work Sans"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3A417EC6"/>
    <w:multiLevelType w:val="hybridMultilevel"/>
    <w:tmpl w:val="2F1460EA"/>
    <w:lvl w:ilvl="0" w:tplc="EEE66F8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414237F0"/>
    <w:multiLevelType w:val="hybridMultilevel"/>
    <w:tmpl w:val="10D88D80"/>
    <w:lvl w:ilvl="0" w:tplc="ABBCD71E">
      <w:start w:val="1"/>
      <w:numFmt w:val="decimal"/>
      <w:lvlText w:val="%1"/>
      <w:lvlJc w:val="left"/>
      <w:pPr>
        <w:ind w:left="473" w:hanging="360"/>
      </w:pPr>
      <w:rPr>
        <w:rFonts w:hint="default"/>
        <w:sz w:val="14"/>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6"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19584F"/>
    <w:multiLevelType w:val="hybridMultilevel"/>
    <w:tmpl w:val="F49A7EB6"/>
    <w:lvl w:ilvl="0" w:tplc="CD1089E8">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8"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016FEC"/>
    <w:multiLevelType w:val="hybridMultilevel"/>
    <w:tmpl w:val="8E5A9B40"/>
    <w:lvl w:ilvl="0" w:tplc="04CC874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0"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22"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4" w15:restartNumberingAfterBreak="0">
    <w:nsid w:val="6ECC647A"/>
    <w:multiLevelType w:val="hybridMultilevel"/>
    <w:tmpl w:val="9F68D2AC"/>
    <w:lvl w:ilvl="0" w:tplc="B66826F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5" w15:restartNumberingAfterBreak="0">
    <w:nsid w:val="6F9C7F05"/>
    <w:multiLevelType w:val="multilevel"/>
    <w:tmpl w:val="7FB25BB8"/>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67AC0"/>
    <w:multiLevelType w:val="multilevel"/>
    <w:tmpl w:val="6232708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BD69C2"/>
    <w:multiLevelType w:val="hybridMultilevel"/>
    <w:tmpl w:val="C038B91E"/>
    <w:lvl w:ilvl="0" w:tplc="90207DA6">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9" w15:restartNumberingAfterBreak="0">
    <w:nsid w:val="7F02DD68"/>
    <w:multiLevelType w:val="multilevel"/>
    <w:tmpl w:val="C96484D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357354">
    <w:abstractNumId w:val="8"/>
  </w:num>
  <w:num w:numId="2" w16cid:durableId="1003897054">
    <w:abstractNumId w:val="26"/>
  </w:num>
  <w:num w:numId="3" w16cid:durableId="1334529044">
    <w:abstractNumId w:val="6"/>
  </w:num>
  <w:num w:numId="4" w16cid:durableId="1514761234">
    <w:abstractNumId w:val="4"/>
  </w:num>
  <w:num w:numId="5" w16cid:durableId="920797300">
    <w:abstractNumId w:val="0"/>
  </w:num>
  <w:num w:numId="6" w16cid:durableId="1807814447">
    <w:abstractNumId w:val="22"/>
  </w:num>
  <w:num w:numId="7" w16cid:durableId="801770153">
    <w:abstractNumId w:val="11"/>
  </w:num>
  <w:num w:numId="8" w16cid:durableId="1737627722">
    <w:abstractNumId w:val="23"/>
  </w:num>
  <w:num w:numId="9" w16cid:durableId="176697617">
    <w:abstractNumId w:val="3"/>
  </w:num>
  <w:num w:numId="10" w16cid:durableId="1408111535">
    <w:abstractNumId w:val="16"/>
  </w:num>
  <w:num w:numId="11" w16cid:durableId="2080126907">
    <w:abstractNumId w:val="18"/>
  </w:num>
  <w:num w:numId="12" w16cid:durableId="58332428">
    <w:abstractNumId w:val="10"/>
  </w:num>
  <w:num w:numId="13" w16cid:durableId="548763162">
    <w:abstractNumId w:val="21"/>
  </w:num>
  <w:num w:numId="14" w16cid:durableId="1168401533">
    <w:abstractNumId w:val="12"/>
  </w:num>
  <w:num w:numId="15" w16cid:durableId="1946618260">
    <w:abstractNumId w:val="25"/>
  </w:num>
  <w:num w:numId="16" w16cid:durableId="332336816">
    <w:abstractNumId w:val="20"/>
  </w:num>
  <w:num w:numId="17" w16cid:durableId="2031644807">
    <w:abstractNumId w:val="29"/>
  </w:num>
  <w:num w:numId="18" w16cid:durableId="1153059794">
    <w:abstractNumId w:val="27"/>
  </w:num>
  <w:num w:numId="19" w16cid:durableId="730348796">
    <w:abstractNumId w:val="13"/>
  </w:num>
  <w:num w:numId="20" w16cid:durableId="915747914">
    <w:abstractNumId w:val="9"/>
  </w:num>
  <w:num w:numId="21" w16cid:durableId="1382560953">
    <w:abstractNumId w:val="6"/>
  </w:num>
  <w:num w:numId="22" w16cid:durableId="25251330">
    <w:abstractNumId w:val="14"/>
  </w:num>
  <w:num w:numId="23" w16cid:durableId="1446924751">
    <w:abstractNumId w:val="1"/>
  </w:num>
  <w:num w:numId="24" w16cid:durableId="1048526000">
    <w:abstractNumId w:val="17"/>
  </w:num>
  <w:num w:numId="25" w16cid:durableId="399331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9069027">
    <w:abstractNumId w:val="19"/>
  </w:num>
  <w:num w:numId="27" w16cid:durableId="1678531547">
    <w:abstractNumId w:val="7"/>
  </w:num>
  <w:num w:numId="28" w16cid:durableId="319358237">
    <w:abstractNumId w:val="24"/>
  </w:num>
  <w:num w:numId="29" w16cid:durableId="1413628250">
    <w:abstractNumId w:val="15"/>
  </w:num>
  <w:num w:numId="30" w16cid:durableId="832336315">
    <w:abstractNumId w:val="4"/>
  </w:num>
  <w:num w:numId="31" w16cid:durableId="1960912110">
    <w:abstractNumId w:val="4"/>
  </w:num>
  <w:num w:numId="32" w16cid:durableId="917591213">
    <w:abstractNumId w:val="28"/>
  </w:num>
  <w:num w:numId="33" w16cid:durableId="1544562422">
    <w:abstractNumId w:val="5"/>
  </w:num>
  <w:num w:numId="34" w16cid:durableId="192256787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8EE"/>
    <w:rsid w:val="000009EF"/>
    <w:rsid w:val="00000A1E"/>
    <w:rsid w:val="00000AB2"/>
    <w:rsid w:val="00000C9F"/>
    <w:rsid w:val="00000ED3"/>
    <w:rsid w:val="00001078"/>
    <w:rsid w:val="00001116"/>
    <w:rsid w:val="000012DF"/>
    <w:rsid w:val="0000131F"/>
    <w:rsid w:val="000014F2"/>
    <w:rsid w:val="0000185F"/>
    <w:rsid w:val="00001882"/>
    <w:rsid w:val="000019C0"/>
    <w:rsid w:val="00001D6F"/>
    <w:rsid w:val="00001DA2"/>
    <w:rsid w:val="00001E23"/>
    <w:rsid w:val="00001E8B"/>
    <w:rsid w:val="00002144"/>
    <w:rsid w:val="000021B7"/>
    <w:rsid w:val="000021F8"/>
    <w:rsid w:val="0000228B"/>
    <w:rsid w:val="00002343"/>
    <w:rsid w:val="00002356"/>
    <w:rsid w:val="0000246E"/>
    <w:rsid w:val="000025E6"/>
    <w:rsid w:val="00002626"/>
    <w:rsid w:val="00002659"/>
    <w:rsid w:val="000026E9"/>
    <w:rsid w:val="00002923"/>
    <w:rsid w:val="0000299C"/>
    <w:rsid w:val="00002A01"/>
    <w:rsid w:val="00002C01"/>
    <w:rsid w:val="00002ECC"/>
    <w:rsid w:val="00002F86"/>
    <w:rsid w:val="0000300D"/>
    <w:rsid w:val="000030D4"/>
    <w:rsid w:val="000032B9"/>
    <w:rsid w:val="000036D8"/>
    <w:rsid w:val="00003A1F"/>
    <w:rsid w:val="00003BCC"/>
    <w:rsid w:val="000042F1"/>
    <w:rsid w:val="000043F9"/>
    <w:rsid w:val="00004719"/>
    <w:rsid w:val="0000485A"/>
    <w:rsid w:val="00004B1A"/>
    <w:rsid w:val="00004C67"/>
    <w:rsid w:val="00004E0A"/>
    <w:rsid w:val="000051CE"/>
    <w:rsid w:val="000053F8"/>
    <w:rsid w:val="00005821"/>
    <w:rsid w:val="00005B93"/>
    <w:rsid w:val="00005D56"/>
    <w:rsid w:val="00005EEE"/>
    <w:rsid w:val="0000618C"/>
    <w:rsid w:val="000061EE"/>
    <w:rsid w:val="000063BF"/>
    <w:rsid w:val="0000648D"/>
    <w:rsid w:val="0000653E"/>
    <w:rsid w:val="00006C9A"/>
    <w:rsid w:val="00006E30"/>
    <w:rsid w:val="00006EC6"/>
    <w:rsid w:val="00006F3D"/>
    <w:rsid w:val="000070F3"/>
    <w:rsid w:val="00007183"/>
    <w:rsid w:val="00007847"/>
    <w:rsid w:val="00007899"/>
    <w:rsid w:val="00007919"/>
    <w:rsid w:val="00007A8D"/>
    <w:rsid w:val="00007AB8"/>
    <w:rsid w:val="00007C39"/>
    <w:rsid w:val="00007C8A"/>
    <w:rsid w:val="00007C9F"/>
    <w:rsid w:val="00007E77"/>
    <w:rsid w:val="00007F5A"/>
    <w:rsid w:val="00007FD5"/>
    <w:rsid w:val="0001034F"/>
    <w:rsid w:val="00010414"/>
    <w:rsid w:val="000105A1"/>
    <w:rsid w:val="00010711"/>
    <w:rsid w:val="00010B75"/>
    <w:rsid w:val="00010CA1"/>
    <w:rsid w:val="00010CEC"/>
    <w:rsid w:val="00010CFF"/>
    <w:rsid w:val="00010DDC"/>
    <w:rsid w:val="00010F5B"/>
    <w:rsid w:val="000112A8"/>
    <w:rsid w:val="00011BB3"/>
    <w:rsid w:val="00011C73"/>
    <w:rsid w:val="00011D1A"/>
    <w:rsid w:val="00011DA8"/>
    <w:rsid w:val="00011F7D"/>
    <w:rsid w:val="000120A6"/>
    <w:rsid w:val="0001218F"/>
    <w:rsid w:val="00012547"/>
    <w:rsid w:val="000126DF"/>
    <w:rsid w:val="000128A1"/>
    <w:rsid w:val="000128B9"/>
    <w:rsid w:val="00012967"/>
    <w:rsid w:val="00012AC0"/>
    <w:rsid w:val="00012ACA"/>
    <w:rsid w:val="00012B67"/>
    <w:rsid w:val="00012C74"/>
    <w:rsid w:val="00013516"/>
    <w:rsid w:val="000135DF"/>
    <w:rsid w:val="00013B63"/>
    <w:rsid w:val="00013C2A"/>
    <w:rsid w:val="00013F6D"/>
    <w:rsid w:val="00014120"/>
    <w:rsid w:val="00014145"/>
    <w:rsid w:val="000141E3"/>
    <w:rsid w:val="00014225"/>
    <w:rsid w:val="000147B8"/>
    <w:rsid w:val="000147E1"/>
    <w:rsid w:val="00014864"/>
    <w:rsid w:val="000148C5"/>
    <w:rsid w:val="0001491F"/>
    <w:rsid w:val="00014A6D"/>
    <w:rsid w:val="00014A6E"/>
    <w:rsid w:val="00014BCB"/>
    <w:rsid w:val="00014CB0"/>
    <w:rsid w:val="00015049"/>
    <w:rsid w:val="000150BF"/>
    <w:rsid w:val="00015152"/>
    <w:rsid w:val="00015283"/>
    <w:rsid w:val="000154B6"/>
    <w:rsid w:val="00015500"/>
    <w:rsid w:val="000156B2"/>
    <w:rsid w:val="0001570C"/>
    <w:rsid w:val="00015818"/>
    <w:rsid w:val="00015A97"/>
    <w:rsid w:val="00015AB2"/>
    <w:rsid w:val="00015B33"/>
    <w:rsid w:val="00015C57"/>
    <w:rsid w:val="00015D0B"/>
    <w:rsid w:val="00015ECB"/>
    <w:rsid w:val="00015F28"/>
    <w:rsid w:val="00016209"/>
    <w:rsid w:val="000162E7"/>
    <w:rsid w:val="00016307"/>
    <w:rsid w:val="0001698B"/>
    <w:rsid w:val="00016A4D"/>
    <w:rsid w:val="00016C4B"/>
    <w:rsid w:val="00016C62"/>
    <w:rsid w:val="00016CBB"/>
    <w:rsid w:val="00016FE0"/>
    <w:rsid w:val="00016FE9"/>
    <w:rsid w:val="00017139"/>
    <w:rsid w:val="000174A1"/>
    <w:rsid w:val="00017542"/>
    <w:rsid w:val="00017640"/>
    <w:rsid w:val="000176D7"/>
    <w:rsid w:val="0001770B"/>
    <w:rsid w:val="000178EF"/>
    <w:rsid w:val="0001790A"/>
    <w:rsid w:val="00017DD9"/>
    <w:rsid w:val="00017E5B"/>
    <w:rsid w:val="00017EB6"/>
    <w:rsid w:val="0002007E"/>
    <w:rsid w:val="000202C9"/>
    <w:rsid w:val="0002041C"/>
    <w:rsid w:val="000204C9"/>
    <w:rsid w:val="00020799"/>
    <w:rsid w:val="00020C5F"/>
    <w:rsid w:val="00020D21"/>
    <w:rsid w:val="00020DA2"/>
    <w:rsid w:val="00020DB5"/>
    <w:rsid w:val="00020EA3"/>
    <w:rsid w:val="0002116A"/>
    <w:rsid w:val="000213F4"/>
    <w:rsid w:val="00021727"/>
    <w:rsid w:val="00021827"/>
    <w:rsid w:val="00021890"/>
    <w:rsid w:val="0002192A"/>
    <w:rsid w:val="00021B2A"/>
    <w:rsid w:val="00021C7A"/>
    <w:rsid w:val="00021E88"/>
    <w:rsid w:val="00021F8A"/>
    <w:rsid w:val="00022166"/>
    <w:rsid w:val="00022199"/>
    <w:rsid w:val="00022234"/>
    <w:rsid w:val="00022391"/>
    <w:rsid w:val="00022620"/>
    <w:rsid w:val="00022628"/>
    <w:rsid w:val="000226EB"/>
    <w:rsid w:val="00022AD8"/>
    <w:rsid w:val="00022C1B"/>
    <w:rsid w:val="00022CE0"/>
    <w:rsid w:val="00022D52"/>
    <w:rsid w:val="00022E66"/>
    <w:rsid w:val="00022EA9"/>
    <w:rsid w:val="00022F36"/>
    <w:rsid w:val="00023068"/>
    <w:rsid w:val="000230ED"/>
    <w:rsid w:val="00023137"/>
    <w:rsid w:val="0002332C"/>
    <w:rsid w:val="000234CC"/>
    <w:rsid w:val="000235E1"/>
    <w:rsid w:val="00023634"/>
    <w:rsid w:val="00023AE7"/>
    <w:rsid w:val="00023B03"/>
    <w:rsid w:val="00023BDB"/>
    <w:rsid w:val="00023C58"/>
    <w:rsid w:val="00023DB6"/>
    <w:rsid w:val="00024069"/>
    <w:rsid w:val="000242A6"/>
    <w:rsid w:val="000244F4"/>
    <w:rsid w:val="000246BA"/>
    <w:rsid w:val="000246EB"/>
    <w:rsid w:val="00024745"/>
    <w:rsid w:val="00024A4B"/>
    <w:rsid w:val="00024CD0"/>
    <w:rsid w:val="00024D5F"/>
    <w:rsid w:val="00024DEC"/>
    <w:rsid w:val="000250BC"/>
    <w:rsid w:val="000251CC"/>
    <w:rsid w:val="00025242"/>
    <w:rsid w:val="00025590"/>
    <w:rsid w:val="00025612"/>
    <w:rsid w:val="0002573B"/>
    <w:rsid w:val="00025B1F"/>
    <w:rsid w:val="00025CB3"/>
    <w:rsid w:val="00025D1C"/>
    <w:rsid w:val="00025E94"/>
    <w:rsid w:val="00025F88"/>
    <w:rsid w:val="00026337"/>
    <w:rsid w:val="00026429"/>
    <w:rsid w:val="000265A4"/>
    <w:rsid w:val="00026661"/>
    <w:rsid w:val="00026801"/>
    <w:rsid w:val="00026896"/>
    <w:rsid w:val="000268E0"/>
    <w:rsid w:val="00026928"/>
    <w:rsid w:val="000269AC"/>
    <w:rsid w:val="00026A1A"/>
    <w:rsid w:val="00026AAF"/>
    <w:rsid w:val="00026AD6"/>
    <w:rsid w:val="00026E43"/>
    <w:rsid w:val="00026E62"/>
    <w:rsid w:val="00026E7B"/>
    <w:rsid w:val="000271CB"/>
    <w:rsid w:val="000273C6"/>
    <w:rsid w:val="000274F7"/>
    <w:rsid w:val="00027557"/>
    <w:rsid w:val="00027691"/>
    <w:rsid w:val="00027ABE"/>
    <w:rsid w:val="00030205"/>
    <w:rsid w:val="00030309"/>
    <w:rsid w:val="00030516"/>
    <w:rsid w:val="00030530"/>
    <w:rsid w:val="00030595"/>
    <w:rsid w:val="00030629"/>
    <w:rsid w:val="00030787"/>
    <w:rsid w:val="000307C0"/>
    <w:rsid w:val="000308FA"/>
    <w:rsid w:val="00030AFF"/>
    <w:rsid w:val="00030DAF"/>
    <w:rsid w:val="00030E34"/>
    <w:rsid w:val="00030E66"/>
    <w:rsid w:val="00031277"/>
    <w:rsid w:val="00031648"/>
    <w:rsid w:val="00031995"/>
    <w:rsid w:val="00031AFE"/>
    <w:rsid w:val="00031B76"/>
    <w:rsid w:val="00031CCB"/>
    <w:rsid w:val="00031CF4"/>
    <w:rsid w:val="00031D95"/>
    <w:rsid w:val="00031F29"/>
    <w:rsid w:val="00032318"/>
    <w:rsid w:val="00032544"/>
    <w:rsid w:val="000326F5"/>
    <w:rsid w:val="000327F7"/>
    <w:rsid w:val="00032856"/>
    <w:rsid w:val="000328A8"/>
    <w:rsid w:val="00032F41"/>
    <w:rsid w:val="00033011"/>
    <w:rsid w:val="00033347"/>
    <w:rsid w:val="00033492"/>
    <w:rsid w:val="000335BE"/>
    <w:rsid w:val="00033753"/>
    <w:rsid w:val="00033756"/>
    <w:rsid w:val="000338C9"/>
    <w:rsid w:val="00033A28"/>
    <w:rsid w:val="00033A71"/>
    <w:rsid w:val="00033C0D"/>
    <w:rsid w:val="00033E21"/>
    <w:rsid w:val="00033F58"/>
    <w:rsid w:val="0003409C"/>
    <w:rsid w:val="0003410E"/>
    <w:rsid w:val="0003426C"/>
    <w:rsid w:val="0003432A"/>
    <w:rsid w:val="00034493"/>
    <w:rsid w:val="000344F5"/>
    <w:rsid w:val="0003457A"/>
    <w:rsid w:val="00034622"/>
    <w:rsid w:val="00034916"/>
    <w:rsid w:val="00034DA8"/>
    <w:rsid w:val="00034DBB"/>
    <w:rsid w:val="00034F08"/>
    <w:rsid w:val="000351EC"/>
    <w:rsid w:val="0003558B"/>
    <w:rsid w:val="000355D9"/>
    <w:rsid w:val="000359D1"/>
    <w:rsid w:val="00035F2E"/>
    <w:rsid w:val="000361BA"/>
    <w:rsid w:val="000363C5"/>
    <w:rsid w:val="000364B2"/>
    <w:rsid w:val="000364E2"/>
    <w:rsid w:val="000364E9"/>
    <w:rsid w:val="00036B90"/>
    <w:rsid w:val="00036C51"/>
    <w:rsid w:val="00036F1C"/>
    <w:rsid w:val="000370C8"/>
    <w:rsid w:val="000372BA"/>
    <w:rsid w:val="00037494"/>
    <w:rsid w:val="000376F9"/>
    <w:rsid w:val="00037A09"/>
    <w:rsid w:val="00037D04"/>
    <w:rsid w:val="00037E1C"/>
    <w:rsid w:val="00040135"/>
    <w:rsid w:val="000401DE"/>
    <w:rsid w:val="000402F0"/>
    <w:rsid w:val="00040571"/>
    <w:rsid w:val="00040601"/>
    <w:rsid w:val="00040630"/>
    <w:rsid w:val="00040CCA"/>
    <w:rsid w:val="00040D48"/>
    <w:rsid w:val="00040EB9"/>
    <w:rsid w:val="000410C8"/>
    <w:rsid w:val="0004123E"/>
    <w:rsid w:val="00041299"/>
    <w:rsid w:val="00041315"/>
    <w:rsid w:val="00041748"/>
    <w:rsid w:val="0004175C"/>
    <w:rsid w:val="00041E1B"/>
    <w:rsid w:val="00041E84"/>
    <w:rsid w:val="00042271"/>
    <w:rsid w:val="0004236F"/>
    <w:rsid w:val="000424EA"/>
    <w:rsid w:val="00042576"/>
    <w:rsid w:val="0004258C"/>
    <w:rsid w:val="00042838"/>
    <w:rsid w:val="00042AB2"/>
    <w:rsid w:val="00042E37"/>
    <w:rsid w:val="00042E9E"/>
    <w:rsid w:val="00042F66"/>
    <w:rsid w:val="000432EE"/>
    <w:rsid w:val="00043611"/>
    <w:rsid w:val="00043B5D"/>
    <w:rsid w:val="00043CFE"/>
    <w:rsid w:val="00044264"/>
    <w:rsid w:val="000442AA"/>
    <w:rsid w:val="0004440E"/>
    <w:rsid w:val="00044479"/>
    <w:rsid w:val="0004456B"/>
    <w:rsid w:val="00044A8D"/>
    <w:rsid w:val="00045132"/>
    <w:rsid w:val="000451DA"/>
    <w:rsid w:val="0004569D"/>
    <w:rsid w:val="00045736"/>
    <w:rsid w:val="00045782"/>
    <w:rsid w:val="00045AD0"/>
    <w:rsid w:val="00045C03"/>
    <w:rsid w:val="00045C11"/>
    <w:rsid w:val="00045ED4"/>
    <w:rsid w:val="00045F82"/>
    <w:rsid w:val="00046068"/>
    <w:rsid w:val="00046397"/>
    <w:rsid w:val="00046506"/>
    <w:rsid w:val="000465BD"/>
    <w:rsid w:val="00046737"/>
    <w:rsid w:val="00046859"/>
    <w:rsid w:val="0004687C"/>
    <w:rsid w:val="00046A37"/>
    <w:rsid w:val="00046B06"/>
    <w:rsid w:val="00046B18"/>
    <w:rsid w:val="00046BD1"/>
    <w:rsid w:val="000470A2"/>
    <w:rsid w:val="00047121"/>
    <w:rsid w:val="000471CD"/>
    <w:rsid w:val="00047216"/>
    <w:rsid w:val="000472D1"/>
    <w:rsid w:val="000475F1"/>
    <w:rsid w:val="00047690"/>
    <w:rsid w:val="00047856"/>
    <w:rsid w:val="00047951"/>
    <w:rsid w:val="00047AB0"/>
    <w:rsid w:val="00047C3F"/>
    <w:rsid w:val="00047CD8"/>
    <w:rsid w:val="00047DF1"/>
    <w:rsid w:val="00047E5A"/>
    <w:rsid w:val="0005017B"/>
    <w:rsid w:val="000501BC"/>
    <w:rsid w:val="00050315"/>
    <w:rsid w:val="0005057B"/>
    <w:rsid w:val="000508D3"/>
    <w:rsid w:val="00050BC9"/>
    <w:rsid w:val="00050F67"/>
    <w:rsid w:val="00051114"/>
    <w:rsid w:val="00051225"/>
    <w:rsid w:val="000513FC"/>
    <w:rsid w:val="000516DF"/>
    <w:rsid w:val="00051A2E"/>
    <w:rsid w:val="00051B92"/>
    <w:rsid w:val="00051F3C"/>
    <w:rsid w:val="000520AF"/>
    <w:rsid w:val="0005213A"/>
    <w:rsid w:val="000521B6"/>
    <w:rsid w:val="000525F5"/>
    <w:rsid w:val="0005289F"/>
    <w:rsid w:val="000528C3"/>
    <w:rsid w:val="00052A01"/>
    <w:rsid w:val="00052ABA"/>
    <w:rsid w:val="00052DA0"/>
    <w:rsid w:val="00052EF2"/>
    <w:rsid w:val="00053205"/>
    <w:rsid w:val="000533C8"/>
    <w:rsid w:val="0005343F"/>
    <w:rsid w:val="00053480"/>
    <w:rsid w:val="00053497"/>
    <w:rsid w:val="00053512"/>
    <w:rsid w:val="00053581"/>
    <w:rsid w:val="0005377C"/>
    <w:rsid w:val="000537F0"/>
    <w:rsid w:val="0005381C"/>
    <w:rsid w:val="0005392E"/>
    <w:rsid w:val="00053B50"/>
    <w:rsid w:val="00053C36"/>
    <w:rsid w:val="00053D7B"/>
    <w:rsid w:val="00053E96"/>
    <w:rsid w:val="00053F17"/>
    <w:rsid w:val="00053F80"/>
    <w:rsid w:val="00054088"/>
    <w:rsid w:val="000540CC"/>
    <w:rsid w:val="0005410D"/>
    <w:rsid w:val="000541B6"/>
    <w:rsid w:val="00054309"/>
    <w:rsid w:val="00054311"/>
    <w:rsid w:val="0005450A"/>
    <w:rsid w:val="0005450F"/>
    <w:rsid w:val="0005451C"/>
    <w:rsid w:val="00054753"/>
    <w:rsid w:val="00054917"/>
    <w:rsid w:val="000549F0"/>
    <w:rsid w:val="00054BCE"/>
    <w:rsid w:val="00054C38"/>
    <w:rsid w:val="00054C3B"/>
    <w:rsid w:val="00054CDA"/>
    <w:rsid w:val="00054E16"/>
    <w:rsid w:val="000554BF"/>
    <w:rsid w:val="000555DB"/>
    <w:rsid w:val="00055A00"/>
    <w:rsid w:val="00055A2D"/>
    <w:rsid w:val="00055F5A"/>
    <w:rsid w:val="00056285"/>
    <w:rsid w:val="000562EF"/>
    <w:rsid w:val="00056371"/>
    <w:rsid w:val="00056373"/>
    <w:rsid w:val="000568F5"/>
    <w:rsid w:val="000569CD"/>
    <w:rsid w:val="00056E89"/>
    <w:rsid w:val="000575F1"/>
    <w:rsid w:val="00057762"/>
    <w:rsid w:val="00057772"/>
    <w:rsid w:val="00057A71"/>
    <w:rsid w:val="00057AED"/>
    <w:rsid w:val="00057D13"/>
    <w:rsid w:val="00057D91"/>
    <w:rsid w:val="0006004A"/>
    <w:rsid w:val="000602FD"/>
    <w:rsid w:val="0006036A"/>
    <w:rsid w:val="000604B5"/>
    <w:rsid w:val="000604C7"/>
    <w:rsid w:val="0006050F"/>
    <w:rsid w:val="00060612"/>
    <w:rsid w:val="00060771"/>
    <w:rsid w:val="000607C2"/>
    <w:rsid w:val="000608EA"/>
    <w:rsid w:val="00060941"/>
    <w:rsid w:val="00060A59"/>
    <w:rsid w:val="00060CA5"/>
    <w:rsid w:val="00060D06"/>
    <w:rsid w:val="00060FD3"/>
    <w:rsid w:val="00061018"/>
    <w:rsid w:val="0006104A"/>
    <w:rsid w:val="000610CF"/>
    <w:rsid w:val="00061111"/>
    <w:rsid w:val="00061233"/>
    <w:rsid w:val="000613B7"/>
    <w:rsid w:val="00061535"/>
    <w:rsid w:val="0006177C"/>
    <w:rsid w:val="00061933"/>
    <w:rsid w:val="00061993"/>
    <w:rsid w:val="00061A40"/>
    <w:rsid w:val="00061B3F"/>
    <w:rsid w:val="00061B8C"/>
    <w:rsid w:val="00062330"/>
    <w:rsid w:val="000624BB"/>
    <w:rsid w:val="00062C57"/>
    <w:rsid w:val="00062C8A"/>
    <w:rsid w:val="00062CD9"/>
    <w:rsid w:val="00062D47"/>
    <w:rsid w:val="00062D99"/>
    <w:rsid w:val="00062EE9"/>
    <w:rsid w:val="00062F53"/>
    <w:rsid w:val="000631FE"/>
    <w:rsid w:val="000633E0"/>
    <w:rsid w:val="000633E8"/>
    <w:rsid w:val="00063437"/>
    <w:rsid w:val="000635C8"/>
    <w:rsid w:val="00063638"/>
    <w:rsid w:val="0006366E"/>
    <w:rsid w:val="00063F52"/>
    <w:rsid w:val="000640C0"/>
    <w:rsid w:val="000641EB"/>
    <w:rsid w:val="00064557"/>
    <w:rsid w:val="000648E8"/>
    <w:rsid w:val="00064BB3"/>
    <w:rsid w:val="00064CE5"/>
    <w:rsid w:val="00064DC6"/>
    <w:rsid w:val="00064FAA"/>
    <w:rsid w:val="0006519E"/>
    <w:rsid w:val="000651D2"/>
    <w:rsid w:val="000653F5"/>
    <w:rsid w:val="000654AC"/>
    <w:rsid w:val="000656EC"/>
    <w:rsid w:val="000657A7"/>
    <w:rsid w:val="00065BF3"/>
    <w:rsid w:val="00065E45"/>
    <w:rsid w:val="00065F22"/>
    <w:rsid w:val="00065F7A"/>
    <w:rsid w:val="0006632E"/>
    <w:rsid w:val="000665AB"/>
    <w:rsid w:val="00066924"/>
    <w:rsid w:val="00066C63"/>
    <w:rsid w:val="00066D82"/>
    <w:rsid w:val="00066E63"/>
    <w:rsid w:val="00066F8C"/>
    <w:rsid w:val="00066FC9"/>
    <w:rsid w:val="00067056"/>
    <w:rsid w:val="0006731D"/>
    <w:rsid w:val="00067964"/>
    <w:rsid w:val="000679BC"/>
    <w:rsid w:val="00067CF9"/>
    <w:rsid w:val="00067D0E"/>
    <w:rsid w:val="00070099"/>
    <w:rsid w:val="000700C3"/>
    <w:rsid w:val="000702C3"/>
    <w:rsid w:val="000704E9"/>
    <w:rsid w:val="00070B45"/>
    <w:rsid w:val="00070BAD"/>
    <w:rsid w:val="00070C1D"/>
    <w:rsid w:val="00070C75"/>
    <w:rsid w:val="00070D3C"/>
    <w:rsid w:val="00070D80"/>
    <w:rsid w:val="00070E8F"/>
    <w:rsid w:val="00070EA5"/>
    <w:rsid w:val="0007102B"/>
    <w:rsid w:val="000715CE"/>
    <w:rsid w:val="0007176E"/>
    <w:rsid w:val="000717A0"/>
    <w:rsid w:val="000717CB"/>
    <w:rsid w:val="0007185D"/>
    <w:rsid w:val="0007191B"/>
    <w:rsid w:val="000719A2"/>
    <w:rsid w:val="00071A32"/>
    <w:rsid w:val="00071EF7"/>
    <w:rsid w:val="00071F1E"/>
    <w:rsid w:val="000720D8"/>
    <w:rsid w:val="00072271"/>
    <w:rsid w:val="0007232C"/>
    <w:rsid w:val="00072373"/>
    <w:rsid w:val="00072886"/>
    <w:rsid w:val="00072B41"/>
    <w:rsid w:val="00072C66"/>
    <w:rsid w:val="00072CBE"/>
    <w:rsid w:val="00072FD2"/>
    <w:rsid w:val="0007310A"/>
    <w:rsid w:val="000731C5"/>
    <w:rsid w:val="0007335C"/>
    <w:rsid w:val="000733A9"/>
    <w:rsid w:val="000733B7"/>
    <w:rsid w:val="000733D6"/>
    <w:rsid w:val="0007360C"/>
    <w:rsid w:val="000738EB"/>
    <w:rsid w:val="00073944"/>
    <w:rsid w:val="0007394C"/>
    <w:rsid w:val="00073BF5"/>
    <w:rsid w:val="00073D03"/>
    <w:rsid w:val="00073D9D"/>
    <w:rsid w:val="00073E21"/>
    <w:rsid w:val="00073E85"/>
    <w:rsid w:val="00073E92"/>
    <w:rsid w:val="0007426D"/>
    <w:rsid w:val="000742AD"/>
    <w:rsid w:val="000744AB"/>
    <w:rsid w:val="0007468B"/>
    <w:rsid w:val="0007476E"/>
    <w:rsid w:val="000747DB"/>
    <w:rsid w:val="00074A1E"/>
    <w:rsid w:val="00074E5E"/>
    <w:rsid w:val="00075051"/>
    <w:rsid w:val="00075079"/>
    <w:rsid w:val="00075534"/>
    <w:rsid w:val="00075593"/>
    <w:rsid w:val="00075730"/>
    <w:rsid w:val="0007582F"/>
    <w:rsid w:val="00075AB5"/>
    <w:rsid w:val="00075B39"/>
    <w:rsid w:val="00075BB5"/>
    <w:rsid w:val="00075E29"/>
    <w:rsid w:val="00076156"/>
    <w:rsid w:val="000763D9"/>
    <w:rsid w:val="00076434"/>
    <w:rsid w:val="000765E2"/>
    <w:rsid w:val="00076644"/>
    <w:rsid w:val="000767BB"/>
    <w:rsid w:val="00076811"/>
    <w:rsid w:val="0007687E"/>
    <w:rsid w:val="00076971"/>
    <w:rsid w:val="00076B70"/>
    <w:rsid w:val="00076DA5"/>
    <w:rsid w:val="00077240"/>
    <w:rsid w:val="000772B1"/>
    <w:rsid w:val="000772DF"/>
    <w:rsid w:val="00077354"/>
    <w:rsid w:val="000773FA"/>
    <w:rsid w:val="0007763B"/>
    <w:rsid w:val="000779DC"/>
    <w:rsid w:val="00077AAF"/>
    <w:rsid w:val="00077ADE"/>
    <w:rsid w:val="00077BAF"/>
    <w:rsid w:val="00077C0B"/>
    <w:rsid w:val="00077D1F"/>
    <w:rsid w:val="0008016D"/>
    <w:rsid w:val="00080188"/>
    <w:rsid w:val="00080349"/>
    <w:rsid w:val="00080439"/>
    <w:rsid w:val="000805C9"/>
    <w:rsid w:val="00080824"/>
    <w:rsid w:val="00080895"/>
    <w:rsid w:val="00080936"/>
    <w:rsid w:val="000812ED"/>
    <w:rsid w:val="0008140B"/>
    <w:rsid w:val="00081610"/>
    <w:rsid w:val="00081636"/>
    <w:rsid w:val="00081696"/>
    <w:rsid w:val="000816E0"/>
    <w:rsid w:val="00081905"/>
    <w:rsid w:val="000819A8"/>
    <w:rsid w:val="00081AD7"/>
    <w:rsid w:val="00081C35"/>
    <w:rsid w:val="00081DDA"/>
    <w:rsid w:val="00081E45"/>
    <w:rsid w:val="00081F57"/>
    <w:rsid w:val="00081FAD"/>
    <w:rsid w:val="0008208B"/>
    <w:rsid w:val="00082090"/>
    <w:rsid w:val="000826D0"/>
    <w:rsid w:val="000827AD"/>
    <w:rsid w:val="0008286C"/>
    <w:rsid w:val="00082933"/>
    <w:rsid w:val="00082971"/>
    <w:rsid w:val="00082CA5"/>
    <w:rsid w:val="00082DEF"/>
    <w:rsid w:val="00082EC2"/>
    <w:rsid w:val="00083022"/>
    <w:rsid w:val="0008341B"/>
    <w:rsid w:val="00083837"/>
    <w:rsid w:val="00083842"/>
    <w:rsid w:val="000839DC"/>
    <w:rsid w:val="00083AB1"/>
    <w:rsid w:val="00083B06"/>
    <w:rsid w:val="000840C3"/>
    <w:rsid w:val="00084494"/>
    <w:rsid w:val="0008456B"/>
    <w:rsid w:val="000845B9"/>
    <w:rsid w:val="00084610"/>
    <w:rsid w:val="000847BF"/>
    <w:rsid w:val="00084CA2"/>
    <w:rsid w:val="00084E8B"/>
    <w:rsid w:val="00084EE0"/>
    <w:rsid w:val="00084EEF"/>
    <w:rsid w:val="00084FEA"/>
    <w:rsid w:val="000850AF"/>
    <w:rsid w:val="000852AE"/>
    <w:rsid w:val="00085305"/>
    <w:rsid w:val="0008559A"/>
    <w:rsid w:val="000855F4"/>
    <w:rsid w:val="00085729"/>
    <w:rsid w:val="00085902"/>
    <w:rsid w:val="00085A0C"/>
    <w:rsid w:val="00085D0E"/>
    <w:rsid w:val="00085DD9"/>
    <w:rsid w:val="00085EA1"/>
    <w:rsid w:val="00085FEF"/>
    <w:rsid w:val="00086045"/>
    <w:rsid w:val="00086194"/>
    <w:rsid w:val="000861D9"/>
    <w:rsid w:val="00086355"/>
    <w:rsid w:val="0008677E"/>
    <w:rsid w:val="000867DC"/>
    <w:rsid w:val="000868B7"/>
    <w:rsid w:val="000869E1"/>
    <w:rsid w:val="000869F6"/>
    <w:rsid w:val="00086A5C"/>
    <w:rsid w:val="00086A9C"/>
    <w:rsid w:val="00086B04"/>
    <w:rsid w:val="00086C42"/>
    <w:rsid w:val="00086E69"/>
    <w:rsid w:val="00086EBC"/>
    <w:rsid w:val="00086F5C"/>
    <w:rsid w:val="000872A1"/>
    <w:rsid w:val="000872BA"/>
    <w:rsid w:val="00087501"/>
    <w:rsid w:val="000875DB"/>
    <w:rsid w:val="0008779D"/>
    <w:rsid w:val="00087846"/>
    <w:rsid w:val="00087963"/>
    <w:rsid w:val="00087F56"/>
    <w:rsid w:val="00087F7D"/>
    <w:rsid w:val="00087FC4"/>
    <w:rsid w:val="00090338"/>
    <w:rsid w:val="0009035C"/>
    <w:rsid w:val="00090362"/>
    <w:rsid w:val="00090781"/>
    <w:rsid w:val="000907C2"/>
    <w:rsid w:val="00090DBA"/>
    <w:rsid w:val="000910DA"/>
    <w:rsid w:val="000912C5"/>
    <w:rsid w:val="000915AA"/>
    <w:rsid w:val="00091642"/>
    <w:rsid w:val="00091673"/>
    <w:rsid w:val="00091AD2"/>
    <w:rsid w:val="00091BEF"/>
    <w:rsid w:val="00091C4F"/>
    <w:rsid w:val="00091D6E"/>
    <w:rsid w:val="000928AF"/>
    <w:rsid w:val="00092ABE"/>
    <w:rsid w:val="00092B65"/>
    <w:rsid w:val="00092F9E"/>
    <w:rsid w:val="00093188"/>
    <w:rsid w:val="000931D5"/>
    <w:rsid w:val="00093216"/>
    <w:rsid w:val="000934EC"/>
    <w:rsid w:val="00093603"/>
    <w:rsid w:val="00093796"/>
    <w:rsid w:val="00093910"/>
    <w:rsid w:val="000939CA"/>
    <w:rsid w:val="00094010"/>
    <w:rsid w:val="000940FE"/>
    <w:rsid w:val="000941F5"/>
    <w:rsid w:val="0009432B"/>
    <w:rsid w:val="000943A8"/>
    <w:rsid w:val="000944B7"/>
    <w:rsid w:val="00094500"/>
    <w:rsid w:val="00094531"/>
    <w:rsid w:val="00094676"/>
    <w:rsid w:val="000946B7"/>
    <w:rsid w:val="00094A03"/>
    <w:rsid w:val="00094A09"/>
    <w:rsid w:val="00094BB7"/>
    <w:rsid w:val="00094E9F"/>
    <w:rsid w:val="00094EA1"/>
    <w:rsid w:val="000950A8"/>
    <w:rsid w:val="0009530A"/>
    <w:rsid w:val="0009567D"/>
    <w:rsid w:val="0009569E"/>
    <w:rsid w:val="000956C8"/>
    <w:rsid w:val="000959E2"/>
    <w:rsid w:val="00095B1F"/>
    <w:rsid w:val="00095B68"/>
    <w:rsid w:val="00095E57"/>
    <w:rsid w:val="0009616A"/>
    <w:rsid w:val="0009650F"/>
    <w:rsid w:val="00096570"/>
    <w:rsid w:val="00096616"/>
    <w:rsid w:val="00096671"/>
    <w:rsid w:val="000966F2"/>
    <w:rsid w:val="0009673A"/>
    <w:rsid w:val="000967D6"/>
    <w:rsid w:val="00096896"/>
    <w:rsid w:val="00096A17"/>
    <w:rsid w:val="00096B25"/>
    <w:rsid w:val="00096C06"/>
    <w:rsid w:val="00096C31"/>
    <w:rsid w:val="00096E12"/>
    <w:rsid w:val="00096E4E"/>
    <w:rsid w:val="000970BA"/>
    <w:rsid w:val="00097131"/>
    <w:rsid w:val="00097192"/>
    <w:rsid w:val="00097245"/>
    <w:rsid w:val="00097626"/>
    <w:rsid w:val="0009763B"/>
    <w:rsid w:val="00097790"/>
    <w:rsid w:val="00097971"/>
    <w:rsid w:val="00097BBE"/>
    <w:rsid w:val="00097CF0"/>
    <w:rsid w:val="00097D78"/>
    <w:rsid w:val="00097F09"/>
    <w:rsid w:val="000A00A2"/>
    <w:rsid w:val="000A011D"/>
    <w:rsid w:val="000A0256"/>
    <w:rsid w:val="000A07C9"/>
    <w:rsid w:val="000A09BF"/>
    <w:rsid w:val="000A09ED"/>
    <w:rsid w:val="000A0C33"/>
    <w:rsid w:val="000A0D9F"/>
    <w:rsid w:val="000A1190"/>
    <w:rsid w:val="000A12BA"/>
    <w:rsid w:val="000A14F8"/>
    <w:rsid w:val="000A1505"/>
    <w:rsid w:val="000A156D"/>
    <w:rsid w:val="000A17C5"/>
    <w:rsid w:val="000A17F1"/>
    <w:rsid w:val="000A1954"/>
    <w:rsid w:val="000A1B09"/>
    <w:rsid w:val="000A1DED"/>
    <w:rsid w:val="000A220D"/>
    <w:rsid w:val="000A2395"/>
    <w:rsid w:val="000A260B"/>
    <w:rsid w:val="000A26C5"/>
    <w:rsid w:val="000A2870"/>
    <w:rsid w:val="000A287C"/>
    <w:rsid w:val="000A2BC4"/>
    <w:rsid w:val="000A2E24"/>
    <w:rsid w:val="000A3130"/>
    <w:rsid w:val="000A336C"/>
    <w:rsid w:val="000A346F"/>
    <w:rsid w:val="000A3898"/>
    <w:rsid w:val="000A3C2F"/>
    <w:rsid w:val="000A470A"/>
    <w:rsid w:val="000A470B"/>
    <w:rsid w:val="000A4832"/>
    <w:rsid w:val="000A487A"/>
    <w:rsid w:val="000A52A1"/>
    <w:rsid w:val="000A5557"/>
    <w:rsid w:val="000A5720"/>
    <w:rsid w:val="000A581E"/>
    <w:rsid w:val="000A5824"/>
    <w:rsid w:val="000A5B09"/>
    <w:rsid w:val="000A5B5B"/>
    <w:rsid w:val="000A5DB9"/>
    <w:rsid w:val="000A5F92"/>
    <w:rsid w:val="000A60B3"/>
    <w:rsid w:val="000A60D1"/>
    <w:rsid w:val="000A6117"/>
    <w:rsid w:val="000A633D"/>
    <w:rsid w:val="000A6389"/>
    <w:rsid w:val="000A6392"/>
    <w:rsid w:val="000A646A"/>
    <w:rsid w:val="000A6806"/>
    <w:rsid w:val="000A6922"/>
    <w:rsid w:val="000A6DB2"/>
    <w:rsid w:val="000A7143"/>
    <w:rsid w:val="000A7404"/>
    <w:rsid w:val="000A74C3"/>
    <w:rsid w:val="000A7504"/>
    <w:rsid w:val="000A756F"/>
    <w:rsid w:val="000A7591"/>
    <w:rsid w:val="000A7A6B"/>
    <w:rsid w:val="000A7AA9"/>
    <w:rsid w:val="000A7C5E"/>
    <w:rsid w:val="000A7E55"/>
    <w:rsid w:val="000A7E96"/>
    <w:rsid w:val="000B0343"/>
    <w:rsid w:val="000B045A"/>
    <w:rsid w:val="000B08F0"/>
    <w:rsid w:val="000B0A33"/>
    <w:rsid w:val="000B0BF3"/>
    <w:rsid w:val="000B0D24"/>
    <w:rsid w:val="000B0DE2"/>
    <w:rsid w:val="000B107E"/>
    <w:rsid w:val="000B139D"/>
    <w:rsid w:val="000B16CB"/>
    <w:rsid w:val="000B1905"/>
    <w:rsid w:val="000B1CA1"/>
    <w:rsid w:val="000B1CB8"/>
    <w:rsid w:val="000B2042"/>
    <w:rsid w:val="000B20CC"/>
    <w:rsid w:val="000B20F6"/>
    <w:rsid w:val="000B2490"/>
    <w:rsid w:val="000B2754"/>
    <w:rsid w:val="000B279B"/>
    <w:rsid w:val="000B286B"/>
    <w:rsid w:val="000B2942"/>
    <w:rsid w:val="000B2944"/>
    <w:rsid w:val="000B2AF2"/>
    <w:rsid w:val="000B2CFB"/>
    <w:rsid w:val="000B2DCD"/>
    <w:rsid w:val="000B2DED"/>
    <w:rsid w:val="000B2E2A"/>
    <w:rsid w:val="000B2F0F"/>
    <w:rsid w:val="000B3097"/>
    <w:rsid w:val="000B347A"/>
    <w:rsid w:val="000B34CF"/>
    <w:rsid w:val="000B3557"/>
    <w:rsid w:val="000B3623"/>
    <w:rsid w:val="000B3747"/>
    <w:rsid w:val="000B38AF"/>
    <w:rsid w:val="000B3BB2"/>
    <w:rsid w:val="000B3DC4"/>
    <w:rsid w:val="000B3EA1"/>
    <w:rsid w:val="000B3F0A"/>
    <w:rsid w:val="000B3F13"/>
    <w:rsid w:val="000B3F3E"/>
    <w:rsid w:val="000B3FC2"/>
    <w:rsid w:val="000B4179"/>
    <w:rsid w:val="000B41CB"/>
    <w:rsid w:val="000B42C3"/>
    <w:rsid w:val="000B4346"/>
    <w:rsid w:val="000B442C"/>
    <w:rsid w:val="000B4788"/>
    <w:rsid w:val="000B4935"/>
    <w:rsid w:val="000B4D0E"/>
    <w:rsid w:val="000B4E69"/>
    <w:rsid w:val="000B5042"/>
    <w:rsid w:val="000B5110"/>
    <w:rsid w:val="000B516E"/>
    <w:rsid w:val="000B5227"/>
    <w:rsid w:val="000B53C0"/>
    <w:rsid w:val="000B53FD"/>
    <w:rsid w:val="000B56FE"/>
    <w:rsid w:val="000B5744"/>
    <w:rsid w:val="000B5793"/>
    <w:rsid w:val="000B5ABF"/>
    <w:rsid w:val="000B5B36"/>
    <w:rsid w:val="000B5C2F"/>
    <w:rsid w:val="000B60AE"/>
    <w:rsid w:val="000B60C2"/>
    <w:rsid w:val="000B61DE"/>
    <w:rsid w:val="000B638D"/>
    <w:rsid w:val="000B64E3"/>
    <w:rsid w:val="000B689B"/>
    <w:rsid w:val="000B69A1"/>
    <w:rsid w:val="000B6DCB"/>
    <w:rsid w:val="000B7311"/>
    <w:rsid w:val="000B734F"/>
    <w:rsid w:val="000B73B3"/>
    <w:rsid w:val="000B73C6"/>
    <w:rsid w:val="000B75B9"/>
    <w:rsid w:val="000B761E"/>
    <w:rsid w:val="000B7685"/>
    <w:rsid w:val="000B7760"/>
    <w:rsid w:val="000B7918"/>
    <w:rsid w:val="000B7A30"/>
    <w:rsid w:val="000B7CB8"/>
    <w:rsid w:val="000B7DC3"/>
    <w:rsid w:val="000B7F93"/>
    <w:rsid w:val="000C02E8"/>
    <w:rsid w:val="000C06A4"/>
    <w:rsid w:val="000C07C3"/>
    <w:rsid w:val="000C0BBD"/>
    <w:rsid w:val="000C0F3A"/>
    <w:rsid w:val="000C0F95"/>
    <w:rsid w:val="000C0FAC"/>
    <w:rsid w:val="000C1231"/>
    <w:rsid w:val="000C124A"/>
    <w:rsid w:val="000C1575"/>
    <w:rsid w:val="000C19C0"/>
    <w:rsid w:val="000C1A33"/>
    <w:rsid w:val="000C1B17"/>
    <w:rsid w:val="000C1B35"/>
    <w:rsid w:val="000C1C46"/>
    <w:rsid w:val="000C1E1B"/>
    <w:rsid w:val="000C1E53"/>
    <w:rsid w:val="000C1F18"/>
    <w:rsid w:val="000C1F82"/>
    <w:rsid w:val="000C211B"/>
    <w:rsid w:val="000C21BB"/>
    <w:rsid w:val="000C258B"/>
    <w:rsid w:val="000C265A"/>
    <w:rsid w:val="000C2987"/>
    <w:rsid w:val="000C2E9C"/>
    <w:rsid w:val="000C2EA9"/>
    <w:rsid w:val="000C2EC1"/>
    <w:rsid w:val="000C318C"/>
    <w:rsid w:val="000C3283"/>
    <w:rsid w:val="000C32BB"/>
    <w:rsid w:val="000C354C"/>
    <w:rsid w:val="000C3927"/>
    <w:rsid w:val="000C3A76"/>
    <w:rsid w:val="000C3B22"/>
    <w:rsid w:val="000C3F49"/>
    <w:rsid w:val="000C4063"/>
    <w:rsid w:val="000C448C"/>
    <w:rsid w:val="000C4790"/>
    <w:rsid w:val="000C4867"/>
    <w:rsid w:val="000C492A"/>
    <w:rsid w:val="000C4BB7"/>
    <w:rsid w:val="000C4DFC"/>
    <w:rsid w:val="000C50B3"/>
    <w:rsid w:val="000C5110"/>
    <w:rsid w:val="000C528B"/>
    <w:rsid w:val="000C53E9"/>
    <w:rsid w:val="000C5486"/>
    <w:rsid w:val="000C567D"/>
    <w:rsid w:val="000C5910"/>
    <w:rsid w:val="000C604F"/>
    <w:rsid w:val="000C61F6"/>
    <w:rsid w:val="000C6476"/>
    <w:rsid w:val="000C661F"/>
    <w:rsid w:val="000C68D6"/>
    <w:rsid w:val="000C6936"/>
    <w:rsid w:val="000C696F"/>
    <w:rsid w:val="000C6D4B"/>
    <w:rsid w:val="000C6DA3"/>
    <w:rsid w:val="000C6E9F"/>
    <w:rsid w:val="000C6F7D"/>
    <w:rsid w:val="000C702C"/>
    <w:rsid w:val="000C70EF"/>
    <w:rsid w:val="000C74A8"/>
    <w:rsid w:val="000C76C2"/>
    <w:rsid w:val="000C76D4"/>
    <w:rsid w:val="000C76EF"/>
    <w:rsid w:val="000C76F8"/>
    <w:rsid w:val="000C776D"/>
    <w:rsid w:val="000C782D"/>
    <w:rsid w:val="000C7AE7"/>
    <w:rsid w:val="000C7AF7"/>
    <w:rsid w:val="000C7F62"/>
    <w:rsid w:val="000D01AA"/>
    <w:rsid w:val="000D05B3"/>
    <w:rsid w:val="000D0A89"/>
    <w:rsid w:val="000D0ACF"/>
    <w:rsid w:val="000D0B77"/>
    <w:rsid w:val="000D0BB6"/>
    <w:rsid w:val="000D0C8D"/>
    <w:rsid w:val="000D0F7D"/>
    <w:rsid w:val="000D11CA"/>
    <w:rsid w:val="000D1352"/>
    <w:rsid w:val="000D1354"/>
    <w:rsid w:val="000D1452"/>
    <w:rsid w:val="000D149C"/>
    <w:rsid w:val="000D16C0"/>
    <w:rsid w:val="000D1DEA"/>
    <w:rsid w:val="000D1EA8"/>
    <w:rsid w:val="000D1F5C"/>
    <w:rsid w:val="000D1FAF"/>
    <w:rsid w:val="000D2088"/>
    <w:rsid w:val="000D224A"/>
    <w:rsid w:val="000D2311"/>
    <w:rsid w:val="000D2396"/>
    <w:rsid w:val="000D27F5"/>
    <w:rsid w:val="000D282F"/>
    <w:rsid w:val="000D2879"/>
    <w:rsid w:val="000D2A5E"/>
    <w:rsid w:val="000D2BD9"/>
    <w:rsid w:val="000D2D43"/>
    <w:rsid w:val="000D2D5C"/>
    <w:rsid w:val="000D302B"/>
    <w:rsid w:val="000D3378"/>
    <w:rsid w:val="000D3531"/>
    <w:rsid w:val="000D355C"/>
    <w:rsid w:val="000D366D"/>
    <w:rsid w:val="000D375A"/>
    <w:rsid w:val="000D37C2"/>
    <w:rsid w:val="000D3BC1"/>
    <w:rsid w:val="000D3CC1"/>
    <w:rsid w:val="000D3F49"/>
    <w:rsid w:val="000D4063"/>
    <w:rsid w:val="000D4101"/>
    <w:rsid w:val="000D41CA"/>
    <w:rsid w:val="000D42C9"/>
    <w:rsid w:val="000D4342"/>
    <w:rsid w:val="000D43B8"/>
    <w:rsid w:val="000D4457"/>
    <w:rsid w:val="000D48F9"/>
    <w:rsid w:val="000D48FF"/>
    <w:rsid w:val="000D4C24"/>
    <w:rsid w:val="000D51FC"/>
    <w:rsid w:val="000D533D"/>
    <w:rsid w:val="000D535B"/>
    <w:rsid w:val="000D53D2"/>
    <w:rsid w:val="000D53DB"/>
    <w:rsid w:val="000D552E"/>
    <w:rsid w:val="000D55C0"/>
    <w:rsid w:val="000D5667"/>
    <w:rsid w:val="000D571F"/>
    <w:rsid w:val="000D57A8"/>
    <w:rsid w:val="000D5C58"/>
    <w:rsid w:val="000D615A"/>
    <w:rsid w:val="000D6542"/>
    <w:rsid w:val="000D65EC"/>
    <w:rsid w:val="000D65F5"/>
    <w:rsid w:val="000D66C3"/>
    <w:rsid w:val="000D6A66"/>
    <w:rsid w:val="000D6AE1"/>
    <w:rsid w:val="000D6C93"/>
    <w:rsid w:val="000D6DB3"/>
    <w:rsid w:val="000D70AE"/>
    <w:rsid w:val="000D70D7"/>
    <w:rsid w:val="000D7526"/>
    <w:rsid w:val="000D763B"/>
    <w:rsid w:val="000D76BB"/>
    <w:rsid w:val="000D772C"/>
    <w:rsid w:val="000D77B7"/>
    <w:rsid w:val="000D78FB"/>
    <w:rsid w:val="000D7A2E"/>
    <w:rsid w:val="000D7C54"/>
    <w:rsid w:val="000D7E36"/>
    <w:rsid w:val="000D7E59"/>
    <w:rsid w:val="000E00D4"/>
    <w:rsid w:val="000E0210"/>
    <w:rsid w:val="000E0319"/>
    <w:rsid w:val="000E05A9"/>
    <w:rsid w:val="000E08A1"/>
    <w:rsid w:val="000E093D"/>
    <w:rsid w:val="000E0A60"/>
    <w:rsid w:val="000E0DE6"/>
    <w:rsid w:val="000E1007"/>
    <w:rsid w:val="000E137E"/>
    <w:rsid w:val="000E15F1"/>
    <w:rsid w:val="000E1757"/>
    <w:rsid w:val="000E1767"/>
    <w:rsid w:val="000E17A7"/>
    <w:rsid w:val="000E182C"/>
    <w:rsid w:val="000E1848"/>
    <w:rsid w:val="000E184C"/>
    <w:rsid w:val="000E1909"/>
    <w:rsid w:val="000E1940"/>
    <w:rsid w:val="000E1979"/>
    <w:rsid w:val="000E1A53"/>
    <w:rsid w:val="000E1B78"/>
    <w:rsid w:val="000E1FF7"/>
    <w:rsid w:val="000E20EE"/>
    <w:rsid w:val="000E2245"/>
    <w:rsid w:val="000E26C1"/>
    <w:rsid w:val="000E26F3"/>
    <w:rsid w:val="000E28F8"/>
    <w:rsid w:val="000E2C66"/>
    <w:rsid w:val="000E2D04"/>
    <w:rsid w:val="000E2DCB"/>
    <w:rsid w:val="000E300D"/>
    <w:rsid w:val="000E3109"/>
    <w:rsid w:val="000E311B"/>
    <w:rsid w:val="000E31E5"/>
    <w:rsid w:val="000E3592"/>
    <w:rsid w:val="000E35A0"/>
    <w:rsid w:val="000E36A0"/>
    <w:rsid w:val="000E377B"/>
    <w:rsid w:val="000E3868"/>
    <w:rsid w:val="000E38BA"/>
    <w:rsid w:val="000E3BE1"/>
    <w:rsid w:val="000E3D68"/>
    <w:rsid w:val="000E3E15"/>
    <w:rsid w:val="000E41D5"/>
    <w:rsid w:val="000E423E"/>
    <w:rsid w:val="000E458C"/>
    <w:rsid w:val="000E46B2"/>
    <w:rsid w:val="000E47B0"/>
    <w:rsid w:val="000E4B37"/>
    <w:rsid w:val="000E4C30"/>
    <w:rsid w:val="000E4CED"/>
    <w:rsid w:val="000E4EBC"/>
    <w:rsid w:val="000E4FF4"/>
    <w:rsid w:val="000E5031"/>
    <w:rsid w:val="000E5032"/>
    <w:rsid w:val="000E53C5"/>
    <w:rsid w:val="000E5404"/>
    <w:rsid w:val="000E5420"/>
    <w:rsid w:val="000E55A0"/>
    <w:rsid w:val="000E5607"/>
    <w:rsid w:val="000E5C21"/>
    <w:rsid w:val="000E5C5C"/>
    <w:rsid w:val="000E6391"/>
    <w:rsid w:val="000E63B0"/>
    <w:rsid w:val="000E6774"/>
    <w:rsid w:val="000E6778"/>
    <w:rsid w:val="000E682B"/>
    <w:rsid w:val="000E6932"/>
    <w:rsid w:val="000E6AA5"/>
    <w:rsid w:val="000E6C10"/>
    <w:rsid w:val="000E7041"/>
    <w:rsid w:val="000E7556"/>
    <w:rsid w:val="000E75A6"/>
    <w:rsid w:val="000E7650"/>
    <w:rsid w:val="000E798E"/>
    <w:rsid w:val="000E7AE9"/>
    <w:rsid w:val="000E7BAB"/>
    <w:rsid w:val="000E7F56"/>
    <w:rsid w:val="000F0009"/>
    <w:rsid w:val="000F0293"/>
    <w:rsid w:val="000F03DA"/>
    <w:rsid w:val="000F0674"/>
    <w:rsid w:val="000F0879"/>
    <w:rsid w:val="000F09E5"/>
    <w:rsid w:val="000F0AC1"/>
    <w:rsid w:val="000F0B55"/>
    <w:rsid w:val="000F1300"/>
    <w:rsid w:val="000F178B"/>
    <w:rsid w:val="000F1981"/>
    <w:rsid w:val="000F19C5"/>
    <w:rsid w:val="000F1C8B"/>
    <w:rsid w:val="000F1CDA"/>
    <w:rsid w:val="000F1E56"/>
    <w:rsid w:val="000F1EE5"/>
    <w:rsid w:val="000F2019"/>
    <w:rsid w:val="000F21D7"/>
    <w:rsid w:val="000F231C"/>
    <w:rsid w:val="000F232B"/>
    <w:rsid w:val="000F269B"/>
    <w:rsid w:val="000F26D9"/>
    <w:rsid w:val="000F26E5"/>
    <w:rsid w:val="000F28B5"/>
    <w:rsid w:val="000F29FF"/>
    <w:rsid w:val="000F2AF6"/>
    <w:rsid w:val="000F2B0F"/>
    <w:rsid w:val="000F2C05"/>
    <w:rsid w:val="000F2DDE"/>
    <w:rsid w:val="000F2F0E"/>
    <w:rsid w:val="000F2F2D"/>
    <w:rsid w:val="000F2F8D"/>
    <w:rsid w:val="000F3314"/>
    <w:rsid w:val="000F3632"/>
    <w:rsid w:val="000F38A4"/>
    <w:rsid w:val="000F39ED"/>
    <w:rsid w:val="000F3CBF"/>
    <w:rsid w:val="000F3F20"/>
    <w:rsid w:val="000F3F90"/>
    <w:rsid w:val="000F3FBF"/>
    <w:rsid w:val="000F3FE0"/>
    <w:rsid w:val="000F414B"/>
    <w:rsid w:val="000F44AD"/>
    <w:rsid w:val="000F44CA"/>
    <w:rsid w:val="000F454F"/>
    <w:rsid w:val="000F4939"/>
    <w:rsid w:val="000F4C4F"/>
    <w:rsid w:val="000F4D3A"/>
    <w:rsid w:val="000F4E97"/>
    <w:rsid w:val="000F51A9"/>
    <w:rsid w:val="000F53BD"/>
    <w:rsid w:val="000F55C7"/>
    <w:rsid w:val="000F58BC"/>
    <w:rsid w:val="000F594C"/>
    <w:rsid w:val="000F5987"/>
    <w:rsid w:val="000F599F"/>
    <w:rsid w:val="000F5A35"/>
    <w:rsid w:val="000F5D3A"/>
    <w:rsid w:val="000F5E36"/>
    <w:rsid w:val="000F5F7F"/>
    <w:rsid w:val="000F62C9"/>
    <w:rsid w:val="000F649F"/>
    <w:rsid w:val="000F6700"/>
    <w:rsid w:val="000F6782"/>
    <w:rsid w:val="000F67D7"/>
    <w:rsid w:val="000F6ADA"/>
    <w:rsid w:val="000F6D1B"/>
    <w:rsid w:val="000F7002"/>
    <w:rsid w:val="000F720B"/>
    <w:rsid w:val="000F7232"/>
    <w:rsid w:val="000F7631"/>
    <w:rsid w:val="000F7694"/>
    <w:rsid w:val="000F7787"/>
    <w:rsid w:val="000F77EE"/>
    <w:rsid w:val="000F7C51"/>
    <w:rsid w:val="000F7F3A"/>
    <w:rsid w:val="000F7F56"/>
    <w:rsid w:val="000F7F5B"/>
    <w:rsid w:val="000F7F92"/>
    <w:rsid w:val="000F7FE3"/>
    <w:rsid w:val="0010018B"/>
    <w:rsid w:val="001002D2"/>
    <w:rsid w:val="001003D5"/>
    <w:rsid w:val="00100409"/>
    <w:rsid w:val="0010045B"/>
    <w:rsid w:val="00100583"/>
    <w:rsid w:val="0010076D"/>
    <w:rsid w:val="0010091A"/>
    <w:rsid w:val="00100E6F"/>
    <w:rsid w:val="00100ED9"/>
    <w:rsid w:val="00100EF8"/>
    <w:rsid w:val="001013EE"/>
    <w:rsid w:val="001015BA"/>
    <w:rsid w:val="00101707"/>
    <w:rsid w:val="0010173F"/>
    <w:rsid w:val="001017E3"/>
    <w:rsid w:val="00101AE8"/>
    <w:rsid w:val="00101C90"/>
    <w:rsid w:val="00101F87"/>
    <w:rsid w:val="001020C5"/>
    <w:rsid w:val="00102135"/>
    <w:rsid w:val="001021D7"/>
    <w:rsid w:val="0010266F"/>
    <w:rsid w:val="00102861"/>
    <w:rsid w:val="001028E4"/>
    <w:rsid w:val="001029C0"/>
    <w:rsid w:val="00102AFD"/>
    <w:rsid w:val="00102B29"/>
    <w:rsid w:val="00102BE0"/>
    <w:rsid w:val="00102D1E"/>
    <w:rsid w:val="00102F76"/>
    <w:rsid w:val="00102F79"/>
    <w:rsid w:val="00102FEB"/>
    <w:rsid w:val="001030CE"/>
    <w:rsid w:val="00103339"/>
    <w:rsid w:val="001033A9"/>
    <w:rsid w:val="001034E3"/>
    <w:rsid w:val="001039C2"/>
    <w:rsid w:val="00103B00"/>
    <w:rsid w:val="00103C5B"/>
    <w:rsid w:val="00103C7F"/>
    <w:rsid w:val="00103CBC"/>
    <w:rsid w:val="00103CF1"/>
    <w:rsid w:val="00103DFF"/>
    <w:rsid w:val="00103E1B"/>
    <w:rsid w:val="00103F1C"/>
    <w:rsid w:val="001040AD"/>
    <w:rsid w:val="001040AF"/>
    <w:rsid w:val="0010422B"/>
    <w:rsid w:val="0010426F"/>
    <w:rsid w:val="00104272"/>
    <w:rsid w:val="001044EA"/>
    <w:rsid w:val="00104865"/>
    <w:rsid w:val="00104960"/>
    <w:rsid w:val="001049F2"/>
    <w:rsid w:val="00104EDD"/>
    <w:rsid w:val="001051CD"/>
    <w:rsid w:val="001052B0"/>
    <w:rsid w:val="001052C9"/>
    <w:rsid w:val="001053D9"/>
    <w:rsid w:val="0010567A"/>
    <w:rsid w:val="00105A17"/>
    <w:rsid w:val="00105C56"/>
    <w:rsid w:val="00105DA4"/>
    <w:rsid w:val="00105F5B"/>
    <w:rsid w:val="00105F77"/>
    <w:rsid w:val="001060B0"/>
    <w:rsid w:val="001060C0"/>
    <w:rsid w:val="0010630B"/>
    <w:rsid w:val="001064A4"/>
    <w:rsid w:val="001064DB"/>
    <w:rsid w:val="001067BC"/>
    <w:rsid w:val="00106826"/>
    <w:rsid w:val="00106CB2"/>
    <w:rsid w:val="00106CEE"/>
    <w:rsid w:val="00106FEF"/>
    <w:rsid w:val="00107009"/>
    <w:rsid w:val="001070C3"/>
    <w:rsid w:val="0010739F"/>
    <w:rsid w:val="00107435"/>
    <w:rsid w:val="00107695"/>
    <w:rsid w:val="00107739"/>
    <w:rsid w:val="00107B24"/>
    <w:rsid w:val="00107B43"/>
    <w:rsid w:val="00107E03"/>
    <w:rsid w:val="00107E52"/>
    <w:rsid w:val="00110063"/>
    <w:rsid w:val="00110148"/>
    <w:rsid w:val="001103B6"/>
    <w:rsid w:val="00110417"/>
    <w:rsid w:val="001104CD"/>
    <w:rsid w:val="001104D6"/>
    <w:rsid w:val="001105D7"/>
    <w:rsid w:val="0011064D"/>
    <w:rsid w:val="001107F1"/>
    <w:rsid w:val="00110824"/>
    <w:rsid w:val="00110996"/>
    <w:rsid w:val="00110D24"/>
    <w:rsid w:val="00110D33"/>
    <w:rsid w:val="00110DC5"/>
    <w:rsid w:val="00110FAA"/>
    <w:rsid w:val="00111041"/>
    <w:rsid w:val="00111156"/>
    <w:rsid w:val="001116F5"/>
    <w:rsid w:val="00111779"/>
    <w:rsid w:val="0011178C"/>
    <w:rsid w:val="0011187D"/>
    <w:rsid w:val="001119F1"/>
    <w:rsid w:val="00111ABA"/>
    <w:rsid w:val="00111AE7"/>
    <w:rsid w:val="00111EB7"/>
    <w:rsid w:val="00111EC2"/>
    <w:rsid w:val="001120B0"/>
    <w:rsid w:val="00112183"/>
    <w:rsid w:val="001121D0"/>
    <w:rsid w:val="001123C0"/>
    <w:rsid w:val="0011243C"/>
    <w:rsid w:val="001125AB"/>
    <w:rsid w:val="001125E7"/>
    <w:rsid w:val="00112988"/>
    <w:rsid w:val="00112A57"/>
    <w:rsid w:val="00112AD3"/>
    <w:rsid w:val="00112CF0"/>
    <w:rsid w:val="00112D27"/>
    <w:rsid w:val="00112E1E"/>
    <w:rsid w:val="00112F79"/>
    <w:rsid w:val="001130E7"/>
    <w:rsid w:val="00113364"/>
    <w:rsid w:val="00113407"/>
    <w:rsid w:val="001136C6"/>
    <w:rsid w:val="001139CE"/>
    <w:rsid w:val="00113A90"/>
    <w:rsid w:val="00113B20"/>
    <w:rsid w:val="0011408D"/>
    <w:rsid w:val="0011428D"/>
    <w:rsid w:val="00114605"/>
    <w:rsid w:val="00114AC8"/>
    <w:rsid w:val="00114CF7"/>
    <w:rsid w:val="00114D9B"/>
    <w:rsid w:val="00114DA1"/>
    <w:rsid w:val="00114EA0"/>
    <w:rsid w:val="00114F65"/>
    <w:rsid w:val="00115235"/>
    <w:rsid w:val="001154AD"/>
    <w:rsid w:val="00115672"/>
    <w:rsid w:val="001156A3"/>
    <w:rsid w:val="001157AB"/>
    <w:rsid w:val="0011585E"/>
    <w:rsid w:val="00115ADE"/>
    <w:rsid w:val="00115C9E"/>
    <w:rsid w:val="00115EDC"/>
    <w:rsid w:val="00116062"/>
    <w:rsid w:val="0011651F"/>
    <w:rsid w:val="001165D2"/>
    <w:rsid w:val="001166C9"/>
    <w:rsid w:val="00116702"/>
    <w:rsid w:val="001167D3"/>
    <w:rsid w:val="00116916"/>
    <w:rsid w:val="0011698F"/>
    <w:rsid w:val="0011699D"/>
    <w:rsid w:val="00116D3E"/>
    <w:rsid w:val="00116E7D"/>
    <w:rsid w:val="00116EE4"/>
    <w:rsid w:val="00116F30"/>
    <w:rsid w:val="0011701E"/>
    <w:rsid w:val="001170D4"/>
    <w:rsid w:val="0011729F"/>
    <w:rsid w:val="001172BD"/>
    <w:rsid w:val="0011787D"/>
    <w:rsid w:val="001178CE"/>
    <w:rsid w:val="001178E4"/>
    <w:rsid w:val="001179B3"/>
    <w:rsid w:val="00117AA2"/>
    <w:rsid w:val="00117CE1"/>
    <w:rsid w:val="00117CFD"/>
    <w:rsid w:val="00117F34"/>
    <w:rsid w:val="0012020C"/>
    <w:rsid w:val="001202B4"/>
    <w:rsid w:val="001205C9"/>
    <w:rsid w:val="0012093C"/>
    <w:rsid w:val="00120ABB"/>
    <w:rsid w:val="00120B1E"/>
    <w:rsid w:val="00120D7A"/>
    <w:rsid w:val="001211AB"/>
    <w:rsid w:val="00121312"/>
    <w:rsid w:val="00121461"/>
    <w:rsid w:val="001214BE"/>
    <w:rsid w:val="001218B8"/>
    <w:rsid w:val="00121A72"/>
    <w:rsid w:val="00121DB7"/>
    <w:rsid w:val="00121E1F"/>
    <w:rsid w:val="00121F79"/>
    <w:rsid w:val="00121F7E"/>
    <w:rsid w:val="00122010"/>
    <w:rsid w:val="001220B7"/>
    <w:rsid w:val="001221D7"/>
    <w:rsid w:val="00122457"/>
    <w:rsid w:val="0012251F"/>
    <w:rsid w:val="00122774"/>
    <w:rsid w:val="00122805"/>
    <w:rsid w:val="001228A1"/>
    <w:rsid w:val="0012319A"/>
    <w:rsid w:val="00123325"/>
    <w:rsid w:val="00123BC6"/>
    <w:rsid w:val="00123C9A"/>
    <w:rsid w:val="00123DA3"/>
    <w:rsid w:val="00123F48"/>
    <w:rsid w:val="00124144"/>
    <w:rsid w:val="00124730"/>
    <w:rsid w:val="00124826"/>
    <w:rsid w:val="00124B73"/>
    <w:rsid w:val="00124C3A"/>
    <w:rsid w:val="00124CAF"/>
    <w:rsid w:val="00124CF6"/>
    <w:rsid w:val="00124ED1"/>
    <w:rsid w:val="00125060"/>
    <w:rsid w:val="00125222"/>
    <w:rsid w:val="0012523D"/>
    <w:rsid w:val="00125341"/>
    <w:rsid w:val="0012542D"/>
    <w:rsid w:val="00125442"/>
    <w:rsid w:val="0012549C"/>
    <w:rsid w:val="00125537"/>
    <w:rsid w:val="0012561A"/>
    <w:rsid w:val="001256FB"/>
    <w:rsid w:val="0012573E"/>
    <w:rsid w:val="00125806"/>
    <w:rsid w:val="001258EF"/>
    <w:rsid w:val="00125993"/>
    <w:rsid w:val="00125A46"/>
    <w:rsid w:val="00125B33"/>
    <w:rsid w:val="00125D3E"/>
    <w:rsid w:val="00125D69"/>
    <w:rsid w:val="001260B6"/>
    <w:rsid w:val="001260E3"/>
    <w:rsid w:val="001260E9"/>
    <w:rsid w:val="00126201"/>
    <w:rsid w:val="0012655B"/>
    <w:rsid w:val="00126617"/>
    <w:rsid w:val="001266EE"/>
    <w:rsid w:val="0012686C"/>
    <w:rsid w:val="00126AD1"/>
    <w:rsid w:val="00126BD6"/>
    <w:rsid w:val="00126D10"/>
    <w:rsid w:val="00126FB4"/>
    <w:rsid w:val="00127250"/>
    <w:rsid w:val="001272E6"/>
    <w:rsid w:val="0012742E"/>
    <w:rsid w:val="00127687"/>
    <w:rsid w:val="001277C7"/>
    <w:rsid w:val="00127AAD"/>
    <w:rsid w:val="00127C07"/>
    <w:rsid w:val="00127C8B"/>
    <w:rsid w:val="00127E95"/>
    <w:rsid w:val="0013006B"/>
    <w:rsid w:val="00130303"/>
    <w:rsid w:val="0013041F"/>
    <w:rsid w:val="0013056D"/>
    <w:rsid w:val="00130738"/>
    <w:rsid w:val="001307A8"/>
    <w:rsid w:val="00130DCA"/>
    <w:rsid w:val="001312CB"/>
    <w:rsid w:val="001312DF"/>
    <w:rsid w:val="0013135B"/>
    <w:rsid w:val="0013139C"/>
    <w:rsid w:val="00131A38"/>
    <w:rsid w:val="00131B42"/>
    <w:rsid w:val="00131BAD"/>
    <w:rsid w:val="00131C22"/>
    <w:rsid w:val="00131C70"/>
    <w:rsid w:val="00131D5F"/>
    <w:rsid w:val="001322D2"/>
    <w:rsid w:val="0013239F"/>
    <w:rsid w:val="0013240A"/>
    <w:rsid w:val="00132503"/>
    <w:rsid w:val="0013272E"/>
    <w:rsid w:val="00132BAB"/>
    <w:rsid w:val="00132BED"/>
    <w:rsid w:val="00132D97"/>
    <w:rsid w:val="00132E0B"/>
    <w:rsid w:val="00133273"/>
    <w:rsid w:val="0013327F"/>
    <w:rsid w:val="001333A7"/>
    <w:rsid w:val="001333F9"/>
    <w:rsid w:val="0013348B"/>
    <w:rsid w:val="00133882"/>
    <w:rsid w:val="00133B82"/>
    <w:rsid w:val="00133C81"/>
    <w:rsid w:val="00133E52"/>
    <w:rsid w:val="00133F08"/>
    <w:rsid w:val="001340E2"/>
    <w:rsid w:val="00134146"/>
    <w:rsid w:val="00134222"/>
    <w:rsid w:val="00134344"/>
    <w:rsid w:val="0013435A"/>
    <w:rsid w:val="00134398"/>
    <w:rsid w:val="00134412"/>
    <w:rsid w:val="00134450"/>
    <w:rsid w:val="00134475"/>
    <w:rsid w:val="001345C6"/>
    <w:rsid w:val="001346A2"/>
    <w:rsid w:val="0013474C"/>
    <w:rsid w:val="001347D3"/>
    <w:rsid w:val="00134847"/>
    <w:rsid w:val="0013497E"/>
    <w:rsid w:val="00134FA3"/>
    <w:rsid w:val="00135057"/>
    <w:rsid w:val="00135080"/>
    <w:rsid w:val="001351C6"/>
    <w:rsid w:val="001356C7"/>
    <w:rsid w:val="00135726"/>
    <w:rsid w:val="00135DB3"/>
    <w:rsid w:val="0013601E"/>
    <w:rsid w:val="0013614B"/>
    <w:rsid w:val="00136198"/>
    <w:rsid w:val="0013623B"/>
    <w:rsid w:val="00136497"/>
    <w:rsid w:val="00136589"/>
    <w:rsid w:val="0013661E"/>
    <w:rsid w:val="001369BF"/>
    <w:rsid w:val="00136B3E"/>
    <w:rsid w:val="00136E9D"/>
    <w:rsid w:val="00136F29"/>
    <w:rsid w:val="00136F6F"/>
    <w:rsid w:val="00137D83"/>
    <w:rsid w:val="00137D90"/>
    <w:rsid w:val="0014055B"/>
    <w:rsid w:val="0014077C"/>
    <w:rsid w:val="00140A64"/>
    <w:rsid w:val="00140D09"/>
    <w:rsid w:val="00140D6D"/>
    <w:rsid w:val="00140DA5"/>
    <w:rsid w:val="001414E0"/>
    <w:rsid w:val="001415F6"/>
    <w:rsid w:val="001419A7"/>
    <w:rsid w:val="00141BD1"/>
    <w:rsid w:val="00141D27"/>
    <w:rsid w:val="00141E38"/>
    <w:rsid w:val="00142289"/>
    <w:rsid w:val="001423B0"/>
    <w:rsid w:val="00142439"/>
    <w:rsid w:val="001424D1"/>
    <w:rsid w:val="001426F3"/>
    <w:rsid w:val="00142B21"/>
    <w:rsid w:val="00142B86"/>
    <w:rsid w:val="00142E3E"/>
    <w:rsid w:val="0014316D"/>
    <w:rsid w:val="001431E8"/>
    <w:rsid w:val="00143228"/>
    <w:rsid w:val="00143553"/>
    <w:rsid w:val="001438E0"/>
    <w:rsid w:val="00143B25"/>
    <w:rsid w:val="00143D52"/>
    <w:rsid w:val="00143EFB"/>
    <w:rsid w:val="00143F85"/>
    <w:rsid w:val="001441DA"/>
    <w:rsid w:val="00144383"/>
    <w:rsid w:val="00144442"/>
    <w:rsid w:val="00144542"/>
    <w:rsid w:val="00144773"/>
    <w:rsid w:val="001449CF"/>
    <w:rsid w:val="00144A22"/>
    <w:rsid w:val="00144C8A"/>
    <w:rsid w:val="00144CC1"/>
    <w:rsid w:val="001453E9"/>
    <w:rsid w:val="001455CC"/>
    <w:rsid w:val="00145604"/>
    <w:rsid w:val="00145760"/>
    <w:rsid w:val="001459D6"/>
    <w:rsid w:val="0014616B"/>
    <w:rsid w:val="00146178"/>
    <w:rsid w:val="001466D3"/>
    <w:rsid w:val="001468C2"/>
    <w:rsid w:val="00146917"/>
    <w:rsid w:val="00146B48"/>
    <w:rsid w:val="00146D12"/>
    <w:rsid w:val="00146EC2"/>
    <w:rsid w:val="00147115"/>
    <w:rsid w:val="001471DD"/>
    <w:rsid w:val="001472B0"/>
    <w:rsid w:val="0014740D"/>
    <w:rsid w:val="00147461"/>
    <w:rsid w:val="001477CE"/>
    <w:rsid w:val="0014784F"/>
    <w:rsid w:val="0014788B"/>
    <w:rsid w:val="001478AD"/>
    <w:rsid w:val="00147931"/>
    <w:rsid w:val="001479A6"/>
    <w:rsid w:val="00147BCC"/>
    <w:rsid w:val="00147F4D"/>
    <w:rsid w:val="00150334"/>
    <w:rsid w:val="001503C8"/>
    <w:rsid w:val="0015040C"/>
    <w:rsid w:val="00150546"/>
    <w:rsid w:val="001507F2"/>
    <w:rsid w:val="00150B89"/>
    <w:rsid w:val="00150C35"/>
    <w:rsid w:val="00150ECB"/>
    <w:rsid w:val="0015106A"/>
    <w:rsid w:val="0015119E"/>
    <w:rsid w:val="0015122B"/>
    <w:rsid w:val="00151316"/>
    <w:rsid w:val="00151391"/>
    <w:rsid w:val="0015167D"/>
    <w:rsid w:val="001516A9"/>
    <w:rsid w:val="001517E0"/>
    <w:rsid w:val="001519C7"/>
    <w:rsid w:val="00151B42"/>
    <w:rsid w:val="00151DFB"/>
    <w:rsid w:val="00151F6F"/>
    <w:rsid w:val="00151FA0"/>
    <w:rsid w:val="00152123"/>
    <w:rsid w:val="00152244"/>
    <w:rsid w:val="00152266"/>
    <w:rsid w:val="0015233A"/>
    <w:rsid w:val="00152611"/>
    <w:rsid w:val="00152633"/>
    <w:rsid w:val="00152807"/>
    <w:rsid w:val="00152BE0"/>
    <w:rsid w:val="00152C3D"/>
    <w:rsid w:val="00152D3A"/>
    <w:rsid w:val="00152E8E"/>
    <w:rsid w:val="00152ED6"/>
    <w:rsid w:val="00152FED"/>
    <w:rsid w:val="00153171"/>
    <w:rsid w:val="001531C7"/>
    <w:rsid w:val="0015360F"/>
    <w:rsid w:val="001537AE"/>
    <w:rsid w:val="0015382F"/>
    <w:rsid w:val="00153AA7"/>
    <w:rsid w:val="00153BD6"/>
    <w:rsid w:val="00153CA7"/>
    <w:rsid w:val="00153D48"/>
    <w:rsid w:val="00153ECB"/>
    <w:rsid w:val="0015401A"/>
    <w:rsid w:val="001541D1"/>
    <w:rsid w:val="0015431B"/>
    <w:rsid w:val="00154604"/>
    <w:rsid w:val="0015477C"/>
    <w:rsid w:val="001549F9"/>
    <w:rsid w:val="00154A35"/>
    <w:rsid w:val="00154A9A"/>
    <w:rsid w:val="00154C83"/>
    <w:rsid w:val="00154CE5"/>
    <w:rsid w:val="001550A3"/>
    <w:rsid w:val="0015510B"/>
    <w:rsid w:val="00155469"/>
    <w:rsid w:val="00155746"/>
    <w:rsid w:val="00155761"/>
    <w:rsid w:val="00155870"/>
    <w:rsid w:val="00155A6B"/>
    <w:rsid w:val="00155E10"/>
    <w:rsid w:val="00155EAF"/>
    <w:rsid w:val="0015605E"/>
    <w:rsid w:val="00156419"/>
    <w:rsid w:val="0015686A"/>
    <w:rsid w:val="00156AE3"/>
    <w:rsid w:val="00156B48"/>
    <w:rsid w:val="00156C80"/>
    <w:rsid w:val="0015742B"/>
    <w:rsid w:val="00157450"/>
    <w:rsid w:val="001574A7"/>
    <w:rsid w:val="0015760E"/>
    <w:rsid w:val="0015776C"/>
    <w:rsid w:val="001579CA"/>
    <w:rsid w:val="001579DC"/>
    <w:rsid w:val="00157AD5"/>
    <w:rsid w:val="00157BA3"/>
    <w:rsid w:val="00157BA5"/>
    <w:rsid w:val="00157CEB"/>
    <w:rsid w:val="00157F02"/>
    <w:rsid w:val="00160015"/>
    <w:rsid w:val="0016014C"/>
    <w:rsid w:val="00160320"/>
    <w:rsid w:val="00160346"/>
    <w:rsid w:val="001604D5"/>
    <w:rsid w:val="001605EB"/>
    <w:rsid w:val="00160615"/>
    <w:rsid w:val="00160668"/>
    <w:rsid w:val="00160877"/>
    <w:rsid w:val="00160989"/>
    <w:rsid w:val="00160D28"/>
    <w:rsid w:val="00160D7C"/>
    <w:rsid w:val="00160EA4"/>
    <w:rsid w:val="00160F3F"/>
    <w:rsid w:val="0016106E"/>
    <w:rsid w:val="0016108C"/>
    <w:rsid w:val="001610AC"/>
    <w:rsid w:val="00161391"/>
    <w:rsid w:val="00161616"/>
    <w:rsid w:val="00161A1F"/>
    <w:rsid w:val="00161B45"/>
    <w:rsid w:val="00161CB7"/>
    <w:rsid w:val="00161CE5"/>
    <w:rsid w:val="00161DCE"/>
    <w:rsid w:val="00161F48"/>
    <w:rsid w:val="001620CB"/>
    <w:rsid w:val="0016227D"/>
    <w:rsid w:val="001624E2"/>
    <w:rsid w:val="0016258D"/>
    <w:rsid w:val="001625EC"/>
    <w:rsid w:val="00162780"/>
    <w:rsid w:val="00162999"/>
    <w:rsid w:val="00162E7E"/>
    <w:rsid w:val="00162F35"/>
    <w:rsid w:val="00163011"/>
    <w:rsid w:val="00163499"/>
    <w:rsid w:val="0016349B"/>
    <w:rsid w:val="001634B2"/>
    <w:rsid w:val="0016363A"/>
    <w:rsid w:val="00163983"/>
    <w:rsid w:val="001639A5"/>
    <w:rsid w:val="00163A12"/>
    <w:rsid w:val="00163BC5"/>
    <w:rsid w:val="00163BC8"/>
    <w:rsid w:val="00163BFD"/>
    <w:rsid w:val="00163C45"/>
    <w:rsid w:val="00163E35"/>
    <w:rsid w:val="00164202"/>
    <w:rsid w:val="00164249"/>
    <w:rsid w:val="00164382"/>
    <w:rsid w:val="00164619"/>
    <w:rsid w:val="00164AE3"/>
    <w:rsid w:val="00164B4B"/>
    <w:rsid w:val="00164BB7"/>
    <w:rsid w:val="00164CD6"/>
    <w:rsid w:val="00164DDD"/>
    <w:rsid w:val="00164ECE"/>
    <w:rsid w:val="001652C2"/>
    <w:rsid w:val="001652D8"/>
    <w:rsid w:val="0016534B"/>
    <w:rsid w:val="001654B0"/>
    <w:rsid w:val="001657CF"/>
    <w:rsid w:val="00165907"/>
    <w:rsid w:val="00165D47"/>
    <w:rsid w:val="00165D94"/>
    <w:rsid w:val="00165E56"/>
    <w:rsid w:val="00165EF1"/>
    <w:rsid w:val="00165F38"/>
    <w:rsid w:val="00165FF0"/>
    <w:rsid w:val="00166098"/>
    <w:rsid w:val="001660AA"/>
    <w:rsid w:val="00166639"/>
    <w:rsid w:val="001667DB"/>
    <w:rsid w:val="0016688E"/>
    <w:rsid w:val="0016689D"/>
    <w:rsid w:val="00166BE5"/>
    <w:rsid w:val="00166CAC"/>
    <w:rsid w:val="00166CBF"/>
    <w:rsid w:val="00166E24"/>
    <w:rsid w:val="00166F83"/>
    <w:rsid w:val="001670C7"/>
    <w:rsid w:val="00167169"/>
    <w:rsid w:val="0016723A"/>
    <w:rsid w:val="001672D0"/>
    <w:rsid w:val="001672D1"/>
    <w:rsid w:val="00167335"/>
    <w:rsid w:val="001674BC"/>
    <w:rsid w:val="001674FA"/>
    <w:rsid w:val="00167983"/>
    <w:rsid w:val="00167AA3"/>
    <w:rsid w:val="00167D75"/>
    <w:rsid w:val="00167EA0"/>
    <w:rsid w:val="00170100"/>
    <w:rsid w:val="001702A8"/>
    <w:rsid w:val="0017034B"/>
    <w:rsid w:val="001704CF"/>
    <w:rsid w:val="001706DB"/>
    <w:rsid w:val="00170DC9"/>
    <w:rsid w:val="00170DEB"/>
    <w:rsid w:val="001710F6"/>
    <w:rsid w:val="00171335"/>
    <w:rsid w:val="00171373"/>
    <w:rsid w:val="00171692"/>
    <w:rsid w:val="0017171C"/>
    <w:rsid w:val="0017181D"/>
    <w:rsid w:val="00171A05"/>
    <w:rsid w:val="00171D48"/>
    <w:rsid w:val="00171E6C"/>
    <w:rsid w:val="00171EB2"/>
    <w:rsid w:val="001722C7"/>
    <w:rsid w:val="001725BB"/>
    <w:rsid w:val="00172E17"/>
    <w:rsid w:val="00172E28"/>
    <w:rsid w:val="00172E3C"/>
    <w:rsid w:val="00172EC4"/>
    <w:rsid w:val="00172F3A"/>
    <w:rsid w:val="00172F6C"/>
    <w:rsid w:val="001730A3"/>
    <w:rsid w:val="001730FD"/>
    <w:rsid w:val="0017311D"/>
    <w:rsid w:val="00173557"/>
    <w:rsid w:val="001735B1"/>
    <w:rsid w:val="00173798"/>
    <w:rsid w:val="00173BE6"/>
    <w:rsid w:val="00173DA5"/>
    <w:rsid w:val="00173E72"/>
    <w:rsid w:val="00173E9E"/>
    <w:rsid w:val="001741C8"/>
    <w:rsid w:val="00174762"/>
    <w:rsid w:val="001747B3"/>
    <w:rsid w:val="00174962"/>
    <w:rsid w:val="001749B8"/>
    <w:rsid w:val="00174AF0"/>
    <w:rsid w:val="00174F81"/>
    <w:rsid w:val="0017509E"/>
    <w:rsid w:val="001751C2"/>
    <w:rsid w:val="00175209"/>
    <w:rsid w:val="00175292"/>
    <w:rsid w:val="00175371"/>
    <w:rsid w:val="0017547E"/>
    <w:rsid w:val="0017572D"/>
    <w:rsid w:val="00175AA2"/>
    <w:rsid w:val="00175ACB"/>
    <w:rsid w:val="00175CC6"/>
    <w:rsid w:val="001760FF"/>
    <w:rsid w:val="0017645D"/>
    <w:rsid w:val="00176738"/>
    <w:rsid w:val="00176806"/>
    <w:rsid w:val="0017692D"/>
    <w:rsid w:val="00176A4A"/>
    <w:rsid w:val="00176AFE"/>
    <w:rsid w:val="00176D1D"/>
    <w:rsid w:val="00176D6E"/>
    <w:rsid w:val="00176D94"/>
    <w:rsid w:val="00176E42"/>
    <w:rsid w:val="00176E9A"/>
    <w:rsid w:val="00176F4D"/>
    <w:rsid w:val="001775AD"/>
    <w:rsid w:val="0017771D"/>
    <w:rsid w:val="001777D5"/>
    <w:rsid w:val="001777E9"/>
    <w:rsid w:val="001778D0"/>
    <w:rsid w:val="00177AB2"/>
    <w:rsid w:val="00177B6B"/>
    <w:rsid w:val="00177D12"/>
    <w:rsid w:val="00177EE0"/>
    <w:rsid w:val="00180165"/>
    <w:rsid w:val="001801F6"/>
    <w:rsid w:val="0018032E"/>
    <w:rsid w:val="0018051E"/>
    <w:rsid w:val="0018060B"/>
    <w:rsid w:val="001807C0"/>
    <w:rsid w:val="00180803"/>
    <w:rsid w:val="00180853"/>
    <w:rsid w:val="00180935"/>
    <w:rsid w:val="00180A23"/>
    <w:rsid w:val="00180ABF"/>
    <w:rsid w:val="00180B69"/>
    <w:rsid w:val="00180B76"/>
    <w:rsid w:val="00180BE8"/>
    <w:rsid w:val="00180CCE"/>
    <w:rsid w:val="001811DE"/>
    <w:rsid w:val="0018135F"/>
    <w:rsid w:val="0018151D"/>
    <w:rsid w:val="0018166B"/>
    <w:rsid w:val="001818CC"/>
    <w:rsid w:val="00181B43"/>
    <w:rsid w:val="0018201C"/>
    <w:rsid w:val="001820F0"/>
    <w:rsid w:val="001823FB"/>
    <w:rsid w:val="00182469"/>
    <w:rsid w:val="00182487"/>
    <w:rsid w:val="00182595"/>
    <w:rsid w:val="00182691"/>
    <w:rsid w:val="00182697"/>
    <w:rsid w:val="001826CB"/>
    <w:rsid w:val="0018270C"/>
    <w:rsid w:val="001827AC"/>
    <w:rsid w:val="0018284E"/>
    <w:rsid w:val="00182899"/>
    <w:rsid w:val="00182C81"/>
    <w:rsid w:val="00182D99"/>
    <w:rsid w:val="00183166"/>
    <w:rsid w:val="001831E8"/>
    <w:rsid w:val="001832B0"/>
    <w:rsid w:val="0018349C"/>
    <w:rsid w:val="00183562"/>
    <w:rsid w:val="0018358B"/>
    <w:rsid w:val="00183649"/>
    <w:rsid w:val="0018376D"/>
    <w:rsid w:val="0018378E"/>
    <w:rsid w:val="00183970"/>
    <w:rsid w:val="00183C19"/>
    <w:rsid w:val="00183C33"/>
    <w:rsid w:val="00183C47"/>
    <w:rsid w:val="00183D6E"/>
    <w:rsid w:val="00183E2A"/>
    <w:rsid w:val="00183EC8"/>
    <w:rsid w:val="001843C4"/>
    <w:rsid w:val="00184519"/>
    <w:rsid w:val="001845F7"/>
    <w:rsid w:val="00184708"/>
    <w:rsid w:val="001849C6"/>
    <w:rsid w:val="00184A83"/>
    <w:rsid w:val="00185037"/>
    <w:rsid w:val="00185077"/>
    <w:rsid w:val="0018537D"/>
    <w:rsid w:val="001853A5"/>
    <w:rsid w:val="001856AA"/>
    <w:rsid w:val="00185A8A"/>
    <w:rsid w:val="00185A91"/>
    <w:rsid w:val="00185DFA"/>
    <w:rsid w:val="001862B1"/>
    <w:rsid w:val="001862DA"/>
    <w:rsid w:val="001865FA"/>
    <w:rsid w:val="001866D1"/>
    <w:rsid w:val="001868A3"/>
    <w:rsid w:val="00186A1F"/>
    <w:rsid w:val="00186A8A"/>
    <w:rsid w:val="00186EB8"/>
    <w:rsid w:val="00186FC4"/>
    <w:rsid w:val="00187145"/>
    <w:rsid w:val="0018748E"/>
    <w:rsid w:val="001874F4"/>
    <w:rsid w:val="00187552"/>
    <w:rsid w:val="00187613"/>
    <w:rsid w:val="0018781B"/>
    <w:rsid w:val="0018790C"/>
    <w:rsid w:val="00187979"/>
    <w:rsid w:val="00187AD7"/>
    <w:rsid w:val="00187BD9"/>
    <w:rsid w:val="00187DA4"/>
    <w:rsid w:val="00187F44"/>
    <w:rsid w:val="001904D5"/>
    <w:rsid w:val="00190ABF"/>
    <w:rsid w:val="00190BA5"/>
    <w:rsid w:val="00190D0C"/>
    <w:rsid w:val="00190DD4"/>
    <w:rsid w:val="00190E81"/>
    <w:rsid w:val="0019104D"/>
    <w:rsid w:val="001913FC"/>
    <w:rsid w:val="001916F8"/>
    <w:rsid w:val="00191778"/>
    <w:rsid w:val="001918E9"/>
    <w:rsid w:val="00191A61"/>
    <w:rsid w:val="00191A77"/>
    <w:rsid w:val="00191DB3"/>
    <w:rsid w:val="00191F60"/>
    <w:rsid w:val="00191FD5"/>
    <w:rsid w:val="0019206B"/>
    <w:rsid w:val="001921EA"/>
    <w:rsid w:val="001922DD"/>
    <w:rsid w:val="00192390"/>
    <w:rsid w:val="001923ED"/>
    <w:rsid w:val="0019240C"/>
    <w:rsid w:val="001924EE"/>
    <w:rsid w:val="00192813"/>
    <w:rsid w:val="00192B90"/>
    <w:rsid w:val="00192BFE"/>
    <w:rsid w:val="00192CCE"/>
    <w:rsid w:val="00192D0D"/>
    <w:rsid w:val="00193260"/>
    <w:rsid w:val="0019348B"/>
    <w:rsid w:val="0019374B"/>
    <w:rsid w:val="00193825"/>
    <w:rsid w:val="00193A90"/>
    <w:rsid w:val="00193AAC"/>
    <w:rsid w:val="00193B10"/>
    <w:rsid w:val="00193E1B"/>
    <w:rsid w:val="00193E46"/>
    <w:rsid w:val="00193E5A"/>
    <w:rsid w:val="00193EE3"/>
    <w:rsid w:val="00194098"/>
    <w:rsid w:val="001940C7"/>
    <w:rsid w:val="00194192"/>
    <w:rsid w:val="001943EA"/>
    <w:rsid w:val="00194915"/>
    <w:rsid w:val="00194995"/>
    <w:rsid w:val="00194C54"/>
    <w:rsid w:val="00194D71"/>
    <w:rsid w:val="00194FCC"/>
    <w:rsid w:val="00195002"/>
    <w:rsid w:val="00195006"/>
    <w:rsid w:val="001952E6"/>
    <w:rsid w:val="00195332"/>
    <w:rsid w:val="00195386"/>
    <w:rsid w:val="00195389"/>
    <w:rsid w:val="001953E6"/>
    <w:rsid w:val="00195476"/>
    <w:rsid w:val="00195B49"/>
    <w:rsid w:val="00195BCE"/>
    <w:rsid w:val="00195CD2"/>
    <w:rsid w:val="00196167"/>
    <w:rsid w:val="0019620C"/>
    <w:rsid w:val="0019634B"/>
    <w:rsid w:val="00196480"/>
    <w:rsid w:val="00196526"/>
    <w:rsid w:val="00196594"/>
    <w:rsid w:val="00196703"/>
    <w:rsid w:val="00196917"/>
    <w:rsid w:val="00196963"/>
    <w:rsid w:val="00196ACB"/>
    <w:rsid w:val="00196B93"/>
    <w:rsid w:val="00196BA3"/>
    <w:rsid w:val="00196BBE"/>
    <w:rsid w:val="001970F9"/>
    <w:rsid w:val="0019728A"/>
    <w:rsid w:val="00197350"/>
    <w:rsid w:val="00197890"/>
    <w:rsid w:val="001978E4"/>
    <w:rsid w:val="00197A0E"/>
    <w:rsid w:val="00197BAA"/>
    <w:rsid w:val="00197BC3"/>
    <w:rsid w:val="00197DCD"/>
    <w:rsid w:val="00197E78"/>
    <w:rsid w:val="001A00D2"/>
    <w:rsid w:val="001A0161"/>
    <w:rsid w:val="001A02E8"/>
    <w:rsid w:val="001A04AA"/>
    <w:rsid w:val="001A0649"/>
    <w:rsid w:val="001A0968"/>
    <w:rsid w:val="001A0AA7"/>
    <w:rsid w:val="001A0BE4"/>
    <w:rsid w:val="001A0D1A"/>
    <w:rsid w:val="001A0F03"/>
    <w:rsid w:val="001A0F0C"/>
    <w:rsid w:val="001A0F11"/>
    <w:rsid w:val="001A0F2D"/>
    <w:rsid w:val="001A0F6B"/>
    <w:rsid w:val="001A11D7"/>
    <w:rsid w:val="001A15F4"/>
    <w:rsid w:val="001A1720"/>
    <w:rsid w:val="001A192B"/>
    <w:rsid w:val="001A1CBA"/>
    <w:rsid w:val="001A1F12"/>
    <w:rsid w:val="001A20CC"/>
    <w:rsid w:val="001A2109"/>
    <w:rsid w:val="001A2397"/>
    <w:rsid w:val="001A2466"/>
    <w:rsid w:val="001A256D"/>
    <w:rsid w:val="001A26F5"/>
    <w:rsid w:val="001A27E6"/>
    <w:rsid w:val="001A2850"/>
    <w:rsid w:val="001A2CF4"/>
    <w:rsid w:val="001A2D2F"/>
    <w:rsid w:val="001A2DDC"/>
    <w:rsid w:val="001A2F35"/>
    <w:rsid w:val="001A2F36"/>
    <w:rsid w:val="001A2F6C"/>
    <w:rsid w:val="001A3342"/>
    <w:rsid w:val="001A36B0"/>
    <w:rsid w:val="001A372B"/>
    <w:rsid w:val="001A3771"/>
    <w:rsid w:val="001A378A"/>
    <w:rsid w:val="001A37BD"/>
    <w:rsid w:val="001A382B"/>
    <w:rsid w:val="001A3991"/>
    <w:rsid w:val="001A3AFE"/>
    <w:rsid w:val="001A3CB0"/>
    <w:rsid w:val="001A3EB6"/>
    <w:rsid w:val="001A419B"/>
    <w:rsid w:val="001A4336"/>
    <w:rsid w:val="001A44F0"/>
    <w:rsid w:val="001A4780"/>
    <w:rsid w:val="001A49F9"/>
    <w:rsid w:val="001A4CCB"/>
    <w:rsid w:val="001A4D3F"/>
    <w:rsid w:val="001A4E22"/>
    <w:rsid w:val="001A4EB6"/>
    <w:rsid w:val="001A5321"/>
    <w:rsid w:val="001A5372"/>
    <w:rsid w:val="001A5419"/>
    <w:rsid w:val="001A55A2"/>
    <w:rsid w:val="001A56AC"/>
    <w:rsid w:val="001A5705"/>
    <w:rsid w:val="001A585E"/>
    <w:rsid w:val="001A592C"/>
    <w:rsid w:val="001A5D64"/>
    <w:rsid w:val="001A620B"/>
    <w:rsid w:val="001A63F2"/>
    <w:rsid w:val="001A646B"/>
    <w:rsid w:val="001A6496"/>
    <w:rsid w:val="001A6575"/>
    <w:rsid w:val="001A6C43"/>
    <w:rsid w:val="001A6D25"/>
    <w:rsid w:val="001A6E6B"/>
    <w:rsid w:val="001A7346"/>
    <w:rsid w:val="001A7386"/>
    <w:rsid w:val="001A751B"/>
    <w:rsid w:val="001A7605"/>
    <w:rsid w:val="001A77CB"/>
    <w:rsid w:val="001A7971"/>
    <w:rsid w:val="001A7A89"/>
    <w:rsid w:val="001A7A9E"/>
    <w:rsid w:val="001A7B28"/>
    <w:rsid w:val="001A7BFE"/>
    <w:rsid w:val="001A7D4C"/>
    <w:rsid w:val="001A7E01"/>
    <w:rsid w:val="001A7E31"/>
    <w:rsid w:val="001A7FFD"/>
    <w:rsid w:val="001B0110"/>
    <w:rsid w:val="001B031D"/>
    <w:rsid w:val="001B049B"/>
    <w:rsid w:val="001B0511"/>
    <w:rsid w:val="001B0531"/>
    <w:rsid w:val="001B065F"/>
    <w:rsid w:val="001B0765"/>
    <w:rsid w:val="001B0804"/>
    <w:rsid w:val="001B090D"/>
    <w:rsid w:val="001B098E"/>
    <w:rsid w:val="001B09E3"/>
    <w:rsid w:val="001B0AC4"/>
    <w:rsid w:val="001B0B4E"/>
    <w:rsid w:val="001B0B54"/>
    <w:rsid w:val="001B0BC2"/>
    <w:rsid w:val="001B0C0A"/>
    <w:rsid w:val="001B0E57"/>
    <w:rsid w:val="001B0F33"/>
    <w:rsid w:val="001B105E"/>
    <w:rsid w:val="001B10AE"/>
    <w:rsid w:val="001B10FE"/>
    <w:rsid w:val="001B1324"/>
    <w:rsid w:val="001B13F6"/>
    <w:rsid w:val="001B15BC"/>
    <w:rsid w:val="001B1729"/>
    <w:rsid w:val="001B198A"/>
    <w:rsid w:val="001B19AE"/>
    <w:rsid w:val="001B1BBB"/>
    <w:rsid w:val="001B1FAD"/>
    <w:rsid w:val="001B208A"/>
    <w:rsid w:val="001B2224"/>
    <w:rsid w:val="001B294F"/>
    <w:rsid w:val="001B297E"/>
    <w:rsid w:val="001B2D8A"/>
    <w:rsid w:val="001B3048"/>
    <w:rsid w:val="001B334F"/>
    <w:rsid w:val="001B3826"/>
    <w:rsid w:val="001B3961"/>
    <w:rsid w:val="001B3A78"/>
    <w:rsid w:val="001B3AA9"/>
    <w:rsid w:val="001B3ADE"/>
    <w:rsid w:val="001B3B84"/>
    <w:rsid w:val="001B3F33"/>
    <w:rsid w:val="001B40CB"/>
    <w:rsid w:val="001B40E7"/>
    <w:rsid w:val="001B41CB"/>
    <w:rsid w:val="001B42E4"/>
    <w:rsid w:val="001B436F"/>
    <w:rsid w:val="001B454A"/>
    <w:rsid w:val="001B45BD"/>
    <w:rsid w:val="001B4769"/>
    <w:rsid w:val="001B47A8"/>
    <w:rsid w:val="001B4879"/>
    <w:rsid w:val="001B4A12"/>
    <w:rsid w:val="001B4E90"/>
    <w:rsid w:val="001B4F3F"/>
    <w:rsid w:val="001B5291"/>
    <w:rsid w:val="001B52AC"/>
    <w:rsid w:val="001B563F"/>
    <w:rsid w:val="001B571B"/>
    <w:rsid w:val="001B5797"/>
    <w:rsid w:val="001B582D"/>
    <w:rsid w:val="001B5890"/>
    <w:rsid w:val="001B59A9"/>
    <w:rsid w:val="001B5B80"/>
    <w:rsid w:val="001B5BC4"/>
    <w:rsid w:val="001B5C8D"/>
    <w:rsid w:val="001B5D3A"/>
    <w:rsid w:val="001B5D41"/>
    <w:rsid w:val="001B5D68"/>
    <w:rsid w:val="001B5E49"/>
    <w:rsid w:val="001B5EB0"/>
    <w:rsid w:val="001B60AE"/>
    <w:rsid w:val="001B6335"/>
    <w:rsid w:val="001B6342"/>
    <w:rsid w:val="001B6421"/>
    <w:rsid w:val="001B691A"/>
    <w:rsid w:val="001B696E"/>
    <w:rsid w:val="001B6A56"/>
    <w:rsid w:val="001B6EFE"/>
    <w:rsid w:val="001B6F67"/>
    <w:rsid w:val="001B7191"/>
    <w:rsid w:val="001B71B9"/>
    <w:rsid w:val="001B7243"/>
    <w:rsid w:val="001B7302"/>
    <w:rsid w:val="001B7457"/>
    <w:rsid w:val="001B76A8"/>
    <w:rsid w:val="001B774B"/>
    <w:rsid w:val="001B7760"/>
    <w:rsid w:val="001B782D"/>
    <w:rsid w:val="001B7992"/>
    <w:rsid w:val="001B7A0A"/>
    <w:rsid w:val="001B7B64"/>
    <w:rsid w:val="001C00F2"/>
    <w:rsid w:val="001C0375"/>
    <w:rsid w:val="001C03FC"/>
    <w:rsid w:val="001C05BE"/>
    <w:rsid w:val="001C0963"/>
    <w:rsid w:val="001C0964"/>
    <w:rsid w:val="001C09D9"/>
    <w:rsid w:val="001C0EF5"/>
    <w:rsid w:val="001C1121"/>
    <w:rsid w:val="001C14EA"/>
    <w:rsid w:val="001C188A"/>
    <w:rsid w:val="001C1A14"/>
    <w:rsid w:val="001C1AC5"/>
    <w:rsid w:val="001C1B7D"/>
    <w:rsid w:val="001C1C45"/>
    <w:rsid w:val="001C1CC0"/>
    <w:rsid w:val="001C1D71"/>
    <w:rsid w:val="001C1DE7"/>
    <w:rsid w:val="001C1E09"/>
    <w:rsid w:val="001C1EA8"/>
    <w:rsid w:val="001C202D"/>
    <w:rsid w:val="001C21A2"/>
    <w:rsid w:val="001C21B4"/>
    <w:rsid w:val="001C22BD"/>
    <w:rsid w:val="001C22F8"/>
    <w:rsid w:val="001C2316"/>
    <w:rsid w:val="001C232A"/>
    <w:rsid w:val="001C23C3"/>
    <w:rsid w:val="001C2416"/>
    <w:rsid w:val="001C24B2"/>
    <w:rsid w:val="001C24F4"/>
    <w:rsid w:val="001C28BB"/>
    <w:rsid w:val="001C2A03"/>
    <w:rsid w:val="001C2C3F"/>
    <w:rsid w:val="001C2CCF"/>
    <w:rsid w:val="001C2FFE"/>
    <w:rsid w:val="001C3063"/>
    <w:rsid w:val="001C30D2"/>
    <w:rsid w:val="001C3423"/>
    <w:rsid w:val="001C359B"/>
    <w:rsid w:val="001C381C"/>
    <w:rsid w:val="001C38C7"/>
    <w:rsid w:val="001C3915"/>
    <w:rsid w:val="001C39E8"/>
    <w:rsid w:val="001C3A22"/>
    <w:rsid w:val="001C3BC6"/>
    <w:rsid w:val="001C3CD8"/>
    <w:rsid w:val="001C3D31"/>
    <w:rsid w:val="001C3E7B"/>
    <w:rsid w:val="001C3F63"/>
    <w:rsid w:val="001C42DD"/>
    <w:rsid w:val="001C44E0"/>
    <w:rsid w:val="001C4553"/>
    <w:rsid w:val="001C45EC"/>
    <w:rsid w:val="001C4619"/>
    <w:rsid w:val="001C4623"/>
    <w:rsid w:val="001C4632"/>
    <w:rsid w:val="001C469B"/>
    <w:rsid w:val="001C4888"/>
    <w:rsid w:val="001C4A0B"/>
    <w:rsid w:val="001C4B75"/>
    <w:rsid w:val="001C4C45"/>
    <w:rsid w:val="001C4C8C"/>
    <w:rsid w:val="001C4CF3"/>
    <w:rsid w:val="001C4DA4"/>
    <w:rsid w:val="001C504B"/>
    <w:rsid w:val="001C532B"/>
    <w:rsid w:val="001C54F5"/>
    <w:rsid w:val="001C559E"/>
    <w:rsid w:val="001C55F6"/>
    <w:rsid w:val="001C5645"/>
    <w:rsid w:val="001C57A1"/>
    <w:rsid w:val="001C59E9"/>
    <w:rsid w:val="001C5D2D"/>
    <w:rsid w:val="001C5D8B"/>
    <w:rsid w:val="001C5DF2"/>
    <w:rsid w:val="001C5E05"/>
    <w:rsid w:val="001C5FC4"/>
    <w:rsid w:val="001C6086"/>
    <w:rsid w:val="001C6252"/>
    <w:rsid w:val="001C62B4"/>
    <w:rsid w:val="001C6311"/>
    <w:rsid w:val="001C6504"/>
    <w:rsid w:val="001C650C"/>
    <w:rsid w:val="001C6667"/>
    <w:rsid w:val="001C6758"/>
    <w:rsid w:val="001C681D"/>
    <w:rsid w:val="001C6954"/>
    <w:rsid w:val="001C69B9"/>
    <w:rsid w:val="001C6A71"/>
    <w:rsid w:val="001C6BFC"/>
    <w:rsid w:val="001C6F08"/>
    <w:rsid w:val="001C71AA"/>
    <w:rsid w:val="001C73C0"/>
    <w:rsid w:val="001C73F8"/>
    <w:rsid w:val="001C75AB"/>
    <w:rsid w:val="001C75B2"/>
    <w:rsid w:val="001C776C"/>
    <w:rsid w:val="001C77AE"/>
    <w:rsid w:val="001C77E1"/>
    <w:rsid w:val="001C7870"/>
    <w:rsid w:val="001C79DA"/>
    <w:rsid w:val="001C7ABB"/>
    <w:rsid w:val="001C7C88"/>
    <w:rsid w:val="001C7F9B"/>
    <w:rsid w:val="001D063B"/>
    <w:rsid w:val="001D112B"/>
    <w:rsid w:val="001D1196"/>
    <w:rsid w:val="001D11B3"/>
    <w:rsid w:val="001D12B8"/>
    <w:rsid w:val="001D149E"/>
    <w:rsid w:val="001D1597"/>
    <w:rsid w:val="001D19A8"/>
    <w:rsid w:val="001D1BD4"/>
    <w:rsid w:val="001D1BF5"/>
    <w:rsid w:val="001D1C06"/>
    <w:rsid w:val="001D1C91"/>
    <w:rsid w:val="001D1E91"/>
    <w:rsid w:val="001D208E"/>
    <w:rsid w:val="001D2179"/>
    <w:rsid w:val="001D2379"/>
    <w:rsid w:val="001D240E"/>
    <w:rsid w:val="001D26ED"/>
    <w:rsid w:val="001D28B3"/>
    <w:rsid w:val="001D2D33"/>
    <w:rsid w:val="001D3095"/>
    <w:rsid w:val="001D30D9"/>
    <w:rsid w:val="001D33AD"/>
    <w:rsid w:val="001D342F"/>
    <w:rsid w:val="001D374B"/>
    <w:rsid w:val="001D37AC"/>
    <w:rsid w:val="001D3B36"/>
    <w:rsid w:val="001D3D79"/>
    <w:rsid w:val="001D425D"/>
    <w:rsid w:val="001D45A8"/>
    <w:rsid w:val="001D46A2"/>
    <w:rsid w:val="001D48E5"/>
    <w:rsid w:val="001D495D"/>
    <w:rsid w:val="001D4C6E"/>
    <w:rsid w:val="001D4D9C"/>
    <w:rsid w:val="001D4FC1"/>
    <w:rsid w:val="001D5257"/>
    <w:rsid w:val="001D5280"/>
    <w:rsid w:val="001D53CF"/>
    <w:rsid w:val="001D542D"/>
    <w:rsid w:val="001D555B"/>
    <w:rsid w:val="001D5963"/>
    <w:rsid w:val="001D5C9A"/>
    <w:rsid w:val="001D5CAD"/>
    <w:rsid w:val="001D5D71"/>
    <w:rsid w:val="001D6224"/>
    <w:rsid w:val="001D62F5"/>
    <w:rsid w:val="001D638B"/>
    <w:rsid w:val="001D6488"/>
    <w:rsid w:val="001D6C3D"/>
    <w:rsid w:val="001D6CCE"/>
    <w:rsid w:val="001D6DFA"/>
    <w:rsid w:val="001D6FD7"/>
    <w:rsid w:val="001D7103"/>
    <w:rsid w:val="001D7159"/>
    <w:rsid w:val="001D742D"/>
    <w:rsid w:val="001D7433"/>
    <w:rsid w:val="001D7798"/>
    <w:rsid w:val="001D7938"/>
    <w:rsid w:val="001D79D4"/>
    <w:rsid w:val="001D79EF"/>
    <w:rsid w:val="001D7B9D"/>
    <w:rsid w:val="001E004B"/>
    <w:rsid w:val="001E012F"/>
    <w:rsid w:val="001E059E"/>
    <w:rsid w:val="001E069D"/>
    <w:rsid w:val="001E0736"/>
    <w:rsid w:val="001E0741"/>
    <w:rsid w:val="001E07C3"/>
    <w:rsid w:val="001E08D8"/>
    <w:rsid w:val="001E08DD"/>
    <w:rsid w:val="001E0916"/>
    <w:rsid w:val="001E0D51"/>
    <w:rsid w:val="001E11C8"/>
    <w:rsid w:val="001E127B"/>
    <w:rsid w:val="001E14AA"/>
    <w:rsid w:val="001E1901"/>
    <w:rsid w:val="001E1928"/>
    <w:rsid w:val="001E19D3"/>
    <w:rsid w:val="001E1C13"/>
    <w:rsid w:val="001E1E05"/>
    <w:rsid w:val="001E1F97"/>
    <w:rsid w:val="001E23D1"/>
    <w:rsid w:val="001E2428"/>
    <w:rsid w:val="001E252F"/>
    <w:rsid w:val="001E26BD"/>
    <w:rsid w:val="001E2854"/>
    <w:rsid w:val="001E28E6"/>
    <w:rsid w:val="001E2908"/>
    <w:rsid w:val="001E2A8E"/>
    <w:rsid w:val="001E2D62"/>
    <w:rsid w:val="001E2D70"/>
    <w:rsid w:val="001E309A"/>
    <w:rsid w:val="001E38A8"/>
    <w:rsid w:val="001E3982"/>
    <w:rsid w:val="001E3A08"/>
    <w:rsid w:val="001E3B1D"/>
    <w:rsid w:val="001E3FC5"/>
    <w:rsid w:val="001E48DE"/>
    <w:rsid w:val="001E4A26"/>
    <w:rsid w:val="001E4CA0"/>
    <w:rsid w:val="001E5176"/>
    <w:rsid w:val="001E51E5"/>
    <w:rsid w:val="001E53CD"/>
    <w:rsid w:val="001E53F7"/>
    <w:rsid w:val="001E5693"/>
    <w:rsid w:val="001E580B"/>
    <w:rsid w:val="001E596C"/>
    <w:rsid w:val="001E5BBB"/>
    <w:rsid w:val="001E5C80"/>
    <w:rsid w:val="001E5D60"/>
    <w:rsid w:val="001E5D75"/>
    <w:rsid w:val="001E5E04"/>
    <w:rsid w:val="001E5F64"/>
    <w:rsid w:val="001E6180"/>
    <w:rsid w:val="001E6288"/>
    <w:rsid w:val="001E6512"/>
    <w:rsid w:val="001E656A"/>
    <w:rsid w:val="001E65B5"/>
    <w:rsid w:val="001E674B"/>
    <w:rsid w:val="001E6892"/>
    <w:rsid w:val="001E68FC"/>
    <w:rsid w:val="001E6957"/>
    <w:rsid w:val="001E6C2D"/>
    <w:rsid w:val="001E6CEF"/>
    <w:rsid w:val="001E6D8E"/>
    <w:rsid w:val="001E6F80"/>
    <w:rsid w:val="001E714A"/>
    <w:rsid w:val="001E72AF"/>
    <w:rsid w:val="001E72B6"/>
    <w:rsid w:val="001E7396"/>
    <w:rsid w:val="001E7569"/>
    <w:rsid w:val="001E7600"/>
    <w:rsid w:val="001E76B0"/>
    <w:rsid w:val="001E77CE"/>
    <w:rsid w:val="001E7878"/>
    <w:rsid w:val="001E7F25"/>
    <w:rsid w:val="001E7FBC"/>
    <w:rsid w:val="001F0379"/>
    <w:rsid w:val="001F06FE"/>
    <w:rsid w:val="001F0766"/>
    <w:rsid w:val="001F0B30"/>
    <w:rsid w:val="001F0C39"/>
    <w:rsid w:val="001F0CBE"/>
    <w:rsid w:val="001F0EE5"/>
    <w:rsid w:val="001F111D"/>
    <w:rsid w:val="001F140D"/>
    <w:rsid w:val="001F16FB"/>
    <w:rsid w:val="001F1761"/>
    <w:rsid w:val="001F1844"/>
    <w:rsid w:val="001F1A09"/>
    <w:rsid w:val="001F1A87"/>
    <w:rsid w:val="001F1BC4"/>
    <w:rsid w:val="001F2178"/>
    <w:rsid w:val="001F2179"/>
    <w:rsid w:val="001F22CC"/>
    <w:rsid w:val="001F23DC"/>
    <w:rsid w:val="001F25E0"/>
    <w:rsid w:val="001F2977"/>
    <w:rsid w:val="001F2D68"/>
    <w:rsid w:val="001F2DF7"/>
    <w:rsid w:val="001F2EC6"/>
    <w:rsid w:val="001F3189"/>
    <w:rsid w:val="001F33F5"/>
    <w:rsid w:val="001F371E"/>
    <w:rsid w:val="001F379A"/>
    <w:rsid w:val="001F3845"/>
    <w:rsid w:val="001F3864"/>
    <w:rsid w:val="001F387B"/>
    <w:rsid w:val="001F38DF"/>
    <w:rsid w:val="001F3C5F"/>
    <w:rsid w:val="001F3D43"/>
    <w:rsid w:val="001F3DB3"/>
    <w:rsid w:val="001F458A"/>
    <w:rsid w:val="001F4AC7"/>
    <w:rsid w:val="001F4B1F"/>
    <w:rsid w:val="001F4D6D"/>
    <w:rsid w:val="001F4DBC"/>
    <w:rsid w:val="001F4F5A"/>
    <w:rsid w:val="001F5293"/>
    <w:rsid w:val="001F5574"/>
    <w:rsid w:val="001F55B3"/>
    <w:rsid w:val="001F56BA"/>
    <w:rsid w:val="001F5C3C"/>
    <w:rsid w:val="001F5E5C"/>
    <w:rsid w:val="001F5E8B"/>
    <w:rsid w:val="001F5E93"/>
    <w:rsid w:val="001F5FCA"/>
    <w:rsid w:val="001F61FE"/>
    <w:rsid w:val="001F645F"/>
    <w:rsid w:val="001F646F"/>
    <w:rsid w:val="001F66DB"/>
    <w:rsid w:val="001F66DE"/>
    <w:rsid w:val="001F6793"/>
    <w:rsid w:val="001F68BC"/>
    <w:rsid w:val="001F695D"/>
    <w:rsid w:val="001F6C87"/>
    <w:rsid w:val="001F6EC5"/>
    <w:rsid w:val="001F705D"/>
    <w:rsid w:val="001F7246"/>
    <w:rsid w:val="001F7308"/>
    <w:rsid w:val="001F7813"/>
    <w:rsid w:val="001F7971"/>
    <w:rsid w:val="001F7ACA"/>
    <w:rsid w:val="001F7D00"/>
    <w:rsid w:val="001F7FD2"/>
    <w:rsid w:val="0020066A"/>
    <w:rsid w:val="00200807"/>
    <w:rsid w:val="00200A6B"/>
    <w:rsid w:val="00200CAC"/>
    <w:rsid w:val="00200D92"/>
    <w:rsid w:val="0020124F"/>
    <w:rsid w:val="002014E7"/>
    <w:rsid w:val="00201A05"/>
    <w:rsid w:val="00201CB2"/>
    <w:rsid w:val="00201DAE"/>
    <w:rsid w:val="00202046"/>
    <w:rsid w:val="00202576"/>
    <w:rsid w:val="002026A2"/>
    <w:rsid w:val="00202746"/>
    <w:rsid w:val="0020279F"/>
    <w:rsid w:val="00202966"/>
    <w:rsid w:val="00202A9E"/>
    <w:rsid w:val="00202AA8"/>
    <w:rsid w:val="00202D81"/>
    <w:rsid w:val="00202DC0"/>
    <w:rsid w:val="00202E80"/>
    <w:rsid w:val="00202EB6"/>
    <w:rsid w:val="002031F9"/>
    <w:rsid w:val="00203319"/>
    <w:rsid w:val="0020387A"/>
    <w:rsid w:val="002038C9"/>
    <w:rsid w:val="00203A0A"/>
    <w:rsid w:val="00203A3C"/>
    <w:rsid w:val="00203B02"/>
    <w:rsid w:val="00203C00"/>
    <w:rsid w:val="00203C62"/>
    <w:rsid w:val="00203F7B"/>
    <w:rsid w:val="00203F82"/>
    <w:rsid w:val="0020400F"/>
    <w:rsid w:val="00204026"/>
    <w:rsid w:val="002044A1"/>
    <w:rsid w:val="002048BC"/>
    <w:rsid w:val="00204959"/>
    <w:rsid w:val="002051EE"/>
    <w:rsid w:val="00205413"/>
    <w:rsid w:val="002054ED"/>
    <w:rsid w:val="00205507"/>
    <w:rsid w:val="00205642"/>
    <w:rsid w:val="00205644"/>
    <w:rsid w:val="002059C6"/>
    <w:rsid w:val="00205A9F"/>
    <w:rsid w:val="00205B0E"/>
    <w:rsid w:val="00205B1F"/>
    <w:rsid w:val="00205D24"/>
    <w:rsid w:val="00205FEA"/>
    <w:rsid w:val="00205FFD"/>
    <w:rsid w:val="0020617E"/>
    <w:rsid w:val="002061CA"/>
    <w:rsid w:val="0020626C"/>
    <w:rsid w:val="002064D6"/>
    <w:rsid w:val="0020683A"/>
    <w:rsid w:val="0020689C"/>
    <w:rsid w:val="00206929"/>
    <w:rsid w:val="002069A6"/>
    <w:rsid w:val="002069BC"/>
    <w:rsid w:val="00206E13"/>
    <w:rsid w:val="00206F7F"/>
    <w:rsid w:val="00206FDE"/>
    <w:rsid w:val="002070B5"/>
    <w:rsid w:val="0020711B"/>
    <w:rsid w:val="0020718C"/>
    <w:rsid w:val="00207200"/>
    <w:rsid w:val="00207205"/>
    <w:rsid w:val="00207223"/>
    <w:rsid w:val="00207408"/>
    <w:rsid w:val="00207526"/>
    <w:rsid w:val="0020761D"/>
    <w:rsid w:val="0020762E"/>
    <w:rsid w:val="00207675"/>
    <w:rsid w:val="002077F6"/>
    <w:rsid w:val="00207DC0"/>
    <w:rsid w:val="00207FF8"/>
    <w:rsid w:val="0021000D"/>
    <w:rsid w:val="002101DD"/>
    <w:rsid w:val="0021027A"/>
    <w:rsid w:val="0021033E"/>
    <w:rsid w:val="00210679"/>
    <w:rsid w:val="00210732"/>
    <w:rsid w:val="00210901"/>
    <w:rsid w:val="00210954"/>
    <w:rsid w:val="00210C4B"/>
    <w:rsid w:val="00210D6E"/>
    <w:rsid w:val="00210D9C"/>
    <w:rsid w:val="00210DCC"/>
    <w:rsid w:val="00210DCD"/>
    <w:rsid w:val="00210E45"/>
    <w:rsid w:val="00211176"/>
    <w:rsid w:val="0021186A"/>
    <w:rsid w:val="0021198D"/>
    <w:rsid w:val="002119BF"/>
    <w:rsid w:val="00211B6F"/>
    <w:rsid w:val="00211C52"/>
    <w:rsid w:val="00211D3D"/>
    <w:rsid w:val="0021225B"/>
    <w:rsid w:val="0021226C"/>
    <w:rsid w:val="002122AD"/>
    <w:rsid w:val="0021248A"/>
    <w:rsid w:val="002126B2"/>
    <w:rsid w:val="00212948"/>
    <w:rsid w:val="00212BAE"/>
    <w:rsid w:val="00212BFF"/>
    <w:rsid w:val="00212E77"/>
    <w:rsid w:val="0021326F"/>
    <w:rsid w:val="0021337E"/>
    <w:rsid w:val="002134A1"/>
    <w:rsid w:val="002134FF"/>
    <w:rsid w:val="0021351D"/>
    <w:rsid w:val="002137BD"/>
    <w:rsid w:val="00213889"/>
    <w:rsid w:val="00213971"/>
    <w:rsid w:val="00213A9B"/>
    <w:rsid w:val="00213B2C"/>
    <w:rsid w:val="00213E70"/>
    <w:rsid w:val="00213E74"/>
    <w:rsid w:val="00214036"/>
    <w:rsid w:val="00214433"/>
    <w:rsid w:val="00214556"/>
    <w:rsid w:val="002145B9"/>
    <w:rsid w:val="00214A64"/>
    <w:rsid w:val="00214BD4"/>
    <w:rsid w:val="00214E39"/>
    <w:rsid w:val="00214FA7"/>
    <w:rsid w:val="00214FFF"/>
    <w:rsid w:val="0021501A"/>
    <w:rsid w:val="00215101"/>
    <w:rsid w:val="0021519C"/>
    <w:rsid w:val="002151CB"/>
    <w:rsid w:val="002152D1"/>
    <w:rsid w:val="00215468"/>
    <w:rsid w:val="002155D4"/>
    <w:rsid w:val="002156D4"/>
    <w:rsid w:val="002157C5"/>
    <w:rsid w:val="00215A59"/>
    <w:rsid w:val="00215AAF"/>
    <w:rsid w:val="00215B73"/>
    <w:rsid w:val="00215EA4"/>
    <w:rsid w:val="00216027"/>
    <w:rsid w:val="00216084"/>
    <w:rsid w:val="002160BB"/>
    <w:rsid w:val="00216238"/>
    <w:rsid w:val="002163C8"/>
    <w:rsid w:val="002165D3"/>
    <w:rsid w:val="00216677"/>
    <w:rsid w:val="00216771"/>
    <w:rsid w:val="0021687C"/>
    <w:rsid w:val="0021697C"/>
    <w:rsid w:val="00216AAA"/>
    <w:rsid w:val="00216E53"/>
    <w:rsid w:val="0021713D"/>
    <w:rsid w:val="0021736D"/>
    <w:rsid w:val="00217423"/>
    <w:rsid w:val="00217839"/>
    <w:rsid w:val="0021786F"/>
    <w:rsid w:val="00217A35"/>
    <w:rsid w:val="00217BBD"/>
    <w:rsid w:val="00217EE7"/>
    <w:rsid w:val="00217F29"/>
    <w:rsid w:val="0022022F"/>
    <w:rsid w:val="00220389"/>
    <w:rsid w:val="0022067E"/>
    <w:rsid w:val="00220801"/>
    <w:rsid w:val="0022082E"/>
    <w:rsid w:val="00220838"/>
    <w:rsid w:val="002208DA"/>
    <w:rsid w:val="00220CC2"/>
    <w:rsid w:val="00220D43"/>
    <w:rsid w:val="00221197"/>
    <w:rsid w:val="00221201"/>
    <w:rsid w:val="0022123D"/>
    <w:rsid w:val="00221274"/>
    <w:rsid w:val="00221282"/>
    <w:rsid w:val="00221402"/>
    <w:rsid w:val="002216C2"/>
    <w:rsid w:val="00221890"/>
    <w:rsid w:val="0022195B"/>
    <w:rsid w:val="00221B1E"/>
    <w:rsid w:val="00221B4E"/>
    <w:rsid w:val="00221D4B"/>
    <w:rsid w:val="00221E0C"/>
    <w:rsid w:val="00222087"/>
    <w:rsid w:val="00222224"/>
    <w:rsid w:val="0022224C"/>
    <w:rsid w:val="00222392"/>
    <w:rsid w:val="002223C1"/>
    <w:rsid w:val="002224C1"/>
    <w:rsid w:val="002226DC"/>
    <w:rsid w:val="00222871"/>
    <w:rsid w:val="00222B77"/>
    <w:rsid w:val="00222D4A"/>
    <w:rsid w:val="00222D97"/>
    <w:rsid w:val="00222DE1"/>
    <w:rsid w:val="00222DF5"/>
    <w:rsid w:val="002232F1"/>
    <w:rsid w:val="00223509"/>
    <w:rsid w:val="00223633"/>
    <w:rsid w:val="0022389B"/>
    <w:rsid w:val="00223A5B"/>
    <w:rsid w:val="00223D44"/>
    <w:rsid w:val="00223E9D"/>
    <w:rsid w:val="002240C5"/>
    <w:rsid w:val="0022445B"/>
    <w:rsid w:val="002244A6"/>
    <w:rsid w:val="0022463E"/>
    <w:rsid w:val="00224D02"/>
    <w:rsid w:val="00224E76"/>
    <w:rsid w:val="00224FE5"/>
    <w:rsid w:val="00225012"/>
    <w:rsid w:val="002255ED"/>
    <w:rsid w:val="002256E4"/>
    <w:rsid w:val="002259CF"/>
    <w:rsid w:val="00225A3B"/>
    <w:rsid w:val="00225A8C"/>
    <w:rsid w:val="00225AA2"/>
    <w:rsid w:val="00225BA9"/>
    <w:rsid w:val="00225BD8"/>
    <w:rsid w:val="00225CFE"/>
    <w:rsid w:val="00225F34"/>
    <w:rsid w:val="00225F80"/>
    <w:rsid w:val="00226058"/>
    <w:rsid w:val="00226081"/>
    <w:rsid w:val="002263A4"/>
    <w:rsid w:val="002264E2"/>
    <w:rsid w:val="0022665F"/>
    <w:rsid w:val="002267CE"/>
    <w:rsid w:val="002268B5"/>
    <w:rsid w:val="00226999"/>
    <w:rsid w:val="00226A34"/>
    <w:rsid w:val="00226A73"/>
    <w:rsid w:val="00226AF7"/>
    <w:rsid w:val="00226CF3"/>
    <w:rsid w:val="00226DFF"/>
    <w:rsid w:val="0022717C"/>
    <w:rsid w:val="00227576"/>
    <w:rsid w:val="002276A5"/>
    <w:rsid w:val="002277B0"/>
    <w:rsid w:val="00227917"/>
    <w:rsid w:val="0022799E"/>
    <w:rsid w:val="00227A01"/>
    <w:rsid w:val="00227A3F"/>
    <w:rsid w:val="00227B3C"/>
    <w:rsid w:val="00227B4A"/>
    <w:rsid w:val="00227CDE"/>
    <w:rsid w:val="00227F05"/>
    <w:rsid w:val="00227FDC"/>
    <w:rsid w:val="002302D5"/>
    <w:rsid w:val="00230380"/>
    <w:rsid w:val="002304D8"/>
    <w:rsid w:val="002305E8"/>
    <w:rsid w:val="00230817"/>
    <w:rsid w:val="0023081D"/>
    <w:rsid w:val="00230831"/>
    <w:rsid w:val="00230A9B"/>
    <w:rsid w:val="00230B15"/>
    <w:rsid w:val="00230C6C"/>
    <w:rsid w:val="00230DCC"/>
    <w:rsid w:val="00230F31"/>
    <w:rsid w:val="00230FA0"/>
    <w:rsid w:val="00230FE7"/>
    <w:rsid w:val="002310E0"/>
    <w:rsid w:val="002310FE"/>
    <w:rsid w:val="002312FF"/>
    <w:rsid w:val="0023138B"/>
    <w:rsid w:val="00231417"/>
    <w:rsid w:val="00231611"/>
    <w:rsid w:val="0023164B"/>
    <w:rsid w:val="002316D0"/>
    <w:rsid w:val="002317CA"/>
    <w:rsid w:val="002318FC"/>
    <w:rsid w:val="00231960"/>
    <w:rsid w:val="00231C5C"/>
    <w:rsid w:val="00231E84"/>
    <w:rsid w:val="00231F26"/>
    <w:rsid w:val="002320C7"/>
    <w:rsid w:val="00232213"/>
    <w:rsid w:val="002324E3"/>
    <w:rsid w:val="002326C4"/>
    <w:rsid w:val="00232917"/>
    <w:rsid w:val="00232950"/>
    <w:rsid w:val="002329C1"/>
    <w:rsid w:val="002329E5"/>
    <w:rsid w:val="00232BBA"/>
    <w:rsid w:val="00232FEC"/>
    <w:rsid w:val="00233205"/>
    <w:rsid w:val="0023329C"/>
    <w:rsid w:val="00233355"/>
    <w:rsid w:val="00233586"/>
    <w:rsid w:val="00233808"/>
    <w:rsid w:val="00233868"/>
    <w:rsid w:val="002339F3"/>
    <w:rsid w:val="00233BC0"/>
    <w:rsid w:val="00233D01"/>
    <w:rsid w:val="00233D92"/>
    <w:rsid w:val="00233E37"/>
    <w:rsid w:val="00233E7B"/>
    <w:rsid w:val="00233FBB"/>
    <w:rsid w:val="00233FF1"/>
    <w:rsid w:val="0023454B"/>
    <w:rsid w:val="00234926"/>
    <w:rsid w:val="00234A25"/>
    <w:rsid w:val="00234AFB"/>
    <w:rsid w:val="00234B4F"/>
    <w:rsid w:val="00234BF3"/>
    <w:rsid w:val="00234E29"/>
    <w:rsid w:val="0023511A"/>
    <w:rsid w:val="002353C1"/>
    <w:rsid w:val="00235412"/>
    <w:rsid w:val="00235AFE"/>
    <w:rsid w:val="00235BEF"/>
    <w:rsid w:val="00235DB1"/>
    <w:rsid w:val="00235E78"/>
    <w:rsid w:val="00235F4B"/>
    <w:rsid w:val="00236244"/>
    <w:rsid w:val="002362EF"/>
    <w:rsid w:val="00236656"/>
    <w:rsid w:val="0023669A"/>
    <w:rsid w:val="00236AD4"/>
    <w:rsid w:val="00236DC0"/>
    <w:rsid w:val="00236E20"/>
    <w:rsid w:val="00236F4C"/>
    <w:rsid w:val="00237063"/>
    <w:rsid w:val="002373A2"/>
    <w:rsid w:val="00237A0A"/>
    <w:rsid w:val="00237C18"/>
    <w:rsid w:val="00237E2C"/>
    <w:rsid w:val="00237EAC"/>
    <w:rsid w:val="002400B7"/>
    <w:rsid w:val="002400E9"/>
    <w:rsid w:val="002402F3"/>
    <w:rsid w:val="00240461"/>
    <w:rsid w:val="0024057B"/>
    <w:rsid w:val="002407CC"/>
    <w:rsid w:val="002409AF"/>
    <w:rsid w:val="002409E3"/>
    <w:rsid w:val="00240CF7"/>
    <w:rsid w:val="00240E3E"/>
    <w:rsid w:val="00240E42"/>
    <w:rsid w:val="00240EF4"/>
    <w:rsid w:val="002410C2"/>
    <w:rsid w:val="0024113D"/>
    <w:rsid w:val="002411C6"/>
    <w:rsid w:val="00241394"/>
    <w:rsid w:val="00241451"/>
    <w:rsid w:val="00241578"/>
    <w:rsid w:val="002415CE"/>
    <w:rsid w:val="00241D72"/>
    <w:rsid w:val="0024211C"/>
    <w:rsid w:val="002423E0"/>
    <w:rsid w:val="00242487"/>
    <w:rsid w:val="00242517"/>
    <w:rsid w:val="0024260B"/>
    <w:rsid w:val="002426C0"/>
    <w:rsid w:val="00242C9D"/>
    <w:rsid w:val="00242EAE"/>
    <w:rsid w:val="002430F4"/>
    <w:rsid w:val="00243446"/>
    <w:rsid w:val="00243664"/>
    <w:rsid w:val="002437D8"/>
    <w:rsid w:val="002439B0"/>
    <w:rsid w:val="00243BD2"/>
    <w:rsid w:val="00243D51"/>
    <w:rsid w:val="00243D63"/>
    <w:rsid w:val="00243F49"/>
    <w:rsid w:val="0024401F"/>
    <w:rsid w:val="00244050"/>
    <w:rsid w:val="00244085"/>
    <w:rsid w:val="0024466E"/>
    <w:rsid w:val="00244685"/>
    <w:rsid w:val="002447E9"/>
    <w:rsid w:val="002447F6"/>
    <w:rsid w:val="002447FC"/>
    <w:rsid w:val="002448E6"/>
    <w:rsid w:val="00244A56"/>
    <w:rsid w:val="00244EE7"/>
    <w:rsid w:val="00245051"/>
    <w:rsid w:val="0024508D"/>
    <w:rsid w:val="002452CE"/>
    <w:rsid w:val="002453BE"/>
    <w:rsid w:val="002455C3"/>
    <w:rsid w:val="0024569B"/>
    <w:rsid w:val="002456B3"/>
    <w:rsid w:val="00245A11"/>
    <w:rsid w:val="00245A3F"/>
    <w:rsid w:val="00245D71"/>
    <w:rsid w:val="00245FDD"/>
    <w:rsid w:val="00245FE1"/>
    <w:rsid w:val="002463C4"/>
    <w:rsid w:val="00246686"/>
    <w:rsid w:val="002467A0"/>
    <w:rsid w:val="00246967"/>
    <w:rsid w:val="002469F0"/>
    <w:rsid w:val="00246C0C"/>
    <w:rsid w:val="00246CA3"/>
    <w:rsid w:val="00246FBA"/>
    <w:rsid w:val="00247177"/>
    <w:rsid w:val="00247314"/>
    <w:rsid w:val="0024736E"/>
    <w:rsid w:val="00247939"/>
    <w:rsid w:val="0024799C"/>
    <w:rsid w:val="00247B37"/>
    <w:rsid w:val="00247B4D"/>
    <w:rsid w:val="0025007D"/>
    <w:rsid w:val="00250386"/>
    <w:rsid w:val="00250390"/>
    <w:rsid w:val="00250738"/>
    <w:rsid w:val="00250A38"/>
    <w:rsid w:val="00250BFD"/>
    <w:rsid w:val="00250C60"/>
    <w:rsid w:val="0025106D"/>
    <w:rsid w:val="002513AE"/>
    <w:rsid w:val="002516D8"/>
    <w:rsid w:val="00251C17"/>
    <w:rsid w:val="00251CAD"/>
    <w:rsid w:val="00251CFF"/>
    <w:rsid w:val="00251FB0"/>
    <w:rsid w:val="002521E1"/>
    <w:rsid w:val="0025231F"/>
    <w:rsid w:val="002526CF"/>
    <w:rsid w:val="002527A2"/>
    <w:rsid w:val="0025283D"/>
    <w:rsid w:val="00252C3C"/>
    <w:rsid w:val="00252D8B"/>
    <w:rsid w:val="0025309F"/>
    <w:rsid w:val="002530F3"/>
    <w:rsid w:val="00253205"/>
    <w:rsid w:val="0025329B"/>
    <w:rsid w:val="00253468"/>
    <w:rsid w:val="002534E3"/>
    <w:rsid w:val="002534F4"/>
    <w:rsid w:val="002535CE"/>
    <w:rsid w:val="002535F2"/>
    <w:rsid w:val="00253724"/>
    <w:rsid w:val="002537EA"/>
    <w:rsid w:val="002538BC"/>
    <w:rsid w:val="00253DC7"/>
    <w:rsid w:val="00253E17"/>
    <w:rsid w:val="00253EEA"/>
    <w:rsid w:val="00254114"/>
    <w:rsid w:val="00254167"/>
    <w:rsid w:val="00254247"/>
    <w:rsid w:val="002542B2"/>
    <w:rsid w:val="0025447C"/>
    <w:rsid w:val="002544A2"/>
    <w:rsid w:val="002544A3"/>
    <w:rsid w:val="00254681"/>
    <w:rsid w:val="002547ED"/>
    <w:rsid w:val="00254880"/>
    <w:rsid w:val="00254A87"/>
    <w:rsid w:val="00254AD1"/>
    <w:rsid w:val="00254AE1"/>
    <w:rsid w:val="00254B08"/>
    <w:rsid w:val="00254B81"/>
    <w:rsid w:val="00254BB2"/>
    <w:rsid w:val="00254BF2"/>
    <w:rsid w:val="00254CC4"/>
    <w:rsid w:val="00254ED7"/>
    <w:rsid w:val="00254F63"/>
    <w:rsid w:val="002551F3"/>
    <w:rsid w:val="00255399"/>
    <w:rsid w:val="002558EE"/>
    <w:rsid w:val="002559B3"/>
    <w:rsid w:val="00255A84"/>
    <w:rsid w:val="00255B5A"/>
    <w:rsid w:val="00255E02"/>
    <w:rsid w:val="00255F7F"/>
    <w:rsid w:val="002562D2"/>
    <w:rsid w:val="002564D0"/>
    <w:rsid w:val="00256777"/>
    <w:rsid w:val="00256795"/>
    <w:rsid w:val="002567F9"/>
    <w:rsid w:val="0025684E"/>
    <w:rsid w:val="0025698E"/>
    <w:rsid w:val="00256999"/>
    <w:rsid w:val="00256CAD"/>
    <w:rsid w:val="00256EF4"/>
    <w:rsid w:val="0025723E"/>
    <w:rsid w:val="00257289"/>
    <w:rsid w:val="002573AF"/>
    <w:rsid w:val="002574AF"/>
    <w:rsid w:val="002578E2"/>
    <w:rsid w:val="00257927"/>
    <w:rsid w:val="002579E9"/>
    <w:rsid w:val="00257A21"/>
    <w:rsid w:val="00257AAA"/>
    <w:rsid w:val="00257BD0"/>
    <w:rsid w:val="00257C08"/>
    <w:rsid w:val="00257C41"/>
    <w:rsid w:val="00260448"/>
    <w:rsid w:val="002605A9"/>
    <w:rsid w:val="002608BA"/>
    <w:rsid w:val="00260AAD"/>
    <w:rsid w:val="00260BA6"/>
    <w:rsid w:val="00260C35"/>
    <w:rsid w:val="00260CA5"/>
    <w:rsid w:val="00260CCB"/>
    <w:rsid w:val="00260D9A"/>
    <w:rsid w:val="00260DD6"/>
    <w:rsid w:val="00260E48"/>
    <w:rsid w:val="00261005"/>
    <w:rsid w:val="0026114B"/>
    <w:rsid w:val="0026115B"/>
    <w:rsid w:val="0026123A"/>
    <w:rsid w:val="00261391"/>
    <w:rsid w:val="00261477"/>
    <w:rsid w:val="0026169D"/>
    <w:rsid w:val="0026179B"/>
    <w:rsid w:val="00261972"/>
    <w:rsid w:val="00261CC2"/>
    <w:rsid w:val="00261CF1"/>
    <w:rsid w:val="00261DA5"/>
    <w:rsid w:val="00261DC3"/>
    <w:rsid w:val="00262869"/>
    <w:rsid w:val="002628F6"/>
    <w:rsid w:val="00262CA2"/>
    <w:rsid w:val="00262DCF"/>
    <w:rsid w:val="00262E8F"/>
    <w:rsid w:val="00262EBA"/>
    <w:rsid w:val="002634EA"/>
    <w:rsid w:val="0026354A"/>
    <w:rsid w:val="00263558"/>
    <w:rsid w:val="002636CF"/>
    <w:rsid w:val="0026371F"/>
    <w:rsid w:val="002637CF"/>
    <w:rsid w:val="00263AD7"/>
    <w:rsid w:val="00263AF8"/>
    <w:rsid w:val="00263CBE"/>
    <w:rsid w:val="00263CD1"/>
    <w:rsid w:val="00263D55"/>
    <w:rsid w:val="00263EA6"/>
    <w:rsid w:val="00264303"/>
    <w:rsid w:val="002645C7"/>
    <w:rsid w:val="002646FE"/>
    <w:rsid w:val="00264795"/>
    <w:rsid w:val="002648EE"/>
    <w:rsid w:val="00264B3D"/>
    <w:rsid w:val="00264BFD"/>
    <w:rsid w:val="00264C18"/>
    <w:rsid w:val="00264C1F"/>
    <w:rsid w:val="00264C66"/>
    <w:rsid w:val="00264FD6"/>
    <w:rsid w:val="00265192"/>
    <w:rsid w:val="002656C7"/>
    <w:rsid w:val="00265AA3"/>
    <w:rsid w:val="00265AC3"/>
    <w:rsid w:val="00265BFC"/>
    <w:rsid w:val="00265CEF"/>
    <w:rsid w:val="00265D02"/>
    <w:rsid w:val="00265D3C"/>
    <w:rsid w:val="00266139"/>
    <w:rsid w:val="002664F2"/>
    <w:rsid w:val="00266730"/>
    <w:rsid w:val="00266926"/>
    <w:rsid w:val="00266D07"/>
    <w:rsid w:val="00266D29"/>
    <w:rsid w:val="00266DE4"/>
    <w:rsid w:val="00266E9A"/>
    <w:rsid w:val="00266ED2"/>
    <w:rsid w:val="00266FBD"/>
    <w:rsid w:val="002671A2"/>
    <w:rsid w:val="0026722A"/>
    <w:rsid w:val="00267496"/>
    <w:rsid w:val="0026794B"/>
    <w:rsid w:val="00267A28"/>
    <w:rsid w:val="00267A7C"/>
    <w:rsid w:val="00267B57"/>
    <w:rsid w:val="00267ED9"/>
    <w:rsid w:val="00267F66"/>
    <w:rsid w:val="00270169"/>
    <w:rsid w:val="0027028E"/>
    <w:rsid w:val="002702BC"/>
    <w:rsid w:val="002702D2"/>
    <w:rsid w:val="00270370"/>
    <w:rsid w:val="002708A2"/>
    <w:rsid w:val="00270941"/>
    <w:rsid w:val="00270996"/>
    <w:rsid w:val="00270E19"/>
    <w:rsid w:val="00270F56"/>
    <w:rsid w:val="00270FE1"/>
    <w:rsid w:val="002713E2"/>
    <w:rsid w:val="00271408"/>
    <w:rsid w:val="002715BF"/>
    <w:rsid w:val="00271610"/>
    <w:rsid w:val="0027170E"/>
    <w:rsid w:val="00271B4D"/>
    <w:rsid w:val="00271BE4"/>
    <w:rsid w:val="00271CE8"/>
    <w:rsid w:val="00271FEF"/>
    <w:rsid w:val="002720DA"/>
    <w:rsid w:val="00272164"/>
    <w:rsid w:val="00272499"/>
    <w:rsid w:val="002724AD"/>
    <w:rsid w:val="00272614"/>
    <w:rsid w:val="00272623"/>
    <w:rsid w:val="0027265C"/>
    <w:rsid w:val="0027279D"/>
    <w:rsid w:val="00272960"/>
    <w:rsid w:val="00272A65"/>
    <w:rsid w:val="00272AA3"/>
    <w:rsid w:val="00272BCC"/>
    <w:rsid w:val="00272C8D"/>
    <w:rsid w:val="00272DBE"/>
    <w:rsid w:val="00272DDF"/>
    <w:rsid w:val="0027304A"/>
    <w:rsid w:val="0027304D"/>
    <w:rsid w:val="00273102"/>
    <w:rsid w:val="0027342A"/>
    <w:rsid w:val="0027349A"/>
    <w:rsid w:val="002736D5"/>
    <w:rsid w:val="00273B7E"/>
    <w:rsid w:val="00273CB2"/>
    <w:rsid w:val="00273D36"/>
    <w:rsid w:val="002741DA"/>
    <w:rsid w:val="00274239"/>
    <w:rsid w:val="00274261"/>
    <w:rsid w:val="002742FE"/>
    <w:rsid w:val="00274592"/>
    <w:rsid w:val="002746AB"/>
    <w:rsid w:val="002749FD"/>
    <w:rsid w:val="00274BFC"/>
    <w:rsid w:val="00274C4D"/>
    <w:rsid w:val="00274EFA"/>
    <w:rsid w:val="00275025"/>
    <w:rsid w:val="002756EA"/>
    <w:rsid w:val="0027590D"/>
    <w:rsid w:val="0027596A"/>
    <w:rsid w:val="002759C0"/>
    <w:rsid w:val="00275B68"/>
    <w:rsid w:val="00275C43"/>
    <w:rsid w:val="00275D7A"/>
    <w:rsid w:val="00275F9E"/>
    <w:rsid w:val="00276154"/>
    <w:rsid w:val="002761BD"/>
    <w:rsid w:val="002761F1"/>
    <w:rsid w:val="00276416"/>
    <w:rsid w:val="0027652E"/>
    <w:rsid w:val="00276633"/>
    <w:rsid w:val="00276884"/>
    <w:rsid w:val="0027692A"/>
    <w:rsid w:val="00276F96"/>
    <w:rsid w:val="00277217"/>
    <w:rsid w:val="002772AF"/>
    <w:rsid w:val="002776BF"/>
    <w:rsid w:val="0027780B"/>
    <w:rsid w:val="00277A86"/>
    <w:rsid w:val="00277B7E"/>
    <w:rsid w:val="00277BB8"/>
    <w:rsid w:val="00277EC0"/>
    <w:rsid w:val="00277EDE"/>
    <w:rsid w:val="002800C9"/>
    <w:rsid w:val="0028027B"/>
    <w:rsid w:val="0028035B"/>
    <w:rsid w:val="0028061E"/>
    <w:rsid w:val="002807C5"/>
    <w:rsid w:val="0028083A"/>
    <w:rsid w:val="00280A8B"/>
    <w:rsid w:val="00280B6C"/>
    <w:rsid w:val="00280CBA"/>
    <w:rsid w:val="00280D5B"/>
    <w:rsid w:val="00280EA4"/>
    <w:rsid w:val="00281007"/>
    <w:rsid w:val="00281027"/>
    <w:rsid w:val="002810CD"/>
    <w:rsid w:val="002811B7"/>
    <w:rsid w:val="002812DC"/>
    <w:rsid w:val="00281364"/>
    <w:rsid w:val="00281819"/>
    <w:rsid w:val="00281B55"/>
    <w:rsid w:val="00281B82"/>
    <w:rsid w:val="00281C89"/>
    <w:rsid w:val="00281C98"/>
    <w:rsid w:val="00281DA0"/>
    <w:rsid w:val="00281EC0"/>
    <w:rsid w:val="002822C7"/>
    <w:rsid w:val="00282350"/>
    <w:rsid w:val="00282372"/>
    <w:rsid w:val="00282434"/>
    <w:rsid w:val="0028258B"/>
    <w:rsid w:val="002827F9"/>
    <w:rsid w:val="00282959"/>
    <w:rsid w:val="002829E2"/>
    <w:rsid w:val="00282A47"/>
    <w:rsid w:val="00282AB7"/>
    <w:rsid w:val="00282BAE"/>
    <w:rsid w:val="00282D05"/>
    <w:rsid w:val="00282DAC"/>
    <w:rsid w:val="00282DD9"/>
    <w:rsid w:val="00282EE5"/>
    <w:rsid w:val="002834C9"/>
    <w:rsid w:val="0028357B"/>
    <w:rsid w:val="0028357D"/>
    <w:rsid w:val="002835A6"/>
    <w:rsid w:val="002837C2"/>
    <w:rsid w:val="0028399A"/>
    <w:rsid w:val="002839FB"/>
    <w:rsid w:val="00283B48"/>
    <w:rsid w:val="00283BB4"/>
    <w:rsid w:val="00283D4E"/>
    <w:rsid w:val="00283D5A"/>
    <w:rsid w:val="00284036"/>
    <w:rsid w:val="00284162"/>
    <w:rsid w:val="002844AC"/>
    <w:rsid w:val="002845EA"/>
    <w:rsid w:val="002848C8"/>
    <w:rsid w:val="00284B22"/>
    <w:rsid w:val="0028523A"/>
    <w:rsid w:val="00285309"/>
    <w:rsid w:val="00285482"/>
    <w:rsid w:val="0028551B"/>
    <w:rsid w:val="002855D9"/>
    <w:rsid w:val="00285A8C"/>
    <w:rsid w:val="00285CDA"/>
    <w:rsid w:val="00285DF6"/>
    <w:rsid w:val="00285F0C"/>
    <w:rsid w:val="00285F61"/>
    <w:rsid w:val="00286154"/>
    <w:rsid w:val="00286229"/>
    <w:rsid w:val="0028670B"/>
    <w:rsid w:val="00286734"/>
    <w:rsid w:val="00286894"/>
    <w:rsid w:val="002868A2"/>
    <w:rsid w:val="002868DD"/>
    <w:rsid w:val="00286B19"/>
    <w:rsid w:val="00286B1C"/>
    <w:rsid w:val="00286CC7"/>
    <w:rsid w:val="00286DCB"/>
    <w:rsid w:val="00286EA6"/>
    <w:rsid w:val="00286EBE"/>
    <w:rsid w:val="00286FB0"/>
    <w:rsid w:val="00286FE5"/>
    <w:rsid w:val="0028718B"/>
    <w:rsid w:val="0028767A"/>
    <w:rsid w:val="0028768B"/>
    <w:rsid w:val="00287699"/>
    <w:rsid w:val="0028783E"/>
    <w:rsid w:val="00287C90"/>
    <w:rsid w:val="00287E7E"/>
    <w:rsid w:val="0029004E"/>
    <w:rsid w:val="0029008E"/>
    <w:rsid w:val="00290121"/>
    <w:rsid w:val="00290588"/>
    <w:rsid w:val="002907BC"/>
    <w:rsid w:val="00290B3C"/>
    <w:rsid w:val="00290D74"/>
    <w:rsid w:val="00290F8B"/>
    <w:rsid w:val="0029134D"/>
    <w:rsid w:val="00291779"/>
    <w:rsid w:val="002919DB"/>
    <w:rsid w:val="00291F30"/>
    <w:rsid w:val="0029208F"/>
    <w:rsid w:val="002920C7"/>
    <w:rsid w:val="0029221C"/>
    <w:rsid w:val="00292228"/>
    <w:rsid w:val="0029236F"/>
    <w:rsid w:val="002927E5"/>
    <w:rsid w:val="002929D8"/>
    <w:rsid w:val="00292A8B"/>
    <w:rsid w:val="00292ABA"/>
    <w:rsid w:val="00292B9F"/>
    <w:rsid w:val="00292C19"/>
    <w:rsid w:val="00292C80"/>
    <w:rsid w:val="00292F70"/>
    <w:rsid w:val="00293109"/>
    <w:rsid w:val="002932E4"/>
    <w:rsid w:val="0029389A"/>
    <w:rsid w:val="002938EF"/>
    <w:rsid w:val="0029396F"/>
    <w:rsid w:val="00293B3F"/>
    <w:rsid w:val="00293C63"/>
    <w:rsid w:val="00293D35"/>
    <w:rsid w:val="00293E47"/>
    <w:rsid w:val="00293F12"/>
    <w:rsid w:val="00293F3D"/>
    <w:rsid w:val="00294251"/>
    <w:rsid w:val="0029461B"/>
    <w:rsid w:val="0029467A"/>
    <w:rsid w:val="00294744"/>
    <w:rsid w:val="002948F5"/>
    <w:rsid w:val="002949F2"/>
    <w:rsid w:val="00294A58"/>
    <w:rsid w:val="00294B49"/>
    <w:rsid w:val="00294D2F"/>
    <w:rsid w:val="00295008"/>
    <w:rsid w:val="002950DE"/>
    <w:rsid w:val="00295179"/>
    <w:rsid w:val="00295274"/>
    <w:rsid w:val="00295455"/>
    <w:rsid w:val="0029554D"/>
    <w:rsid w:val="00295607"/>
    <w:rsid w:val="002957EA"/>
    <w:rsid w:val="002958B1"/>
    <w:rsid w:val="002958DE"/>
    <w:rsid w:val="002959C5"/>
    <w:rsid w:val="00295B6E"/>
    <w:rsid w:val="00295B70"/>
    <w:rsid w:val="00295EEF"/>
    <w:rsid w:val="0029605E"/>
    <w:rsid w:val="002963DD"/>
    <w:rsid w:val="0029648D"/>
    <w:rsid w:val="002964A0"/>
    <w:rsid w:val="0029682F"/>
    <w:rsid w:val="00296F47"/>
    <w:rsid w:val="00297289"/>
    <w:rsid w:val="00297295"/>
    <w:rsid w:val="0029733E"/>
    <w:rsid w:val="00297349"/>
    <w:rsid w:val="00297514"/>
    <w:rsid w:val="0029773D"/>
    <w:rsid w:val="0029799C"/>
    <w:rsid w:val="00297ACE"/>
    <w:rsid w:val="00297ECD"/>
    <w:rsid w:val="002A043E"/>
    <w:rsid w:val="002A04E2"/>
    <w:rsid w:val="002A0545"/>
    <w:rsid w:val="002A0662"/>
    <w:rsid w:val="002A06E7"/>
    <w:rsid w:val="002A0B80"/>
    <w:rsid w:val="002A0CF5"/>
    <w:rsid w:val="002A0E02"/>
    <w:rsid w:val="002A0E79"/>
    <w:rsid w:val="002A0E94"/>
    <w:rsid w:val="002A115B"/>
    <w:rsid w:val="002A1170"/>
    <w:rsid w:val="002A1231"/>
    <w:rsid w:val="002A1263"/>
    <w:rsid w:val="002A134F"/>
    <w:rsid w:val="002A18FE"/>
    <w:rsid w:val="002A19F7"/>
    <w:rsid w:val="002A1A81"/>
    <w:rsid w:val="002A1AAE"/>
    <w:rsid w:val="002A1BE2"/>
    <w:rsid w:val="002A1CA0"/>
    <w:rsid w:val="002A1CF8"/>
    <w:rsid w:val="002A1D5D"/>
    <w:rsid w:val="002A1EDD"/>
    <w:rsid w:val="002A1FB9"/>
    <w:rsid w:val="002A2364"/>
    <w:rsid w:val="002A24B0"/>
    <w:rsid w:val="002A257C"/>
    <w:rsid w:val="002A26F3"/>
    <w:rsid w:val="002A283D"/>
    <w:rsid w:val="002A2A08"/>
    <w:rsid w:val="002A2B37"/>
    <w:rsid w:val="002A2BB1"/>
    <w:rsid w:val="002A2BC4"/>
    <w:rsid w:val="002A2D62"/>
    <w:rsid w:val="002A2D93"/>
    <w:rsid w:val="002A2F81"/>
    <w:rsid w:val="002A308A"/>
    <w:rsid w:val="002A31FA"/>
    <w:rsid w:val="002A32BE"/>
    <w:rsid w:val="002A3351"/>
    <w:rsid w:val="002A339E"/>
    <w:rsid w:val="002A33FC"/>
    <w:rsid w:val="002A3418"/>
    <w:rsid w:val="002A35A5"/>
    <w:rsid w:val="002A3880"/>
    <w:rsid w:val="002A39C6"/>
    <w:rsid w:val="002A39D5"/>
    <w:rsid w:val="002A3FF6"/>
    <w:rsid w:val="002A4113"/>
    <w:rsid w:val="002A4266"/>
    <w:rsid w:val="002A449A"/>
    <w:rsid w:val="002A44A0"/>
    <w:rsid w:val="002A454A"/>
    <w:rsid w:val="002A45B1"/>
    <w:rsid w:val="002A46C8"/>
    <w:rsid w:val="002A46F2"/>
    <w:rsid w:val="002A47DF"/>
    <w:rsid w:val="002A496E"/>
    <w:rsid w:val="002A4AE6"/>
    <w:rsid w:val="002A4C25"/>
    <w:rsid w:val="002A4D23"/>
    <w:rsid w:val="002A4E42"/>
    <w:rsid w:val="002A52EB"/>
    <w:rsid w:val="002A5379"/>
    <w:rsid w:val="002A556F"/>
    <w:rsid w:val="002A598E"/>
    <w:rsid w:val="002A5A2C"/>
    <w:rsid w:val="002A5C92"/>
    <w:rsid w:val="002A5DDE"/>
    <w:rsid w:val="002A61A5"/>
    <w:rsid w:val="002A61B1"/>
    <w:rsid w:val="002A648D"/>
    <w:rsid w:val="002A66BE"/>
    <w:rsid w:val="002A6700"/>
    <w:rsid w:val="002A6B98"/>
    <w:rsid w:val="002A6C63"/>
    <w:rsid w:val="002A6E08"/>
    <w:rsid w:val="002A7056"/>
    <w:rsid w:val="002A7199"/>
    <w:rsid w:val="002A7418"/>
    <w:rsid w:val="002A7682"/>
    <w:rsid w:val="002A77A0"/>
    <w:rsid w:val="002A77C3"/>
    <w:rsid w:val="002A79D9"/>
    <w:rsid w:val="002A7BAF"/>
    <w:rsid w:val="002A7BBD"/>
    <w:rsid w:val="002A7DD8"/>
    <w:rsid w:val="002A7FB9"/>
    <w:rsid w:val="002B05A8"/>
    <w:rsid w:val="002B0D6E"/>
    <w:rsid w:val="002B0E61"/>
    <w:rsid w:val="002B0F38"/>
    <w:rsid w:val="002B10B0"/>
    <w:rsid w:val="002B10B8"/>
    <w:rsid w:val="002B11C0"/>
    <w:rsid w:val="002B1225"/>
    <w:rsid w:val="002B12AB"/>
    <w:rsid w:val="002B1437"/>
    <w:rsid w:val="002B14DB"/>
    <w:rsid w:val="002B169C"/>
    <w:rsid w:val="002B1838"/>
    <w:rsid w:val="002B1AA1"/>
    <w:rsid w:val="002B1EE4"/>
    <w:rsid w:val="002B1F89"/>
    <w:rsid w:val="002B21BB"/>
    <w:rsid w:val="002B2260"/>
    <w:rsid w:val="002B22F5"/>
    <w:rsid w:val="002B274C"/>
    <w:rsid w:val="002B2868"/>
    <w:rsid w:val="002B2E9F"/>
    <w:rsid w:val="002B2EB7"/>
    <w:rsid w:val="002B2F77"/>
    <w:rsid w:val="002B3355"/>
    <w:rsid w:val="002B3462"/>
    <w:rsid w:val="002B3529"/>
    <w:rsid w:val="002B3596"/>
    <w:rsid w:val="002B37C2"/>
    <w:rsid w:val="002B381F"/>
    <w:rsid w:val="002B3CFC"/>
    <w:rsid w:val="002B40E4"/>
    <w:rsid w:val="002B4363"/>
    <w:rsid w:val="002B43B3"/>
    <w:rsid w:val="002B45DB"/>
    <w:rsid w:val="002B4B06"/>
    <w:rsid w:val="002B4C45"/>
    <w:rsid w:val="002B4D60"/>
    <w:rsid w:val="002B4EB4"/>
    <w:rsid w:val="002B4FAD"/>
    <w:rsid w:val="002B505F"/>
    <w:rsid w:val="002B524F"/>
    <w:rsid w:val="002B5295"/>
    <w:rsid w:val="002B538D"/>
    <w:rsid w:val="002B581E"/>
    <w:rsid w:val="002B5841"/>
    <w:rsid w:val="002B5A1C"/>
    <w:rsid w:val="002B5B61"/>
    <w:rsid w:val="002B5B70"/>
    <w:rsid w:val="002B5CA1"/>
    <w:rsid w:val="002B5E8E"/>
    <w:rsid w:val="002B5F5F"/>
    <w:rsid w:val="002B6031"/>
    <w:rsid w:val="002B65B8"/>
    <w:rsid w:val="002B65C0"/>
    <w:rsid w:val="002B65DA"/>
    <w:rsid w:val="002B6622"/>
    <w:rsid w:val="002B6699"/>
    <w:rsid w:val="002B6716"/>
    <w:rsid w:val="002B673E"/>
    <w:rsid w:val="002B6EFD"/>
    <w:rsid w:val="002B6F33"/>
    <w:rsid w:val="002B7445"/>
    <w:rsid w:val="002B76FE"/>
    <w:rsid w:val="002B79F0"/>
    <w:rsid w:val="002B7B60"/>
    <w:rsid w:val="002B7B8A"/>
    <w:rsid w:val="002B7BDD"/>
    <w:rsid w:val="002B7C7A"/>
    <w:rsid w:val="002B7C96"/>
    <w:rsid w:val="002B7E9E"/>
    <w:rsid w:val="002B7EDF"/>
    <w:rsid w:val="002B7F3E"/>
    <w:rsid w:val="002B7FE6"/>
    <w:rsid w:val="002C005A"/>
    <w:rsid w:val="002C00F5"/>
    <w:rsid w:val="002C0166"/>
    <w:rsid w:val="002C054F"/>
    <w:rsid w:val="002C059A"/>
    <w:rsid w:val="002C05D9"/>
    <w:rsid w:val="002C06B5"/>
    <w:rsid w:val="002C0719"/>
    <w:rsid w:val="002C08D4"/>
    <w:rsid w:val="002C0BC2"/>
    <w:rsid w:val="002C0C96"/>
    <w:rsid w:val="002C0CCC"/>
    <w:rsid w:val="002C0CD7"/>
    <w:rsid w:val="002C0D7B"/>
    <w:rsid w:val="002C0D99"/>
    <w:rsid w:val="002C11BC"/>
    <w:rsid w:val="002C11D6"/>
    <w:rsid w:val="002C12F4"/>
    <w:rsid w:val="002C1358"/>
    <w:rsid w:val="002C1392"/>
    <w:rsid w:val="002C143E"/>
    <w:rsid w:val="002C1443"/>
    <w:rsid w:val="002C1AD3"/>
    <w:rsid w:val="002C1CBF"/>
    <w:rsid w:val="002C1CCB"/>
    <w:rsid w:val="002C1D9C"/>
    <w:rsid w:val="002C1EFA"/>
    <w:rsid w:val="002C20EC"/>
    <w:rsid w:val="002C2113"/>
    <w:rsid w:val="002C22C5"/>
    <w:rsid w:val="002C2421"/>
    <w:rsid w:val="002C2806"/>
    <w:rsid w:val="002C2831"/>
    <w:rsid w:val="002C2A46"/>
    <w:rsid w:val="002C2A76"/>
    <w:rsid w:val="002C2BD3"/>
    <w:rsid w:val="002C2BEB"/>
    <w:rsid w:val="002C2BF4"/>
    <w:rsid w:val="002C2D65"/>
    <w:rsid w:val="002C30A4"/>
    <w:rsid w:val="002C30D3"/>
    <w:rsid w:val="002C3183"/>
    <w:rsid w:val="002C333E"/>
    <w:rsid w:val="002C3360"/>
    <w:rsid w:val="002C3381"/>
    <w:rsid w:val="002C34B2"/>
    <w:rsid w:val="002C366F"/>
    <w:rsid w:val="002C3894"/>
    <w:rsid w:val="002C3A8A"/>
    <w:rsid w:val="002C3AC3"/>
    <w:rsid w:val="002C3B04"/>
    <w:rsid w:val="002C3B0D"/>
    <w:rsid w:val="002C3D9B"/>
    <w:rsid w:val="002C3E6A"/>
    <w:rsid w:val="002C40EF"/>
    <w:rsid w:val="002C439F"/>
    <w:rsid w:val="002C4467"/>
    <w:rsid w:val="002C46E5"/>
    <w:rsid w:val="002C488D"/>
    <w:rsid w:val="002C4A81"/>
    <w:rsid w:val="002C4B78"/>
    <w:rsid w:val="002C4B93"/>
    <w:rsid w:val="002C4C27"/>
    <w:rsid w:val="002C4CA9"/>
    <w:rsid w:val="002C4CB2"/>
    <w:rsid w:val="002C4D71"/>
    <w:rsid w:val="002C5122"/>
    <w:rsid w:val="002C5453"/>
    <w:rsid w:val="002C57BD"/>
    <w:rsid w:val="002C5961"/>
    <w:rsid w:val="002C5A5C"/>
    <w:rsid w:val="002C5BFE"/>
    <w:rsid w:val="002C5D5C"/>
    <w:rsid w:val="002C5F0D"/>
    <w:rsid w:val="002C6477"/>
    <w:rsid w:val="002C64F8"/>
    <w:rsid w:val="002C6582"/>
    <w:rsid w:val="002C65F5"/>
    <w:rsid w:val="002C6686"/>
    <w:rsid w:val="002C67CB"/>
    <w:rsid w:val="002C68E5"/>
    <w:rsid w:val="002C7016"/>
    <w:rsid w:val="002C70A3"/>
    <w:rsid w:val="002C7173"/>
    <w:rsid w:val="002C7301"/>
    <w:rsid w:val="002C74B0"/>
    <w:rsid w:val="002C7583"/>
    <w:rsid w:val="002C75E6"/>
    <w:rsid w:val="002C7A01"/>
    <w:rsid w:val="002C7A53"/>
    <w:rsid w:val="002C7C0A"/>
    <w:rsid w:val="002C7C9C"/>
    <w:rsid w:val="002C7EFB"/>
    <w:rsid w:val="002C7FF4"/>
    <w:rsid w:val="002D001C"/>
    <w:rsid w:val="002D021B"/>
    <w:rsid w:val="002D04C5"/>
    <w:rsid w:val="002D059D"/>
    <w:rsid w:val="002D0727"/>
    <w:rsid w:val="002D07AC"/>
    <w:rsid w:val="002D0ACC"/>
    <w:rsid w:val="002D0F4E"/>
    <w:rsid w:val="002D100C"/>
    <w:rsid w:val="002D106D"/>
    <w:rsid w:val="002D1288"/>
    <w:rsid w:val="002D1432"/>
    <w:rsid w:val="002D14E8"/>
    <w:rsid w:val="002D1768"/>
    <w:rsid w:val="002D1B36"/>
    <w:rsid w:val="002D1B96"/>
    <w:rsid w:val="002D1CCB"/>
    <w:rsid w:val="002D1F27"/>
    <w:rsid w:val="002D2001"/>
    <w:rsid w:val="002D2270"/>
    <w:rsid w:val="002D2523"/>
    <w:rsid w:val="002D2B59"/>
    <w:rsid w:val="002D2E4C"/>
    <w:rsid w:val="002D2EC4"/>
    <w:rsid w:val="002D2FBC"/>
    <w:rsid w:val="002D3007"/>
    <w:rsid w:val="002D319A"/>
    <w:rsid w:val="002D32AF"/>
    <w:rsid w:val="002D32B8"/>
    <w:rsid w:val="002D32DA"/>
    <w:rsid w:val="002D3306"/>
    <w:rsid w:val="002D3568"/>
    <w:rsid w:val="002D370D"/>
    <w:rsid w:val="002D37C1"/>
    <w:rsid w:val="002D3848"/>
    <w:rsid w:val="002D3921"/>
    <w:rsid w:val="002D3944"/>
    <w:rsid w:val="002D3E61"/>
    <w:rsid w:val="002D4074"/>
    <w:rsid w:val="002D42F1"/>
    <w:rsid w:val="002D4487"/>
    <w:rsid w:val="002D4830"/>
    <w:rsid w:val="002D4A0A"/>
    <w:rsid w:val="002D4A13"/>
    <w:rsid w:val="002D4A43"/>
    <w:rsid w:val="002D4E01"/>
    <w:rsid w:val="002D4EF4"/>
    <w:rsid w:val="002D5041"/>
    <w:rsid w:val="002D50CA"/>
    <w:rsid w:val="002D5136"/>
    <w:rsid w:val="002D5285"/>
    <w:rsid w:val="002D52BF"/>
    <w:rsid w:val="002D5908"/>
    <w:rsid w:val="002D59B2"/>
    <w:rsid w:val="002D5BA1"/>
    <w:rsid w:val="002D5C75"/>
    <w:rsid w:val="002D601A"/>
    <w:rsid w:val="002D607F"/>
    <w:rsid w:val="002D60C9"/>
    <w:rsid w:val="002D6151"/>
    <w:rsid w:val="002D65B4"/>
    <w:rsid w:val="002D68CE"/>
    <w:rsid w:val="002D6D06"/>
    <w:rsid w:val="002D6DCC"/>
    <w:rsid w:val="002D6EFA"/>
    <w:rsid w:val="002D7072"/>
    <w:rsid w:val="002D72F7"/>
    <w:rsid w:val="002D73C8"/>
    <w:rsid w:val="002D7517"/>
    <w:rsid w:val="002D7631"/>
    <w:rsid w:val="002D7A8E"/>
    <w:rsid w:val="002D7AC4"/>
    <w:rsid w:val="002D7C11"/>
    <w:rsid w:val="002D7EC5"/>
    <w:rsid w:val="002E01CB"/>
    <w:rsid w:val="002E0315"/>
    <w:rsid w:val="002E0403"/>
    <w:rsid w:val="002E051B"/>
    <w:rsid w:val="002E07AE"/>
    <w:rsid w:val="002E08F8"/>
    <w:rsid w:val="002E0903"/>
    <w:rsid w:val="002E0A22"/>
    <w:rsid w:val="002E0C71"/>
    <w:rsid w:val="002E0C9E"/>
    <w:rsid w:val="002E0D26"/>
    <w:rsid w:val="002E0D8B"/>
    <w:rsid w:val="002E0F0F"/>
    <w:rsid w:val="002E10FA"/>
    <w:rsid w:val="002E11C6"/>
    <w:rsid w:val="002E1279"/>
    <w:rsid w:val="002E15C1"/>
    <w:rsid w:val="002E1658"/>
    <w:rsid w:val="002E18F9"/>
    <w:rsid w:val="002E207F"/>
    <w:rsid w:val="002E2149"/>
    <w:rsid w:val="002E21D1"/>
    <w:rsid w:val="002E229D"/>
    <w:rsid w:val="002E24F9"/>
    <w:rsid w:val="002E255A"/>
    <w:rsid w:val="002E25A8"/>
    <w:rsid w:val="002E2611"/>
    <w:rsid w:val="002E279A"/>
    <w:rsid w:val="002E27AA"/>
    <w:rsid w:val="002E2A33"/>
    <w:rsid w:val="002E2BE7"/>
    <w:rsid w:val="002E2C03"/>
    <w:rsid w:val="002E2C2C"/>
    <w:rsid w:val="002E323E"/>
    <w:rsid w:val="002E3397"/>
    <w:rsid w:val="002E3461"/>
    <w:rsid w:val="002E34CF"/>
    <w:rsid w:val="002E3784"/>
    <w:rsid w:val="002E3832"/>
    <w:rsid w:val="002E38FC"/>
    <w:rsid w:val="002E399E"/>
    <w:rsid w:val="002E3A84"/>
    <w:rsid w:val="002E3B08"/>
    <w:rsid w:val="002E3B49"/>
    <w:rsid w:val="002E3B53"/>
    <w:rsid w:val="002E3CE5"/>
    <w:rsid w:val="002E3DC8"/>
    <w:rsid w:val="002E3E2B"/>
    <w:rsid w:val="002E4118"/>
    <w:rsid w:val="002E41F3"/>
    <w:rsid w:val="002E425C"/>
    <w:rsid w:val="002E42D7"/>
    <w:rsid w:val="002E44E9"/>
    <w:rsid w:val="002E4505"/>
    <w:rsid w:val="002E4519"/>
    <w:rsid w:val="002E4BFC"/>
    <w:rsid w:val="002E4F5A"/>
    <w:rsid w:val="002E5038"/>
    <w:rsid w:val="002E51EE"/>
    <w:rsid w:val="002E533C"/>
    <w:rsid w:val="002E550B"/>
    <w:rsid w:val="002E557C"/>
    <w:rsid w:val="002E55A5"/>
    <w:rsid w:val="002E57F4"/>
    <w:rsid w:val="002E5AE3"/>
    <w:rsid w:val="002E5BB9"/>
    <w:rsid w:val="002E5C85"/>
    <w:rsid w:val="002E5E68"/>
    <w:rsid w:val="002E6036"/>
    <w:rsid w:val="002E60A1"/>
    <w:rsid w:val="002E60FD"/>
    <w:rsid w:val="002E6116"/>
    <w:rsid w:val="002E67E6"/>
    <w:rsid w:val="002E69B3"/>
    <w:rsid w:val="002E6CCA"/>
    <w:rsid w:val="002E6DBB"/>
    <w:rsid w:val="002E6E3C"/>
    <w:rsid w:val="002E6E7C"/>
    <w:rsid w:val="002E6F72"/>
    <w:rsid w:val="002E7221"/>
    <w:rsid w:val="002E7B0D"/>
    <w:rsid w:val="002E7E4B"/>
    <w:rsid w:val="002F01EF"/>
    <w:rsid w:val="002F0308"/>
    <w:rsid w:val="002F0467"/>
    <w:rsid w:val="002F04DE"/>
    <w:rsid w:val="002F073A"/>
    <w:rsid w:val="002F075A"/>
    <w:rsid w:val="002F089E"/>
    <w:rsid w:val="002F092E"/>
    <w:rsid w:val="002F0A2B"/>
    <w:rsid w:val="002F0B18"/>
    <w:rsid w:val="002F0B9F"/>
    <w:rsid w:val="002F0D1B"/>
    <w:rsid w:val="002F0EB3"/>
    <w:rsid w:val="002F0F24"/>
    <w:rsid w:val="002F0F46"/>
    <w:rsid w:val="002F0F64"/>
    <w:rsid w:val="002F121E"/>
    <w:rsid w:val="002F1307"/>
    <w:rsid w:val="002F14D0"/>
    <w:rsid w:val="002F1524"/>
    <w:rsid w:val="002F190D"/>
    <w:rsid w:val="002F196B"/>
    <w:rsid w:val="002F1A3E"/>
    <w:rsid w:val="002F1C3A"/>
    <w:rsid w:val="002F1C5C"/>
    <w:rsid w:val="002F1CD3"/>
    <w:rsid w:val="002F1D51"/>
    <w:rsid w:val="002F1E10"/>
    <w:rsid w:val="002F1E43"/>
    <w:rsid w:val="002F1EA4"/>
    <w:rsid w:val="002F2309"/>
    <w:rsid w:val="002F24B0"/>
    <w:rsid w:val="002F279C"/>
    <w:rsid w:val="002F27E6"/>
    <w:rsid w:val="002F2808"/>
    <w:rsid w:val="002F283F"/>
    <w:rsid w:val="002F2BB2"/>
    <w:rsid w:val="002F3199"/>
    <w:rsid w:val="002F332E"/>
    <w:rsid w:val="002F3A51"/>
    <w:rsid w:val="002F3A93"/>
    <w:rsid w:val="002F3AFA"/>
    <w:rsid w:val="002F3C33"/>
    <w:rsid w:val="002F3F34"/>
    <w:rsid w:val="002F41A4"/>
    <w:rsid w:val="002F4355"/>
    <w:rsid w:val="002F435E"/>
    <w:rsid w:val="002F4417"/>
    <w:rsid w:val="002F4444"/>
    <w:rsid w:val="002F45A3"/>
    <w:rsid w:val="002F4777"/>
    <w:rsid w:val="002F4883"/>
    <w:rsid w:val="002F48E3"/>
    <w:rsid w:val="002F4B24"/>
    <w:rsid w:val="002F4BEA"/>
    <w:rsid w:val="002F4C54"/>
    <w:rsid w:val="002F4E5F"/>
    <w:rsid w:val="002F52F9"/>
    <w:rsid w:val="002F54B6"/>
    <w:rsid w:val="002F5629"/>
    <w:rsid w:val="002F5674"/>
    <w:rsid w:val="002F5CB5"/>
    <w:rsid w:val="002F5FB7"/>
    <w:rsid w:val="002F5FC7"/>
    <w:rsid w:val="002F601B"/>
    <w:rsid w:val="002F61FE"/>
    <w:rsid w:val="002F65E5"/>
    <w:rsid w:val="002F67B0"/>
    <w:rsid w:val="002F6A6F"/>
    <w:rsid w:val="002F6A96"/>
    <w:rsid w:val="002F6B24"/>
    <w:rsid w:val="002F6C32"/>
    <w:rsid w:val="002F6E28"/>
    <w:rsid w:val="002F6EF0"/>
    <w:rsid w:val="002F6FE4"/>
    <w:rsid w:val="002F7081"/>
    <w:rsid w:val="002F70BA"/>
    <w:rsid w:val="002F725F"/>
    <w:rsid w:val="002F757B"/>
    <w:rsid w:val="002F764B"/>
    <w:rsid w:val="002F766B"/>
    <w:rsid w:val="002F76A1"/>
    <w:rsid w:val="002F77D2"/>
    <w:rsid w:val="002F782B"/>
    <w:rsid w:val="002F797D"/>
    <w:rsid w:val="002F7A88"/>
    <w:rsid w:val="002F7A99"/>
    <w:rsid w:val="002F7BC3"/>
    <w:rsid w:val="002F7C08"/>
    <w:rsid w:val="002F7DE6"/>
    <w:rsid w:val="002F7E68"/>
    <w:rsid w:val="002F7F86"/>
    <w:rsid w:val="00300093"/>
    <w:rsid w:val="0030029C"/>
    <w:rsid w:val="00300560"/>
    <w:rsid w:val="003007DE"/>
    <w:rsid w:val="00300A82"/>
    <w:rsid w:val="00300A84"/>
    <w:rsid w:val="00300A93"/>
    <w:rsid w:val="00300C9E"/>
    <w:rsid w:val="00300E39"/>
    <w:rsid w:val="00300F95"/>
    <w:rsid w:val="0030101C"/>
    <w:rsid w:val="0030107F"/>
    <w:rsid w:val="003011A6"/>
    <w:rsid w:val="003013EF"/>
    <w:rsid w:val="003019F0"/>
    <w:rsid w:val="00301B27"/>
    <w:rsid w:val="00301D5B"/>
    <w:rsid w:val="00301F10"/>
    <w:rsid w:val="003022E5"/>
    <w:rsid w:val="00302306"/>
    <w:rsid w:val="003023C2"/>
    <w:rsid w:val="003023F9"/>
    <w:rsid w:val="003024FE"/>
    <w:rsid w:val="003025F2"/>
    <w:rsid w:val="003027F0"/>
    <w:rsid w:val="003028E2"/>
    <w:rsid w:val="0030294F"/>
    <w:rsid w:val="003029D2"/>
    <w:rsid w:val="00302B93"/>
    <w:rsid w:val="00302E5E"/>
    <w:rsid w:val="00302EA1"/>
    <w:rsid w:val="00302FC2"/>
    <w:rsid w:val="00303249"/>
    <w:rsid w:val="003033E2"/>
    <w:rsid w:val="003038AF"/>
    <w:rsid w:val="003038DB"/>
    <w:rsid w:val="00303BC0"/>
    <w:rsid w:val="00303BC3"/>
    <w:rsid w:val="00303CAE"/>
    <w:rsid w:val="00303D58"/>
    <w:rsid w:val="00303D69"/>
    <w:rsid w:val="00303FA3"/>
    <w:rsid w:val="0030415A"/>
    <w:rsid w:val="0030426B"/>
    <w:rsid w:val="003043B0"/>
    <w:rsid w:val="00304433"/>
    <w:rsid w:val="0030458C"/>
    <w:rsid w:val="0030458D"/>
    <w:rsid w:val="0030469D"/>
    <w:rsid w:val="003046CD"/>
    <w:rsid w:val="00304794"/>
    <w:rsid w:val="003048C9"/>
    <w:rsid w:val="003049DE"/>
    <w:rsid w:val="00304C8F"/>
    <w:rsid w:val="00304D19"/>
    <w:rsid w:val="00304D1D"/>
    <w:rsid w:val="00304D4E"/>
    <w:rsid w:val="00304E50"/>
    <w:rsid w:val="00304F3C"/>
    <w:rsid w:val="00304F57"/>
    <w:rsid w:val="00304FF8"/>
    <w:rsid w:val="00305098"/>
    <w:rsid w:val="0030511E"/>
    <w:rsid w:val="003058FA"/>
    <w:rsid w:val="00305BCF"/>
    <w:rsid w:val="003060AE"/>
    <w:rsid w:val="00306125"/>
    <w:rsid w:val="0030615E"/>
    <w:rsid w:val="003062CF"/>
    <w:rsid w:val="003064F1"/>
    <w:rsid w:val="00306670"/>
    <w:rsid w:val="003066E9"/>
    <w:rsid w:val="003069BF"/>
    <w:rsid w:val="00306D6D"/>
    <w:rsid w:val="00306E81"/>
    <w:rsid w:val="00306EB4"/>
    <w:rsid w:val="00307448"/>
    <w:rsid w:val="003074E1"/>
    <w:rsid w:val="00307835"/>
    <w:rsid w:val="003079B4"/>
    <w:rsid w:val="00307B8C"/>
    <w:rsid w:val="00307C55"/>
    <w:rsid w:val="00307DEF"/>
    <w:rsid w:val="00310138"/>
    <w:rsid w:val="003101A7"/>
    <w:rsid w:val="0031027B"/>
    <w:rsid w:val="0031040A"/>
    <w:rsid w:val="003105A3"/>
    <w:rsid w:val="00310752"/>
    <w:rsid w:val="003107E5"/>
    <w:rsid w:val="00310DE6"/>
    <w:rsid w:val="00310E1A"/>
    <w:rsid w:val="0031115B"/>
    <w:rsid w:val="003115AC"/>
    <w:rsid w:val="00311887"/>
    <w:rsid w:val="003119A7"/>
    <w:rsid w:val="00311AA4"/>
    <w:rsid w:val="00311D33"/>
    <w:rsid w:val="00311EE1"/>
    <w:rsid w:val="0031200F"/>
    <w:rsid w:val="00312054"/>
    <w:rsid w:val="0031208A"/>
    <w:rsid w:val="0031216C"/>
    <w:rsid w:val="003121F7"/>
    <w:rsid w:val="00312251"/>
    <w:rsid w:val="003125DA"/>
    <w:rsid w:val="0031261E"/>
    <w:rsid w:val="003126CA"/>
    <w:rsid w:val="003126E3"/>
    <w:rsid w:val="003127C5"/>
    <w:rsid w:val="00312F85"/>
    <w:rsid w:val="00313193"/>
    <w:rsid w:val="0031330D"/>
    <w:rsid w:val="003135E8"/>
    <w:rsid w:val="00313664"/>
    <w:rsid w:val="00313754"/>
    <w:rsid w:val="0031380E"/>
    <w:rsid w:val="003138A6"/>
    <w:rsid w:val="00313958"/>
    <w:rsid w:val="00313A8B"/>
    <w:rsid w:val="00313B78"/>
    <w:rsid w:val="00313C9A"/>
    <w:rsid w:val="00313DD4"/>
    <w:rsid w:val="00313F63"/>
    <w:rsid w:val="003140C2"/>
    <w:rsid w:val="003141DC"/>
    <w:rsid w:val="003142A8"/>
    <w:rsid w:val="003143BF"/>
    <w:rsid w:val="00314427"/>
    <w:rsid w:val="00314475"/>
    <w:rsid w:val="0031486F"/>
    <w:rsid w:val="003149B6"/>
    <w:rsid w:val="00314A3D"/>
    <w:rsid w:val="00314CCB"/>
    <w:rsid w:val="00314E77"/>
    <w:rsid w:val="00314EE4"/>
    <w:rsid w:val="00314F90"/>
    <w:rsid w:val="00315238"/>
    <w:rsid w:val="00315247"/>
    <w:rsid w:val="003153B1"/>
    <w:rsid w:val="00315607"/>
    <w:rsid w:val="003156DB"/>
    <w:rsid w:val="00315711"/>
    <w:rsid w:val="00315725"/>
    <w:rsid w:val="00315731"/>
    <w:rsid w:val="003159A1"/>
    <w:rsid w:val="00315AF4"/>
    <w:rsid w:val="00315C6A"/>
    <w:rsid w:val="00315D4B"/>
    <w:rsid w:val="00315E34"/>
    <w:rsid w:val="00315F85"/>
    <w:rsid w:val="0031605F"/>
    <w:rsid w:val="0031617F"/>
    <w:rsid w:val="00316208"/>
    <w:rsid w:val="003162A1"/>
    <w:rsid w:val="00316537"/>
    <w:rsid w:val="00316769"/>
    <w:rsid w:val="0031682E"/>
    <w:rsid w:val="003169AD"/>
    <w:rsid w:val="00316C3C"/>
    <w:rsid w:val="00316C82"/>
    <w:rsid w:val="00316D9D"/>
    <w:rsid w:val="00316DEC"/>
    <w:rsid w:val="00316FBC"/>
    <w:rsid w:val="00317101"/>
    <w:rsid w:val="00317406"/>
    <w:rsid w:val="003175A9"/>
    <w:rsid w:val="003177B6"/>
    <w:rsid w:val="00317858"/>
    <w:rsid w:val="00317941"/>
    <w:rsid w:val="00317D2B"/>
    <w:rsid w:val="0032006F"/>
    <w:rsid w:val="003201A1"/>
    <w:rsid w:val="003202B8"/>
    <w:rsid w:val="0032048B"/>
    <w:rsid w:val="00320742"/>
    <w:rsid w:val="00320747"/>
    <w:rsid w:val="00320832"/>
    <w:rsid w:val="003208E3"/>
    <w:rsid w:val="00320D69"/>
    <w:rsid w:val="00320FD1"/>
    <w:rsid w:val="003210E2"/>
    <w:rsid w:val="00321109"/>
    <w:rsid w:val="0032124F"/>
    <w:rsid w:val="00321560"/>
    <w:rsid w:val="003215D1"/>
    <w:rsid w:val="00321641"/>
    <w:rsid w:val="00321690"/>
    <w:rsid w:val="00321758"/>
    <w:rsid w:val="00321823"/>
    <w:rsid w:val="00321BDA"/>
    <w:rsid w:val="00321FF5"/>
    <w:rsid w:val="0032214C"/>
    <w:rsid w:val="003226B9"/>
    <w:rsid w:val="0032277F"/>
    <w:rsid w:val="003228EB"/>
    <w:rsid w:val="00322C00"/>
    <w:rsid w:val="00322E12"/>
    <w:rsid w:val="00322F2F"/>
    <w:rsid w:val="0032322A"/>
    <w:rsid w:val="0032358B"/>
    <w:rsid w:val="003235B5"/>
    <w:rsid w:val="003238F4"/>
    <w:rsid w:val="00323A6C"/>
    <w:rsid w:val="00323D94"/>
    <w:rsid w:val="00323FBF"/>
    <w:rsid w:val="00323FC4"/>
    <w:rsid w:val="00324057"/>
    <w:rsid w:val="003240B9"/>
    <w:rsid w:val="003243CE"/>
    <w:rsid w:val="003243D1"/>
    <w:rsid w:val="003245B3"/>
    <w:rsid w:val="003249DF"/>
    <w:rsid w:val="00324A49"/>
    <w:rsid w:val="00324D77"/>
    <w:rsid w:val="00325397"/>
    <w:rsid w:val="0032547A"/>
    <w:rsid w:val="0032552A"/>
    <w:rsid w:val="00325635"/>
    <w:rsid w:val="00325692"/>
    <w:rsid w:val="003257A7"/>
    <w:rsid w:val="00325820"/>
    <w:rsid w:val="00325841"/>
    <w:rsid w:val="003259D7"/>
    <w:rsid w:val="003259EC"/>
    <w:rsid w:val="00325EA4"/>
    <w:rsid w:val="00326324"/>
    <w:rsid w:val="00326451"/>
    <w:rsid w:val="0032683C"/>
    <w:rsid w:val="003268C7"/>
    <w:rsid w:val="00326914"/>
    <w:rsid w:val="00326B0E"/>
    <w:rsid w:val="00326B3B"/>
    <w:rsid w:val="00326C30"/>
    <w:rsid w:val="00326DA2"/>
    <w:rsid w:val="00326EE0"/>
    <w:rsid w:val="00326F2C"/>
    <w:rsid w:val="00326F79"/>
    <w:rsid w:val="0032704C"/>
    <w:rsid w:val="0032709A"/>
    <w:rsid w:val="0032717A"/>
    <w:rsid w:val="00327390"/>
    <w:rsid w:val="00327426"/>
    <w:rsid w:val="003277AE"/>
    <w:rsid w:val="003277F5"/>
    <w:rsid w:val="00327934"/>
    <w:rsid w:val="00327BD3"/>
    <w:rsid w:val="00327C8D"/>
    <w:rsid w:val="00327CAA"/>
    <w:rsid w:val="00327D7B"/>
    <w:rsid w:val="00327DE9"/>
    <w:rsid w:val="00327E01"/>
    <w:rsid w:val="00327EB4"/>
    <w:rsid w:val="00327F5E"/>
    <w:rsid w:val="00327FD4"/>
    <w:rsid w:val="003300AB"/>
    <w:rsid w:val="003301B3"/>
    <w:rsid w:val="00330264"/>
    <w:rsid w:val="00330327"/>
    <w:rsid w:val="0033033D"/>
    <w:rsid w:val="00330372"/>
    <w:rsid w:val="00330385"/>
    <w:rsid w:val="003303CC"/>
    <w:rsid w:val="00330668"/>
    <w:rsid w:val="003306DE"/>
    <w:rsid w:val="003308D8"/>
    <w:rsid w:val="003308EF"/>
    <w:rsid w:val="00330962"/>
    <w:rsid w:val="0033102E"/>
    <w:rsid w:val="0033137B"/>
    <w:rsid w:val="00331401"/>
    <w:rsid w:val="00331418"/>
    <w:rsid w:val="00331728"/>
    <w:rsid w:val="003319C2"/>
    <w:rsid w:val="00331BCB"/>
    <w:rsid w:val="00331C3C"/>
    <w:rsid w:val="00331CEE"/>
    <w:rsid w:val="00332094"/>
    <w:rsid w:val="00332344"/>
    <w:rsid w:val="00332372"/>
    <w:rsid w:val="003324E9"/>
    <w:rsid w:val="0033289C"/>
    <w:rsid w:val="00332CF5"/>
    <w:rsid w:val="00332F35"/>
    <w:rsid w:val="00332F67"/>
    <w:rsid w:val="0033312E"/>
    <w:rsid w:val="00333187"/>
    <w:rsid w:val="0033319E"/>
    <w:rsid w:val="00333234"/>
    <w:rsid w:val="003336B0"/>
    <w:rsid w:val="00333822"/>
    <w:rsid w:val="003339EC"/>
    <w:rsid w:val="00333B1F"/>
    <w:rsid w:val="00333CC8"/>
    <w:rsid w:val="003340BC"/>
    <w:rsid w:val="0033414E"/>
    <w:rsid w:val="003343B5"/>
    <w:rsid w:val="00334420"/>
    <w:rsid w:val="003345F8"/>
    <w:rsid w:val="00334A43"/>
    <w:rsid w:val="00334A9A"/>
    <w:rsid w:val="00334F30"/>
    <w:rsid w:val="00334F79"/>
    <w:rsid w:val="003351AE"/>
    <w:rsid w:val="00335370"/>
    <w:rsid w:val="003353FE"/>
    <w:rsid w:val="00335439"/>
    <w:rsid w:val="003356B3"/>
    <w:rsid w:val="0033572C"/>
    <w:rsid w:val="0033577C"/>
    <w:rsid w:val="00335824"/>
    <w:rsid w:val="0033583D"/>
    <w:rsid w:val="003358D8"/>
    <w:rsid w:val="00335B3E"/>
    <w:rsid w:val="00335ED1"/>
    <w:rsid w:val="00335F33"/>
    <w:rsid w:val="00335F85"/>
    <w:rsid w:val="00335F99"/>
    <w:rsid w:val="00336706"/>
    <w:rsid w:val="00336757"/>
    <w:rsid w:val="00336C06"/>
    <w:rsid w:val="00336FBD"/>
    <w:rsid w:val="00337229"/>
    <w:rsid w:val="00337808"/>
    <w:rsid w:val="00337905"/>
    <w:rsid w:val="00337A58"/>
    <w:rsid w:val="00337BBE"/>
    <w:rsid w:val="00337BF2"/>
    <w:rsid w:val="00337C21"/>
    <w:rsid w:val="00337CF7"/>
    <w:rsid w:val="00337CFF"/>
    <w:rsid w:val="00337DF8"/>
    <w:rsid w:val="00337EF8"/>
    <w:rsid w:val="00337F01"/>
    <w:rsid w:val="003405A4"/>
    <w:rsid w:val="003406A3"/>
    <w:rsid w:val="003407E4"/>
    <w:rsid w:val="0034081B"/>
    <w:rsid w:val="0034081E"/>
    <w:rsid w:val="003409BC"/>
    <w:rsid w:val="00340A1B"/>
    <w:rsid w:val="00340C0A"/>
    <w:rsid w:val="00340EB4"/>
    <w:rsid w:val="00341010"/>
    <w:rsid w:val="00341296"/>
    <w:rsid w:val="00341308"/>
    <w:rsid w:val="003413CB"/>
    <w:rsid w:val="00341557"/>
    <w:rsid w:val="003416A0"/>
    <w:rsid w:val="00341833"/>
    <w:rsid w:val="00341A29"/>
    <w:rsid w:val="00341EA4"/>
    <w:rsid w:val="00341FB6"/>
    <w:rsid w:val="00341FD4"/>
    <w:rsid w:val="00342032"/>
    <w:rsid w:val="0034229A"/>
    <w:rsid w:val="003423C7"/>
    <w:rsid w:val="003424A0"/>
    <w:rsid w:val="003425DF"/>
    <w:rsid w:val="0034261A"/>
    <w:rsid w:val="003427FA"/>
    <w:rsid w:val="00342803"/>
    <w:rsid w:val="00342841"/>
    <w:rsid w:val="003428BA"/>
    <w:rsid w:val="00342A60"/>
    <w:rsid w:val="00342CA6"/>
    <w:rsid w:val="00342CBB"/>
    <w:rsid w:val="00342DDC"/>
    <w:rsid w:val="00342FBC"/>
    <w:rsid w:val="00343030"/>
    <w:rsid w:val="00343086"/>
    <w:rsid w:val="003434ED"/>
    <w:rsid w:val="00343529"/>
    <w:rsid w:val="0034375A"/>
    <w:rsid w:val="0034379D"/>
    <w:rsid w:val="003438D1"/>
    <w:rsid w:val="003439F6"/>
    <w:rsid w:val="00343CB0"/>
    <w:rsid w:val="00343DED"/>
    <w:rsid w:val="00343E5D"/>
    <w:rsid w:val="00343E69"/>
    <w:rsid w:val="00344013"/>
    <w:rsid w:val="0034402F"/>
    <w:rsid w:val="0034410F"/>
    <w:rsid w:val="00344182"/>
    <w:rsid w:val="00344287"/>
    <w:rsid w:val="00344359"/>
    <w:rsid w:val="00344599"/>
    <w:rsid w:val="0034465A"/>
    <w:rsid w:val="00344774"/>
    <w:rsid w:val="0034478A"/>
    <w:rsid w:val="003447CF"/>
    <w:rsid w:val="00344983"/>
    <w:rsid w:val="00344A10"/>
    <w:rsid w:val="00344A29"/>
    <w:rsid w:val="00344C81"/>
    <w:rsid w:val="00344CB9"/>
    <w:rsid w:val="0034505A"/>
    <w:rsid w:val="00345553"/>
    <w:rsid w:val="00345658"/>
    <w:rsid w:val="00345927"/>
    <w:rsid w:val="00345A55"/>
    <w:rsid w:val="00346192"/>
    <w:rsid w:val="003463B9"/>
    <w:rsid w:val="003463D1"/>
    <w:rsid w:val="003463D8"/>
    <w:rsid w:val="0034646D"/>
    <w:rsid w:val="00346475"/>
    <w:rsid w:val="00346681"/>
    <w:rsid w:val="00346748"/>
    <w:rsid w:val="00346982"/>
    <w:rsid w:val="00346B6F"/>
    <w:rsid w:val="00346C66"/>
    <w:rsid w:val="0034700F"/>
    <w:rsid w:val="0034714F"/>
    <w:rsid w:val="00347250"/>
    <w:rsid w:val="00347478"/>
    <w:rsid w:val="003477AD"/>
    <w:rsid w:val="0034781E"/>
    <w:rsid w:val="0034797B"/>
    <w:rsid w:val="00347BE5"/>
    <w:rsid w:val="00347D85"/>
    <w:rsid w:val="00347D88"/>
    <w:rsid w:val="003501A9"/>
    <w:rsid w:val="003504B1"/>
    <w:rsid w:val="003507DD"/>
    <w:rsid w:val="00350816"/>
    <w:rsid w:val="00350A25"/>
    <w:rsid w:val="00350B03"/>
    <w:rsid w:val="00350C0E"/>
    <w:rsid w:val="00350C95"/>
    <w:rsid w:val="00350CB0"/>
    <w:rsid w:val="00350F09"/>
    <w:rsid w:val="00351124"/>
    <w:rsid w:val="00351347"/>
    <w:rsid w:val="0035142A"/>
    <w:rsid w:val="003514F5"/>
    <w:rsid w:val="00351632"/>
    <w:rsid w:val="00351656"/>
    <w:rsid w:val="0035167A"/>
    <w:rsid w:val="00351831"/>
    <w:rsid w:val="00351870"/>
    <w:rsid w:val="003518F4"/>
    <w:rsid w:val="00351914"/>
    <w:rsid w:val="00351C47"/>
    <w:rsid w:val="003522E0"/>
    <w:rsid w:val="00352449"/>
    <w:rsid w:val="0035267F"/>
    <w:rsid w:val="0035284A"/>
    <w:rsid w:val="00352B39"/>
    <w:rsid w:val="00352B55"/>
    <w:rsid w:val="00352D6F"/>
    <w:rsid w:val="00352DF8"/>
    <w:rsid w:val="003530B5"/>
    <w:rsid w:val="003530FE"/>
    <w:rsid w:val="0035328D"/>
    <w:rsid w:val="00353719"/>
    <w:rsid w:val="0035380A"/>
    <w:rsid w:val="00353818"/>
    <w:rsid w:val="003538F6"/>
    <w:rsid w:val="00353B90"/>
    <w:rsid w:val="00353D3D"/>
    <w:rsid w:val="00353E09"/>
    <w:rsid w:val="00354069"/>
    <w:rsid w:val="003540E0"/>
    <w:rsid w:val="00354193"/>
    <w:rsid w:val="003547F2"/>
    <w:rsid w:val="003547FA"/>
    <w:rsid w:val="003548FE"/>
    <w:rsid w:val="00354EC3"/>
    <w:rsid w:val="003550A4"/>
    <w:rsid w:val="003550BA"/>
    <w:rsid w:val="00355171"/>
    <w:rsid w:val="003551CE"/>
    <w:rsid w:val="0035537A"/>
    <w:rsid w:val="003554D2"/>
    <w:rsid w:val="003556BE"/>
    <w:rsid w:val="0035580D"/>
    <w:rsid w:val="0035588D"/>
    <w:rsid w:val="003558C7"/>
    <w:rsid w:val="00355985"/>
    <w:rsid w:val="00355AD0"/>
    <w:rsid w:val="00355BB8"/>
    <w:rsid w:val="00355D0B"/>
    <w:rsid w:val="00356066"/>
    <w:rsid w:val="003560F5"/>
    <w:rsid w:val="003565DE"/>
    <w:rsid w:val="003565E0"/>
    <w:rsid w:val="00356887"/>
    <w:rsid w:val="00356915"/>
    <w:rsid w:val="00356963"/>
    <w:rsid w:val="00356E75"/>
    <w:rsid w:val="00356E8E"/>
    <w:rsid w:val="00356F02"/>
    <w:rsid w:val="00357170"/>
    <w:rsid w:val="00357588"/>
    <w:rsid w:val="0035766F"/>
    <w:rsid w:val="0035781A"/>
    <w:rsid w:val="0035797B"/>
    <w:rsid w:val="00357B39"/>
    <w:rsid w:val="00357BD6"/>
    <w:rsid w:val="00357CB5"/>
    <w:rsid w:val="00357D37"/>
    <w:rsid w:val="00357D49"/>
    <w:rsid w:val="00357E8C"/>
    <w:rsid w:val="00357EEC"/>
    <w:rsid w:val="00357FA1"/>
    <w:rsid w:val="003600B2"/>
    <w:rsid w:val="003602DC"/>
    <w:rsid w:val="0036040E"/>
    <w:rsid w:val="003604FE"/>
    <w:rsid w:val="00360517"/>
    <w:rsid w:val="00360532"/>
    <w:rsid w:val="00360550"/>
    <w:rsid w:val="00360A9D"/>
    <w:rsid w:val="00360B57"/>
    <w:rsid w:val="00360C4D"/>
    <w:rsid w:val="00360EB5"/>
    <w:rsid w:val="00360F43"/>
    <w:rsid w:val="00360F4D"/>
    <w:rsid w:val="00360FCB"/>
    <w:rsid w:val="00361186"/>
    <w:rsid w:val="00361373"/>
    <w:rsid w:val="0036189A"/>
    <w:rsid w:val="00361A0A"/>
    <w:rsid w:val="00361D06"/>
    <w:rsid w:val="00361D3F"/>
    <w:rsid w:val="00362660"/>
    <w:rsid w:val="003628EB"/>
    <w:rsid w:val="00362B81"/>
    <w:rsid w:val="00362DF5"/>
    <w:rsid w:val="00362F2C"/>
    <w:rsid w:val="00362FD3"/>
    <w:rsid w:val="00363477"/>
    <w:rsid w:val="0036363C"/>
    <w:rsid w:val="00363661"/>
    <w:rsid w:val="0036375E"/>
    <w:rsid w:val="003638FE"/>
    <w:rsid w:val="0036396D"/>
    <w:rsid w:val="003639FB"/>
    <w:rsid w:val="00363BF7"/>
    <w:rsid w:val="00363D16"/>
    <w:rsid w:val="00364264"/>
    <w:rsid w:val="003643F6"/>
    <w:rsid w:val="00364BFB"/>
    <w:rsid w:val="00364D9D"/>
    <w:rsid w:val="003650CF"/>
    <w:rsid w:val="003650F3"/>
    <w:rsid w:val="003651CF"/>
    <w:rsid w:val="003652B5"/>
    <w:rsid w:val="003652B9"/>
    <w:rsid w:val="00365333"/>
    <w:rsid w:val="003657AB"/>
    <w:rsid w:val="00365ABA"/>
    <w:rsid w:val="00365D5A"/>
    <w:rsid w:val="0036601F"/>
    <w:rsid w:val="003660DB"/>
    <w:rsid w:val="0036633A"/>
    <w:rsid w:val="003665B1"/>
    <w:rsid w:val="00366697"/>
    <w:rsid w:val="0036695B"/>
    <w:rsid w:val="00366B8C"/>
    <w:rsid w:val="00366BB8"/>
    <w:rsid w:val="00367207"/>
    <w:rsid w:val="00367374"/>
    <w:rsid w:val="003676E0"/>
    <w:rsid w:val="003677DF"/>
    <w:rsid w:val="003678EB"/>
    <w:rsid w:val="00367940"/>
    <w:rsid w:val="00367A54"/>
    <w:rsid w:val="00367B88"/>
    <w:rsid w:val="003701E3"/>
    <w:rsid w:val="0037023A"/>
    <w:rsid w:val="00370307"/>
    <w:rsid w:val="0037035D"/>
    <w:rsid w:val="003704B2"/>
    <w:rsid w:val="00370821"/>
    <w:rsid w:val="00370846"/>
    <w:rsid w:val="00370884"/>
    <w:rsid w:val="003709A2"/>
    <w:rsid w:val="00370A18"/>
    <w:rsid w:val="00370AA1"/>
    <w:rsid w:val="00370DD6"/>
    <w:rsid w:val="00370FE1"/>
    <w:rsid w:val="00371047"/>
    <w:rsid w:val="003710ED"/>
    <w:rsid w:val="00371117"/>
    <w:rsid w:val="003711BA"/>
    <w:rsid w:val="003711F4"/>
    <w:rsid w:val="003715F3"/>
    <w:rsid w:val="003716B7"/>
    <w:rsid w:val="003717D0"/>
    <w:rsid w:val="003717E4"/>
    <w:rsid w:val="00371CCB"/>
    <w:rsid w:val="00371D3A"/>
    <w:rsid w:val="00371EB9"/>
    <w:rsid w:val="00371F57"/>
    <w:rsid w:val="003720EE"/>
    <w:rsid w:val="00372263"/>
    <w:rsid w:val="0037246C"/>
    <w:rsid w:val="003725AA"/>
    <w:rsid w:val="003728BF"/>
    <w:rsid w:val="00372A5B"/>
    <w:rsid w:val="003730ED"/>
    <w:rsid w:val="00373342"/>
    <w:rsid w:val="00373491"/>
    <w:rsid w:val="00373766"/>
    <w:rsid w:val="003739DD"/>
    <w:rsid w:val="00373A9E"/>
    <w:rsid w:val="00373AA9"/>
    <w:rsid w:val="00373D18"/>
    <w:rsid w:val="003741A2"/>
    <w:rsid w:val="00374419"/>
    <w:rsid w:val="0037455E"/>
    <w:rsid w:val="003745A0"/>
    <w:rsid w:val="00374624"/>
    <w:rsid w:val="0037483F"/>
    <w:rsid w:val="003749BA"/>
    <w:rsid w:val="00374AC8"/>
    <w:rsid w:val="00374B77"/>
    <w:rsid w:val="00374C44"/>
    <w:rsid w:val="00374D75"/>
    <w:rsid w:val="00374DC6"/>
    <w:rsid w:val="0037526B"/>
    <w:rsid w:val="003753CE"/>
    <w:rsid w:val="0037543F"/>
    <w:rsid w:val="003757EB"/>
    <w:rsid w:val="00375A73"/>
    <w:rsid w:val="00375D86"/>
    <w:rsid w:val="00375DED"/>
    <w:rsid w:val="00375E08"/>
    <w:rsid w:val="00375EA8"/>
    <w:rsid w:val="00375F64"/>
    <w:rsid w:val="00375FFC"/>
    <w:rsid w:val="0037613B"/>
    <w:rsid w:val="0037639B"/>
    <w:rsid w:val="003764D5"/>
    <w:rsid w:val="00376590"/>
    <w:rsid w:val="0037674F"/>
    <w:rsid w:val="00376B74"/>
    <w:rsid w:val="00376F2E"/>
    <w:rsid w:val="0037737D"/>
    <w:rsid w:val="0037738C"/>
    <w:rsid w:val="00377846"/>
    <w:rsid w:val="00377A2B"/>
    <w:rsid w:val="00377AF1"/>
    <w:rsid w:val="00377B32"/>
    <w:rsid w:val="00377CAD"/>
    <w:rsid w:val="00377D9A"/>
    <w:rsid w:val="00377E4F"/>
    <w:rsid w:val="00377F68"/>
    <w:rsid w:val="00380021"/>
    <w:rsid w:val="0038016E"/>
    <w:rsid w:val="00380265"/>
    <w:rsid w:val="00380364"/>
    <w:rsid w:val="0038047C"/>
    <w:rsid w:val="00380746"/>
    <w:rsid w:val="00380B0B"/>
    <w:rsid w:val="00380BB9"/>
    <w:rsid w:val="00380D7D"/>
    <w:rsid w:val="00380E94"/>
    <w:rsid w:val="00381256"/>
    <w:rsid w:val="0038126C"/>
    <w:rsid w:val="003813B0"/>
    <w:rsid w:val="00381408"/>
    <w:rsid w:val="003814BB"/>
    <w:rsid w:val="00381562"/>
    <w:rsid w:val="00381750"/>
    <w:rsid w:val="0038180D"/>
    <w:rsid w:val="003819DF"/>
    <w:rsid w:val="00381E48"/>
    <w:rsid w:val="0038204E"/>
    <w:rsid w:val="003820CB"/>
    <w:rsid w:val="00382266"/>
    <w:rsid w:val="0038235E"/>
    <w:rsid w:val="00382639"/>
    <w:rsid w:val="003828BA"/>
    <w:rsid w:val="00382A53"/>
    <w:rsid w:val="00382AAB"/>
    <w:rsid w:val="00382AE5"/>
    <w:rsid w:val="00382B0C"/>
    <w:rsid w:val="00382F16"/>
    <w:rsid w:val="00382FE3"/>
    <w:rsid w:val="00383170"/>
    <w:rsid w:val="003833B5"/>
    <w:rsid w:val="00383441"/>
    <w:rsid w:val="0038352D"/>
    <w:rsid w:val="0038355B"/>
    <w:rsid w:val="003835FF"/>
    <w:rsid w:val="003837CB"/>
    <w:rsid w:val="00383B0C"/>
    <w:rsid w:val="00383B56"/>
    <w:rsid w:val="00383BF4"/>
    <w:rsid w:val="00383D43"/>
    <w:rsid w:val="00384007"/>
    <w:rsid w:val="003840DD"/>
    <w:rsid w:val="003842AF"/>
    <w:rsid w:val="003843E1"/>
    <w:rsid w:val="003843EF"/>
    <w:rsid w:val="00384584"/>
    <w:rsid w:val="003847B7"/>
    <w:rsid w:val="003847ED"/>
    <w:rsid w:val="00384A31"/>
    <w:rsid w:val="00384ADE"/>
    <w:rsid w:val="00384DB9"/>
    <w:rsid w:val="0038500C"/>
    <w:rsid w:val="0038524C"/>
    <w:rsid w:val="00385306"/>
    <w:rsid w:val="003854D6"/>
    <w:rsid w:val="0038566B"/>
    <w:rsid w:val="003856BD"/>
    <w:rsid w:val="003858C6"/>
    <w:rsid w:val="00385937"/>
    <w:rsid w:val="00386083"/>
    <w:rsid w:val="0038618C"/>
    <w:rsid w:val="0038618E"/>
    <w:rsid w:val="0038622A"/>
    <w:rsid w:val="0038641D"/>
    <w:rsid w:val="003865A1"/>
    <w:rsid w:val="00386AED"/>
    <w:rsid w:val="00386DDB"/>
    <w:rsid w:val="003871B6"/>
    <w:rsid w:val="00387553"/>
    <w:rsid w:val="0038792E"/>
    <w:rsid w:val="0038797A"/>
    <w:rsid w:val="00387A4A"/>
    <w:rsid w:val="00387E1B"/>
    <w:rsid w:val="0039003F"/>
    <w:rsid w:val="00390336"/>
    <w:rsid w:val="00390568"/>
    <w:rsid w:val="0039058D"/>
    <w:rsid w:val="00390B35"/>
    <w:rsid w:val="00391078"/>
    <w:rsid w:val="0039121A"/>
    <w:rsid w:val="00391524"/>
    <w:rsid w:val="003919D8"/>
    <w:rsid w:val="00391E02"/>
    <w:rsid w:val="00391F27"/>
    <w:rsid w:val="00391FE4"/>
    <w:rsid w:val="0039209D"/>
    <w:rsid w:val="003920BC"/>
    <w:rsid w:val="00392166"/>
    <w:rsid w:val="003921AE"/>
    <w:rsid w:val="003921CD"/>
    <w:rsid w:val="00392270"/>
    <w:rsid w:val="003922BC"/>
    <w:rsid w:val="003922ED"/>
    <w:rsid w:val="0039276D"/>
    <w:rsid w:val="00392827"/>
    <w:rsid w:val="0039283D"/>
    <w:rsid w:val="003928C4"/>
    <w:rsid w:val="003929D2"/>
    <w:rsid w:val="00392BC2"/>
    <w:rsid w:val="00392C6E"/>
    <w:rsid w:val="00392CCA"/>
    <w:rsid w:val="00392D66"/>
    <w:rsid w:val="00392EBD"/>
    <w:rsid w:val="00392F26"/>
    <w:rsid w:val="00393029"/>
    <w:rsid w:val="0039333F"/>
    <w:rsid w:val="00393467"/>
    <w:rsid w:val="003936E5"/>
    <w:rsid w:val="00393AD7"/>
    <w:rsid w:val="00393B65"/>
    <w:rsid w:val="00393E3E"/>
    <w:rsid w:val="00393E74"/>
    <w:rsid w:val="00393F81"/>
    <w:rsid w:val="00393FA5"/>
    <w:rsid w:val="0039406E"/>
    <w:rsid w:val="0039411F"/>
    <w:rsid w:val="0039413F"/>
    <w:rsid w:val="003946B9"/>
    <w:rsid w:val="003949F0"/>
    <w:rsid w:val="00394B51"/>
    <w:rsid w:val="00394CD1"/>
    <w:rsid w:val="00394D9F"/>
    <w:rsid w:val="00394FAF"/>
    <w:rsid w:val="00395269"/>
    <w:rsid w:val="0039539C"/>
    <w:rsid w:val="003953BE"/>
    <w:rsid w:val="00395649"/>
    <w:rsid w:val="003956F2"/>
    <w:rsid w:val="003957BB"/>
    <w:rsid w:val="00395A15"/>
    <w:rsid w:val="00395A9E"/>
    <w:rsid w:val="00395C86"/>
    <w:rsid w:val="00395FBD"/>
    <w:rsid w:val="0039610F"/>
    <w:rsid w:val="003962CD"/>
    <w:rsid w:val="003963FF"/>
    <w:rsid w:val="003965C0"/>
    <w:rsid w:val="00396730"/>
    <w:rsid w:val="00396894"/>
    <w:rsid w:val="00396935"/>
    <w:rsid w:val="00396997"/>
    <w:rsid w:val="00396A4C"/>
    <w:rsid w:val="00396A6D"/>
    <w:rsid w:val="00396AA8"/>
    <w:rsid w:val="00396EEA"/>
    <w:rsid w:val="003971D3"/>
    <w:rsid w:val="0039743E"/>
    <w:rsid w:val="00397751"/>
    <w:rsid w:val="00397A8D"/>
    <w:rsid w:val="00397B73"/>
    <w:rsid w:val="00397BA8"/>
    <w:rsid w:val="00397C25"/>
    <w:rsid w:val="00397CAC"/>
    <w:rsid w:val="00397CC7"/>
    <w:rsid w:val="00397D16"/>
    <w:rsid w:val="003A0403"/>
    <w:rsid w:val="003A0D0B"/>
    <w:rsid w:val="003A1301"/>
    <w:rsid w:val="003A1513"/>
    <w:rsid w:val="003A1596"/>
    <w:rsid w:val="003A1968"/>
    <w:rsid w:val="003A1A42"/>
    <w:rsid w:val="003A1E7D"/>
    <w:rsid w:val="003A1EE5"/>
    <w:rsid w:val="003A23A3"/>
    <w:rsid w:val="003A2516"/>
    <w:rsid w:val="003A2583"/>
    <w:rsid w:val="003A262F"/>
    <w:rsid w:val="003A27BB"/>
    <w:rsid w:val="003A280A"/>
    <w:rsid w:val="003A2AE9"/>
    <w:rsid w:val="003A2D8E"/>
    <w:rsid w:val="003A2EBE"/>
    <w:rsid w:val="003A2FE5"/>
    <w:rsid w:val="003A31F5"/>
    <w:rsid w:val="003A33EC"/>
    <w:rsid w:val="003A35D6"/>
    <w:rsid w:val="003A362E"/>
    <w:rsid w:val="003A3688"/>
    <w:rsid w:val="003A397F"/>
    <w:rsid w:val="003A3B5C"/>
    <w:rsid w:val="003A3BBD"/>
    <w:rsid w:val="003A3C7D"/>
    <w:rsid w:val="003A3D0C"/>
    <w:rsid w:val="003A42C2"/>
    <w:rsid w:val="003A435C"/>
    <w:rsid w:val="003A43CA"/>
    <w:rsid w:val="003A4424"/>
    <w:rsid w:val="003A4473"/>
    <w:rsid w:val="003A4546"/>
    <w:rsid w:val="003A4581"/>
    <w:rsid w:val="003A4651"/>
    <w:rsid w:val="003A472D"/>
    <w:rsid w:val="003A4780"/>
    <w:rsid w:val="003A49EE"/>
    <w:rsid w:val="003A4E3C"/>
    <w:rsid w:val="003A4E51"/>
    <w:rsid w:val="003A4EA3"/>
    <w:rsid w:val="003A5077"/>
    <w:rsid w:val="003A51B8"/>
    <w:rsid w:val="003A5266"/>
    <w:rsid w:val="003A5450"/>
    <w:rsid w:val="003A5614"/>
    <w:rsid w:val="003A56A1"/>
    <w:rsid w:val="003A5752"/>
    <w:rsid w:val="003A58E1"/>
    <w:rsid w:val="003A59A9"/>
    <w:rsid w:val="003A5BC5"/>
    <w:rsid w:val="003A5C82"/>
    <w:rsid w:val="003A5CF2"/>
    <w:rsid w:val="003A5D19"/>
    <w:rsid w:val="003A5D52"/>
    <w:rsid w:val="003A5D71"/>
    <w:rsid w:val="003A5E4A"/>
    <w:rsid w:val="003A5F4E"/>
    <w:rsid w:val="003A618C"/>
    <w:rsid w:val="003A65E6"/>
    <w:rsid w:val="003A669D"/>
    <w:rsid w:val="003A69F2"/>
    <w:rsid w:val="003A6A4E"/>
    <w:rsid w:val="003A6DDA"/>
    <w:rsid w:val="003A72FF"/>
    <w:rsid w:val="003A73FD"/>
    <w:rsid w:val="003A76FA"/>
    <w:rsid w:val="003A782B"/>
    <w:rsid w:val="003A7C03"/>
    <w:rsid w:val="003A7C28"/>
    <w:rsid w:val="003A7DF3"/>
    <w:rsid w:val="003A7FD3"/>
    <w:rsid w:val="003B0205"/>
    <w:rsid w:val="003B0214"/>
    <w:rsid w:val="003B03BF"/>
    <w:rsid w:val="003B055B"/>
    <w:rsid w:val="003B095B"/>
    <w:rsid w:val="003B0DBE"/>
    <w:rsid w:val="003B0E9B"/>
    <w:rsid w:val="003B1498"/>
    <w:rsid w:val="003B14A1"/>
    <w:rsid w:val="003B1620"/>
    <w:rsid w:val="003B1661"/>
    <w:rsid w:val="003B1878"/>
    <w:rsid w:val="003B1919"/>
    <w:rsid w:val="003B1D4D"/>
    <w:rsid w:val="003B1D7B"/>
    <w:rsid w:val="003B1F0D"/>
    <w:rsid w:val="003B1FE0"/>
    <w:rsid w:val="003B1FFE"/>
    <w:rsid w:val="003B23A5"/>
    <w:rsid w:val="003B2677"/>
    <w:rsid w:val="003B28F3"/>
    <w:rsid w:val="003B2A09"/>
    <w:rsid w:val="003B2C40"/>
    <w:rsid w:val="003B2E43"/>
    <w:rsid w:val="003B2F52"/>
    <w:rsid w:val="003B2FAB"/>
    <w:rsid w:val="003B2FCF"/>
    <w:rsid w:val="003B317B"/>
    <w:rsid w:val="003B3477"/>
    <w:rsid w:val="003B349F"/>
    <w:rsid w:val="003B37BA"/>
    <w:rsid w:val="003B3935"/>
    <w:rsid w:val="003B3B80"/>
    <w:rsid w:val="003B3CA7"/>
    <w:rsid w:val="003B3D79"/>
    <w:rsid w:val="003B3EC4"/>
    <w:rsid w:val="003B3FD2"/>
    <w:rsid w:val="003B4059"/>
    <w:rsid w:val="003B416F"/>
    <w:rsid w:val="003B426C"/>
    <w:rsid w:val="003B4407"/>
    <w:rsid w:val="003B440E"/>
    <w:rsid w:val="003B453B"/>
    <w:rsid w:val="003B4BA4"/>
    <w:rsid w:val="003B4DE9"/>
    <w:rsid w:val="003B4E36"/>
    <w:rsid w:val="003B51D0"/>
    <w:rsid w:val="003B5254"/>
    <w:rsid w:val="003B533E"/>
    <w:rsid w:val="003B5348"/>
    <w:rsid w:val="003B53E7"/>
    <w:rsid w:val="003B5747"/>
    <w:rsid w:val="003B57E2"/>
    <w:rsid w:val="003B580F"/>
    <w:rsid w:val="003B5A31"/>
    <w:rsid w:val="003B5C27"/>
    <w:rsid w:val="003B5D22"/>
    <w:rsid w:val="003B5DD5"/>
    <w:rsid w:val="003B6230"/>
    <w:rsid w:val="003B63DD"/>
    <w:rsid w:val="003B642F"/>
    <w:rsid w:val="003B6504"/>
    <w:rsid w:val="003B673D"/>
    <w:rsid w:val="003B678A"/>
    <w:rsid w:val="003B67E8"/>
    <w:rsid w:val="003B6A7F"/>
    <w:rsid w:val="003B6CA3"/>
    <w:rsid w:val="003B72D3"/>
    <w:rsid w:val="003B730A"/>
    <w:rsid w:val="003B7613"/>
    <w:rsid w:val="003B7840"/>
    <w:rsid w:val="003B7AF0"/>
    <w:rsid w:val="003B7CC3"/>
    <w:rsid w:val="003B7DD6"/>
    <w:rsid w:val="003B7F41"/>
    <w:rsid w:val="003C00A2"/>
    <w:rsid w:val="003C0109"/>
    <w:rsid w:val="003C0183"/>
    <w:rsid w:val="003C01AF"/>
    <w:rsid w:val="003C05FE"/>
    <w:rsid w:val="003C0729"/>
    <w:rsid w:val="003C076A"/>
    <w:rsid w:val="003C0779"/>
    <w:rsid w:val="003C07B3"/>
    <w:rsid w:val="003C0801"/>
    <w:rsid w:val="003C0933"/>
    <w:rsid w:val="003C0B0E"/>
    <w:rsid w:val="003C1054"/>
    <w:rsid w:val="003C108E"/>
    <w:rsid w:val="003C13F3"/>
    <w:rsid w:val="003C16C1"/>
    <w:rsid w:val="003C16D6"/>
    <w:rsid w:val="003C175D"/>
    <w:rsid w:val="003C19E0"/>
    <w:rsid w:val="003C1A9F"/>
    <w:rsid w:val="003C1BC7"/>
    <w:rsid w:val="003C1CFB"/>
    <w:rsid w:val="003C1DBD"/>
    <w:rsid w:val="003C1F4E"/>
    <w:rsid w:val="003C1F7B"/>
    <w:rsid w:val="003C1FA9"/>
    <w:rsid w:val="003C22E6"/>
    <w:rsid w:val="003C2577"/>
    <w:rsid w:val="003C26AD"/>
    <w:rsid w:val="003C274A"/>
    <w:rsid w:val="003C2A7C"/>
    <w:rsid w:val="003C2BBD"/>
    <w:rsid w:val="003C2D35"/>
    <w:rsid w:val="003C2E4E"/>
    <w:rsid w:val="003C2F98"/>
    <w:rsid w:val="003C2FD9"/>
    <w:rsid w:val="003C3177"/>
    <w:rsid w:val="003C32A6"/>
    <w:rsid w:val="003C3379"/>
    <w:rsid w:val="003C3522"/>
    <w:rsid w:val="003C36A7"/>
    <w:rsid w:val="003C3857"/>
    <w:rsid w:val="003C3971"/>
    <w:rsid w:val="003C3A4E"/>
    <w:rsid w:val="003C3AAD"/>
    <w:rsid w:val="003C3AE8"/>
    <w:rsid w:val="003C3BB5"/>
    <w:rsid w:val="003C3C01"/>
    <w:rsid w:val="003C3DE3"/>
    <w:rsid w:val="003C3E77"/>
    <w:rsid w:val="003C3E86"/>
    <w:rsid w:val="003C4066"/>
    <w:rsid w:val="003C4125"/>
    <w:rsid w:val="003C4264"/>
    <w:rsid w:val="003C436A"/>
    <w:rsid w:val="003C43EC"/>
    <w:rsid w:val="003C4448"/>
    <w:rsid w:val="003C44F6"/>
    <w:rsid w:val="003C46AD"/>
    <w:rsid w:val="003C4B15"/>
    <w:rsid w:val="003C4D1E"/>
    <w:rsid w:val="003C4DE4"/>
    <w:rsid w:val="003C4E99"/>
    <w:rsid w:val="003C4F6C"/>
    <w:rsid w:val="003C529F"/>
    <w:rsid w:val="003C549A"/>
    <w:rsid w:val="003C54C0"/>
    <w:rsid w:val="003C55BA"/>
    <w:rsid w:val="003C5BE5"/>
    <w:rsid w:val="003C5D4E"/>
    <w:rsid w:val="003C5FC9"/>
    <w:rsid w:val="003C63D3"/>
    <w:rsid w:val="003C6F52"/>
    <w:rsid w:val="003C72F6"/>
    <w:rsid w:val="003C73C8"/>
    <w:rsid w:val="003C7449"/>
    <w:rsid w:val="003C76C7"/>
    <w:rsid w:val="003C79E4"/>
    <w:rsid w:val="003C7AF1"/>
    <w:rsid w:val="003C7BE5"/>
    <w:rsid w:val="003D0022"/>
    <w:rsid w:val="003D0606"/>
    <w:rsid w:val="003D09E6"/>
    <w:rsid w:val="003D0B52"/>
    <w:rsid w:val="003D0B5A"/>
    <w:rsid w:val="003D1093"/>
    <w:rsid w:val="003D1176"/>
    <w:rsid w:val="003D121A"/>
    <w:rsid w:val="003D1448"/>
    <w:rsid w:val="003D1621"/>
    <w:rsid w:val="003D1890"/>
    <w:rsid w:val="003D1ADC"/>
    <w:rsid w:val="003D1BB5"/>
    <w:rsid w:val="003D1D95"/>
    <w:rsid w:val="003D1EEC"/>
    <w:rsid w:val="003D1EF2"/>
    <w:rsid w:val="003D1F44"/>
    <w:rsid w:val="003D22D2"/>
    <w:rsid w:val="003D2548"/>
    <w:rsid w:val="003D2694"/>
    <w:rsid w:val="003D2735"/>
    <w:rsid w:val="003D28E6"/>
    <w:rsid w:val="003D2A71"/>
    <w:rsid w:val="003D2BF8"/>
    <w:rsid w:val="003D3130"/>
    <w:rsid w:val="003D33E2"/>
    <w:rsid w:val="003D3429"/>
    <w:rsid w:val="003D3537"/>
    <w:rsid w:val="003D35E6"/>
    <w:rsid w:val="003D3996"/>
    <w:rsid w:val="003D3A06"/>
    <w:rsid w:val="003D3CB2"/>
    <w:rsid w:val="003D3D5D"/>
    <w:rsid w:val="003D3D91"/>
    <w:rsid w:val="003D3EC2"/>
    <w:rsid w:val="003D4226"/>
    <w:rsid w:val="003D44CE"/>
    <w:rsid w:val="003D460F"/>
    <w:rsid w:val="003D4674"/>
    <w:rsid w:val="003D4708"/>
    <w:rsid w:val="003D472C"/>
    <w:rsid w:val="003D477A"/>
    <w:rsid w:val="003D49DA"/>
    <w:rsid w:val="003D49F8"/>
    <w:rsid w:val="003D4D86"/>
    <w:rsid w:val="003D50D7"/>
    <w:rsid w:val="003D5130"/>
    <w:rsid w:val="003D541F"/>
    <w:rsid w:val="003D5467"/>
    <w:rsid w:val="003D5469"/>
    <w:rsid w:val="003D55F6"/>
    <w:rsid w:val="003D5847"/>
    <w:rsid w:val="003D603B"/>
    <w:rsid w:val="003D614C"/>
    <w:rsid w:val="003D619A"/>
    <w:rsid w:val="003D6556"/>
    <w:rsid w:val="003D6875"/>
    <w:rsid w:val="003D6A19"/>
    <w:rsid w:val="003D6D50"/>
    <w:rsid w:val="003D7041"/>
    <w:rsid w:val="003D7078"/>
    <w:rsid w:val="003D71FB"/>
    <w:rsid w:val="003D758E"/>
    <w:rsid w:val="003D7787"/>
    <w:rsid w:val="003D7C86"/>
    <w:rsid w:val="003D7CF9"/>
    <w:rsid w:val="003D7FD5"/>
    <w:rsid w:val="003E01B9"/>
    <w:rsid w:val="003E0352"/>
    <w:rsid w:val="003E05BD"/>
    <w:rsid w:val="003E070B"/>
    <w:rsid w:val="003E08FE"/>
    <w:rsid w:val="003E0976"/>
    <w:rsid w:val="003E099A"/>
    <w:rsid w:val="003E0A15"/>
    <w:rsid w:val="003E0B37"/>
    <w:rsid w:val="003E0C71"/>
    <w:rsid w:val="003E0C99"/>
    <w:rsid w:val="003E1230"/>
    <w:rsid w:val="003E1406"/>
    <w:rsid w:val="003E14BE"/>
    <w:rsid w:val="003E16E0"/>
    <w:rsid w:val="003E181D"/>
    <w:rsid w:val="003E182D"/>
    <w:rsid w:val="003E184E"/>
    <w:rsid w:val="003E1937"/>
    <w:rsid w:val="003E1AFB"/>
    <w:rsid w:val="003E1E46"/>
    <w:rsid w:val="003E1F52"/>
    <w:rsid w:val="003E213F"/>
    <w:rsid w:val="003E2436"/>
    <w:rsid w:val="003E26B2"/>
    <w:rsid w:val="003E2B86"/>
    <w:rsid w:val="003E2E5D"/>
    <w:rsid w:val="003E2EA8"/>
    <w:rsid w:val="003E3046"/>
    <w:rsid w:val="003E3205"/>
    <w:rsid w:val="003E3272"/>
    <w:rsid w:val="003E32E1"/>
    <w:rsid w:val="003E32FE"/>
    <w:rsid w:val="003E345C"/>
    <w:rsid w:val="003E3615"/>
    <w:rsid w:val="003E36C5"/>
    <w:rsid w:val="003E3966"/>
    <w:rsid w:val="003E3A32"/>
    <w:rsid w:val="003E3ADC"/>
    <w:rsid w:val="003E3B30"/>
    <w:rsid w:val="003E3F41"/>
    <w:rsid w:val="003E3F62"/>
    <w:rsid w:val="003E41A3"/>
    <w:rsid w:val="003E424C"/>
    <w:rsid w:val="003E4251"/>
    <w:rsid w:val="003E4B1B"/>
    <w:rsid w:val="003E501B"/>
    <w:rsid w:val="003E50A1"/>
    <w:rsid w:val="003E5127"/>
    <w:rsid w:val="003E5144"/>
    <w:rsid w:val="003E536E"/>
    <w:rsid w:val="003E542F"/>
    <w:rsid w:val="003E569A"/>
    <w:rsid w:val="003E592F"/>
    <w:rsid w:val="003E5F33"/>
    <w:rsid w:val="003E5F9E"/>
    <w:rsid w:val="003E5FA7"/>
    <w:rsid w:val="003E6011"/>
    <w:rsid w:val="003E61EF"/>
    <w:rsid w:val="003E6615"/>
    <w:rsid w:val="003E694D"/>
    <w:rsid w:val="003E6CD0"/>
    <w:rsid w:val="003E7252"/>
    <w:rsid w:val="003E74C3"/>
    <w:rsid w:val="003E79F9"/>
    <w:rsid w:val="003E7BA5"/>
    <w:rsid w:val="003E7C34"/>
    <w:rsid w:val="003E7EC0"/>
    <w:rsid w:val="003F008B"/>
    <w:rsid w:val="003F031F"/>
    <w:rsid w:val="003F040B"/>
    <w:rsid w:val="003F058B"/>
    <w:rsid w:val="003F06E0"/>
    <w:rsid w:val="003F0708"/>
    <w:rsid w:val="003F076E"/>
    <w:rsid w:val="003F0835"/>
    <w:rsid w:val="003F083C"/>
    <w:rsid w:val="003F08C4"/>
    <w:rsid w:val="003F0901"/>
    <w:rsid w:val="003F0949"/>
    <w:rsid w:val="003F0ABB"/>
    <w:rsid w:val="003F0C38"/>
    <w:rsid w:val="003F0D7C"/>
    <w:rsid w:val="003F0F51"/>
    <w:rsid w:val="003F0F67"/>
    <w:rsid w:val="003F1207"/>
    <w:rsid w:val="003F1223"/>
    <w:rsid w:val="003F1257"/>
    <w:rsid w:val="003F12E9"/>
    <w:rsid w:val="003F13E1"/>
    <w:rsid w:val="003F1522"/>
    <w:rsid w:val="003F1697"/>
    <w:rsid w:val="003F177A"/>
    <w:rsid w:val="003F1835"/>
    <w:rsid w:val="003F1967"/>
    <w:rsid w:val="003F1AB9"/>
    <w:rsid w:val="003F1BBE"/>
    <w:rsid w:val="003F1C13"/>
    <w:rsid w:val="003F1F39"/>
    <w:rsid w:val="003F1FBB"/>
    <w:rsid w:val="003F1FD6"/>
    <w:rsid w:val="003F1FF2"/>
    <w:rsid w:val="003F20B8"/>
    <w:rsid w:val="003F22F8"/>
    <w:rsid w:val="003F235E"/>
    <w:rsid w:val="003F243E"/>
    <w:rsid w:val="003F245F"/>
    <w:rsid w:val="003F26FE"/>
    <w:rsid w:val="003F2842"/>
    <w:rsid w:val="003F2A44"/>
    <w:rsid w:val="003F2ABB"/>
    <w:rsid w:val="003F2ADA"/>
    <w:rsid w:val="003F2B83"/>
    <w:rsid w:val="003F2C11"/>
    <w:rsid w:val="003F2D9F"/>
    <w:rsid w:val="003F301F"/>
    <w:rsid w:val="003F30E6"/>
    <w:rsid w:val="003F3353"/>
    <w:rsid w:val="003F3377"/>
    <w:rsid w:val="003F33B7"/>
    <w:rsid w:val="003F3567"/>
    <w:rsid w:val="003F35D9"/>
    <w:rsid w:val="003F37FD"/>
    <w:rsid w:val="003F3854"/>
    <w:rsid w:val="003F39AE"/>
    <w:rsid w:val="003F3A52"/>
    <w:rsid w:val="003F3B9A"/>
    <w:rsid w:val="003F3EF1"/>
    <w:rsid w:val="003F4181"/>
    <w:rsid w:val="003F42C6"/>
    <w:rsid w:val="003F45B2"/>
    <w:rsid w:val="003F4679"/>
    <w:rsid w:val="003F4B62"/>
    <w:rsid w:val="003F510E"/>
    <w:rsid w:val="003F52DE"/>
    <w:rsid w:val="003F53E0"/>
    <w:rsid w:val="003F551D"/>
    <w:rsid w:val="003F5708"/>
    <w:rsid w:val="003F5777"/>
    <w:rsid w:val="003F59F4"/>
    <w:rsid w:val="003F5B16"/>
    <w:rsid w:val="003F5BEE"/>
    <w:rsid w:val="003F5CD7"/>
    <w:rsid w:val="003F5CD8"/>
    <w:rsid w:val="003F5D35"/>
    <w:rsid w:val="003F5D37"/>
    <w:rsid w:val="003F5D55"/>
    <w:rsid w:val="003F5E21"/>
    <w:rsid w:val="003F5FDD"/>
    <w:rsid w:val="003F6086"/>
    <w:rsid w:val="003F60E1"/>
    <w:rsid w:val="003F631E"/>
    <w:rsid w:val="003F648C"/>
    <w:rsid w:val="003F64FF"/>
    <w:rsid w:val="003F6633"/>
    <w:rsid w:val="003F66FD"/>
    <w:rsid w:val="003F672A"/>
    <w:rsid w:val="003F6AB8"/>
    <w:rsid w:val="003F6B96"/>
    <w:rsid w:val="003F7000"/>
    <w:rsid w:val="003F71FD"/>
    <w:rsid w:val="003F7422"/>
    <w:rsid w:val="003F757E"/>
    <w:rsid w:val="003F764A"/>
    <w:rsid w:val="003F77D7"/>
    <w:rsid w:val="003F7D99"/>
    <w:rsid w:val="003F7F49"/>
    <w:rsid w:val="0040032A"/>
    <w:rsid w:val="0040033C"/>
    <w:rsid w:val="00400494"/>
    <w:rsid w:val="004004D7"/>
    <w:rsid w:val="004004F6"/>
    <w:rsid w:val="0040078F"/>
    <w:rsid w:val="00400FFF"/>
    <w:rsid w:val="004010AA"/>
    <w:rsid w:val="0040121C"/>
    <w:rsid w:val="004012A9"/>
    <w:rsid w:val="0040138E"/>
    <w:rsid w:val="004017AC"/>
    <w:rsid w:val="004017DF"/>
    <w:rsid w:val="00401867"/>
    <w:rsid w:val="004018B8"/>
    <w:rsid w:val="00401A68"/>
    <w:rsid w:val="00401B47"/>
    <w:rsid w:val="00401B69"/>
    <w:rsid w:val="00401B9A"/>
    <w:rsid w:val="00401BAC"/>
    <w:rsid w:val="0040214B"/>
    <w:rsid w:val="00402199"/>
    <w:rsid w:val="00402229"/>
    <w:rsid w:val="0040226E"/>
    <w:rsid w:val="00402280"/>
    <w:rsid w:val="004022A1"/>
    <w:rsid w:val="004022DA"/>
    <w:rsid w:val="00402361"/>
    <w:rsid w:val="004028FD"/>
    <w:rsid w:val="004029E9"/>
    <w:rsid w:val="00402B37"/>
    <w:rsid w:val="00402BA1"/>
    <w:rsid w:val="00402DC6"/>
    <w:rsid w:val="00402F12"/>
    <w:rsid w:val="004030C3"/>
    <w:rsid w:val="0040313C"/>
    <w:rsid w:val="004032E7"/>
    <w:rsid w:val="004033AD"/>
    <w:rsid w:val="004033EE"/>
    <w:rsid w:val="004033F9"/>
    <w:rsid w:val="0040351E"/>
    <w:rsid w:val="00403604"/>
    <w:rsid w:val="00403882"/>
    <w:rsid w:val="00403A03"/>
    <w:rsid w:val="00403A84"/>
    <w:rsid w:val="00403D27"/>
    <w:rsid w:val="004041F4"/>
    <w:rsid w:val="004046BC"/>
    <w:rsid w:val="004046FC"/>
    <w:rsid w:val="004049ED"/>
    <w:rsid w:val="00404D94"/>
    <w:rsid w:val="00404DCD"/>
    <w:rsid w:val="00404F06"/>
    <w:rsid w:val="0040548B"/>
    <w:rsid w:val="004054A8"/>
    <w:rsid w:val="004055FB"/>
    <w:rsid w:val="004057BB"/>
    <w:rsid w:val="00405AE6"/>
    <w:rsid w:val="00405C07"/>
    <w:rsid w:val="00405E6C"/>
    <w:rsid w:val="00405E75"/>
    <w:rsid w:val="00405EA9"/>
    <w:rsid w:val="00405F01"/>
    <w:rsid w:val="00406145"/>
    <w:rsid w:val="0040646D"/>
    <w:rsid w:val="00406500"/>
    <w:rsid w:val="0040667E"/>
    <w:rsid w:val="004066B5"/>
    <w:rsid w:val="00406A86"/>
    <w:rsid w:val="00406AC1"/>
    <w:rsid w:val="00406AFA"/>
    <w:rsid w:val="00406B52"/>
    <w:rsid w:val="00406BC3"/>
    <w:rsid w:val="00406D88"/>
    <w:rsid w:val="00406FFC"/>
    <w:rsid w:val="00407441"/>
    <w:rsid w:val="004077D6"/>
    <w:rsid w:val="0040780E"/>
    <w:rsid w:val="00407867"/>
    <w:rsid w:val="00407C0D"/>
    <w:rsid w:val="00407D6A"/>
    <w:rsid w:val="00407E3E"/>
    <w:rsid w:val="0041047F"/>
    <w:rsid w:val="004104BE"/>
    <w:rsid w:val="00410778"/>
    <w:rsid w:val="00410883"/>
    <w:rsid w:val="00410A5C"/>
    <w:rsid w:val="00410BFB"/>
    <w:rsid w:val="00410C83"/>
    <w:rsid w:val="00410C9B"/>
    <w:rsid w:val="00410DA1"/>
    <w:rsid w:val="00410E25"/>
    <w:rsid w:val="00411033"/>
    <w:rsid w:val="004110E9"/>
    <w:rsid w:val="00411317"/>
    <w:rsid w:val="00411371"/>
    <w:rsid w:val="004115E1"/>
    <w:rsid w:val="004116F3"/>
    <w:rsid w:val="004117A8"/>
    <w:rsid w:val="0041181B"/>
    <w:rsid w:val="004119D5"/>
    <w:rsid w:val="00411A53"/>
    <w:rsid w:val="00411B84"/>
    <w:rsid w:val="00411BEF"/>
    <w:rsid w:val="00411F5D"/>
    <w:rsid w:val="004120B3"/>
    <w:rsid w:val="004121E7"/>
    <w:rsid w:val="00412376"/>
    <w:rsid w:val="004126FC"/>
    <w:rsid w:val="004129F1"/>
    <w:rsid w:val="00412B3E"/>
    <w:rsid w:val="00412B3F"/>
    <w:rsid w:val="00412E00"/>
    <w:rsid w:val="0041312D"/>
    <w:rsid w:val="0041316E"/>
    <w:rsid w:val="004132F1"/>
    <w:rsid w:val="00413661"/>
    <w:rsid w:val="00413710"/>
    <w:rsid w:val="0041375E"/>
    <w:rsid w:val="004137CC"/>
    <w:rsid w:val="00413CEA"/>
    <w:rsid w:val="00414150"/>
    <w:rsid w:val="004141EB"/>
    <w:rsid w:val="00414222"/>
    <w:rsid w:val="00414334"/>
    <w:rsid w:val="00414609"/>
    <w:rsid w:val="00414665"/>
    <w:rsid w:val="00414673"/>
    <w:rsid w:val="0041473B"/>
    <w:rsid w:val="0041478B"/>
    <w:rsid w:val="00414B30"/>
    <w:rsid w:val="00414C6B"/>
    <w:rsid w:val="00414E51"/>
    <w:rsid w:val="00414E5C"/>
    <w:rsid w:val="00414ECE"/>
    <w:rsid w:val="00414F22"/>
    <w:rsid w:val="0041517D"/>
    <w:rsid w:val="004151EC"/>
    <w:rsid w:val="00415500"/>
    <w:rsid w:val="004155A6"/>
    <w:rsid w:val="0041586B"/>
    <w:rsid w:val="0041594C"/>
    <w:rsid w:val="00415A4C"/>
    <w:rsid w:val="00415D81"/>
    <w:rsid w:val="00415D9B"/>
    <w:rsid w:val="00415F63"/>
    <w:rsid w:val="00416093"/>
    <w:rsid w:val="004161D1"/>
    <w:rsid w:val="00416287"/>
    <w:rsid w:val="004162D3"/>
    <w:rsid w:val="0041638F"/>
    <w:rsid w:val="00416512"/>
    <w:rsid w:val="004165A9"/>
    <w:rsid w:val="00416648"/>
    <w:rsid w:val="00416732"/>
    <w:rsid w:val="004167C7"/>
    <w:rsid w:val="004167DB"/>
    <w:rsid w:val="00416B0F"/>
    <w:rsid w:val="00416B90"/>
    <w:rsid w:val="00416C7B"/>
    <w:rsid w:val="00416CA7"/>
    <w:rsid w:val="00416CC7"/>
    <w:rsid w:val="00416D3C"/>
    <w:rsid w:val="00416E86"/>
    <w:rsid w:val="00417269"/>
    <w:rsid w:val="00417337"/>
    <w:rsid w:val="00417347"/>
    <w:rsid w:val="004173A0"/>
    <w:rsid w:val="0041747D"/>
    <w:rsid w:val="00417514"/>
    <w:rsid w:val="00417596"/>
    <w:rsid w:val="0041760B"/>
    <w:rsid w:val="00417742"/>
    <w:rsid w:val="00417775"/>
    <w:rsid w:val="004179E2"/>
    <w:rsid w:val="00417AEA"/>
    <w:rsid w:val="00417C8C"/>
    <w:rsid w:val="00417E60"/>
    <w:rsid w:val="004202E1"/>
    <w:rsid w:val="0042037D"/>
    <w:rsid w:val="004203B7"/>
    <w:rsid w:val="004203EF"/>
    <w:rsid w:val="00420435"/>
    <w:rsid w:val="0042067A"/>
    <w:rsid w:val="0042088C"/>
    <w:rsid w:val="004208DB"/>
    <w:rsid w:val="00420918"/>
    <w:rsid w:val="0042094B"/>
    <w:rsid w:val="00420AAC"/>
    <w:rsid w:val="00420ACC"/>
    <w:rsid w:val="00420B22"/>
    <w:rsid w:val="00420EF6"/>
    <w:rsid w:val="00420F04"/>
    <w:rsid w:val="004210BA"/>
    <w:rsid w:val="004213A2"/>
    <w:rsid w:val="004213A6"/>
    <w:rsid w:val="004214FC"/>
    <w:rsid w:val="00421870"/>
    <w:rsid w:val="0042187C"/>
    <w:rsid w:val="00421CAC"/>
    <w:rsid w:val="00421D08"/>
    <w:rsid w:val="00422156"/>
    <w:rsid w:val="004221F6"/>
    <w:rsid w:val="0042262D"/>
    <w:rsid w:val="004228C6"/>
    <w:rsid w:val="00422B44"/>
    <w:rsid w:val="00422D03"/>
    <w:rsid w:val="00422D1B"/>
    <w:rsid w:val="0042307F"/>
    <w:rsid w:val="00423099"/>
    <w:rsid w:val="00423196"/>
    <w:rsid w:val="0042344D"/>
    <w:rsid w:val="0042347C"/>
    <w:rsid w:val="00423B44"/>
    <w:rsid w:val="00423BCE"/>
    <w:rsid w:val="00423C72"/>
    <w:rsid w:val="00423CBD"/>
    <w:rsid w:val="00423E96"/>
    <w:rsid w:val="00423F95"/>
    <w:rsid w:val="004240A9"/>
    <w:rsid w:val="00424194"/>
    <w:rsid w:val="004241CE"/>
    <w:rsid w:val="00424200"/>
    <w:rsid w:val="00424564"/>
    <w:rsid w:val="0042481E"/>
    <w:rsid w:val="00424D0A"/>
    <w:rsid w:val="00424DD8"/>
    <w:rsid w:val="00424E41"/>
    <w:rsid w:val="00424E71"/>
    <w:rsid w:val="00424E79"/>
    <w:rsid w:val="00424FA9"/>
    <w:rsid w:val="00425254"/>
    <w:rsid w:val="0042558E"/>
    <w:rsid w:val="004256F5"/>
    <w:rsid w:val="00425824"/>
    <w:rsid w:val="0042583C"/>
    <w:rsid w:val="0042593E"/>
    <w:rsid w:val="00425B6E"/>
    <w:rsid w:val="00425BA1"/>
    <w:rsid w:val="00425E28"/>
    <w:rsid w:val="00426178"/>
    <w:rsid w:val="0042625A"/>
    <w:rsid w:val="0042661C"/>
    <w:rsid w:val="00426787"/>
    <w:rsid w:val="00426A35"/>
    <w:rsid w:val="00426ACF"/>
    <w:rsid w:val="00427271"/>
    <w:rsid w:val="004274B3"/>
    <w:rsid w:val="00427808"/>
    <w:rsid w:val="004279EF"/>
    <w:rsid w:val="00427AD0"/>
    <w:rsid w:val="00427B24"/>
    <w:rsid w:val="00427B82"/>
    <w:rsid w:val="00427B89"/>
    <w:rsid w:val="00427CAD"/>
    <w:rsid w:val="00427D61"/>
    <w:rsid w:val="00427D7F"/>
    <w:rsid w:val="00427F27"/>
    <w:rsid w:val="0043009C"/>
    <w:rsid w:val="004300BD"/>
    <w:rsid w:val="00430294"/>
    <w:rsid w:val="004302DB"/>
    <w:rsid w:val="004303AB"/>
    <w:rsid w:val="0043044F"/>
    <w:rsid w:val="0043062E"/>
    <w:rsid w:val="00430734"/>
    <w:rsid w:val="00430742"/>
    <w:rsid w:val="0043076A"/>
    <w:rsid w:val="00430A28"/>
    <w:rsid w:val="00430BDD"/>
    <w:rsid w:val="00430DB2"/>
    <w:rsid w:val="00430FA7"/>
    <w:rsid w:val="00431060"/>
    <w:rsid w:val="0043113F"/>
    <w:rsid w:val="004312C7"/>
    <w:rsid w:val="00431623"/>
    <w:rsid w:val="00431785"/>
    <w:rsid w:val="00431919"/>
    <w:rsid w:val="00431B17"/>
    <w:rsid w:val="00431E07"/>
    <w:rsid w:val="00431F56"/>
    <w:rsid w:val="00432048"/>
    <w:rsid w:val="00432240"/>
    <w:rsid w:val="00432360"/>
    <w:rsid w:val="004323EB"/>
    <w:rsid w:val="00432540"/>
    <w:rsid w:val="0043273C"/>
    <w:rsid w:val="00432D78"/>
    <w:rsid w:val="00432E01"/>
    <w:rsid w:val="00432E48"/>
    <w:rsid w:val="00432ED2"/>
    <w:rsid w:val="00432F60"/>
    <w:rsid w:val="00433108"/>
    <w:rsid w:val="004332B3"/>
    <w:rsid w:val="00433469"/>
    <w:rsid w:val="00433529"/>
    <w:rsid w:val="0043362C"/>
    <w:rsid w:val="004338BE"/>
    <w:rsid w:val="0043391E"/>
    <w:rsid w:val="00433C2A"/>
    <w:rsid w:val="00433DFC"/>
    <w:rsid w:val="00433F36"/>
    <w:rsid w:val="00433FEE"/>
    <w:rsid w:val="00434103"/>
    <w:rsid w:val="004344BF"/>
    <w:rsid w:val="0043452F"/>
    <w:rsid w:val="004345A4"/>
    <w:rsid w:val="00434660"/>
    <w:rsid w:val="004347FF"/>
    <w:rsid w:val="004348E6"/>
    <w:rsid w:val="00434B15"/>
    <w:rsid w:val="00434B64"/>
    <w:rsid w:val="00434D8C"/>
    <w:rsid w:val="004350BA"/>
    <w:rsid w:val="00435326"/>
    <w:rsid w:val="004356DD"/>
    <w:rsid w:val="0043576E"/>
    <w:rsid w:val="00435A59"/>
    <w:rsid w:val="00435C52"/>
    <w:rsid w:val="00435CB8"/>
    <w:rsid w:val="00435F77"/>
    <w:rsid w:val="004360C5"/>
    <w:rsid w:val="00436217"/>
    <w:rsid w:val="00436227"/>
    <w:rsid w:val="0043632B"/>
    <w:rsid w:val="00436624"/>
    <w:rsid w:val="00436B00"/>
    <w:rsid w:val="00436D85"/>
    <w:rsid w:val="00436E6C"/>
    <w:rsid w:val="00437057"/>
    <w:rsid w:val="004370B7"/>
    <w:rsid w:val="00437135"/>
    <w:rsid w:val="004372BA"/>
    <w:rsid w:val="004375B3"/>
    <w:rsid w:val="004379B9"/>
    <w:rsid w:val="00437B99"/>
    <w:rsid w:val="00437D9C"/>
    <w:rsid w:val="00440195"/>
    <w:rsid w:val="00440360"/>
    <w:rsid w:val="004403F7"/>
    <w:rsid w:val="0044069D"/>
    <w:rsid w:val="00440C88"/>
    <w:rsid w:val="00440C8C"/>
    <w:rsid w:val="00441226"/>
    <w:rsid w:val="004412FA"/>
    <w:rsid w:val="0044167F"/>
    <w:rsid w:val="00441791"/>
    <w:rsid w:val="004418E1"/>
    <w:rsid w:val="00441CBC"/>
    <w:rsid w:val="00441EDE"/>
    <w:rsid w:val="00441F98"/>
    <w:rsid w:val="0044207C"/>
    <w:rsid w:val="0044214C"/>
    <w:rsid w:val="00442172"/>
    <w:rsid w:val="004426FC"/>
    <w:rsid w:val="00442E9B"/>
    <w:rsid w:val="00443688"/>
    <w:rsid w:val="004436DA"/>
    <w:rsid w:val="0044373E"/>
    <w:rsid w:val="00443791"/>
    <w:rsid w:val="004438E4"/>
    <w:rsid w:val="00443A82"/>
    <w:rsid w:val="00443B3F"/>
    <w:rsid w:val="00443B94"/>
    <w:rsid w:val="00443E1F"/>
    <w:rsid w:val="00443EC1"/>
    <w:rsid w:val="0044403E"/>
    <w:rsid w:val="004441D6"/>
    <w:rsid w:val="00444240"/>
    <w:rsid w:val="004443D2"/>
    <w:rsid w:val="004443E1"/>
    <w:rsid w:val="0044473D"/>
    <w:rsid w:val="00444911"/>
    <w:rsid w:val="00444A57"/>
    <w:rsid w:val="00444D52"/>
    <w:rsid w:val="0044501E"/>
    <w:rsid w:val="0044566E"/>
    <w:rsid w:val="004457D1"/>
    <w:rsid w:val="004458AF"/>
    <w:rsid w:val="004458EE"/>
    <w:rsid w:val="00445BBA"/>
    <w:rsid w:val="00445E6F"/>
    <w:rsid w:val="004462F7"/>
    <w:rsid w:val="00446302"/>
    <w:rsid w:val="00446527"/>
    <w:rsid w:val="00446555"/>
    <w:rsid w:val="00446A96"/>
    <w:rsid w:val="00446B76"/>
    <w:rsid w:val="00446C3A"/>
    <w:rsid w:val="00446C68"/>
    <w:rsid w:val="00446D05"/>
    <w:rsid w:val="00446DCD"/>
    <w:rsid w:val="00446F26"/>
    <w:rsid w:val="00447259"/>
    <w:rsid w:val="0044756C"/>
    <w:rsid w:val="00447666"/>
    <w:rsid w:val="00447725"/>
    <w:rsid w:val="00447752"/>
    <w:rsid w:val="004477FF"/>
    <w:rsid w:val="00447900"/>
    <w:rsid w:val="00447AC9"/>
    <w:rsid w:val="00447CE7"/>
    <w:rsid w:val="00447D1A"/>
    <w:rsid w:val="00447D60"/>
    <w:rsid w:val="00447F07"/>
    <w:rsid w:val="00447FA8"/>
    <w:rsid w:val="004501EF"/>
    <w:rsid w:val="004502B2"/>
    <w:rsid w:val="00450342"/>
    <w:rsid w:val="004503A2"/>
    <w:rsid w:val="004503ED"/>
    <w:rsid w:val="00450452"/>
    <w:rsid w:val="0045047E"/>
    <w:rsid w:val="004504E9"/>
    <w:rsid w:val="00450588"/>
    <w:rsid w:val="004509AE"/>
    <w:rsid w:val="00450B28"/>
    <w:rsid w:val="00450CD9"/>
    <w:rsid w:val="00450E62"/>
    <w:rsid w:val="004510EC"/>
    <w:rsid w:val="00451209"/>
    <w:rsid w:val="00451359"/>
    <w:rsid w:val="00451389"/>
    <w:rsid w:val="00451433"/>
    <w:rsid w:val="00451651"/>
    <w:rsid w:val="00451970"/>
    <w:rsid w:val="00451989"/>
    <w:rsid w:val="00451C55"/>
    <w:rsid w:val="00451E80"/>
    <w:rsid w:val="00452240"/>
    <w:rsid w:val="00452434"/>
    <w:rsid w:val="004525FF"/>
    <w:rsid w:val="00452631"/>
    <w:rsid w:val="004526F1"/>
    <w:rsid w:val="00452923"/>
    <w:rsid w:val="004529C4"/>
    <w:rsid w:val="00452AE8"/>
    <w:rsid w:val="00452C26"/>
    <w:rsid w:val="00452C42"/>
    <w:rsid w:val="00452CA0"/>
    <w:rsid w:val="00452D99"/>
    <w:rsid w:val="00452EAE"/>
    <w:rsid w:val="00452EF2"/>
    <w:rsid w:val="00452FEC"/>
    <w:rsid w:val="00453264"/>
    <w:rsid w:val="0045350E"/>
    <w:rsid w:val="00453B15"/>
    <w:rsid w:val="0045402E"/>
    <w:rsid w:val="0045471E"/>
    <w:rsid w:val="004549A2"/>
    <w:rsid w:val="00454CC9"/>
    <w:rsid w:val="00454EAD"/>
    <w:rsid w:val="004551F2"/>
    <w:rsid w:val="0045521A"/>
    <w:rsid w:val="00455228"/>
    <w:rsid w:val="0045526D"/>
    <w:rsid w:val="00455597"/>
    <w:rsid w:val="00455776"/>
    <w:rsid w:val="004557D5"/>
    <w:rsid w:val="00455827"/>
    <w:rsid w:val="004558A1"/>
    <w:rsid w:val="00455E1D"/>
    <w:rsid w:val="00455FBF"/>
    <w:rsid w:val="00456226"/>
    <w:rsid w:val="0045628F"/>
    <w:rsid w:val="004562B8"/>
    <w:rsid w:val="0045650E"/>
    <w:rsid w:val="00456560"/>
    <w:rsid w:val="004568D7"/>
    <w:rsid w:val="00456C48"/>
    <w:rsid w:val="00456D59"/>
    <w:rsid w:val="00456E0B"/>
    <w:rsid w:val="00456E51"/>
    <w:rsid w:val="00456EEB"/>
    <w:rsid w:val="0045701F"/>
    <w:rsid w:val="00457305"/>
    <w:rsid w:val="004574E7"/>
    <w:rsid w:val="004575B3"/>
    <w:rsid w:val="0045778C"/>
    <w:rsid w:val="00457981"/>
    <w:rsid w:val="00457990"/>
    <w:rsid w:val="00457C7C"/>
    <w:rsid w:val="0046010D"/>
    <w:rsid w:val="00460114"/>
    <w:rsid w:val="0046083C"/>
    <w:rsid w:val="00460914"/>
    <w:rsid w:val="00460D71"/>
    <w:rsid w:val="00460E23"/>
    <w:rsid w:val="00460F33"/>
    <w:rsid w:val="004610A0"/>
    <w:rsid w:val="00461246"/>
    <w:rsid w:val="0046147A"/>
    <w:rsid w:val="0046174C"/>
    <w:rsid w:val="0046188F"/>
    <w:rsid w:val="0046194B"/>
    <w:rsid w:val="004619BA"/>
    <w:rsid w:val="00461CDE"/>
    <w:rsid w:val="00461E09"/>
    <w:rsid w:val="00462036"/>
    <w:rsid w:val="0046203E"/>
    <w:rsid w:val="00462064"/>
    <w:rsid w:val="0046215D"/>
    <w:rsid w:val="0046222A"/>
    <w:rsid w:val="004623C3"/>
    <w:rsid w:val="00462673"/>
    <w:rsid w:val="004627D9"/>
    <w:rsid w:val="00462914"/>
    <w:rsid w:val="00462926"/>
    <w:rsid w:val="00462A79"/>
    <w:rsid w:val="00462B54"/>
    <w:rsid w:val="00462BD6"/>
    <w:rsid w:val="00463064"/>
    <w:rsid w:val="0046334D"/>
    <w:rsid w:val="004633A5"/>
    <w:rsid w:val="004633D2"/>
    <w:rsid w:val="004636A2"/>
    <w:rsid w:val="004636C5"/>
    <w:rsid w:val="00463782"/>
    <w:rsid w:val="004637AF"/>
    <w:rsid w:val="00463827"/>
    <w:rsid w:val="00463AD2"/>
    <w:rsid w:val="00463B78"/>
    <w:rsid w:val="00463DB5"/>
    <w:rsid w:val="00463EC9"/>
    <w:rsid w:val="004640FD"/>
    <w:rsid w:val="00464118"/>
    <w:rsid w:val="004649CD"/>
    <w:rsid w:val="00464A69"/>
    <w:rsid w:val="00464C37"/>
    <w:rsid w:val="00464D9E"/>
    <w:rsid w:val="00465017"/>
    <w:rsid w:val="0046504D"/>
    <w:rsid w:val="004651A7"/>
    <w:rsid w:val="00465385"/>
    <w:rsid w:val="0046558A"/>
    <w:rsid w:val="004656CF"/>
    <w:rsid w:val="00465998"/>
    <w:rsid w:val="00465A70"/>
    <w:rsid w:val="00465D65"/>
    <w:rsid w:val="00465E91"/>
    <w:rsid w:val="00466036"/>
    <w:rsid w:val="004660B4"/>
    <w:rsid w:val="004660F0"/>
    <w:rsid w:val="004665FA"/>
    <w:rsid w:val="00466750"/>
    <w:rsid w:val="004667DB"/>
    <w:rsid w:val="00466805"/>
    <w:rsid w:val="0046685B"/>
    <w:rsid w:val="00466912"/>
    <w:rsid w:val="00466B33"/>
    <w:rsid w:val="00466BC5"/>
    <w:rsid w:val="00466CF1"/>
    <w:rsid w:val="00466DF9"/>
    <w:rsid w:val="00466F73"/>
    <w:rsid w:val="00466FC4"/>
    <w:rsid w:val="00467066"/>
    <w:rsid w:val="004670A0"/>
    <w:rsid w:val="0046770A"/>
    <w:rsid w:val="00467778"/>
    <w:rsid w:val="004678FF"/>
    <w:rsid w:val="0046798E"/>
    <w:rsid w:val="00467A5C"/>
    <w:rsid w:val="00467ABD"/>
    <w:rsid w:val="00467BB6"/>
    <w:rsid w:val="00467D82"/>
    <w:rsid w:val="00467DD4"/>
    <w:rsid w:val="00467E2B"/>
    <w:rsid w:val="00467E45"/>
    <w:rsid w:val="00467F32"/>
    <w:rsid w:val="00470004"/>
    <w:rsid w:val="00470147"/>
    <w:rsid w:val="00470214"/>
    <w:rsid w:val="004705F5"/>
    <w:rsid w:val="00470796"/>
    <w:rsid w:val="00470831"/>
    <w:rsid w:val="00470BAE"/>
    <w:rsid w:val="00471254"/>
    <w:rsid w:val="0047137D"/>
    <w:rsid w:val="00471411"/>
    <w:rsid w:val="00471855"/>
    <w:rsid w:val="00471956"/>
    <w:rsid w:val="00471AFB"/>
    <w:rsid w:val="00471CAF"/>
    <w:rsid w:val="00471D36"/>
    <w:rsid w:val="00471DEC"/>
    <w:rsid w:val="00471F40"/>
    <w:rsid w:val="00471F90"/>
    <w:rsid w:val="00472386"/>
    <w:rsid w:val="00472461"/>
    <w:rsid w:val="004724BE"/>
    <w:rsid w:val="00472790"/>
    <w:rsid w:val="004727AD"/>
    <w:rsid w:val="00472B98"/>
    <w:rsid w:val="00472BB5"/>
    <w:rsid w:val="00472DA4"/>
    <w:rsid w:val="00472DEE"/>
    <w:rsid w:val="00472F3C"/>
    <w:rsid w:val="00473141"/>
    <w:rsid w:val="004731D7"/>
    <w:rsid w:val="004732CA"/>
    <w:rsid w:val="004735CC"/>
    <w:rsid w:val="004738C3"/>
    <w:rsid w:val="00473C3D"/>
    <w:rsid w:val="00473EBA"/>
    <w:rsid w:val="00473FF8"/>
    <w:rsid w:val="004742D6"/>
    <w:rsid w:val="004743E1"/>
    <w:rsid w:val="00474401"/>
    <w:rsid w:val="00474445"/>
    <w:rsid w:val="0047451E"/>
    <w:rsid w:val="00474835"/>
    <w:rsid w:val="00474B34"/>
    <w:rsid w:val="00474EA2"/>
    <w:rsid w:val="0047501C"/>
    <w:rsid w:val="0047507D"/>
    <w:rsid w:val="0047512D"/>
    <w:rsid w:val="00475295"/>
    <w:rsid w:val="004755E3"/>
    <w:rsid w:val="004757FE"/>
    <w:rsid w:val="004759EC"/>
    <w:rsid w:val="00475B95"/>
    <w:rsid w:val="00475BFE"/>
    <w:rsid w:val="00475C23"/>
    <w:rsid w:val="00475C50"/>
    <w:rsid w:val="00475DCB"/>
    <w:rsid w:val="00475DED"/>
    <w:rsid w:val="004762F3"/>
    <w:rsid w:val="004766EA"/>
    <w:rsid w:val="00476CD4"/>
    <w:rsid w:val="00476DBC"/>
    <w:rsid w:val="00476F97"/>
    <w:rsid w:val="00477042"/>
    <w:rsid w:val="0047711B"/>
    <w:rsid w:val="004771C3"/>
    <w:rsid w:val="0047726B"/>
    <w:rsid w:val="00477404"/>
    <w:rsid w:val="00477612"/>
    <w:rsid w:val="00477776"/>
    <w:rsid w:val="004779B7"/>
    <w:rsid w:val="00477C42"/>
    <w:rsid w:val="00480065"/>
    <w:rsid w:val="004800FA"/>
    <w:rsid w:val="00480562"/>
    <w:rsid w:val="00480564"/>
    <w:rsid w:val="004808B8"/>
    <w:rsid w:val="004809B8"/>
    <w:rsid w:val="00480ACA"/>
    <w:rsid w:val="00480D86"/>
    <w:rsid w:val="00480DD9"/>
    <w:rsid w:val="00481127"/>
    <w:rsid w:val="0048118E"/>
    <w:rsid w:val="0048119A"/>
    <w:rsid w:val="00481708"/>
    <w:rsid w:val="004817E9"/>
    <w:rsid w:val="00481CF5"/>
    <w:rsid w:val="00481CFE"/>
    <w:rsid w:val="00481DAC"/>
    <w:rsid w:val="00481F10"/>
    <w:rsid w:val="004820FA"/>
    <w:rsid w:val="004821B9"/>
    <w:rsid w:val="004821DA"/>
    <w:rsid w:val="004823D7"/>
    <w:rsid w:val="004824F0"/>
    <w:rsid w:val="0048262B"/>
    <w:rsid w:val="0048269B"/>
    <w:rsid w:val="0048270C"/>
    <w:rsid w:val="00482758"/>
    <w:rsid w:val="004827BF"/>
    <w:rsid w:val="004827F9"/>
    <w:rsid w:val="004828DF"/>
    <w:rsid w:val="00482E3C"/>
    <w:rsid w:val="00482F7F"/>
    <w:rsid w:val="00483217"/>
    <w:rsid w:val="0048347E"/>
    <w:rsid w:val="0048354C"/>
    <w:rsid w:val="0048387B"/>
    <w:rsid w:val="004839E2"/>
    <w:rsid w:val="00483A69"/>
    <w:rsid w:val="00483B2E"/>
    <w:rsid w:val="00483BBF"/>
    <w:rsid w:val="00483F9B"/>
    <w:rsid w:val="004840F4"/>
    <w:rsid w:val="0048421D"/>
    <w:rsid w:val="00484806"/>
    <w:rsid w:val="004848C5"/>
    <w:rsid w:val="00484946"/>
    <w:rsid w:val="00484A0D"/>
    <w:rsid w:val="00484AA6"/>
    <w:rsid w:val="00484ADC"/>
    <w:rsid w:val="00484CC3"/>
    <w:rsid w:val="00484D05"/>
    <w:rsid w:val="00484E34"/>
    <w:rsid w:val="00484F81"/>
    <w:rsid w:val="00485079"/>
    <w:rsid w:val="004850EA"/>
    <w:rsid w:val="0048521E"/>
    <w:rsid w:val="00485301"/>
    <w:rsid w:val="00485601"/>
    <w:rsid w:val="00485612"/>
    <w:rsid w:val="0048588E"/>
    <w:rsid w:val="00485A0F"/>
    <w:rsid w:val="00485DD4"/>
    <w:rsid w:val="00485F13"/>
    <w:rsid w:val="00486093"/>
    <w:rsid w:val="00486100"/>
    <w:rsid w:val="0048632D"/>
    <w:rsid w:val="00486959"/>
    <w:rsid w:val="004869FE"/>
    <w:rsid w:val="00486AE9"/>
    <w:rsid w:val="00486D36"/>
    <w:rsid w:val="00486E2E"/>
    <w:rsid w:val="00486F84"/>
    <w:rsid w:val="0048701F"/>
    <w:rsid w:val="0048704A"/>
    <w:rsid w:val="004873CA"/>
    <w:rsid w:val="00487498"/>
    <w:rsid w:val="00487BAC"/>
    <w:rsid w:val="00487D40"/>
    <w:rsid w:val="00487E9F"/>
    <w:rsid w:val="00487FAA"/>
    <w:rsid w:val="004900BA"/>
    <w:rsid w:val="00490117"/>
    <w:rsid w:val="004902A7"/>
    <w:rsid w:val="0049068E"/>
    <w:rsid w:val="00490742"/>
    <w:rsid w:val="004908BF"/>
    <w:rsid w:val="00490A31"/>
    <w:rsid w:val="00490B23"/>
    <w:rsid w:val="0049102C"/>
    <w:rsid w:val="004910A6"/>
    <w:rsid w:val="00491397"/>
    <w:rsid w:val="00491575"/>
    <w:rsid w:val="004916CB"/>
    <w:rsid w:val="0049177D"/>
    <w:rsid w:val="004917B9"/>
    <w:rsid w:val="0049183D"/>
    <w:rsid w:val="00491880"/>
    <w:rsid w:val="00491D88"/>
    <w:rsid w:val="00491FDF"/>
    <w:rsid w:val="00492199"/>
    <w:rsid w:val="004921D0"/>
    <w:rsid w:val="00492271"/>
    <w:rsid w:val="0049256E"/>
    <w:rsid w:val="004925BF"/>
    <w:rsid w:val="004925FD"/>
    <w:rsid w:val="004926AE"/>
    <w:rsid w:val="004926DB"/>
    <w:rsid w:val="004927D8"/>
    <w:rsid w:val="004928BF"/>
    <w:rsid w:val="00492C6D"/>
    <w:rsid w:val="00492FFD"/>
    <w:rsid w:val="00493021"/>
    <w:rsid w:val="004930F7"/>
    <w:rsid w:val="00493277"/>
    <w:rsid w:val="004935ED"/>
    <w:rsid w:val="00493631"/>
    <w:rsid w:val="00493665"/>
    <w:rsid w:val="0049367D"/>
    <w:rsid w:val="004939D7"/>
    <w:rsid w:val="00493A2E"/>
    <w:rsid w:val="00493BE7"/>
    <w:rsid w:val="00493E33"/>
    <w:rsid w:val="00494058"/>
    <w:rsid w:val="004940CB"/>
    <w:rsid w:val="004941CC"/>
    <w:rsid w:val="0049424C"/>
    <w:rsid w:val="004942B5"/>
    <w:rsid w:val="0049431F"/>
    <w:rsid w:val="00494523"/>
    <w:rsid w:val="004945F6"/>
    <w:rsid w:val="0049472B"/>
    <w:rsid w:val="00494746"/>
    <w:rsid w:val="0049477E"/>
    <w:rsid w:val="00494B47"/>
    <w:rsid w:val="00494E80"/>
    <w:rsid w:val="00495046"/>
    <w:rsid w:val="0049508D"/>
    <w:rsid w:val="004950AD"/>
    <w:rsid w:val="00495351"/>
    <w:rsid w:val="004955B4"/>
    <w:rsid w:val="0049563E"/>
    <w:rsid w:val="004957C8"/>
    <w:rsid w:val="004958AC"/>
    <w:rsid w:val="00495B49"/>
    <w:rsid w:val="00495B6A"/>
    <w:rsid w:val="00495C4F"/>
    <w:rsid w:val="00495E2E"/>
    <w:rsid w:val="00495FD4"/>
    <w:rsid w:val="00496002"/>
    <w:rsid w:val="0049605C"/>
    <w:rsid w:val="004965C1"/>
    <w:rsid w:val="004965F7"/>
    <w:rsid w:val="00496605"/>
    <w:rsid w:val="0049669D"/>
    <w:rsid w:val="004966F6"/>
    <w:rsid w:val="0049687E"/>
    <w:rsid w:val="004969AF"/>
    <w:rsid w:val="00496A3B"/>
    <w:rsid w:val="00496DA4"/>
    <w:rsid w:val="00496FD5"/>
    <w:rsid w:val="004970F8"/>
    <w:rsid w:val="00497552"/>
    <w:rsid w:val="004975AD"/>
    <w:rsid w:val="004975EE"/>
    <w:rsid w:val="004978B2"/>
    <w:rsid w:val="004978F1"/>
    <w:rsid w:val="00497950"/>
    <w:rsid w:val="00497BFA"/>
    <w:rsid w:val="00497E64"/>
    <w:rsid w:val="00497FBF"/>
    <w:rsid w:val="004A053D"/>
    <w:rsid w:val="004A06F9"/>
    <w:rsid w:val="004A072F"/>
    <w:rsid w:val="004A089F"/>
    <w:rsid w:val="004A09CA"/>
    <w:rsid w:val="004A0A2A"/>
    <w:rsid w:val="004A0E25"/>
    <w:rsid w:val="004A0EDC"/>
    <w:rsid w:val="004A1207"/>
    <w:rsid w:val="004A1487"/>
    <w:rsid w:val="004A1635"/>
    <w:rsid w:val="004A1721"/>
    <w:rsid w:val="004A1737"/>
    <w:rsid w:val="004A1D47"/>
    <w:rsid w:val="004A1E72"/>
    <w:rsid w:val="004A1FCC"/>
    <w:rsid w:val="004A219F"/>
    <w:rsid w:val="004A2490"/>
    <w:rsid w:val="004A2565"/>
    <w:rsid w:val="004A267A"/>
    <w:rsid w:val="004A28EE"/>
    <w:rsid w:val="004A29BD"/>
    <w:rsid w:val="004A2BE8"/>
    <w:rsid w:val="004A2D3C"/>
    <w:rsid w:val="004A2DC5"/>
    <w:rsid w:val="004A2F18"/>
    <w:rsid w:val="004A2FFD"/>
    <w:rsid w:val="004A30B5"/>
    <w:rsid w:val="004A3126"/>
    <w:rsid w:val="004A3183"/>
    <w:rsid w:val="004A325C"/>
    <w:rsid w:val="004A35C1"/>
    <w:rsid w:val="004A372B"/>
    <w:rsid w:val="004A3873"/>
    <w:rsid w:val="004A39C9"/>
    <w:rsid w:val="004A3B78"/>
    <w:rsid w:val="004A3D9A"/>
    <w:rsid w:val="004A4036"/>
    <w:rsid w:val="004A40B0"/>
    <w:rsid w:val="004A4130"/>
    <w:rsid w:val="004A41FB"/>
    <w:rsid w:val="004A4309"/>
    <w:rsid w:val="004A43D6"/>
    <w:rsid w:val="004A46FF"/>
    <w:rsid w:val="004A477B"/>
    <w:rsid w:val="004A4A56"/>
    <w:rsid w:val="004A4BFA"/>
    <w:rsid w:val="004A4C99"/>
    <w:rsid w:val="004A4CBD"/>
    <w:rsid w:val="004A4CD3"/>
    <w:rsid w:val="004A4CF0"/>
    <w:rsid w:val="004A56B1"/>
    <w:rsid w:val="004A5982"/>
    <w:rsid w:val="004A5A65"/>
    <w:rsid w:val="004A5D88"/>
    <w:rsid w:val="004A5DD6"/>
    <w:rsid w:val="004A5E5A"/>
    <w:rsid w:val="004A5E5F"/>
    <w:rsid w:val="004A5F9D"/>
    <w:rsid w:val="004A6101"/>
    <w:rsid w:val="004A6166"/>
    <w:rsid w:val="004A6240"/>
    <w:rsid w:val="004A6302"/>
    <w:rsid w:val="004A63E5"/>
    <w:rsid w:val="004A66D0"/>
    <w:rsid w:val="004A66FC"/>
    <w:rsid w:val="004A67E9"/>
    <w:rsid w:val="004A687D"/>
    <w:rsid w:val="004A6896"/>
    <w:rsid w:val="004A6B13"/>
    <w:rsid w:val="004A6DB6"/>
    <w:rsid w:val="004A7048"/>
    <w:rsid w:val="004A7057"/>
    <w:rsid w:val="004A7096"/>
    <w:rsid w:val="004A70A2"/>
    <w:rsid w:val="004A70F7"/>
    <w:rsid w:val="004A7200"/>
    <w:rsid w:val="004A72F3"/>
    <w:rsid w:val="004A73A0"/>
    <w:rsid w:val="004A742E"/>
    <w:rsid w:val="004A7616"/>
    <w:rsid w:val="004A768A"/>
    <w:rsid w:val="004A76A0"/>
    <w:rsid w:val="004A770A"/>
    <w:rsid w:val="004A7B16"/>
    <w:rsid w:val="004A7B5E"/>
    <w:rsid w:val="004A7E57"/>
    <w:rsid w:val="004A7EFC"/>
    <w:rsid w:val="004A7F8A"/>
    <w:rsid w:val="004B0498"/>
    <w:rsid w:val="004B0514"/>
    <w:rsid w:val="004B0A0A"/>
    <w:rsid w:val="004B0A5A"/>
    <w:rsid w:val="004B0B7E"/>
    <w:rsid w:val="004B0CB0"/>
    <w:rsid w:val="004B0D70"/>
    <w:rsid w:val="004B102D"/>
    <w:rsid w:val="004B1088"/>
    <w:rsid w:val="004B1125"/>
    <w:rsid w:val="004B11D6"/>
    <w:rsid w:val="004B12F1"/>
    <w:rsid w:val="004B14B2"/>
    <w:rsid w:val="004B1707"/>
    <w:rsid w:val="004B1C4B"/>
    <w:rsid w:val="004B1DA3"/>
    <w:rsid w:val="004B1F04"/>
    <w:rsid w:val="004B208D"/>
    <w:rsid w:val="004B2392"/>
    <w:rsid w:val="004B2722"/>
    <w:rsid w:val="004B2891"/>
    <w:rsid w:val="004B2C16"/>
    <w:rsid w:val="004B2C60"/>
    <w:rsid w:val="004B2D06"/>
    <w:rsid w:val="004B2D30"/>
    <w:rsid w:val="004B2D6F"/>
    <w:rsid w:val="004B30B4"/>
    <w:rsid w:val="004B3149"/>
    <w:rsid w:val="004B3247"/>
    <w:rsid w:val="004B33A4"/>
    <w:rsid w:val="004B358E"/>
    <w:rsid w:val="004B35E8"/>
    <w:rsid w:val="004B370E"/>
    <w:rsid w:val="004B3758"/>
    <w:rsid w:val="004B37D3"/>
    <w:rsid w:val="004B3804"/>
    <w:rsid w:val="004B3824"/>
    <w:rsid w:val="004B3B67"/>
    <w:rsid w:val="004B3BF2"/>
    <w:rsid w:val="004B3CA0"/>
    <w:rsid w:val="004B3CCF"/>
    <w:rsid w:val="004B3E57"/>
    <w:rsid w:val="004B3F3D"/>
    <w:rsid w:val="004B3F9E"/>
    <w:rsid w:val="004B3FF4"/>
    <w:rsid w:val="004B42F4"/>
    <w:rsid w:val="004B4507"/>
    <w:rsid w:val="004B46BB"/>
    <w:rsid w:val="004B47FE"/>
    <w:rsid w:val="004B4904"/>
    <w:rsid w:val="004B4928"/>
    <w:rsid w:val="004B4C98"/>
    <w:rsid w:val="004B545E"/>
    <w:rsid w:val="004B555F"/>
    <w:rsid w:val="004B5562"/>
    <w:rsid w:val="004B5B46"/>
    <w:rsid w:val="004B5B92"/>
    <w:rsid w:val="004B5C07"/>
    <w:rsid w:val="004B5D5A"/>
    <w:rsid w:val="004B5DE8"/>
    <w:rsid w:val="004B60CB"/>
    <w:rsid w:val="004B6291"/>
    <w:rsid w:val="004B664B"/>
    <w:rsid w:val="004B6673"/>
    <w:rsid w:val="004B676F"/>
    <w:rsid w:val="004B6784"/>
    <w:rsid w:val="004B6896"/>
    <w:rsid w:val="004B6A9F"/>
    <w:rsid w:val="004B6BAA"/>
    <w:rsid w:val="004B6CDF"/>
    <w:rsid w:val="004B6E81"/>
    <w:rsid w:val="004B6E89"/>
    <w:rsid w:val="004B73DE"/>
    <w:rsid w:val="004B748C"/>
    <w:rsid w:val="004B7591"/>
    <w:rsid w:val="004B7652"/>
    <w:rsid w:val="004B76EF"/>
    <w:rsid w:val="004B77E4"/>
    <w:rsid w:val="004B7B95"/>
    <w:rsid w:val="004B7D11"/>
    <w:rsid w:val="004B7F5E"/>
    <w:rsid w:val="004B7FCC"/>
    <w:rsid w:val="004B7FDB"/>
    <w:rsid w:val="004C0067"/>
    <w:rsid w:val="004C0093"/>
    <w:rsid w:val="004C0119"/>
    <w:rsid w:val="004C012D"/>
    <w:rsid w:val="004C023D"/>
    <w:rsid w:val="004C042E"/>
    <w:rsid w:val="004C0562"/>
    <w:rsid w:val="004C0615"/>
    <w:rsid w:val="004C0650"/>
    <w:rsid w:val="004C07D9"/>
    <w:rsid w:val="004C0924"/>
    <w:rsid w:val="004C0A62"/>
    <w:rsid w:val="004C0B4E"/>
    <w:rsid w:val="004C0BBB"/>
    <w:rsid w:val="004C0F41"/>
    <w:rsid w:val="004C10FE"/>
    <w:rsid w:val="004C12D1"/>
    <w:rsid w:val="004C13AC"/>
    <w:rsid w:val="004C14AA"/>
    <w:rsid w:val="004C197D"/>
    <w:rsid w:val="004C1CB5"/>
    <w:rsid w:val="004C1DA7"/>
    <w:rsid w:val="004C22D2"/>
    <w:rsid w:val="004C271E"/>
    <w:rsid w:val="004C29CF"/>
    <w:rsid w:val="004C2D29"/>
    <w:rsid w:val="004C2DEE"/>
    <w:rsid w:val="004C3079"/>
    <w:rsid w:val="004C30EF"/>
    <w:rsid w:val="004C3716"/>
    <w:rsid w:val="004C37DA"/>
    <w:rsid w:val="004C3B79"/>
    <w:rsid w:val="004C3B7B"/>
    <w:rsid w:val="004C4079"/>
    <w:rsid w:val="004C4088"/>
    <w:rsid w:val="004C484D"/>
    <w:rsid w:val="004C4B9A"/>
    <w:rsid w:val="004C4C21"/>
    <w:rsid w:val="004C4E12"/>
    <w:rsid w:val="004C4F29"/>
    <w:rsid w:val="004C4FEF"/>
    <w:rsid w:val="004C507A"/>
    <w:rsid w:val="004C50F1"/>
    <w:rsid w:val="004C5141"/>
    <w:rsid w:val="004C5142"/>
    <w:rsid w:val="004C5197"/>
    <w:rsid w:val="004C5379"/>
    <w:rsid w:val="004C5665"/>
    <w:rsid w:val="004C578C"/>
    <w:rsid w:val="004C5C5F"/>
    <w:rsid w:val="004C5C83"/>
    <w:rsid w:val="004C5F4F"/>
    <w:rsid w:val="004C6354"/>
    <w:rsid w:val="004C63BB"/>
    <w:rsid w:val="004C641F"/>
    <w:rsid w:val="004C6565"/>
    <w:rsid w:val="004C6639"/>
    <w:rsid w:val="004C6738"/>
    <w:rsid w:val="004C67C5"/>
    <w:rsid w:val="004C6876"/>
    <w:rsid w:val="004C6958"/>
    <w:rsid w:val="004C6997"/>
    <w:rsid w:val="004C6D90"/>
    <w:rsid w:val="004C721C"/>
    <w:rsid w:val="004C768A"/>
    <w:rsid w:val="004C77F4"/>
    <w:rsid w:val="004C785B"/>
    <w:rsid w:val="004C7986"/>
    <w:rsid w:val="004C7D58"/>
    <w:rsid w:val="004D075D"/>
    <w:rsid w:val="004D07DF"/>
    <w:rsid w:val="004D07EB"/>
    <w:rsid w:val="004D0987"/>
    <w:rsid w:val="004D0A49"/>
    <w:rsid w:val="004D0B88"/>
    <w:rsid w:val="004D0C27"/>
    <w:rsid w:val="004D0D2B"/>
    <w:rsid w:val="004D0DFB"/>
    <w:rsid w:val="004D1391"/>
    <w:rsid w:val="004D152C"/>
    <w:rsid w:val="004D1AB3"/>
    <w:rsid w:val="004D1B34"/>
    <w:rsid w:val="004D1C82"/>
    <w:rsid w:val="004D1D02"/>
    <w:rsid w:val="004D210D"/>
    <w:rsid w:val="004D228F"/>
    <w:rsid w:val="004D2819"/>
    <w:rsid w:val="004D281A"/>
    <w:rsid w:val="004D2A7B"/>
    <w:rsid w:val="004D2B7A"/>
    <w:rsid w:val="004D2E82"/>
    <w:rsid w:val="004D2F55"/>
    <w:rsid w:val="004D2FC2"/>
    <w:rsid w:val="004D3041"/>
    <w:rsid w:val="004D31E0"/>
    <w:rsid w:val="004D3287"/>
    <w:rsid w:val="004D32BC"/>
    <w:rsid w:val="004D33BE"/>
    <w:rsid w:val="004D34A9"/>
    <w:rsid w:val="004D3571"/>
    <w:rsid w:val="004D376D"/>
    <w:rsid w:val="004D3A30"/>
    <w:rsid w:val="004D3AA0"/>
    <w:rsid w:val="004D3B4B"/>
    <w:rsid w:val="004D3C8F"/>
    <w:rsid w:val="004D3D81"/>
    <w:rsid w:val="004D3E5B"/>
    <w:rsid w:val="004D3F61"/>
    <w:rsid w:val="004D479B"/>
    <w:rsid w:val="004D47D4"/>
    <w:rsid w:val="004D48FD"/>
    <w:rsid w:val="004D4CF4"/>
    <w:rsid w:val="004D4E8E"/>
    <w:rsid w:val="004D5075"/>
    <w:rsid w:val="004D51EC"/>
    <w:rsid w:val="004D5209"/>
    <w:rsid w:val="004D53DD"/>
    <w:rsid w:val="004D5592"/>
    <w:rsid w:val="004D55D1"/>
    <w:rsid w:val="004D56AB"/>
    <w:rsid w:val="004D58E3"/>
    <w:rsid w:val="004D5B00"/>
    <w:rsid w:val="004D5F22"/>
    <w:rsid w:val="004D62A4"/>
    <w:rsid w:val="004D65F7"/>
    <w:rsid w:val="004D6742"/>
    <w:rsid w:val="004D6797"/>
    <w:rsid w:val="004D68B5"/>
    <w:rsid w:val="004D693C"/>
    <w:rsid w:val="004D6A29"/>
    <w:rsid w:val="004D6EF5"/>
    <w:rsid w:val="004D7100"/>
    <w:rsid w:val="004D715F"/>
    <w:rsid w:val="004D73A4"/>
    <w:rsid w:val="004D747B"/>
    <w:rsid w:val="004D7553"/>
    <w:rsid w:val="004D7660"/>
    <w:rsid w:val="004D76E1"/>
    <w:rsid w:val="004D792E"/>
    <w:rsid w:val="004D7CE8"/>
    <w:rsid w:val="004D7E55"/>
    <w:rsid w:val="004E02EE"/>
    <w:rsid w:val="004E094F"/>
    <w:rsid w:val="004E0B48"/>
    <w:rsid w:val="004E10E4"/>
    <w:rsid w:val="004E117A"/>
    <w:rsid w:val="004E1357"/>
    <w:rsid w:val="004E15F5"/>
    <w:rsid w:val="004E17E8"/>
    <w:rsid w:val="004E184D"/>
    <w:rsid w:val="004E186D"/>
    <w:rsid w:val="004E19C6"/>
    <w:rsid w:val="004E2081"/>
    <w:rsid w:val="004E2428"/>
    <w:rsid w:val="004E269F"/>
    <w:rsid w:val="004E2879"/>
    <w:rsid w:val="004E2A1C"/>
    <w:rsid w:val="004E2B7E"/>
    <w:rsid w:val="004E2BA0"/>
    <w:rsid w:val="004E2C45"/>
    <w:rsid w:val="004E2C82"/>
    <w:rsid w:val="004E2E44"/>
    <w:rsid w:val="004E2E89"/>
    <w:rsid w:val="004E3753"/>
    <w:rsid w:val="004E37EF"/>
    <w:rsid w:val="004E3A20"/>
    <w:rsid w:val="004E3A95"/>
    <w:rsid w:val="004E3B79"/>
    <w:rsid w:val="004E406C"/>
    <w:rsid w:val="004E420A"/>
    <w:rsid w:val="004E4330"/>
    <w:rsid w:val="004E4520"/>
    <w:rsid w:val="004E4825"/>
    <w:rsid w:val="004E4855"/>
    <w:rsid w:val="004E4899"/>
    <w:rsid w:val="004E48BE"/>
    <w:rsid w:val="004E4984"/>
    <w:rsid w:val="004E4AAD"/>
    <w:rsid w:val="004E4B1B"/>
    <w:rsid w:val="004E4E1C"/>
    <w:rsid w:val="004E4E56"/>
    <w:rsid w:val="004E513E"/>
    <w:rsid w:val="004E55D2"/>
    <w:rsid w:val="004E581A"/>
    <w:rsid w:val="004E59E1"/>
    <w:rsid w:val="004E5B2A"/>
    <w:rsid w:val="004E5E66"/>
    <w:rsid w:val="004E5EA6"/>
    <w:rsid w:val="004E5F90"/>
    <w:rsid w:val="004E6073"/>
    <w:rsid w:val="004E6318"/>
    <w:rsid w:val="004E6499"/>
    <w:rsid w:val="004E65E1"/>
    <w:rsid w:val="004E66E3"/>
    <w:rsid w:val="004E6719"/>
    <w:rsid w:val="004E686B"/>
    <w:rsid w:val="004E6B7D"/>
    <w:rsid w:val="004E6DD8"/>
    <w:rsid w:val="004E6E1F"/>
    <w:rsid w:val="004E6E7A"/>
    <w:rsid w:val="004E7076"/>
    <w:rsid w:val="004E7104"/>
    <w:rsid w:val="004E72E8"/>
    <w:rsid w:val="004E73FE"/>
    <w:rsid w:val="004E7517"/>
    <w:rsid w:val="004E7519"/>
    <w:rsid w:val="004E769A"/>
    <w:rsid w:val="004E7804"/>
    <w:rsid w:val="004E78CE"/>
    <w:rsid w:val="004E7A8F"/>
    <w:rsid w:val="004E7AEB"/>
    <w:rsid w:val="004E7C01"/>
    <w:rsid w:val="004E7F99"/>
    <w:rsid w:val="004F0157"/>
    <w:rsid w:val="004F032A"/>
    <w:rsid w:val="004F03D5"/>
    <w:rsid w:val="004F0684"/>
    <w:rsid w:val="004F06A5"/>
    <w:rsid w:val="004F07A1"/>
    <w:rsid w:val="004F0883"/>
    <w:rsid w:val="004F0B2F"/>
    <w:rsid w:val="004F0D28"/>
    <w:rsid w:val="004F0DA9"/>
    <w:rsid w:val="004F1173"/>
    <w:rsid w:val="004F148C"/>
    <w:rsid w:val="004F1546"/>
    <w:rsid w:val="004F163A"/>
    <w:rsid w:val="004F1661"/>
    <w:rsid w:val="004F1893"/>
    <w:rsid w:val="004F1ACF"/>
    <w:rsid w:val="004F1BA7"/>
    <w:rsid w:val="004F1E6C"/>
    <w:rsid w:val="004F21B5"/>
    <w:rsid w:val="004F234E"/>
    <w:rsid w:val="004F23F4"/>
    <w:rsid w:val="004F25CE"/>
    <w:rsid w:val="004F2A15"/>
    <w:rsid w:val="004F2C66"/>
    <w:rsid w:val="004F2CB7"/>
    <w:rsid w:val="004F2D92"/>
    <w:rsid w:val="004F2F0E"/>
    <w:rsid w:val="004F2F39"/>
    <w:rsid w:val="004F2F52"/>
    <w:rsid w:val="004F3156"/>
    <w:rsid w:val="004F31AE"/>
    <w:rsid w:val="004F32D8"/>
    <w:rsid w:val="004F32DC"/>
    <w:rsid w:val="004F341F"/>
    <w:rsid w:val="004F3704"/>
    <w:rsid w:val="004F383C"/>
    <w:rsid w:val="004F38ED"/>
    <w:rsid w:val="004F399E"/>
    <w:rsid w:val="004F3A8E"/>
    <w:rsid w:val="004F3B60"/>
    <w:rsid w:val="004F3CF8"/>
    <w:rsid w:val="004F3F7A"/>
    <w:rsid w:val="004F4275"/>
    <w:rsid w:val="004F44E2"/>
    <w:rsid w:val="004F458D"/>
    <w:rsid w:val="004F45E4"/>
    <w:rsid w:val="004F4867"/>
    <w:rsid w:val="004F4903"/>
    <w:rsid w:val="004F491F"/>
    <w:rsid w:val="004F49CC"/>
    <w:rsid w:val="004F4A13"/>
    <w:rsid w:val="004F4C0B"/>
    <w:rsid w:val="004F4D36"/>
    <w:rsid w:val="004F4DD1"/>
    <w:rsid w:val="004F4F0A"/>
    <w:rsid w:val="004F4F60"/>
    <w:rsid w:val="004F502A"/>
    <w:rsid w:val="004F503A"/>
    <w:rsid w:val="004F53E2"/>
    <w:rsid w:val="004F583E"/>
    <w:rsid w:val="004F585C"/>
    <w:rsid w:val="004F58D3"/>
    <w:rsid w:val="004F59C1"/>
    <w:rsid w:val="004F5CEF"/>
    <w:rsid w:val="004F5D2B"/>
    <w:rsid w:val="004F5F48"/>
    <w:rsid w:val="004F6230"/>
    <w:rsid w:val="004F628E"/>
    <w:rsid w:val="004F6439"/>
    <w:rsid w:val="004F6449"/>
    <w:rsid w:val="004F65C1"/>
    <w:rsid w:val="004F6794"/>
    <w:rsid w:val="004F67DC"/>
    <w:rsid w:val="004F6818"/>
    <w:rsid w:val="004F6BD0"/>
    <w:rsid w:val="004F6F95"/>
    <w:rsid w:val="004F728E"/>
    <w:rsid w:val="004F745F"/>
    <w:rsid w:val="004F750C"/>
    <w:rsid w:val="004F7531"/>
    <w:rsid w:val="004F7BEC"/>
    <w:rsid w:val="004F7F2F"/>
    <w:rsid w:val="0050005E"/>
    <w:rsid w:val="00500160"/>
    <w:rsid w:val="005001DC"/>
    <w:rsid w:val="005003BB"/>
    <w:rsid w:val="00500586"/>
    <w:rsid w:val="005006C0"/>
    <w:rsid w:val="005007BA"/>
    <w:rsid w:val="00500A3C"/>
    <w:rsid w:val="00500ACD"/>
    <w:rsid w:val="00500D49"/>
    <w:rsid w:val="00500E71"/>
    <w:rsid w:val="00500EF2"/>
    <w:rsid w:val="00500FC1"/>
    <w:rsid w:val="00500FCE"/>
    <w:rsid w:val="00501138"/>
    <w:rsid w:val="00501181"/>
    <w:rsid w:val="005012C0"/>
    <w:rsid w:val="00501359"/>
    <w:rsid w:val="005015C6"/>
    <w:rsid w:val="00501785"/>
    <w:rsid w:val="005017DD"/>
    <w:rsid w:val="005017F8"/>
    <w:rsid w:val="005018B4"/>
    <w:rsid w:val="005018D0"/>
    <w:rsid w:val="00501A5D"/>
    <w:rsid w:val="00501C81"/>
    <w:rsid w:val="00501CF6"/>
    <w:rsid w:val="00501DF5"/>
    <w:rsid w:val="00501F21"/>
    <w:rsid w:val="00501F68"/>
    <w:rsid w:val="00501F6F"/>
    <w:rsid w:val="00501FFE"/>
    <w:rsid w:val="005021FF"/>
    <w:rsid w:val="00502370"/>
    <w:rsid w:val="005024EA"/>
    <w:rsid w:val="005025BB"/>
    <w:rsid w:val="005028D2"/>
    <w:rsid w:val="0050292B"/>
    <w:rsid w:val="00502C17"/>
    <w:rsid w:val="00502C52"/>
    <w:rsid w:val="00502E6D"/>
    <w:rsid w:val="00502E9D"/>
    <w:rsid w:val="00503344"/>
    <w:rsid w:val="0050349C"/>
    <w:rsid w:val="00503797"/>
    <w:rsid w:val="0050390F"/>
    <w:rsid w:val="00503994"/>
    <w:rsid w:val="005039F9"/>
    <w:rsid w:val="00503A5A"/>
    <w:rsid w:val="00503A82"/>
    <w:rsid w:val="00503AB4"/>
    <w:rsid w:val="00503ACD"/>
    <w:rsid w:val="00503B7E"/>
    <w:rsid w:val="00503C46"/>
    <w:rsid w:val="00503D5B"/>
    <w:rsid w:val="00503E85"/>
    <w:rsid w:val="00504061"/>
    <w:rsid w:val="00504373"/>
    <w:rsid w:val="0050462E"/>
    <w:rsid w:val="0050472B"/>
    <w:rsid w:val="0050495F"/>
    <w:rsid w:val="00504A0B"/>
    <w:rsid w:val="00504A1C"/>
    <w:rsid w:val="00504B27"/>
    <w:rsid w:val="00504DE0"/>
    <w:rsid w:val="00504E91"/>
    <w:rsid w:val="00504F2E"/>
    <w:rsid w:val="00505176"/>
    <w:rsid w:val="00505210"/>
    <w:rsid w:val="00505BAE"/>
    <w:rsid w:val="00505DE5"/>
    <w:rsid w:val="00505E22"/>
    <w:rsid w:val="00505F82"/>
    <w:rsid w:val="005060F6"/>
    <w:rsid w:val="005062FE"/>
    <w:rsid w:val="00506741"/>
    <w:rsid w:val="00506956"/>
    <w:rsid w:val="00506973"/>
    <w:rsid w:val="0050698C"/>
    <w:rsid w:val="005069BD"/>
    <w:rsid w:val="00506BD5"/>
    <w:rsid w:val="00506BDF"/>
    <w:rsid w:val="00506F90"/>
    <w:rsid w:val="0050707B"/>
    <w:rsid w:val="005071E3"/>
    <w:rsid w:val="00507243"/>
    <w:rsid w:val="005073A3"/>
    <w:rsid w:val="005074E8"/>
    <w:rsid w:val="005074FC"/>
    <w:rsid w:val="0050753C"/>
    <w:rsid w:val="005075B9"/>
    <w:rsid w:val="00507651"/>
    <w:rsid w:val="005078A0"/>
    <w:rsid w:val="005078B2"/>
    <w:rsid w:val="00507A79"/>
    <w:rsid w:val="00507B09"/>
    <w:rsid w:val="00507B89"/>
    <w:rsid w:val="00507C1B"/>
    <w:rsid w:val="00510059"/>
    <w:rsid w:val="00510236"/>
    <w:rsid w:val="00510370"/>
    <w:rsid w:val="00510396"/>
    <w:rsid w:val="005104AF"/>
    <w:rsid w:val="0051050F"/>
    <w:rsid w:val="0051058D"/>
    <w:rsid w:val="005105DA"/>
    <w:rsid w:val="00510669"/>
    <w:rsid w:val="00510732"/>
    <w:rsid w:val="00510750"/>
    <w:rsid w:val="00510865"/>
    <w:rsid w:val="00510932"/>
    <w:rsid w:val="00510FA2"/>
    <w:rsid w:val="00510FDF"/>
    <w:rsid w:val="005111C4"/>
    <w:rsid w:val="005111C8"/>
    <w:rsid w:val="0051121C"/>
    <w:rsid w:val="00511267"/>
    <w:rsid w:val="0051150C"/>
    <w:rsid w:val="00511662"/>
    <w:rsid w:val="005117F7"/>
    <w:rsid w:val="005118CD"/>
    <w:rsid w:val="00511A17"/>
    <w:rsid w:val="00511C48"/>
    <w:rsid w:val="00511CE8"/>
    <w:rsid w:val="00511CEF"/>
    <w:rsid w:val="00511D3F"/>
    <w:rsid w:val="00511D63"/>
    <w:rsid w:val="00511E3D"/>
    <w:rsid w:val="00511FB1"/>
    <w:rsid w:val="00512025"/>
    <w:rsid w:val="005121D3"/>
    <w:rsid w:val="0051234F"/>
    <w:rsid w:val="005127C1"/>
    <w:rsid w:val="00512821"/>
    <w:rsid w:val="00512914"/>
    <w:rsid w:val="0051299B"/>
    <w:rsid w:val="00512A68"/>
    <w:rsid w:val="00512A79"/>
    <w:rsid w:val="00512BD8"/>
    <w:rsid w:val="00512CC3"/>
    <w:rsid w:val="00512EDA"/>
    <w:rsid w:val="0051339F"/>
    <w:rsid w:val="00513553"/>
    <w:rsid w:val="005135AB"/>
    <w:rsid w:val="005138B1"/>
    <w:rsid w:val="00513A6B"/>
    <w:rsid w:val="00513B32"/>
    <w:rsid w:val="00513DC7"/>
    <w:rsid w:val="00513E6D"/>
    <w:rsid w:val="00513ED3"/>
    <w:rsid w:val="00513F21"/>
    <w:rsid w:val="00514161"/>
    <w:rsid w:val="0051426F"/>
    <w:rsid w:val="00514559"/>
    <w:rsid w:val="00514685"/>
    <w:rsid w:val="00514723"/>
    <w:rsid w:val="00514A33"/>
    <w:rsid w:val="00514EC8"/>
    <w:rsid w:val="00515380"/>
    <w:rsid w:val="00515388"/>
    <w:rsid w:val="005153F3"/>
    <w:rsid w:val="0051549E"/>
    <w:rsid w:val="005155DD"/>
    <w:rsid w:val="005155F1"/>
    <w:rsid w:val="0051565A"/>
    <w:rsid w:val="0051569E"/>
    <w:rsid w:val="00515B60"/>
    <w:rsid w:val="00515CDB"/>
    <w:rsid w:val="00515DC1"/>
    <w:rsid w:val="00516118"/>
    <w:rsid w:val="0051622F"/>
    <w:rsid w:val="0051639F"/>
    <w:rsid w:val="00516652"/>
    <w:rsid w:val="00516C18"/>
    <w:rsid w:val="00516C1C"/>
    <w:rsid w:val="00516C8C"/>
    <w:rsid w:val="00516EE6"/>
    <w:rsid w:val="00516F46"/>
    <w:rsid w:val="0051706C"/>
    <w:rsid w:val="005171F2"/>
    <w:rsid w:val="00517225"/>
    <w:rsid w:val="005173AF"/>
    <w:rsid w:val="00517417"/>
    <w:rsid w:val="005175FF"/>
    <w:rsid w:val="005176CA"/>
    <w:rsid w:val="0051783F"/>
    <w:rsid w:val="00517A74"/>
    <w:rsid w:val="00517B22"/>
    <w:rsid w:val="00517D2D"/>
    <w:rsid w:val="00520091"/>
    <w:rsid w:val="005200CA"/>
    <w:rsid w:val="0052014D"/>
    <w:rsid w:val="00520178"/>
    <w:rsid w:val="00520324"/>
    <w:rsid w:val="00520495"/>
    <w:rsid w:val="00520530"/>
    <w:rsid w:val="005206F3"/>
    <w:rsid w:val="00520708"/>
    <w:rsid w:val="00520D09"/>
    <w:rsid w:val="00520DAA"/>
    <w:rsid w:val="00520E58"/>
    <w:rsid w:val="00520FFC"/>
    <w:rsid w:val="0052116B"/>
    <w:rsid w:val="00521244"/>
    <w:rsid w:val="005213EB"/>
    <w:rsid w:val="00521577"/>
    <w:rsid w:val="0052159A"/>
    <w:rsid w:val="0052159B"/>
    <w:rsid w:val="00521758"/>
    <w:rsid w:val="00521AA5"/>
    <w:rsid w:val="00521F7D"/>
    <w:rsid w:val="00521FD6"/>
    <w:rsid w:val="00522553"/>
    <w:rsid w:val="00522660"/>
    <w:rsid w:val="005227A8"/>
    <w:rsid w:val="0052282F"/>
    <w:rsid w:val="00522967"/>
    <w:rsid w:val="00522ACA"/>
    <w:rsid w:val="00522CDC"/>
    <w:rsid w:val="00522F6B"/>
    <w:rsid w:val="005230FD"/>
    <w:rsid w:val="0052313A"/>
    <w:rsid w:val="005231BB"/>
    <w:rsid w:val="00523515"/>
    <w:rsid w:val="005235D1"/>
    <w:rsid w:val="005236C0"/>
    <w:rsid w:val="00523745"/>
    <w:rsid w:val="00523837"/>
    <w:rsid w:val="0052398D"/>
    <w:rsid w:val="00523C7A"/>
    <w:rsid w:val="00523C96"/>
    <w:rsid w:val="00523DCF"/>
    <w:rsid w:val="00523FE8"/>
    <w:rsid w:val="00524133"/>
    <w:rsid w:val="00524457"/>
    <w:rsid w:val="0052445F"/>
    <w:rsid w:val="005244E9"/>
    <w:rsid w:val="00524662"/>
    <w:rsid w:val="005247FB"/>
    <w:rsid w:val="00524A7D"/>
    <w:rsid w:val="00524C57"/>
    <w:rsid w:val="00524E4E"/>
    <w:rsid w:val="00525268"/>
    <w:rsid w:val="00525367"/>
    <w:rsid w:val="005253CA"/>
    <w:rsid w:val="005253FC"/>
    <w:rsid w:val="00525490"/>
    <w:rsid w:val="00525589"/>
    <w:rsid w:val="005256A7"/>
    <w:rsid w:val="005256D4"/>
    <w:rsid w:val="00525731"/>
    <w:rsid w:val="0052588B"/>
    <w:rsid w:val="00525980"/>
    <w:rsid w:val="005259AE"/>
    <w:rsid w:val="005259BB"/>
    <w:rsid w:val="005259C4"/>
    <w:rsid w:val="00525A79"/>
    <w:rsid w:val="00525B2F"/>
    <w:rsid w:val="0052604A"/>
    <w:rsid w:val="005260B6"/>
    <w:rsid w:val="005260FD"/>
    <w:rsid w:val="0052638F"/>
    <w:rsid w:val="005263FA"/>
    <w:rsid w:val="00526495"/>
    <w:rsid w:val="005264F6"/>
    <w:rsid w:val="005266BD"/>
    <w:rsid w:val="0052696E"/>
    <w:rsid w:val="005269C1"/>
    <w:rsid w:val="005269C5"/>
    <w:rsid w:val="00526C17"/>
    <w:rsid w:val="00526CB2"/>
    <w:rsid w:val="00527084"/>
    <w:rsid w:val="005270FC"/>
    <w:rsid w:val="00527486"/>
    <w:rsid w:val="00527574"/>
    <w:rsid w:val="0052773D"/>
    <w:rsid w:val="0052774C"/>
    <w:rsid w:val="00527841"/>
    <w:rsid w:val="005279AE"/>
    <w:rsid w:val="00527A31"/>
    <w:rsid w:val="00527E95"/>
    <w:rsid w:val="00527F6D"/>
    <w:rsid w:val="00530234"/>
    <w:rsid w:val="00530296"/>
    <w:rsid w:val="005303D4"/>
    <w:rsid w:val="00530623"/>
    <w:rsid w:val="00530736"/>
    <w:rsid w:val="005309EA"/>
    <w:rsid w:val="00530C24"/>
    <w:rsid w:val="00530C32"/>
    <w:rsid w:val="00530CDB"/>
    <w:rsid w:val="00530CF1"/>
    <w:rsid w:val="00530DB1"/>
    <w:rsid w:val="005311D8"/>
    <w:rsid w:val="005312A7"/>
    <w:rsid w:val="00531B3F"/>
    <w:rsid w:val="00531C44"/>
    <w:rsid w:val="00531D0E"/>
    <w:rsid w:val="00531FA2"/>
    <w:rsid w:val="00532310"/>
    <w:rsid w:val="0053232F"/>
    <w:rsid w:val="00532340"/>
    <w:rsid w:val="005323F8"/>
    <w:rsid w:val="00532494"/>
    <w:rsid w:val="005325C1"/>
    <w:rsid w:val="005327E6"/>
    <w:rsid w:val="0053292F"/>
    <w:rsid w:val="00532AA4"/>
    <w:rsid w:val="00532B13"/>
    <w:rsid w:val="00532B18"/>
    <w:rsid w:val="00532B41"/>
    <w:rsid w:val="00532CB2"/>
    <w:rsid w:val="00532D10"/>
    <w:rsid w:val="00533076"/>
    <w:rsid w:val="00533149"/>
    <w:rsid w:val="00533447"/>
    <w:rsid w:val="00533571"/>
    <w:rsid w:val="0053371D"/>
    <w:rsid w:val="00533915"/>
    <w:rsid w:val="005339D9"/>
    <w:rsid w:val="00533A25"/>
    <w:rsid w:val="00533B59"/>
    <w:rsid w:val="00533B84"/>
    <w:rsid w:val="00533C99"/>
    <w:rsid w:val="00533DBD"/>
    <w:rsid w:val="00533F9A"/>
    <w:rsid w:val="0053440B"/>
    <w:rsid w:val="00534593"/>
    <w:rsid w:val="005347F3"/>
    <w:rsid w:val="00534852"/>
    <w:rsid w:val="00534897"/>
    <w:rsid w:val="0053498F"/>
    <w:rsid w:val="00534A1C"/>
    <w:rsid w:val="00534A74"/>
    <w:rsid w:val="00534AD0"/>
    <w:rsid w:val="00534B6B"/>
    <w:rsid w:val="00534D7D"/>
    <w:rsid w:val="005350DC"/>
    <w:rsid w:val="005350FD"/>
    <w:rsid w:val="00535126"/>
    <w:rsid w:val="00535252"/>
    <w:rsid w:val="0053529F"/>
    <w:rsid w:val="00535307"/>
    <w:rsid w:val="0053539E"/>
    <w:rsid w:val="00535589"/>
    <w:rsid w:val="005356CC"/>
    <w:rsid w:val="00535C83"/>
    <w:rsid w:val="00535CB4"/>
    <w:rsid w:val="00535DFF"/>
    <w:rsid w:val="00535E66"/>
    <w:rsid w:val="00535E7F"/>
    <w:rsid w:val="00536010"/>
    <w:rsid w:val="0053606A"/>
    <w:rsid w:val="00536237"/>
    <w:rsid w:val="00536644"/>
    <w:rsid w:val="00536896"/>
    <w:rsid w:val="00536AD5"/>
    <w:rsid w:val="00536B2E"/>
    <w:rsid w:val="00536BEC"/>
    <w:rsid w:val="00537146"/>
    <w:rsid w:val="00537568"/>
    <w:rsid w:val="005376F7"/>
    <w:rsid w:val="00537733"/>
    <w:rsid w:val="00537904"/>
    <w:rsid w:val="00537A08"/>
    <w:rsid w:val="00537A77"/>
    <w:rsid w:val="00537A7E"/>
    <w:rsid w:val="00537A85"/>
    <w:rsid w:val="00537C63"/>
    <w:rsid w:val="00537DAB"/>
    <w:rsid w:val="00537F0C"/>
    <w:rsid w:val="00540310"/>
    <w:rsid w:val="005408E1"/>
    <w:rsid w:val="00540A01"/>
    <w:rsid w:val="00540AF9"/>
    <w:rsid w:val="00540DAF"/>
    <w:rsid w:val="00540EB6"/>
    <w:rsid w:val="00540F9D"/>
    <w:rsid w:val="0054148C"/>
    <w:rsid w:val="0054154D"/>
    <w:rsid w:val="00541A14"/>
    <w:rsid w:val="00541BAA"/>
    <w:rsid w:val="00541D17"/>
    <w:rsid w:val="00541D2B"/>
    <w:rsid w:val="00541DDB"/>
    <w:rsid w:val="00542063"/>
    <w:rsid w:val="005420F8"/>
    <w:rsid w:val="0054211F"/>
    <w:rsid w:val="005422EE"/>
    <w:rsid w:val="0054252E"/>
    <w:rsid w:val="005425D2"/>
    <w:rsid w:val="005426E7"/>
    <w:rsid w:val="00542942"/>
    <w:rsid w:val="00542A85"/>
    <w:rsid w:val="00542B35"/>
    <w:rsid w:val="00542D62"/>
    <w:rsid w:val="00542DE0"/>
    <w:rsid w:val="00542E34"/>
    <w:rsid w:val="00542EEF"/>
    <w:rsid w:val="00543462"/>
    <w:rsid w:val="005434A6"/>
    <w:rsid w:val="00543834"/>
    <w:rsid w:val="0054390B"/>
    <w:rsid w:val="00543A5B"/>
    <w:rsid w:val="00543BFE"/>
    <w:rsid w:val="00543E00"/>
    <w:rsid w:val="00543F9C"/>
    <w:rsid w:val="00544300"/>
    <w:rsid w:val="005443A2"/>
    <w:rsid w:val="00544774"/>
    <w:rsid w:val="00544A37"/>
    <w:rsid w:val="00544BF1"/>
    <w:rsid w:val="00544CB3"/>
    <w:rsid w:val="00544ECC"/>
    <w:rsid w:val="005450B4"/>
    <w:rsid w:val="00545290"/>
    <w:rsid w:val="005454EF"/>
    <w:rsid w:val="00545543"/>
    <w:rsid w:val="005457C7"/>
    <w:rsid w:val="005457CB"/>
    <w:rsid w:val="005459B2"/>
    <w:rsid w:val="00545AB0"/>
    <w:rsid w:val="00545AB1"/>
    <w:rsid w:val="00545C42"/>
    <w:rsid w:val="00545D06"/>
    <w:rsid w:val="00545DB7"/>
    <w:rsid w:val="00545DDB"/>
    <w:rsid w:val="00545F2D"/>
    <w:rsid w:val="005461AA"/>
    <w:rsid w:val="0054623E"/>
    <w:rsid w:val="005462D0"/>
    <w:rsid w:val="00546AD0"/>
    <w:rsid w:val="00546B92"/>
    <w:rsid w:val="00546C0B"/>
    <w:rsid w:val="00546C79"/>
    <w:rsid w:val="00546D39"/>
    <w:rsid w:val="00546F85"/>
    <w:rsid w:val="005472F3"/>
    <w:rsid w:val="005473BB"/>
    <w:rsid w:val="005478AD"/>
    <w:rsid w:val="00547A7E"/>
    <w:rsid w:val="00547A88"/>
    <w:rsid w:val="00547AED"/>
    <w:rsid w:val="00547CD8"/>
    <w:rsid w:val="00547FF9"/>
    <w:rsid w:val="0055000A"/>
    <w:rsid w:val="0055004E"/>
    <w:rsid w:val="00550222"/>
    <w:rsid w:val="0055031F"/>
    <w:rsid w:val="0055036C"/>
    <w:rsid w:val="0055047F"/>
    <w:rsid w:val="005506B8"/>
    <w:rsid w:val="005507EB"/>
    <w:rsid w:val="0055087D"/>
    <w:rsid w:val="00550AB0"/>
    <w:rsid w:val="00550BF3"/>
    <w:rsid w:val="00550C65"/>
    <w:rsid w:val="00550CBF"/>
    <w:rsid w:val="00550D34"/>
    <w:rsid w:val="00550E84"/>
    <w:rsid w:val="005510B8"/>
    <w:rsid w:val="00551368"/>
    <w:rsid w:val="005513AC"/>
    <w:rsid w:val="0055141A"/>
    <w:rsid w:val="00551759"/>
    <w:rsid w:val="00551CCE"/>
    <w:rsid w:val="005521AA"/>
    <w:rsid w:val="005524B0"/>
    <w:rsid w:val="00552A10"/>
    <w:rsid w:val="00552B0F"/>
    <w:rsid w:val="00552C3B"/>
    <w:rsid w:val="00552CD2"/>
    <w:rsid w:val="00552E9F"/>
    <w:rsid w:val="00552F7C"/>
    <w:rsid w:val="00552FCC"/>
    <w:rsid w:val="00553263"/>
    <w:rsid w:val="0055344F"/>
    <w:rsid w:val="00553539"/>
    <w:rsid w:val="0055376F"/>
    <w:rsid w:val="00553822"/>
    <w:rsid w:val="00553893"/>
    <w:rsid w:val="00553C89"/>
    <w:rsid w:val="00553D16"/>
    <w:rsid w:val="00553DFB"/>
    <w:rsid w:val="00554139"/>
    <w:rsid w:val="00554316"/>
    <w:rsid w:val="0055441A"/>
    <w:rsid w:val="00554643"/>
    <w:rsid w:val="00554894"/>
    <w:rsid w:val="00554A84"/>
    <w:rsid w:val="00554DD1"/>
    <w:rsid w:val="00554F08"/>
    <w:rsid w:val="00554FFD"/>
    <w:rsid w:val="00555248"/>
    <w:rsid w:val="005553DF"/>
    <w:rsid w:val="005555DB"/>
    <w:rsid w:val="0055563B"/>
    <w:rsid w:val="00555675"/>
    <w:rsid w:val="0055584F"/>
    <w:rsid w:val="0055587F"/>
    <w:rsid w:val="00555AE0"/>
    <w:rsid w:val="00555AEC"/>
    <w:rsid w:val="00555B16"/>
    <w:rsid w:val="00555C88"/>
    <w:rsid w:val="00555F09"/>
    <w:rsid w:val="00556028"/>
    <w:rsid w:val="005561D1"/>
    <w:rsid w:val="00556271"/>
    <w:rsid w:val="0055635E"/>
    <w:rsid w:val="0055638A"/>
    <w:rsid w:val="005567FF"/>
    <w:rsid w:val="00556995"/>
    <w:rsid w:val="00556C67"/>
    <w:rsid w:val="00556D14"/>
    <w:rsid w:val="00556D98"/>
    <w:rsid w:val="00556EFB"/>
    <w:rsid w:val="00557064"/>
    <w:rsid w:val="0055720F"/>
    <w:rsid w:val="00557296"/>
    <w:rsid w:val="00557374"/>
    <w:rsid w:val="005577B0"/>
    <w:rsid w:val="00557B07"/>
    <w:rsid w:val="00557B39"/>
    <w:rsid w:val="00557C21"/>
    <w:rsid w:val="00560116"/>
    <w:rsid w:val="0056013B"/>
    <w:rsid w:val="00560192"/>
    <w:rsid w:val="005602D8"/>
    <w:rsid w:val="005603E5"/>
    <w:rsid w:val="00560BAD"/>
    <w:rsid w:val="00560CC5"/>
    <w:rsid w:val="00561117"/>
    <w:rsid w:val="00561141"/>
    <w:rsid w:val="00561241"/>
    <w:rsid w:val="0056124A"/>
    <w:rsid w:val="00561395"/>
    <w:rsid w:val="00561403"/>
    <w:rsid w:val="0056143A"/>
    <w:rsid w:val="005615DA"/>
    <w:rsid w:val="00561AB3"/>
    <w:rsid w:val="00561B22"/>
    <w:rsid w:val="00561EC4"/>
    <w:rsid w:val="00562075"/>
    <w:rsid w:val="00562084"/>
    <w:rsid w:val="005620FB"/>
    <w:rsid w:val="00562191"/>
    <w:rsid w:val="005623EA"/>
    <w:rsid w:val="005626AD"/>
    <w:rsid w:val="0056274A"/>
    <w:rsid w:val="00562836"/>
    <w:rsid w:val="00562854"/>
    <w:rsid w:val="00562DFE"/>
    <w:rsid w:val="00562EA1"/>
    <w:rsid w:val="00562EEB"/>
    <w:rsid w:val="005630B7"/>
    <w:rsid w:val="005632A1"/>
    <w:rsid w:val="005632BE"/>
    <w:rsid w:val="005632E4"/>
    <w:rsid w:val="00563671"/>
    <w:rsid w:val="0056375B"/>
    <w:rsid w:val="00563788"/>
    <w:rsid w:val="00563BF2"/>
    <w:rsid w:val="00563DF2"/>
    <w:rsid w:val="005640E7"/>
    <w:rsid w:val="00564369"/>
    <w:rsid w:val="00564588"/>
    <w:rsid w:val="0056463E"/>
    <w:rsid w:val="005649F7"/>
    <w:rsid w:val="00564B0C"/>
    <w:rsid w:val="00564B82"/>
    <w:rsid w:val="00564BB5"/>
    <w:rsid w:val="00564BCA"/>
    <w:rsid w:val="00564C58"/>
    <w:rsid w:val="00564C66"/>
    <w:rsid w:val="00564D78"/>
    <w:rsid w:val="0056511A"/>
    <w:rsid w:val="00565333"/>
    <w:rsid w:val="00565628"/>
    <w:rsid w:val="0056574F"/>
    <w:rsid w:val="0056583E"/>
    <w:rsid w:val="005658BD"/>
    <w:rsid w:val="00565AA0"/>
    <w:rsid w:val="00565B5F"/>
    <w:rsid w:val="00565BB7"/>
    <w:rsid w:val="00565D3C"/>
    <w:rsid w:val="00565DB9"/>
    <w:rsid w:val="00566028"/>
    <w:rsid w:val="005661F8"/>
    <w:rsid w:val="005662AD"/>
    <w:rsid w:val="0056644C"/>
    <w:rsid w:val="0056653D"/>
    <w:rsid w:val="0056677F"/>
    <w:rsid w:val="0056682A"/>
    <w:rsid w:val="005668B7"/>
    <w:rsid w:val="005669BC"/>
    <w:rsid w:val="005669FC"/>
    <w:rsid w:val="00566AD4"/>
    <w:rsid w:val="00566C4F"/>
    <w:rsid w:val="00566D15"/>
    <w:rsid w:val="00567154"/>
    <w:rsid w:val="00567437"/>
    <w:rsid w:val="00567562"/>
    <w:rsid w:val="005675DF"/>
    <w:rsid w:val="005679ED"/>
    <w:rsid w:val="00567AEA"/>
    <w:rsid w:val="00567BDA"/>
    <w:rsid w:val="00567BE3"/>
    <w:rsid w:val="00567BFA"/>
    <w:rsid w:val="00567DE1"/>
    <w:rsid w:val="0057023E"/>
    <w:rsid w:val="0057042E"/>
    <w:rsid w:val="00570668"/>
    <w:rsid w:val="00570A17"/>
    <w:rsid w:val="00570EC0"/>
    <w:rsid w:val="00570EED"/>
    <w:rsid w:val="00570F18"/>
    <w:rsid w:val="00571043"/>
    <w:rsid w:val="0057107A"/>
    <w:rsid w:val="00571355"/>
    <w:rsid w:val="0057141A"/>
    <w:rsid w:val="005716FC"/>
    <w:rsid w:val="005717F7"/>
    <w:rsid w:val="0057198F"/>
    <w:rsid w:val="00571D2A"/>
    <w:rsid w:val="00571F9E"/>
    <w:rsid w:val="00571FE8"/>
    <w:rsid w:val="005720FB"/>
    <w:rsid w:val="005723C9"/>
    <w:rsid w:val="00572546"/>
    <w:rsid w:val="005725E3"/>
    <w:rsid w:val="005727BD"/>
    <w:rsid w:val="005727F0"/>
    <w:rsid w:val="00572AF5"/>
    <w:rsid w:val="00572C2A"/>
    <w:rsid w:val="00572C69"/>
    <w:rsid w:val="00572EE5"/>
    <w:rsid w:val="00572EF2"/>
    <w:rsid w:val="00573587"/>
    <w:rsid w:val="005735EB"/>
    <w:rsid w:val="00573A19"/>
    <w:rsid w:val="00573B54"/>
    <w:rsid w:val="00573F56"/>
    <w:rsid w:val="0057410D"/>
    <w:rsid w:val="0057421F"/>
    <w:rsid w:val="005744F6"/>
    <w:rsid w:val="00574775"/>
    <w:rsid w:val="0057485C"/>
    <w:rsid w:val="00574B37"/>
    <w:rsid w:val="00574D1D"/>
    <w:rsid w:val="005750FB"/>
    <w:rsid w:val="0057520A"/>
    <w:rsid w:val="00575323"/>
    <w:rsid w:val="005754ED"/>
    <w:rsid w:val="0057570F"/>
    <w:rsid w:val="00575AE0"/>
    <w:rsid w:val="00575AF2"/>
    <w:rsid w:val="00575B15"/>
    <w:rsid w:val="00575B53"/>
    <w:rsid w:val="00575CAC"/>
    <w:rsid w:val="00575DC6"/>
    <w:rsid w:val="00575DEF"/>
    <w:rsid w:val="00575F16"/>
    <w:rsid w:val="0057673C"/>
    <w:rsid w:val="00576923"/>
    <w:rsid w:val="00576C5F"/>
    <w:rsid w:val="00576D0A"/>
    <w:rsid w:val="00576F53"/>
    <w:rsid w:val="00577004"/>
    <w:rsid w:val="005771F0"/>
    <w:rsid w:val="0057740D"/>
    <w:rsid w:val="005774BA"/>
    <w:rsid w:val="005778C8"/>
    <w:rsid w:val="005778EF"/>
    <w:rsid w:val="00577A25"/>
    <w:rsid w:val="00577A7F"/>
    <w:rsid w:val="00577D0E"/>
    <w:rsid w:val="00577F47"/>
    <w:rsid w:val="0058013F"/>
    <w:rsid w:val="00580146"/>
    <w:rsid w:val="0058018B"/>
    <w:rsid w:val="005801A4"/>
    <w:rsid w:val="00580260"/>
    <w:rsid w:val="00580750"/>
    <w:rsid w:val="00580A06"/>
    <w:rsid w:val="00580ADB"/>
    <w:rsid w:val="0058131B"/>
    <w:rsid w:val="00581370"/>
    <w:rsid w:val="005816FA"/>
    <w:rsid w:val="005817DB"/>
    <w:rsid w:val="005818C7"/>
    <w:rsid w:val="00581B7F"/>
    <w:rsid w:val="0058211D"/>
    <w:rsid w:val="0058248A"/>
    <w:rsid w:val="005826EA"/>
    <w:rsid w:val="00582A21"/>
    <w:rsid w:val="00582A3D"/>
    <w:rsid w:val="00582C9B"/>
    <w:rsid w:val="00582CA5"/>
    <w:rsid w:val="00582EB4"/>
    <w:rsid w:val="00582F29"/>
    <w:rsid w:val="0058358D"/>
    <w:rsid w:val="0058385F"/>
    <w:rsid w:val="00583A33"/>
    <w:rsid w:val="00583B47"/>
    <w:rsid w:val="00583DAA"/>
    <w:rsid w:val="00583E24"/>
    <w:rsid w:val="00583EAD"/>
    <w:rsid w:val="00583F94"/>
    <w:rsid w:val="005840C5"/>
    <w:rsid w:val="0058411E"/>
    <w:rsid w:val="0058453E"/>
    <w:rsid w:val="00584619"/>
    <w:rsid w:val="0058484F"/>
    <w:rsid w:val="0058494B"/>
    <w:rsid w:val="00584BE4"/>
    <w:rsid w:val="00584BFC"/>
    <w:rsid w:val="00584FED"/>
    <w:rsid w:val="005852F7"/>
    <w:rsid w:val="00585423"/>
    <w:rsid w:val="0058546C"/>
    <w:rsid w:val="005854C4"/>
    <w:rsid w:val="005855B6"/>
    <w:rsid w:val="005859D6"/>
    <w:rsid w:val="00585A79"/>
    <w:rsid w:val="00585C48"/>
    <w:rsid w:val="00585D6F"/>
    <w:rsid w:val="005860AF"/>
    <w:rsid w:val="0058616D"/>
    <w:rsid w:val="005862D0"/>
    <w:rsid w:val="00586580"/>
    <w:rsid w:val="005867D2"/>
    <w:rsid w:val="0058687D"/>
    <w:rsid w:val="0058694E"/>
    <w:rsid w:val="005869CB"/>
    <w:rsid w:val="00586A62"/>
    <w:rsid w:val="00586A72"/>
    <w:rsid w:val="00586AC2"/>
    <w:rsid w:val="005870E2"/>
    <w:rsid w:val="005870F8"/>
    <w:rsid w:val="0058724E"/>
    <w:rsid w:val="00587555"/>
    <w:rsid w:val="005875A5"/>
    <w:rsid w:val="00587876"/>
    <w:rsid w:val="0058798E"/>
    <w:rsid w:val="00587BAD"/>
    <w:rsid w:val="00587C7B"/>
    <w:rsid w:val="0059012E"/>
    <w:rsid w:val="0059013D"/>
    <w:rsid w:val="00590155"/>
    <w:rsid w:val="00590653"/>
    <w:rsid w:val="00590781"/>
    <w:rsid w:val="005907DC"/>
    <w:rsid w:val="00590862"/>
    <w:rsid w:val="0059090E"/>
    <w:rsid w:val="005909A8"/>
    <w:rsid w:val="00590BE8"/>
    <w:rsid w:val="00590C6C"/>
    <w:rsid w:val="00590D4E"/>
    <w:rsid w:val="00590E3D"/>
    <w:rsid w:val="00590EC5"/>
    <w:rsid w:val="005910E0"/>
    <w:rsid w:val="005915E3"/>
    <w:rsid w:val="00591763"/>
    <w:rsid w:val="00591806"/>
    <w:rsid w:val="00591C16"/>
    <w:rsid w:val="00591CD8"/>
    <w:rsid w:val="00592093"/>
    <w:rsid w:val="00592229"/>
    <w:rsid w:val="00592321"/>
    <w:rsid w:val="0059247A"/>
    <w:rsid w:val="005924EA"/>
    <w:rsid w:val="00592808"/>
    <w:rsid w:val="005928CF"/>
    <w:rsid w:val="00592A0D"/>
    <w:rsid w:val="00592A8E"/>
    <w:rsid w:val="00592B45"/>
    <w:rsid w:val="00592B4E"/>
    <w:rsid w:val="00593425"/>
    <w:rsid w:val="00593A17"/>
    <w:rsid w:val="00593D49"/>
    <w:rsid w:val="00593FA4"/>
    <w:rsid w:val="00594280"/>
    <w:rsid w:val="00594376"/>
    <w:rsid w:val="005944B6"/>
    <w:rsid w:val="0059450B"/>
    <w:rsid w:val="005945D9"/>
    <w:rsid w:val="005946AF"/>
    <w:rsid w:val="00594A61"/>
    <w:rsid w:val="00594CDC"/>
    <w:rsid w:val="00594F1D"/>
    <w:rsid w:val="00594F6F"/>
    <w:rsid w:val="00595037"/>
    <w:rsid w:val="005951A1"/>
    <w:rsid w:val="005953AD"/>
    <w:rsid w:val="00595506"/>
    <w:rsid w:val="0059565D"/>
    <w:rsid w:val="005956B6"/>
    <w:rsid w:val="005956E3"/>
    <w:rsid w:val="00595894"/>
    <w:rsid w:val="00595996"/>
    <w:rsid w:val="00595EEC"/>
    <w:rsid w:val="00596154"/>
    <w:rsid w:val="005961AE"/>
    <w:rsid w:val="005963CC"/>
    <w:rsid w:val="0059656E"/>
    <w:rsid w:val="005966DC"/>
    <w:rsid w:val="00596817"/>
    <w:rsid w:val="00596841"/>
    <w:rsid w:val="00596861"/>
    <w:rsid w:val="005968C4"/>
    <w:rsid w:val="00596A8F"/>
    <w:rsid w:val="00596C9B"/>
    <w:rsid w:val="00596E19"/>
    <w:rsid w:val="00596E80"/>
    <w:rsid w:val="005970D3"/>
    <w:rsid w:val="005973A6"/>
    <w:rsid w:val="005976E9"/>
    <w:rsid w:val="005978AA"/>
    <w:rsid w:val="0059794D"/>
    <w:rsid w:val="00597988"/>
    <w:rsid w:val="00597AA8"/>
    <w:rsid w:val="00597C36"/>
    <w:rsid w:val="00597C5A"/>
    <w:rsid w:val="00597DD8"/>
    <w:rsid w:val="005A00FD"/>
    <w:rsid w:val="005A015C"/>
    <w:rsid w:val="005A02D7"/>
    <w:rsid w:val="005A0661"/>
    <w:rsid w:val="005A07F1"/>
    <w:rsid w:val="005A0938"/>
    <w:rsid w:val="005A09E1"/>
    <w:rsid w:val="005A0DF3"/>
    <w:rsid w:val="005A0E45"/>
    <w:rsid w:val="005A1113"/>
    <w:rsid w:val="005A1357"/>
    <w:rsid w:val="005A1369"/>
    <w:rsid w:val="005A16FB"/>
    <w:rsid w:val="005A17B6"/>
    <w:rsid w:val="005A18B6"/>
    <w:rsid w:val="005A1986"/>
    <w:rsid w:val="005A1C71"/>
    <w:rsid w:val="005A1DAE"/>
    <w:rsid w:val="005A1E83"/>
    <w:rsid w:val="005A1E97"/>
    <w:rsid w:val="005A1EF3"/>
    <w:rsid w:val="005A2049"/>
    <w:rsid w:val="005A2063"/>
    <w:rsid w:val="005A21A0"/>
    <w:rsid w:val="005A21E9"/>
    <w:rsid w:val="005A241E"/>
    <w:rsid w:val="005A2474"/>
    <w:rsid w:val="005A260C"/>
    <w:rsid w:val="005A266E"/>
    <w:rsid w:val="005A27FB"/>
    <w:rsid w:val="005A28B4"/>
    <w:rsid w:val="005A2D77"/>
    <w:rsid w:val="005A2E26"/>
    <w:rsid w:val="005A2EC5"/>
    <w:rsid w:val="005A2FE0"/>
    <w:rsid w:val="005A2FEF"/>
    <w:rsid w:val="005A35A5"/>
    <w:rsid w:val="005A3624"/>
    <w:rsid w:val="005A38AA"/>
    <w:rsid w:val="005A3C37"/>
    <w:rsid w:val="005A3C3C"/>
    <w:rsid w:val="005A3C9B"/>
    <w:rsid w:val="005A418F"/>
    <w:rsid w:val="005A4221"/>
    <w:rsid w:val="005A4289"/>
    <w:rsid w:val="005A42B5"/>
    <w:rsid w:val="005A4587"/>
    <w:rsid w:val="005A46A3"/>
    <w:rsid w:val="005A46F6"/>
    <w:rsid w:val="005A472C"/>
    <w:rsid w:val="005A4869"/>
    <w:rsid w:val="005A4897"/>
    <w:rsid w:val="005A4903"/>
    <w:rsid w:val="005A4A43"/>
    <w:rsid w:val="005A4C3D"/>
    <w:rsid w:val="005A4C76"/>
    <w:rsid w:val="005A50B6"/>
    <w:rsid w:val="005A51A0"/>
    <w:rsid w:val="005A5273"/>
    <w:rsid w:val="005A5325"/>
    <w:rsid w:val="005A554C"/>
    <w:rsid w:val="005A5557"/>
    <w:rsid w:val="005A557C"/>
    <w:rsid w:val="005A573A"/>
    <w:rsid w:val="005A5D18"/>
    <w:rsid w:val="005A5D37"/>
    <w:rsid w:val="005A5DD7"/>
    <w:rsid w:val="005A6013"/>
    <w:rsid w:val="005A608A"/>
    <w:rsid w:val="005A60EB"/>
    <w:rsid w:val="005A61A7"/>
    <w:rsid w:val="005A61F3"/>
    <w:rsid w:val="005A627D"/>
    <w:rsid w:val="005A6700"/>
    <w:rsid w:val="005A6B73"/>
    <w:rsid w:val="005A6BE4"/>
    <w:rsid w:val="005A6C6D"/>
    <w:rsid w:val="005A6F46"/>
    <w:rsid w:val="005A6F61"/>
    <w:rsid w:val="005A6F92"/>
    <w:rsid w:val="005A6FED"/>
    <w:rsid w:val="005A70E5"/>
    <w:rsid w:val="005A7323"/>
    <w:rsid w:val="005A7657"/>
    <w:rsid w:val="005A777A"/>
    <w:rsid w:val="005A78B2"/>
    <w:rsid w:val="005A7A57"/>
    <w:rsid w:val="005A7AA4"/>
    <w:rsid w:val="005A7C52"/>
    <w:rsid w:val="005A7FC3"/>
    <w:rsid w:val="005B04E5"/>
    <w:rsid w:val="005B05E7"/>
    <w:rsid w:val="005B071A"/>
    <w:rsid w:val="005B0787"/>
    <w:rsid w:val="005B07F1"/>
    <w:rsid w:val="005B0AE8"/>
    <w:rsid w:val="005B0B39"/>
    <w:rsid w:val="005B0EC4"/>
    <w:rsid w:val="005B1079"/>
    <w:rsid w:val="005B10EF"/>
    <w:rsid w:val="005B13CE"/>
    <w:rsid w:val="005B166A"/>
    <w:rsid w:val="005B1697"/>
    <w:rsid w:val="005B1815"/>
    <w:rsid w:val="005B1A25"/>
    <w:rsid w:val="005B1B32"/>
    <w:rsid w:val="005B1B3E"/>
    <w:rsid w:val="005B1BC4"/>
    <w:rsid w:val="005B1D50"/>
    <w:rsid w:val="005B1F5A"/>
    <w:rsid w:val="005B221B"/>
    <w:rsid w:val="005B2836"/>
    <w:rsid w:val="005B2A92"/>
    <w:rsid w:val="005B2BCD"/>
    <w:rsid w:val="005B2C40"/>
    <w:rsid w:val="005B2D3D"/>
    <w:rsid w:val="005B3250"/>
    <w:rsid w:val="005B3852"/>
    <w:rsid w:val="005B3989"/>
    <w:rsid w:val="005B399D"/>
    <w:rsid w:val="005B3B14"/>
    <w:rsid w:val="005B3BD7"/>
    <w:rsid w:val="005B3BE6"/>
    <w:rsid w:val="005B3C41"/>
    <w:rsid w:val="005B3C66"/>
    <w:rsid w:val="005B3D11"/>
    <w:rsid w:val="005B3E38"/>
    <w:rsid w:val="005B4014"/>
    <w:rsid w:val="005B411C"/>
    <w:rsid w:val="005B42B5"/>
    <w:rsid w:val="005B454C"/>
    <w:rsid w:val="005B4768"/>
    <w:rsid w:val="005B48DB"/>
    <w:rsid w:val="005B4AB8"/>
    <w:rsid w:val="005B4BA3"/>
    <w:rsid w:val="005B4E4D"/>
    <w:rsid w:val="005B51DA"/>
    <w:rsid w:val="005B540D"/>
    <w:rsid w:val="005B5538"/>
    <w:rsid w:val="005B5810"/>
    <w:rsid w:val="005B5858"/>
    <w:rsid w:val="005B5895"/>
    <w:rsid w:val="005B58F3"/>
    <w:rsid w:val="005B5A49"/>
    <w:rsid w:val="005B5C86"/>
    <w:rsid w:val="005B5D5F"/>
    <w:rsid w:val="005B5E5A"/>
    <w:rsid w:val="005B60A0"/>
    <w:rsid w:val="005B61E1"/>
    <w:rsid w:val="005B63CD"/>
    <w:rsid w:val="005B6661"/>
    <w:rsid w:val="005B6682"/>
    <w:rsid w:val="005B668D"/>
    <w:rsid w:val="005B679F"/>
    <w:rsid w:val="005B685A"/>
    <w:rsid w:val="005B6894"/>
    <w:rsid w:val="005B6A17"/>
    <w:rsid w:val="005B6B61"/>
    <w:rsid w:val="005B6C18"/>
    <w:rsid w:val="005B6E5D"/>
    <w:rsid w:val="005B6E72"/>
    <w:rsid w:val="005B6ED8"/>
    <w:rsid w:val="005B6F74"/>
    <w:rsid w:val="005B6FEC"/>
    <w:rsid w:val="005B6FF5"/>
    <w:rsid w:val="005B7121"/>
    <w:rsid w:val="005B7243"/>
    <w:rsid w:val="005B7434"/>
    <w:rsid w:val="005B7693"/>
    <w:rsid w:val="005B76B1"/>
    <w:rsid w:val="005B76C9"/>
    <w:rsid w:val="005B779C"/>
    <w:rsid w:val="005B7843"/>
    <w:rsid w:val="005B7A7D"/>
    <w:rsid w:val="005B7B2E"/>
    <w:rsid w:val="005B7B47"/>
    <w:rsid w:val="005B7C30"/>
    <w:rsid w:val="005B7D22"/>
    <w:rsid w:val="005C0134"/>
    <w:rsid w:val="005C01A8"/>
    <w:rsid w:val="005C0309"/>
    <w:rsid w:val="005C03D7"/>
    <w:rsid w:val="005C0418"/>
    <w:rsid w:val="005C0575"/>
    <w:rsid w:val="005C05E8"/>
    <w:rsid w:val="005C06F8"/>
    <w:rsid w:val="005C072C"/>
    <w:rsid w:val="005C098B"/>
    <w:rsid w:val="005C0DC4"/>
    <w:rsid w:val="005C0E15"/>
    <w:rsid w:val="005C0EF0"/>
    <w:rsid w:val="005C0F6F"/>
    <w:rsid w:val="005C1023"/>
    <w:rsid w:val="005C1384"/>
    <w:rsid w:val="005C13B2"/>
    <w:rsid w:val="005C1681"/>
    <w:rsid w:val="005C1728"/>
    <w:rsid w:val="005C17A1"/>
    <w:rsid w:val="005C17E8"/>
    <w:rsid w:val="005C1815"/>
    <w:rsid w:val="005C197E"/>
    <w:rsid w:val="005C198B"/>
    <w:rsid w:val="005C1ACB"/>
    <w:rsid w:val="005C1AEC"/>
    <w:rsid w:val="005C1FC1"/>
    <w:rsid w:val="005C21B7"/>
    <w:rsid w:val="005C224E"/>
    <w:rsid w:val="005C2269"/>
    <w:rsid w:val="005C2392"/>
    <w:rsid w:val="005C243E"/>
    <w:rsid w:val="005C25D0"/>
    <w:rsid w:val="005C27E3"/>
    <w:rsid w:val="005C28D3"/>
    <w:rsid w:val="005C2B13"/>
    <w:rsid w:val="005C2C64"/>
    <w:rsid w:val="005C2D82"/>
    <w:rsid w:val="005C30B4"/>
    <w:rsid w:val="005C32F5"/>
    <w:rsid w:val="005C33AA"/>
    <w:rsid w:val="005C3495"/>
    <w:rsid w:val="005C34F0"/>
    <w:rsid w:val="005C351E"/>
    <w:rsid w:val="005C365C"/>
    <w:rsid w:val="005C37CB"/>
    <w:rsid w:val="005C3BE8"/>
    <w:rsid w:val="005C3EF8"/>
    <w:rsid w:val="005C3F76"/>
    <w:rsid w:val="005C3FE3"/>
    <w:rsid w:val="005C402C"/>
    <w:rsid w:val="005C418B"/>
    <w:rsid w:val="005C43CC"/>
    <w:rsid w:val="005C459C"/>
    <w:rsid w:val="005C475A"/>
    <w:rsid w:val="005C47EC"/>
    <w:rsid w:val="005C4DD8"/>
    <w:rsid w:val="005C4E7B"/>
    <w:rsid w:val="005C4E99"/>
    <w:rsid w:val="005C50AD"/>
    <w:rsid w:val="005C5128"/>
    <w:rsid w:val="005C56CA"/>
    <w:rsid w:val="005C583B"/>
    <w:rsid w:val="005C59F0"/>
    <w:rsid w:val="005C5A17"/>
    <w:rsid w:val="005C5AB2"/>
    <w:rsid w:val="005C5C95"/>
    <w:rsid w:val="005C5D4E"/>
    <w:rsid w:val="005C5E34"/>
    <w:rsid w:val="005C614F"/>
    <w:rsid w:val="005C6406"/>
    <w:rsid w:val="005C6534"/>
    <w:rsid w:val="005C6556"/>
    <w:rsid w:val="005C6739"/>
    <w:rsid w:val="005C6896"/>
    <w:rsid w:val="005C68F9"/>
    <w:rsid w:val="005C6E0C"/>
    <w:rsid w:val="005C6FCE"/>
    <w:rsid w:val="005C71FB"/>
    <w:rsid w:val="005C7221"/>
    <w:rsid w:val="005C7226"/>
    <w:rsid w:val="005C74C5"/>
    <w:rsid w:val="005C76CC"/>
    <w:rsid w:val="005C7775"/>
    <w:rsid w:val="005C7FCF"/>
    <w:rsid w:val="005D02FB"/>
    <w:rsid w:val="005D0831"/>
    <w:rsid w:val="005D0977"/>
    <w:rsid w:val="005D0CC4"/>
    <w:rsid w:val="005D1457"/>
    <w:rsid w:val="005D14B9"/>
    <w:rsid w:val="005D15C3"/>
    <w:rsid w:val="005D1785"/>
    <w:rsid w:val="005D1A9F"/>
    <w:rsid w:val="005D1BE7"/>
    <w:rsid w:val="005D1C71"/>
    <w:rsid w:val="005D1D91"/>
    <w:rsid w:val="005D1E66"/>
    <w:rsid w:val="005D210D"/>
    <w:rsid w:val="005D21EB"/>
    <w:rsid w:val="005D26A7"/>
    <w:rsid w:val="005D26FD"/>
    <w:rsid w:val="005D271A"/>
    <w:rsid w:val="005D28CC"/>
    <w:rsid w:val="005D292F"/>
    <w:rsid w:val="005D2A87"/>
    <w:rsid w:val="005D2B85"/>
    <w:rsid w:val="005D2C8D"/>
    <w:rsid w:val="005D2D3C"/>
    <w:rsid w:val="005D2FD8"/>
    <w:rsid w:val="005D3135"/>
    <w:rsid w:val="005D3264"/>
    <w:rsid w:val="005D34EA"/>
    <w:rsid w:val="005D354D"/>
    <w:rsid w:val="005D368B"/>
    <w:rsid w:val="005D3698"/>
    <w:rsid w:val="005D3A0C"/>
    <w:rsid w:val="005D3A69"/>
    <w:rsid w:val="005D3C31"/>
    <w:rsid w:val="005D3C99"/>
    <w:rsid w:val="005D3E8E"/>
    <w:rsid w:val="005D40A9"/>
    <w:rsid w:val="005D4154"/>
    <w:rsid w:val="005D418E"/>
    <w:rsid w:val="005D42BD"/>
    <w:rsid w:val="005D4418"/>
    <w:rsid w:val="005D45B5"/>
    <w:rsid w:val="005D45C6"/>
    <w:rsid w:val="005D4661"/>
    <w:rsid w:val="005D4732"/>
    <w:rsid w:val="005D476D"/>
    <w:rsid w:val="005D4996"/>
    <w:rsid w:val="005D4BE0"/>
    <w:rsid w:val="005D4C57"/>
    <w:rsid w:val="005D4EC1"/>
    <w:rsid w:val="005D4F6D"/>
    <w:rsid w:val="005D4FE1"/>
    <w:rsid w:val="005D5075"/>
    <w:rsid w:val="005D50C0"/>
    <w:rsid w:val="005D52FA"/>
    <w:rsid w:val="005D5338"/>
    <w:rsid w:val="005D5341"/>
    <w:rsid w:val="005D53F6"/>
    <w:rsid w:val="005D5403"/>
    <w:rsid w:val="005D5531"/>
    <w:rsid w:val="005D554D"/>
    <w:rsid w:val="005D600F"/>
    <w:rsid w:val="005D6013"/>
    <w:rsid w:val="005D61C8"/>
    <w:rsid w:val="005D6427"/>
    <w:rsid w:val="005D6612"/>
    <w:rsid w:val="005D6628"/>
    <w:rsid w:val="005D66F5"/>
    <w:rsid w:val="005D697E"/>
    <w:rsid w:val="005D6AE8"/>
    <w:rsid w:val="005D6CD6"/>
    <w:rsid w:val="005D7088"/>
    <w:rsid w:val="005D7147"/>
    <w:rsid w:val="005D72F1"/>
    <w:rsid w:val="005D747C"/>
    <w:rsid w:val="005D76AE"/>
    <w:rsid w:val="005D76DE"/>
    <w:rsid w:val="005D7713"/>
    <w:rsid w:val="005D777B"/>
    <w:rsid w:val="005D77BC"/>
    <w:rsid w:val="005D77DE"/>
    <w:rsid w:val="005D7A1E"/>
    <w:rsid w:val="005D7AC8"/>
    <w:rsid w:val="005D7B91"/>
    <w:rsid w:val="005D7D29"/>
    <w:rsid w:val="005D7EBF"/>
    <w:rsid w:val="005D7F8E"/>
    <w:rsid w:val="005E00A0"/>
    <w:rsid w:val="005E0291"/>
    <w:rsid w:val="005E0544"/>
    <w:rsid w:val="005E05A1"/>
    <w:rsid w:val="005E09E4"/>
    <w:rsid w:val="005E0A2B"/>
    <w:rsid w:val="005E0D78"/>
    <w:rsid w:val="005E127F"/>
    <w:rsid w:val="005E1308"/>
    <w:rsid w:val="005E1445"/>
    <w:rsid w:val="005E1726"/>
    <w:rsid w:val="005E21CC"/>
    <w:rsid w:val="005E2201"/>
    <w:rsid w:val="005E223E"/>
    <w:rsid w:val="005E235A"/>
    <w:rsid w:val="005E24D8"/>
    <w:rsid w:val="005E2513"/>
    <w:rsid w:val="005E25C0"/>
    <w:rsid w:val="005E266F"/>
    <w:rsid w:val="005E26A3"/>
    <w:rsid w:val="005E278A"/>
    <w:rsid w:val="005E29F1"/>
    <w:rsid w:val="005E2A26"/>
    <w:rsid w:val="005E2BCF"/>
    <w:rsid w:val="005E2FA1"/>
    <w:rsid w:val="005E2FED"/>
    <w:rsid w:val="005E3092"/>
    <w:rsid w:val="005E3819"/>
    <w:rsid w:val="005E38DE"/>
    <w:rsid w:val="005E3B2D"/>
    <w:rsid w:val="005E3B4C"/>
    <w:rsid w:val="005E3D7A"/>
    <w:rsid w:val="005E3EAA"/>
    <w:rsid w:val="005E3F34"/>
    <w:rsid w:val="005E421C"/>
    <w:rsid w:val="005E4241"/>
    <w:rsid w:val="005E42F5"/>
    <w:rsid w:val="005E43CE"/>
    <w:rsid w:val="005E445D"/>
    <w:rsid w:val="005E46B5"/>
    <w:rsid w:val="005E4AC5"/>
    <w:rsid w:val="005E4BCF"/>
    <w:rsid w:val="005E4EF0"/>
    <w:rsid w:val="005E50E8"/>
    <w:rsid w:val="005E50ED"/>
    <w:rsid w:val="005E544D"/>
    <w:rsid w:val="005E5734"/>
    <w:rsid w:val="005E5741"/>
    <w:rsid w:val="005E58EB"/>
    <w:rsid w:val="005E5C8E"/>
    <w:rsid w:val="005E5E84"/>
    <w:rsid w:val="005E5EC3"/>
    <w:rsid w:val="005E602B"/>
    <w:rsid w:val="005E6150"/>
    <w:rsid w:val="005E61B6"/>
    <w:rsid w:val="005E631D"/>
    <w:rsid w:val="005E6429"/>
    <w:rsid w:val="005E6487"/>
    <w:rsid w:val="005E651F"/>
    <w:rsid w:val="005E664C"/>
    <w:rsid w:val="005E6971"/>
    <w:rsid w:val="005E6ADB"/>
    <w:rsid w:val="005E6AEA"/>
    <w:rsid w:val="005E6D4E"/>
    <w:rsid w:val="005E6D5E"/>
    <w:rsid w:val="005E6E81"/>
    <w:rsid w:val="005E7035"/>
    <w:rsid w:val="005E7118"/>
    <w:rsid w:val="005E7172"/>
    <w:rsid w:val="005E7332"/>
    <w:rsid w:val="005E73CE"/>
    <w:rsid w:val="005E77E3"/>
    <w:rsid w:val="005E7BA9"/>
    <w:rsid w:val="005E7BCF"/>
    <w:rsid w:val="005E7E33"/>
    <w:rsid w:val="005F0530"/>
    <w:rsid w:val="005F0616"/>
    <w:rsid w:val="005F0727"/>
    <w:rsid w:val="005F07DC"/>
    <w:rsid w:val="005F0937"/>
    <w:rsid w:val="005F09A4"/>
    <w:rsid w:val="005F0A54"/>
    <w:rsid w:val="005F0C34"/>
    <w:rsid w:val="005F0D59"/>
    <w:rsid w:val="005F0EAB"/>
    <w:rsid w:val="005F0FB4"/>
    <w:rsid w:val="005F1102"/>
    <w:rsid w:val="005F11D2"/>
    <w:rsid w:val="005F1283"/>
    <w:rsid w:val="005F13BD"/>
    <w:rsid w:val="005F182D"/>
    <w:rsid w:val="005F1859"/>
    <w:rsid w:val="005F1AC8"/>
    <w:rsid w:val="005F1B25"/>
    <w:rsid w:val="005F1F33"/>
    <w:rsid w:val="005F21AF"/>
    <w:rsid w:val="005F21FB"/>
    <w:rsid w:val="005F228E"/>
    <w:rsid w:val="005F257C"/>
    <w:rsid w:val="005F25E2"/>
    <w:rsid w:val="005F27E3"/>
    <w:rsid w:val="005F2A33"/>
    <w:rsid w:val="005F2A8A"/>
    <w:rsid w:val="005F2A92"/>
    <w:rsid w:val="005F2B4F"/>
    <w:rsid w:val="005F2E39"/>
    <w:rsid w:val="005F3167"/>
    <w:rsid w:val="005F340D"/>
    <w:rsid w:val="005F347F"/>
    <w:rsid w:val="005F35AA"/>
    <w:rsid w:val="005F3661"/>
    <w:rsid w:val="005F38CE"/>
    <w:rsid w:val="005F40DE"/>
    <w:rsid w:val="005F4421"/>
    <w:rsid w:val="005F4541"/>
    <w:rsid w:val="005F468F"/>
    <w:rsid w:val="005F482A"/>
    <w:rsid w:val="005F4849"/>
    <w:rsid w:val="005F484A"/>
    <w:rsid w:val="005F4927"/>
    <w:rsid w:val="005F49F4"/>
    <w:rsid w:val="005F4A9D"/>
    <w:rsid w:val="005F4ABD"/>
    <w:rsid w:val="005F4AFC"/>
    <w:rsid w:val="005F4B7D"/>
    <w:rsid w:val="005F4C07"/>
    <w:rsid w:val="005F4C4A"/>
    <w:rsid w:val="005F4D34"/>
    <w:rsid w:val="005F4DB6"/>
    <w:rsid w:val="005F4E65"/>
    <w:rsid w:val="005F4E85"/>
    <w:rsid w:val="005F4F77"/>
    <w:rsid w:val="005F5464"/>
    <w:rsid w:val="005F557D"/>
    <w:rsid w:val="005F56F3"/>
    <w:rsid w:val="005F56F8"/>
    <w:rsid w:val="005F5711"/>
    <w:rsid w:val="005F57C1"/>
    <w:rsid w:val="005F582A"/>
    <w:rsid w:val="005F59E5"/>
    <w:rsid w:val="005F5A0F"/>
    <w:rsid w:val="005F5B06"/>
    <w:rsid w:val="005F5D63"/>
    <w:rsid w:val="005F5EDF"/>
    <w:rsid w:val="005F6035"/>
    <w:rsid w:val="005F6069"/>
    <w:rsid w:val="005F606B"/>
    <w:rsid w:val="005F61C5"/>
    <w:rsid w:val="005F62F3"/>
    <w:rsid w:val="005F6310"/>
    <w:rsid w:val="005F6376"/>
    <w:rsid w:val="005F63D8"/>
    <w:rsid w:val="005F6432"/>
    <w:rsid w:val="005F64FB"/>
    <w:rsid w:val="005F6548"/>
    <w:rsid w:val="005F67EC"/>
    <w:rsid w:val="005F69E9"/>
    <w:rsid w:val="005F6A3F"/>
    <w:rsid w:val="005F6B01"/>
    <w:rsid w:val="005F6BBB"/>
    <w:rsid w:val="005F6C45"/>
    <w:rsid w:val="005F6C50"/>
    <w:rsid w:val="005F71EC"/>
    <w:rsid w:val="005F74E1"/>
    <w:rsid w:val="005F76E7"/>
    <w:rsid w:val="005F777F"/>
    <w:rsid w:val="005F789F"/>
    <w:rsid w:val="005F7A39"/>
    <w:rsid w:val="005F7BAC"/>
    <w:rsid w:val="005F7DBA"/>
    <w:rsid w:val="005F7F70"/>
    <w:rsid w:val="00600028"/>
    <w:rsid w:val="006000CD"/>
    <w:rsid w:val="006000FB"/>
    <w:rsid w:val="006001C9"/>
    <w:rsid w:val="00600265"/>
    <w:rsid w:val="006004FD"/>
    <w:rsid w:val="00600610"/>
    <w:rsid w:val="006006E4"/>
    <w:rsid w:val="006006E5"/>
    <w:rsid w:val="00600754"/>
    <w:rsid w:val="00600D12"/>
    <w:rsid w:val="00600F07"/>
    <w:rsid w:val="00601120"/>
    <w:rsid w:val="0060119A"/>
    <w:rsid w:val="0060140A"/>
    <w:rsid w:val="00601632"/>
    <w:rsid w:val="00601BAF"/>
    <w:rsid w:val="00601EFC"/>
    <w:rsid w:val="006021EC"/>
    <w:rsid w:val="00602204"/>
    <w:rsid w:val="00602214"/>
    <w:rsid w:val="006022D0"/>
    <w:rsid w:val="0060251E"/>
    <w:rsid w:val="0060256B"/>
    <w:rsid w:val="00602A68"/>
    <w:rsid w:val="00602B30"/>
    <w:rsid w:val="00602DDE"/>
    <w:rsid w:val="00602E0C"/>
    <w:rsid w:val="0060339B"/>
    <w:rsid w:val="00603552"/>
    <w:rsid w:val="006035FD"/>
    <w:rsid w:val="0060377C"/>
    <w:rsid w:val="006039DB"/>
    <w:rsid w:val="00603B21"/>
    <w:rsid w:val="00603B41"/>
    <w:rsid w:val="00603B6A"/>
    <w:rsid w:val="00603FC5"/>
    <w:rsid w:val="0060445B"/>
    <w:rsid w:val="00604691"/>
    <w:rsid w:val="006046D6"/>
    <w:rsid w:val="006046E4"/>
    <w:rsid w:val="00604BC5"/>
    <w:rsid w:val="00604BD4"/>
    <w:rsid w:val="00604CED"/>
    <w:rsid w:val="00604D85"/>
    <w:rsid w:val="00604F04"/>
    <w:rsid w:val="00605037"/>
    <w:rsid w:val="006053AD"/>
    <w:rsid w:val="0060577C"/>
    <w:rsid w:val="006057F4"/>
    <w:rsid w:val="006058B4"/>
    <w:rsid w:val="0060595F"/>
    <w:rsid w:val="00605997"/>
    <w:rsid w:val="006059B6"/>
    <w:rsid w:val="00605E04"/>
    <w:rsid w:val="00605E0D"/>
    <w:rsid w:val="00605FFE"/>
    <w:rsid w:val="006063F2"/>
    <w:rsid w:val="0060650C"/>
    <w:rsid w:val="00606619"/>
    <w:rsid w:val="0060672A"/>
    <w:rsid w:val="00606797"/>
    <w:rsid w:val="00606A90"/>
    <w:rsid w:val="00606AE4"/>
    <w:rsid w:val="00606B37"/>
    <w:rsid w:val="00606FF6"/>
    <w:rsid w:val="006070C5"/>
    <w:rsid w:val="006070F4"/>
    <w:rsid w:val="00607138"/>
    <w:rsid w:val="00607252"/>
    <w:rsid w:val="006073C9"/>
    <w:rsid w:val="006075AF"/>
    <w:rsid w:val="00607624"/>
    <w:rsid w:val="0060773E"/>
    <w:rsid w:val="00607C2E"/>
    <w:rsid w:val="00610137"/>
    <w:rsid w:val="006101B9"/>
    <w:rsid w:val="0061038C"/>
    <w:rsid w:val="006106C1"/>
    <w:rsid w:val="006106F4"/>
    <w:rsid w:val="006107B5"/>
    <w:rsid w:val="00610A7C"/>
    <w:rsid w:val="00610B28"/>
    <w:rsid w:val="00610E0E"/>
    <w:rsid w:val="00610F52"/>
    <w:rsid w:val="0061124A"/>
    <w:rsid w:val="006112D0"/>
    <w:rsid w:val="006112D6"/>
    <w:rsid w:val="0061167D"/>
    <w:rsid w:val="00611684"/>
    <w:rsid w:val="0061169D"/>
    <w:rsid w:val="00611737"/>
    <w:rsid w:val="00611752"/>
    <w:rsid w:val="006119DC"/>
    <w:rsid w:val="00611B07"/>
    <w:rsid w:val="00611C1D"/>
    <w:rsid w:val="00611C60"/>
    <w:rsid w:val="00611F0D"/>
    <w:rsid w:val="00611F92"/>
    <w:rsid w:val="00612019"/>
    <w:rsid w:val="0061211A"/>
    <w:rsid w:val="00612304"/>
    <w:rsid w:val="00612305"/>
    <w:rsid w:val="00612388"/>
    <w:rsid w:val="006128EB"/>
    <w:rsid w:val="00612904"/>
    <w:rsid w:val="00612BF2"/>
    <w:rsid w:val="00612E32"/>
    <w:rsid w:val="00612FDD"/>
    <w:rsid w:val="006130DB"/>
    <w:rsid w:val="006133A6"/>
    <w:rsid w:val="006134CA"/>
    <w:rsid w:val="006136FB"/>
    <w:rsid w:val="00613846"/>
    <w:rsid w:val="00613BC0"/>
    <w:rsid w:val="00613BD6"/>
    <w:rsid w:val="00613D63"/>
    <w:rsid w:val="00613ECE"/>
    <w:rsid w:val="00613F81"/>
    <w:rsid w:val="006141C5"/>
    <w:rsid w:val="0061461E"/>
    <w:rsid w:val="00614646"/>
    <w:rsid w:val="00614799"/>
    <w:rsid w:val="006148C3"/>
    <w:rsid w:val="0061494C"/>
    <w:rsid w:val="00614AC7"/>
    <w:rsid w:val="00614B10"/>
    <w:rsid w:val="00614B35"/>
    <w:rsid w:val="00614DE8"/>
    <w:rsid w:val="006152D6"/>
    <w:rsid w:val="006153A7"/>
    <w:rsid w:val="006154EE"/>
    <w:rsid w:val="006156E1"/>
    <w:rsid w:val="00615716"/>
    <w:rsid w:val="0061576B"/>
    <w:rsid w:val="006159BE"/>
    <w:rsid w:val="00615A35"/>
    <w:rsid w:val="00615A36"/>
    <w:rsid w:val="00615B2C"/>
    <w:rsid w:val="00615BCA"/>
    <w:rsid w:val="00615F44"/>
    <w:rsid w:val="00616001"/>
    <w:rsid w:val="00616421"/>
    <w:rsid w:val="00616441"/>
    <w:rsid w:val="006165A9"/>
    <w:rsid w:val="0061662C"/>
    <w:rsid w:val="00616755"/>
    <w:rsid w:val="00616B8C"/>
    <w:rsid w:val="00616BC0"/>
    <w:rsid w:val="00616E21"/>
    <w:rsid w:val="00616E3A"/>
    <w:rsid w:val="00617108"/>
    <w:rsid w:val="00617174"/>
    <w:rsid w:val="00617211"/>
    <w:rsid w:val="00617264"/>
    <w:rsid w:val="0061750E"/>
    <w:rsid w:val="006175A7"/>
    <w:rsid w:val="00617652"/>
    <w:rsid w:val="006177DD"/>
    <w:rsid w:val="0061784D"/>
    <w:rsid w:val="00617896"/>
    <w:rsid w:val="00617987"/>
    <w:rsid w:val="00617B8B"/>
    <w:rsid w:val="00617C18"/>
    <w:rsid w:val="00617C50"/>
    <w:rsid w:val="00617CF1"/>
    <w:rsid w:val="00617F79"/>
    <w:rsid w:val="00620231"/>
    <w:rsid w:val="006202A7"/>
    <w:rsid w:val="006207B2"/>
    <w:rsid w:val="006207ED"/>
    <w:rsid w:val="00620AFF"/>
    <w:rsid w:val="00620B98"/>
    <w:rsid w:val="00621274"/>
    <w:rsid w:val="0062140E"/>
    <w:rsid w:val="0062151C"/>
    <w:rsid w:val="0062176A"/>
    <w:rsid w:val="006217D4"/>
    <w:rsid w:val="0062198F"/>
    <w:rsid w:val="006219ED"/>
    <w:rsid w:val="00621F46"/>
    <w:rsid w:val="00622066"/>
    <w:rsid w:val="00622143"/>
    <w:rsid w:val="00622388"/>
    <w:rsid w:val="006223EB"/>
    <w:rsid w:val="0062251D"/>
    <w:rsid w:val="00622669"/>
    <w:rsid w:val="0062286A"/>
    <w:rsid w:val="00622B1A"/>
    <w:rsid w:val="00622E0B"/>
    <w:rsid w:val="00622EFD"/>
    <w:rsid w:val="00622FB1"/>
    <w:rsid w:val="00622FE1"/>
    <w:rsid w:val="00623039"/>
    <w:rsid w:val="006230E8"/>
    <w:rsid w:val="0062325B"/>
    <w:rsid w:val="00623438"/>
    <w:rsid w:val="00623487"/>
    <w:rsid w:val="0062369A"/>
    <w:rsid w:val="006237DE"/>
    <w:rsid w:val="00623960"/>
    <w:rsid w:val="006240FF"/>
    <w:rsid w:val="0062416C"/>
    <w:rsid w:val="006241BC"/>
    <w:rsid w:val="0062436B"/>
    <w:rsid w:val="00624470"/>
    <w:rsid w:val="00624510"/>
    <w:rsid w:val="006245F5"/>
    <w:rsid w:val="0062488E"/>
    <w:rsid w:val="006249B1"/>
    <w:rsid w:val="00624BA4"/>
    <w:rsid w:val="00624CAC"/>
    <w:rsid w:val="00624E9B"/>
    <w:rsid w:val="00624F4E"/>
    <w:rsid w:val="00624F7C"/>
    <w:rsid w:val="006253B7"/>
    <w:rsid w:val="0062564C"/>
    <w:rsid w:val="00625C1A"/>
    <w:rsid w:val="00625C77"/>
    <w:rsid w:val="00625CE5"/>
    <w:rsid w:val="00625EE9"/>
    <w:rsid w:val="0062601D"/>
    <w:rsid w:val="00626071"/>
    <w:rsid w:val="006261D7"/>
    <w:rsid w:val="00626216"/>
    <w:rsid w:val="0062638D"/>
    <w:rsid w:val="00626450"/>
    <w:rsid w:val="00626652"/>
    <w:rsid w:val="006267E9"/>
    <w:rsid w:val="00626C37"/>
    <w:rsid w:val="00626C39"/>
    <w:rsid w:val="00626F07"/>
    <w:rsid w:val="00626FCF"/>
    <w:rsid w:val="0062707D"/>
    <w:rsid w:val="006272DA"/>
    <w:rsid w:val="006274F5"/>
    <w:rsid w:val="006278BE"/>
    <w:rsid w:val="00630126"/>
    <w:rsid w:val="00630256"/>
    <w:rsid w:val="00630558"/>
    <w:rsid w:val="00630712"/>
    <w:rsid w:val="0063071F"/>
    <w:rsid w:val="0063075D"/>
    <w:rsid w:val="0063078C"/>
    <w:rsid w:val="006309D8"/>
    <w:rsid w:val="00630C5E"/>
    <w:rsid w:val="00630CFB"/>
    <w:rsid w:val="00631094"/>
    <w:rsid w:val="006311D0"/>
    <w:rsid w:val="0063126D"/>
    <w:rsid w:val="006313EF"/>
    <w:rsid w:val="00631655"/>
    <w:rsid w:val="00631873"/>
    <w:rsid w:val="00631891"/>
    <w:rsid w:val="006318B2"/>
    <w:rsid w:val="006318C0"/>
    <w:rsid w:val="00631AA4"/>
    <w:rsid w:val="00631BCE"/>
    <w:rsid w:val="00631C4A"/>
    <w:rsid w:val="00631C5C"/>
    <w:rsid w:val="00631E00"/>
    <w:rsid w:val="00631E43"/>
    <w:rsid w:val="006320F2"/>
    <w:rsid w:val="00632111"/>
    <w:rsid w:val="006321FB"/>
    <w:rsid w:val="00632459"/>
    <w:rsid w:val="00632470"/>
    <w:rsid w:val="0063251C"/>
    <w:rsid w:val="0063266D"/>
    <w:rsid w:val="006326DF"/>
    <w:rsid w:val="006327CF"/>
    <w:rsid w:val="00632840"/>
    <w:rsid w:val="00632861"/>
    <w:rsid w:val="0063286A"/>
    <w:rsid w:val="00632A1C"/>
    <w:rsid w:val="00632B0E"/>
    <w:rsid w:val="00632E50"/>
    <w:rsid w:val="00632FAF"/>
    <w:rsid w:val="00632FD8"/>
    <w:rsid w:val="0063336F"/>
    <w:rsid w:val="00633C36"/>
    <w:rsid w:val="00633C83"/>
    <w:rsid w:val="00633DE2"/>
    <w:rsid w:val="006341F0"/>
    <w:rsid w:val="0063426D"/>
    <w:rsid w:val="0063440B"/>
    <w:rsid w:val="0063461D"/>
    <w:rsid w:val="00634770"/>
    <w:rsid w:val="006347E7"/>
    <w:rsid w:val="006347F4"/>
    <w:rsid w:val="00634826"/>
    <w:rsid w:val="006348D5"/>
    <w:rsid w:val="00634AA9"/>
    <w:rsid w:val="00634B42"/>
    <w:rsid w:val="00634D4F"/>
    <w:rsid w:val="00634D53"/>
    <w:rsid w:val="00634D76"/>
    <w:rsid w:val="00635008"/>
    <w:rsid w:val="00635027"/>
    <w:rsid w:val="006350B9"/>
    <w:rsid w:val="00635115"/>
    <w:rsid w:val="00635226"/>
    <w:rsid w:val="00635560"/>
    <w:rsid w:val="006355C4"/>
    <w:rsid w:val="006356B0"/>
    <w:rsid w:val="0063574D"/>
    <w:rsid w:val="00635CB0"/>
    <w:rsid w:val="00635CED"/>
    <w:rsid w:val="00635CF4"/>
    <w:rsid w:val="00635FDA"/>
    <w:rsid w:val="0063613A"/>
    <w:rsid w:val="00636486"/>
    <w:rsid w:val="006364CA"/>
    <w:rsid w:val="00636501"/>
    <w:rsid w:val="006365BB"/>
    <w:rsid w:val="0063660C"/>
    <w:rsid w:val="00636664"/>
    <w:rsid w:val="00636694"/>
    <w:rsid w:val="0063677E"/>
    <w:rsid w:val="006367DB"/>
    <w:rsid w:val="00636CC8"/>
    <w:rsid w:val="00636EBB"/>
    <w:rsid w:val="00637170"/>
    <w:rsid w:val="00637208"/>
    <w:rsid w:val="006374E0"/>
    <w:rsid w:val="00637764"/>
    <w:rsid w:val="00637A0C"/>
    <w:rsid w:val="00637C38"/>
    <w:rsid w:val="00637CBA"/>
    <w:rsid w:val="00640280"/>
    <w:rsid w:val="006404EE"/>
    <w:rsid w:val="00640576"/>
    <w:rsid w:val="0064057A"/>
    <w:rsid w:val="0064059A"/>
    <w:rsid w:val="006406FB"/>
    <w:rsid w:val="00640962"/>
    <w:rsid w:val="006409AD"/>
    <w:rsid w:val="00640AC5"/>
    <w:rsid w:val="00640BE4"/>
    <w:rsid w:val="00640DE1"/>
    <w:rsid w:val="006411D9"/>
    <w:rsid w:val="0064126C"/>
    <w:rsid w:val="006413AA"/>
    <w:rsid w:val="00641554"/>
    <w:rsid w:val="006416D2"/>
    <w:rsid w:val="00641916"/>
    <w:rsid w:val="00641A83"/>
    <w:rsid w:val="00641B42"/>
    <w:rsid w:val="00641D62"/>
    <w:rsid w:val="00641D96"/>
    <w:rsid w:val="00641DE6"/>
    <w:rsid w:val="00642085"/>
    <w:rsid w:val="006423AA"/>
    <w:rsid w:val="006424E1"/>
    <w:rsid w:val="00642657"/>
    <w:rsid w:val="00642996"/>
    <w:rsid w:val="00642B01"/>
    <w:rsid w:val="00642DE0"/>
    <w:rsid w:val="00642E37"/>
    <w:rsid w:val="00642F08"/>
    <w:rsid w:val="00643126"/>
    <w:rsid w:val="0064319B"/>
    <w:rsid w:val="0064338A"/>
    <w:rsid w:val="006433F8"/>
    <w:rsid w:val="006436EE"/>
    <w:rsid w:val="006437AE"/>
    <w:rsid w:val="00643AF4"/>
    <w:rsid w:val="00643C78"/>
    <w:rsid w:val="00643E35"/>
    <w:rsid w:val="0064411C"/>
    <w:rsid w:val="00644178"/>
    <w:rsid w:val="006441F6"/>
    <w:rsid w:val="0064422A"/>
    <w:rsid w:val="006445FF"/>
    <w:rsid w:val="00644A7B"/>
    <w:rsid w:val="00644D3A"/>
    <w:rsid w:val="00644DE9"/>
    <w:rsid w:val="00644FC4"/>
    <w:rsid w:val="0064516B"/>
    <w:rsid w:val="006455AF"/>
    <w:rsid w:val="006455C3"/>
    <w:rsid w:val="006455D7"/>
    <w:rsid w:val="0064578E"/>
    <w:rsid w:val="00645A17"/>
    <w:rsid w:val="00645A3F"/>
    <w:rsid w:val="00645BDE"/>
    <w:rsid w:val="00645E3C"/>
    <w:rsid w:val="00645E59"/>
    <w:rsid w:val="00645F5B"/>
    <w:rsid w:val="0064659E"/>
    <w:rsid w:val="006465C3"/>
    <w:rsid w:val="0064669D"/>
    <w:rsid w:val="00646805"/>
    <w:rsid w:val="00646B2B"/>
    <w:rsid w:val="00646C6F"/>
    <w:rsid w:val="006470C4"/>
    <w:rsid w:val="00647163"/>
    <w:rsid w:val="0064720C"/>
    <w:rsid w:val="0064722E"/>
    <w:rsid w:val="00647423"/>
    <w:rsid w:val="00647706"/>
    <w:rsid w:val="006477AD"/>
    <w:rsid w:val="006478DF"/>
    <w:rsid w:val="00647A7F"/>
    <w:rsid w:val="00647E8F"/>
    <w:rsid w:val="00650178"/>
    <w:rsid w:val="00650941"/>
    <w:rsid w:val="00650A9A"/>
    <w:rsid w:val="00650AD3"/>
    <w:rsid w:val="00650B09"/>
    <w:rsid w:val="00650B14"/>
    <w:rsid w:val="00650C28"/>
    <w:rsid w:val="00650CDA"/>
    <w:rsid w:val="00650DAA"/>
    <w:rsid w:val="00650E6D"/>
    <w:rsid w:val="00650FE2"/>
    <w:rsid w:val="0065108F"/>
    <w:rsid w:val="006510CE"/>
    <w:rsid w:val="006512D6"/>
    <w:rsid w:val="006512DF"/>
    <w:rsid w:val="0065149D"/>
    <w:rsid w:val="006514F6"/>
    <w:rsid w:val="00651666"/>
    <w:rsid w:val="00651812"/>
    <w:rsid w:val="0065183C"/>
    <w:rsid w:val="0065196B"/>
    <w:rsid w:val="00651BBB"/>
    <w:rsid w:val="00651C59"/>
    <w:rsid w:val="00651D74"/>
    <w:rsid w:val="00651E57"/>
    <w:rsid w:val="006524A4"/>
    <w:rsid w:val="0065251E"/>
    <w:rsid w:val="0065265D"/>
    <w:rsid w:val="006526B8"/>
    <w:rsid w:val="00652880"/>
    <w:rsid w:val="00652913"/>
    <w:rsid w:val="00652ADF"/>
    <w:rsid w:val="00652B4D"/>
    <w:rsid w:val="00652C3A"/>
    <w:rsid w:val="00652D2D"/>
    <w:rsid w:val="00652DB7"/>
    <w:rsid w:val="00652F41"/>
    <w:rsid w:val="00652FCE"/>
    <w:rsid w:val="0065306B"/>
    <w:rsid w:val="00653298"/>
    <w:rsid w:val="006533E1"/>
    <w:rsid w:val="006534CC"/>
    <w:rsid w:val="006535EE"/>
    <w:rsid w:val="0065394F"/>
    <w:rsid w:val="006539EA"/>
    <w:rsid w:val="00653B1B"/>
    <w:rsid w:val="00653DD1"/>
    <w:rsid w:val="00653F67"/>
    <w:rsid w:val="006540BC"/>
    <w:rsid w:val="006541F5"/>
    <w:rsid w:val="006543BA"/>
    <w:rsid w:val="00654482"/>
    <w:rsid w:val="006544A8"/>
    <w:rsid w:val="00654926"/>
    <w:rsid w:val="00654CC8"/>
    <w:rsid w:val="00654D72"/>
    <w:rsid w:val="00654E31"/>
    <w:rsid w:val="006553F3"/>
    <w:rsid w:val="0065543D"/>
    <w:rsid w:val="006556A1"/>
    <w:rsid w:val="006556D1"/>
    <w:rsid w:val="006556D9"/>
    <w:rsid w:val="0065596F"/>
    <w:rsid w:val="00655A8C"/>
    <w:rsid w:val="00655AEE"/>
    <w:rsid w:val="00655B64"/>
    <w:rsid w:val="00655BB2"/>
    <w:rsid w:val="00655F88"/>
    <w:rsid w:val="0065607A"/>
    <w:rsid w:val="006564CB"/>
    <w:rsid w:val="0065655C"/>
    <w:rsid w:val="006565F7"/>
    <w:rsid w:val="006566BF"/>
    <w:rsid w:val="00656B89"/>
    <w:rsid w:val="00656BD9"/>
    <w:rsid w:val="00656CDB"/>
    <w:rsid w:val="00656CFB"/>
    <w:rsid w:val="00656DA0"/>
    <w:rsid w:val="00657123"/>
    <w:rsid w:val="00657189"/>
    <w:rsid w:val="0065724E"/>
    <w:rsid w:val="006573F0"/>
    <w:rsid w:val="006576EC"/>
    <w:rsid w:val="00657F90"/>
    <w:rsid w:val="006600DB"/>
    <w:rsid w:val="00660215"/>
    <w:rsid w:val="0066029D"/>
    <w:rsid w:val="006602EC"/>
    <w:rsid w:val="0066081B"/>
    <w:rsid w:val="0066092F"/>
    <w:rsid w:val="006613C0"/>
    <w:rsid w:val="006615EF"/>
    <w:rsid w:val="006618CE"/>
    <w:rsid w:val="0066194E"/>
    <w:rsid w:val="00661B69"/>
    <w:rsid w:val="00661C46"/>
    <w:rsid w:val="00661FA8"/>
    <w:rsid w:val="0066202F"/>
    <w:rsid w:val="006622A8"/>
    <w:rsid w:val="00662540"/>
    <w:rsid w:val="006626BE"/>
    <w:rsid w:val="00663043"/>
    <w:rsid w:val="00663074"/>
    <w:rsid w:val="006630FC"/>
    <w:rsid w:val="00663147"/>
    <w:rsid w:val="00663344"/>
    <w:rsid w:val="0066338E"/>
    <w:rsid w:val="0066341E"/>
    <w:rsid w:val="00663628"/>
    <w:rsid w:val="00663AD1"/>
    <w:rsid w:val="00663C93"/>
    <w:rsid w:val="00663CBD"/>
    <w:rsid w:val="00663DFB"/>
    <w:rsid w:val="00663E6E"/>
    <w:rsid w:val="00664416"/>
    <w:rsid w:val="006644CE"/>
    <w:rsid w:val="006644E1"/>
    <w:rsid w:val="006645EC"/>
    <w:rsid w:val="00664642"/>
    <w:rsid w:val="00664674"/>
    <w:rsid w:val="00664997"/>
    <w:rsid w:val="00664C0C"/>
    <w:rsid w:val="00664F40"/>
    <w:rsid w:val="0066506E"/>
    <w:rsid w:val="006650F4"/>
    <w:rsid w:val="006652D3"/>
    <w:rsid w:val="006653FD"/>
    <w:rsid w:val="0066540D"/>
    <w:rsid w:val="006655D2"/>
    <w:rsid w:val="00665618"/>
    <w:rsid w:val="0066583F"/>
    <w:rsid w:val="00665888"/>
    <w:rsid w:val="00665EE9"/>
    <w:rsid w:val="0066607A"/>
    <w:rsid w:val="006664F9"/>
    <w:rsid w:val="0066681C"/>
    <w:rsid w:val="0066689F"/>
    <w:rsid w:val="00666AAC"/>
    <w:rsid w:val="00666ABF"/>
    <w:rsid w:val="00666CBE"/>
    <w:rsid w:val="00666CF5"/>
    <w:rsid w:val="00667409"/>
    <w:rsid w:val="006674D2"/>
    <w:rsid w:val="0066759E"/>
    <w:rsid w:val="00667B59"/>
    <w:rsid w:val="00667BC6"/>
    <w:rsid w:val="00667C3E"/>
    <w:rsid w:val="00667CF3"/>
    <w:rsid w:val="00667DA9"/>
    <w:rsid w:val="00667F94"/>
    <w:rsid w:val="00670380"/>
    <w:rsid w:val="0067050A"/>
    <w:rsid w:val="006705D5"/>
    <w:rsid w:val="006706B5"/>
    <w:rsid w:val="00670722"/>
    <w:rsid w:val="0067085D"/>
    <w:rsid w:val="00670B4B"/>
    <w:rsid w:val="00670C07"/>
    <w:rsid w:val="00670D48"/>
    <w:rsid w:val="00670F72"/>
    <w:rsid w:val="00670F81"/>
    <w:rsid w:val="00671047"/>
    <w:rsid w:val="00671386"/>
    <w:rsid w:val="0067158A"/>
    <w:rsid w:val="00671738"/>
    <w:rsid w:val="006719B2"/>
    <w:rsid w:val="00671B9C"/>
    <w:rsid w:val="00671FF4"/>
    <w:rsid w:val="00672141"/>
    <w:rsid w:val="006724F6"/>
    <w:rsid w:val="00672633"/>
    <w:rsid w:val="006727D4"/>
    <w:rsid w:val="006728FE"/>
    <w:rsid w:val="00672964"/>
    <w:rsid w:val="00672AE6"/>
    <w:rsid w:val="00672BC1"/>
    <w:rsid w:val="00672C45"/>
    <w:rsid w:val="00672D36"/>
    <w:rsid w:val="00672DBD"/>
    <w:rsid w:val="00672F79"/>
    <w:rsid w:val="006730A3"/>
    <w:rsid w:val="0067319C"/>
    <w:rsid w:val="006731BE"/>
    <w:rsid w:val="00673513"/>
    <w:rsid w:val="00673711"/>
    <w:rsid w:val="00673978"/>
    <w:rsid w:val="00673AA5"/>
    <w:rsid w:val="00673DC1"/>
    <w:rsid w:val="00673F42"/>
    <w:rsid w:val="00674042"/>
    <w:rsid w:val="006740E1"/>
    <w:rsid w:val="0067416E"/>
    <w:rsid w:val="006741CB"/>
    <w:rsid w:val="006743EE"/>
    <w:rsid w:val="006744B2"/>
    <w:rsid w:val="006749AD"/>
    <w:rsid w:val="006749CA"/>
    <w:rsid w:val="00674A13"/>
    <w:rsid w:val="00674D58"/>
    <w:rsid w:val="00674E57"/>
    <w:rsid w:val="006751B4"/>
    <w:rsid w:val="006754D3"/>
    <w:rsid w:val="006758C9"/>
    <w:rsid w:val="0067591E"/>
    <w:rsid w:val="00675A5F"/>
    <w:rsid w:val="00675B06"/>
    <w:rsid w:val="006760AB"/>
    <w:rsid w:val="006761FA"/>
    <w:rsid w:val="006764BC"/>
    <w:rsid w:val="00676793"/>
    <w:rsid w:val="00676882"/>
    <w:rsid w:val="006769C4"/>
    <w:rsid w:val="00676B2E"/>
    <w:rsid w:val="00676B67"/>
    <w:rsid w:val="00676C1F"/>
    <w:rsid w:val="00676C47"/>
    <w:rsid w:val="00676C6F"/>
    <w:rsid w:val="00676C77"/>
    <w:rsid w:val="00676C8F"/>
    <w:rsid w:val="00676CC6"/>
    <w:rsid w:val="00677456"/>
    <w:rsid w:val="006774B0"/>
    <w:rsid w:val="00677627"/>
    <w:rsid w:val="006776C7"/>
    <w:rsid w:val="00677743"/>
    <w:rsid w:val="006778E4"/>
    <w:rsid w:val="00677A67"/>
    <w:rsid w:val="00677A87"/>
    <w:rsid w:val="00677BD5"/>
    <w:rsid w:val="00677D5B"/>
    <w:rsid w:val="00677E3C"/>
    <w:rsid w:val="00677EEC"/>
    <w:rsid w:val="006800F6"/>
    <w:rsid w:val="0068025E"/>
    <w:rsid w:val="006802D2"/>
    <w:rsid w:val="0068051B"/>
    <w:rsid w:val="0068057B"/>
    <w:rsid w:val="006805D9"/>
    <w:rsid w:val="0068060C"/>
    <w:rsid w:val="006808B5"/>
    <w:rsid w:val="00680912"/>
    <w:rsid w:val="0068092C"/>
    <w:rsid w:val="00680C1A"/>
    <w:rsid w:val="00680D83"/>
    <w:rsid w:val="00680E8B"/>
    <w:rsid w:val="00681042"/>
    <w:rsid w:val="0068110D"/>
    <w:rsid w:val="006814AF"/>
    <w:rsid w:val="0068150F"/>
    <w:rsid w:val="006818D0"/>
    <w:rsid w:val="006819A3"/>
    <w:rsid w:val="00681D51"/>
    <w:rsid w:val="00681E22"/>
    <w:rsid w:val="00681E2F"/>
    <w:rsid w:val="00681E66"/>
    <w:rsid w:val="00682129"/>
    <w:rsid w:val="006822E2"/>
    <w:rsid w:val="006823F2"/>
    <w:rsid w:val="0068265E"/>
    <w:rsid w:val="0068266C"/>
    <w:rsid w:val="006826FA"/>
    <w:rsid w:val="006827B7"/>
    <w:rsid w:val="0068285B"/>
    <w:rsid w:val="00682CB6"/>
    <w:rsid w:val="00682E55"/>
    <w:rsid w:val="0068340E"/>
    <w:rsid w:val="00683528"/>
    <w:rsid w:val="00683722"/>
    <w:rsid w:val="006837AA"/>
    <w:rsid w:val="00683D2F"/>
    <w:rsid w:val="0068403C"/>
    <w:rsid w:val="00684044"/>
    <w:rsid w:val="006840B2"/>
    <w:rsid w:val="006841B1"/>
    <w:rsid w:val="006843F6"/>
    <w:rsid w:val="0068491F"/>
    <w:rsid w:val="00684F4C"/>
    <w:rsid w:val="00684FF7"/>
    <w:rsid w:val="006851A2"/>
    <w:rsid w:val="00685309"/>
    <w:rsid w:val="0068563E"/>
    <w:rsid w:val="0068579F"/>
    <w:rsid w:val="006858F3"/>
    <w:rsid w:val="00685BD8"/>
    <w:rsid w:val="00685DE4"/>
    <w:rsid w:val="00685F02"/>
    <w:rsid w:val="0068607F"/>
    <w:rsid w:val="00686118"/>
    <w:rsid w:val="006861C0"/>
    <w:rsid w:val="006863CF"/>
    <w:rsid w:val="00686596"/>
    <w:rsid w:val="00686706"/>
    <w:rsid w:val="00686748"/>
    <w:rsid w:val="006867B5"/>
    <w:rsid w:val="00686CC2"/>
    <w:rsid w:val="00686F00"/>
    <w:rsid w:val="00687C97"/>
    <w:rsid w:val="00687D5A"/>
    <w:rsid w:val="00687F95"/>
    <w:rsid w:val="00690324"/>
    <w:rsid w:val="006904C2"/>
    <w:rsid w:val="006904DD"/>
    <w:rsid w:val="00690524"/>
    <w:rsid w:val="00690595"/>
    <w:rsid w:val="00690907"/>
    <w:rsid w:val="00690B63"/>
    <w:rsid w:val="00690D26"/>
    <w:rsid w:val="00690E71"/>
    <w:rsid w:val="00691026"/>
    <w:rsid w:val="006910B3"/>
    <w:rsid w:val="006911C8"/>
    <w:rsid w:val="00691459"/>
    <w:rsid w:val="00691808"/>
    <w:rsid w:val="00691B28"/>
    <w:rsid w:val="0069235B"/>
    <w:rsid w:val="006927C7"/>
    <w:rsid w:val="00692B7D"/>
    <w:rsid w:val="00692D12"/>
    <w:rsid w:val="00692E5F"/>
    <w:rsid w:val="00693137"/>
    <w:rsid w:val="006934D8"/>
    <w:rsid w:val="00693531"/>
    <w:rsid w:val="006935A5"/>
    <w:rsid w:val="0069380A"/>
    <w:rsid w:val="00693842"/>
    <w:rsid w:val="00693888"/>
    <w:rsid w:val="00693C87"/>
    <w:rsid w:val="00693D3E"/>
    <w:rsid w:val="00693F4F"/>
    <w:rsid w:val="00693FC6"/>
    <w:rsid w:val="00693FD1"/>
    <w:rsid w:val="0069401D"/>
    <w:rsid w:val="00694086"/>
    <w:rsid w:val="0069457A"/>
    <w:rsid w:val="00694647"/>
    <w:rsid w:val="00694773"/>
    <w:rsid w:val="006949A7"/>
    <w:rsid w:val="00694A6F"/>
    <w:rsid w:val="00694B65"/>
    <w:rsid w:val="00694C69"/>
    <w:rsid w:val="00694D53"/>
    <w:rsid w:val="00694E58"/>
    <w:rsid w:val="00694FD4"/>
    <w:rsid w:val="006951CE"/>
    <w:rsid w:val="006951E5"/>
    <w:rsid w:val="006951FF"/>
    <w:rsid w:val="006954B2"/>
    <w:rsid w:val="00695757"/>
    <w:rsid w:val="006959E8"/>
    <w:rsid w:val="00695AD1"/>
    <w:rsid w:val="00695B5A"/>
    <w:rsid w:val="00695BD9"/>
    <w:rsid w:val="00695D1E"/>
    <w:rsid w:val="00695DF6"/>
    <w:rsid w:val="00695F91"/>
    <w:rsid w:val="00695FCA"/>
    <w:rsid w:val="00696210"/>
    <w:rsid w:val="00696335"/>
    <w:rsid w:val="0069634A"/>
    <w:rsid w:val="00696463"/>
    <w:rsid w:val="00696496"/>
    <w:rsid w:val="0069686C"/>
    <w:rsid w:val="00696951"/>
    <w:rsid w:val="00696A0C"/>
    <w:rsid w:val="00696A4D"/>
    <w:rsid w:val="00696C70"/>
    <w:rsid w:val="00696C83"/>
    <w:rsid w:val="00696F11"/>
    <w:rsid w:val="0069719E"/>
    <w:rsid w:val="00697278"/>
    <w:rsid w:val="0069770B"/>
    <w:rsid w:val="00697866"/>
    <w:rsid w:val="00697A50"/>
    <w:rsid w:val="00697A64"/>
    <w:rsid w:val="00697AC9"/>
    <w:rsid w:val="00697CF6"/>
    <w:rsid w:val="00697D19"/>
    <w:rsid w:val="00697F73"/>
    <w:rsid w:val="00697F9A"/>
    <w:rsid w:val="006A0052"/>
    <w:rsid w:val="006A04A9"/>
    <w:rsid w:val="006A0503"/>
    <w:rsid w:val="006A0538"/>
    <w:rsid w:val="006A05C7"/>
    <w:rsid w:val="006A08CA"/>
    <w:rsid w:val="006A0956"/>
    <w:rsid w:val="006A0C61"/>
    <w:rsid w:val="006A0CF4"/>
    <w:rsid w:val="006A0D51"/>
    <w:rsid w:val="006A0DA8"/>
    <w:rsid w:val="006A0DB5"/>
    <w:rsid w:val="006A0E43"/>
    <w:rsid w:val="006A0F34"/>
    <w:rsid w:val="006A102D"/>
    <w:rsid w:val="006A11E4"/>
    <w:rsid w:val="006A15CF"/>
    <w:rsid w:val="006A16F0"/>
    <w:rsid w:val="006A184C"/>
    <w:rsid w:val="006A188E"/>
    <w:rsid w:val="006A1B54"/>
    <w:rsid w:val="006A20A4"/>
    <w:rsid w:val="006A299C"/>
    <w:rsid w:val="006A29FF"/>
    <w:rsid w:val="006A2AB9"/>
    <w:rsid w:val="006A2DB4"/>
    <w:rsid w:val="006A2E9B"/>
    <w:rsid w:val="006A3009"/>
    <w:rsid w:val="006A3322"/>
    <w:rsid w:val="006A350E"/>
    <w:rsid w:val="006A35DE"/>
    <w:rsid w:val="006A4010"/>
    <w:rsid w:val="006A414D"/>
    <w:rsid w:val="006A41F8"/>
    <w:rsid w:val="006A42A5"/>
    <w:rsid w:val="006A451E"/>
    <w:rsid w:val="006A45BB"/>
    <w:rsid w:val="006A4999"/>
    <w:rsid w:val="006A4E52"/>
    <w:rsid w:val="006A4ED3"/>
    <w:rsid w:val="006A4FC8"/>
    <w:rsid w:val="006A50F1"/>
    <w:rsid w:val="006A5142"/>
    <w:rsid w:val="006A517B"/>
    <w:rsid w:val="006A51B6"/>
    <w:rsid w:val="006A546A"/>
    <w:rsid w:val="006A5564"/>
    <w:rsid w:val="006A55E1"/>
    <w:rsid w:val="006A566C"/>
    <w:rsid w:val="006A58C6"/>
    <w:rsid w:val="006A59ED"/>
    <w:rsid w:val="006A5C14"/>
    <w:rsid w:val="006A5C3F"/>
    <w:rsid w:val="006A5CA0"/>
    <w:rsid w:val="006A5CF2"/>
    <w:rsid w:val="006A603D"/>
    <w:rsid w:val="006A607B"/>
    <w:rsid w:val="006A6174"/>
    <w:rsid w:val="006A61EC"/>
    <w:rsid w:val="006A6296"/>
    <w:rsid w:val="006A6623"/>
    <w:rsid w:val="006A6CA9"/>
    <w:rsid w:val="006A6D38"/>
    <w:rsid w:val="006A6E27"/>
    <w:rsid w:val="006A6EAC"/>
    <w:rsid w:val="006A6FB8"/>
    <w:rsid w:val="006A6FDF"/>
    <w:rsid w:val="006A721B"/>
    <w:rsid w:val="006A72B0"/>
    <w:rsid w:val="006A739B"/>
    <w:rsid w:val="006A74E5"/>
    <w:rsid w:val="006A76F4"/>
    <w:rsid w:val="006A7818"/>
    <w:rsid w:val="006A782F"/>
    <w:rsid w:val="006A7AB4"/>
    <w:rsid w:val="006A7B69"/>
    <w:rsid w:val="006A7EEF"/>
    <w:rsid w:val="006B009C"/>
    <w:rsid w:val="006B0289"/>
    <w:rsid w:val="006B02C4"/>
    <w:rsid w:val="006B04FE"/>
    <w:rsid w:val="006B05D4"/>
    <w:rsid w:val="006B075C"/>
    <w:rsid w:val="006B0856"/>
    <w:rsid w:val="006B0894"/>
    <w:rsid w:val="006B09B8"/>
    <w:rsid w:val="006B0AFA"/>
    <w:rsid w:val="006B1304"/>
    <w:rsid w:val="006B1509"/>
    <w:rsid w:val="006B168D"/>
    <w:rsid w:val="006B17C1"/>
    <w:rsid w:val="006B18C5"/>
    <w:rsid w:val="006B1932"/>
    <w:rsid w:val="006B1B85"/>
    <w:rsid w:val="006B1C14"/>
    <w:rsid w:val="006B1DD2"/>
    <w:rsid w:val="006B1F47"/>
    <w:rsid w:val="006B1FDA"/>
    <w:rsid w:val="006B2047"/>
    <w:rsid w:val="006B224C"/>
    <w:rsid w:val="006B24F9"/>
    <w:rsid w:val="006B2517"/>
    <w:rsid w:val="006B28CB"/>
    <w:rsid w:val="006B2AC0"/>
    <w:rsid w:val="006B2CD8"/>
    <w:rsid w:val="006B3476"/>
    <w:rsid w:val="006B353C"/>
    <w:rsid w:val="006B3564"/>
    <w:rsid w:val="006B36AE"/>
    <w:rsid w:val="006B3980"/>
    <w:rsid w:val="006B3B7C"/>
    <w:rsid w:val="006B3E4D"/>
    <w:rsid w:val="006B3F76"/>
    <w:rsid w:val="006B417B"/>
    <w:rsid w:val="006B43A5"/>
    <w:rsid w:val="006B4449"/>
    <w:rsid w:val="006B44BB"/>
    <w:rsid w:val="006B456E"/>
    <w:rsid w:val="006B474F"/>
    <w:rsid w:val="006B4C0C"/>
    <w:rsid w:val="006B4D12"/>
    <w:rsid w:val="006B4D92"/>
    <w:rsid w:val="006B4E25"/>
    <w:rsid w:val="006B4EAB"/>
    <w:rsid w:val="006B4F07"/>
    <w:rsid w:val="006B5091"/>
    <w:rsid w:val="006B50B8"/>
    <w:rsid w:val="006B50F9"/>
    <w:rsid w:val="006B5238"/>
    <w:rsid w:val="006B52BD"/>
    <w:rsid w:val="006B5756"/>
    <w:rsid w:val="006B5764"/>
    <w:rsid w:val="006B5A61"/>
    <w:rsid w:val="006B5C4C"/>
    <w:rsid w:val="006B5D79"/>
    <w:rsid w:val="006B5D95"/>
    <w:rsid w:val="006B5F08"/>
    <w:rsid w:val="006B5FBC"/>
    <w:rsid w:val="006B61DE"/>
    <w:rsid w:val="006B6314"/>
    <w:rsid w:val="006B64DE"/>
    <w:rsid w:val="006B64E8"/>
    <w:rsid w:val="006B654C"/>
    <w:rsid w:val="006B658B"/>
    <w:rsid w:val="006B6648"/>
    <w:rsid w:val="006B6676"/>
    <w:rsid w:val="006B6AEF"/>
    <w:rsid w:val="006B6B08"/>
    <w:rsid w:val="006B6CF2"/>
    <w:rsid w:val="006B6D55"/>
    <w:rsid w:val="006B6DA1"/>
    <w:rsid w:val="006B6EA6"/>
    <w:rsid w:val="006B7092"/>
    <w:rsid w:val="006B71FE"/>
    <w:rsid w:val="006B7272"/>
    <w:rsid w:val="006B7522"/>
    <w:rsid w:val="006B76C2"/>
    <w:rsid w:val="006B7727"/>
    <w:rsid w:val="006B7877"/>
    <w:rsid w:val="006B7AA6"/>
    <w:rsid w:val="006B7CBC"/>
    <w:rsid w:val="006C02CD"/>
    <w:rsid w:val="006C06A9"/>
    <w:rsid w:val="006C0765"/>
    <w:rsid w:val="006C07F1"/>
    <w:rsid w:val="006C0CE8"/>
    <w:rsid w:val="006C109A"/>
    <w:rsid w:val="006C132E"/>
    <w:rsid w:val="006C1398"/>
    <w:rsid w:val="006C13A3"/>
    <w:rsid w:val="006C157B"/>
    <w:rsid w:val="006C1822"/>
    <w:rsid w:val="006C1C07"/>
    <w:rsid w:val="006C1DA7"/>
    <w:rsid w:val="006C1E8A"/>
    <w:rsid w:val="006C204C"/>
    <w:rsid w:val="006C21F1"/>
    <w:rsid w:val="006C2244"/>
    <w:rsid w:val="006C2380"/>
    <w:rsid w:val="006C24D6"/>
    <w:rsid w:val="006C24FD"/>
    <w:rsid w:val="006C2ABA"/>
    <w:rsid w:val="006C2B59"/>
    <w:rsid w:val="006C2C86"/>
    <w:rsid w:val="006C2C8B"/>
    <w:rsid w:val="006C2D1A"/>
    <w:rsid w:val="006C2F60"/>
    <w:rsid w:val="006C3183"/>
    <w:rsid w:val="006C34A1"/>
    <w:rsid w:val="006C3686"/>
    <w:rsid w:val="006C3825"/>
    <w:rsid w:val="006C38EF"/>
    <w:rsid w:val="006C3A2D"/>
    <w:rsid w:val="006C3B46"/>
    <w:rsid w:val="006C3BCF"/>
    <w:rsid w:val="006C3BEF"/>
    <w:rsid w:val="006C3E35"/>
    <w:rsid w:val="006C3EBC"/>
    <w:rsid w:val="006C4043"/>
    <w:rsid w:val="006C41C1"/>
    <w:rsid w:val="006C41ED"/>
    <w:rsid w:val="006C43FB"/>
    <w:rsid w:val="006C44AC"/>
    <w:rsid w:val="006C4623"/>
    <w:rsid w:val="006C466F"/>
    <w:rsid w:val="006C468F"/>
    <w:rsid w:val="006C48CD"/>
    <w:rsid w:val="006C4950"/>
    <w:rsid w:val="006C49AF"/>
    <w:rsid w:val="006C4CF9"/>
    <w:rsid w:val="006C4F0A"/>
    <w:rsid w:val="006C52B9"/>
    <w:rsid w:val="006C559A"/>
    <w:rsid w:val="006C57DE"/>
    <w:rsid w:val="006C58E3"/>
    <w:rsid w:val="006C5A8D"/>
    <w:rsid w:val="006C5C1C"/>
    <w:rsid w:val="006C5CDD"/>
    <w:rsid w:val="006C5D0C"/>
    <w:rsid w:val="006C62DF"/>
    <w:rsid w:val="006C6346"/>
    <w:rsid w:val="006C6900"/>
    <w:rsid w:val="006C6C12"/>
    <w:rsid w:val="006C6ED1"/>
    <w:rsid w:val="006C6F68"/>
    <w:rsid w:val="006C702D"/>
    <w:rsid w:val="006C70B8"/>
    <w:rsid w:val="006C7286"/>
    <w:rsid w:val="006C72B2"/>
    <w:rsid w:val="006C751E"/>
    <w:rsid w:val="006C7634"/>
    <w:rsid w:val="006C775C"/>
    <w:rsid w:val="006C7DC6"/>
    <w:rsid w:val="006C7FB8"/>
    <w:rsid w:val="006C7FF1"/>
    <w:rsid w:val="006D0027"/>
    <w:rsid w:val="006D0263"/>
    <w:rsid w:val="006D02AA"/>
    <w:rsid w:val="006D04E1"/>
    <w:rsid w:val="006D0519"/>
    <w:rsid w:val="006D0F89"/>
    <w:rsid w:val="006D1A50"/>
    <w:rsid w:val="006D1DFE"/>
    <w:rsid w:val="006D1E3E"/>
    <w:rsid w:val="006D1E45"/>
    <w:rsid w:val="006D20A4"/>
    <w:rsid w:val="006D24C7"/>
    <w:rsid w:val="006D2560"/>
    <w:rsid w:val="006D2C95"/>
    <w:rsid w:val="006D2FFC"/>
    <w:rsid w:val="006D328B"/>
    <w:rsid w:val="006D32AF"/>
    <w:rsid w:val="006D34A0"/>
    <w:rsid w:val="006D35D6"/>
    <w:rsid w:val="006D3620"/>
    <w:rsid w:val="006D3675"/>
    <w:rsid w:val="006D3A86"/>
    <w:rsid w:val="006D3F0F"/>
    <w:rsid w:val="006D41CE"/>
    <w:rsid w:val="006D4312"/>
    <w:rsid w:val="006D4393"/>
    <w:rsid w:val="006D43AF"/>
    <w:rsid w:val="006D4587"/>
    <w:rsid w:val="006D460E"/>
    <w:rsid w:val="006D472A"/>
    <w:rsid w:val="006D499B"/>
    <w:rsid w:val="006D4ADA"/>
    <w:rsid w:val="006D4CA2"/>
    <w:rsid w:val="006D4E30"/>
    <w:rsid w:val="006D4F69"/>
    <w:rsid w:val="006D50EE"/>
    <w:rsid w:val="006D5176"/>
    <w:rsid w:val="006D5201"/>
    <w:rsid w:val="006D526E"/>
    <w:rsid w:val="006D5313"/>
    <w:rsid w:val="006D535C"/>
    <w:rsid w:val="006D541F"/>
    <w:rsid w:val="006D5510"/>
    <w:rsid w:val="006D55C0"/>
    <w:rsid w:val="006D5820"/>
    <w:rsid w:val="006D5886"/>
    <w:rsid w:val="006D5EAC"/>
    <w:rsid w:val="006D5EFF"/>
    <w:rsid w:val="006D5F50"/>
    <w:rsid w:val="006D5F9A"/>
    <w:rsid w:val="006D6197"/>
    <w:rsid w:val="006D61AF"/>
    <w:rsid w:val="006D6703"/>
    <w:rsid w:val="006D6812"/>
    <w:rsid w:val="006D6944"/>
    <w:rsid w:val="006D6989"/>
    <w:rsid w:val="006D6F24"/>
    <w:rsid w:val="006D6F3C"/>
    <w:rsid w:val="006D737C"/>
    <w:rsid w:val="006D74ED"/>
    <w:rsid w:val="006D7695"/>
    <w:rsid w:val="006D77F0"/>
    <w:rsid w:val="006D78EB"/>
    <w:rsid w:val="006D793B"/>
    <w:rsid w:val="006D7C6D"/>
    <w:rsid w:val="006E00C9"/>
    <w:rsid w:val="006E02FE"/>
    <w:rsid w:val="006E058C"/>
    <w:rsid w:val="006E06A0"/>
    <w:rsid w:val="006E0724"/>
    <w:rsid w:val="006E0922"/>
    <w:rsid w:val="006E0B0D"/>
    <w:rsid w:val="006E0B84"/>
    <w:rsid w:val="006E0C29"/>
    <w:rsid w:val="006E0ED9"/>
    <w:rsid w:val="006E0EF4"/>
    <w:rsid w:val="006E0F5D"/>
    <w:rsid w:val="006E0FA4"/>
    <w:rsid w:val="006E1268"/>
    <w:rsid w:val="006E13A6"/>
    <w:rsid w:val="006E13C3"/>
    <w:rsid w:val="006E1629"/>
    <w:rsid w:val="006E1691"/>
    <w:rsid w:val="006E16F2"/>
    <w:rsid w:val="006E1941"/>
    <w:rsid w:val="006E1B5D"/>
    <w:rsid w:val="006E1D0B"/>
    <w:rsid w:val="006E2008"/>
    <w:rsid w:val="006E2099"/>
    <w:rsid w:val="006E21A4"/>
    <w:rsid w:val="006E2429"/>
    <w:rsid w:val="006E254B"/>
    <w:rsid w:val="006E25ED"/>
    <w:rsid w:val="006E2656"/>
    <w:rsid w:val="006E28FF"/>
    <w:rsid w:val="006E2A71"/>
    <w:rsid w:val="006E2BB3"/>
    <w:rsid w:val="006E2FB8"/>
    <w:rsid w:val="006E32B4"/>
    <w:rsid w:val="006E3848"/>
    <w:rsid w:val="006E38A2"/>
    <w:rsid w:val="006E3D01"/>
    <w:rsid w:val="006E3DA4"/>
    <w:rsid w:val="006E3E0F"/>
    <w:rsid w:val="006E3E96"/>
    <w:rsid w:val="006E3EA6"/>
    <w:rsid w:val="006E4021"/>
    <w:rsid w:val="006E402D"/>
    <w:rsid w:val="006E41E5"/>
    <w:rsid w:val="006E4283"/>
    <w:rsid w:val="006E42CD"/>
    <w:rsid w:val="006E4654"/>
    <w:rsid w:val="006E4690"/>
    <w:rsid w:val="006E473A"/>
    <w:rsid w:val="006E48EE"/>
    <w:rsid w:val="006E4977"/>
    <w:rsid w:val="006E4A43"/>
    <w:rsid w:val="006E4ABA"/>
    <w:rsid w:val="006E4B28"/>
    <w:rsid w:val="006E4B3D"/>
    <w:rsid w:val="006E4B4C"/>
    <w:rsid w:val="006E4C3A"/>
    <w:rsid w:val="006E4C79"/>
    <w:rsid w:val="006E50E1"/>
    <w:rsid w:val="006E5147"/>
    <w:rsid w:val="006E5269"/>
    <w:rsid w:val="006E57FE"/>
    <w:rsid w:val="006E5934"/>
    <w:rsid w:val="006E5A5C"/>
    <w:rsid w:val="006E5BC2"/>
    <w:rsid w:val="006E5E77"/>
    <w:rsid w:val="006E5F40"/>
    <w:rsid w:val="006E61B8"/>
    <w:rsid w:val="006E6779"/>
    <w:rsid w:val="006E6B24"/>
    <w:rsid w:val="006E6BC2"/>
    <w:rsid w:val="006E6CE7"/>
    <w:rsid w:val="006E6E1C"/>
    <w:rsid w:val="006E744A"/>
    <w:rsid w:val="006E76F8"/>
    <w:rsid w:val="006E77A5"/>
    <w:rsid w:val="006E77BB"/>
    <w:rsid w:val="006E780C"/>
    <w:rsid w:val="006E7983"/>
    <w:rsid w:val="006E7BD2"/>
    <w:rsid w:val="006E7EF3"/>
    <w:rsid w:val="006E7FB6"/>
    <w:rsid w:val="006F00E1"/>
    <w:rsid w:val="006F0137"/>
    <w:rsid w:val="006F020F"/>
    <w:rsid w:val="006F061C"/>
    <w:rsid w:val="006F0800"/>
    <w:rsid w:val="006F08FA"/>
    <w:rsid w:val="006F094B"/>
    <w:rsid w:val="006F0A30"/>
    <w:rsid w:val="006F1024"/>
    <w:rsid w:val="006F129F"/>
    <w:rsid w:val="006F13E0"/>
    <w:rsid w:val="006F1488"/>
    <w:rsid w:val="006F164E"/>
    <w:rsid w:val="006F182C"/>
    <w:rsid w:val="006F1C8A"/>
    <w:rsid w:val="006F1CAA"/>
    <w:rsid w:val="006F1F36"/>
    <w:rsid w:val="006F211C"/>
    <w:rsid w:val="006F21F9"/>
    <w:rsid w:val="006F22A1"/>
    <w:rsid w:val="006F240B"/>
    <w:rsid w:val="006F24B4"/>
    <w:rsid w:val="006F25D3"/>
    <w:rsid w:val="006F26B4"/>
    <w:rsid w:val="006F26E7"/>
    <w:rsid w:val="006F2A0D"/>
    <w:rsid w:val="006F2D0A"/>
    <w:rsid w:val="006F2D4C"/>
    <w:rsid w:val="006F2D7F"/>
    <w:rsid w:val="006F30B1"/>
    <w:rsid w:val="006F319D"/>
    <w:rsid w:val="006F34EB"/>
    <w:rsid w:val="006F3549"/>
    <w:rsid w:val="006F3ABE"/>
    <w:rsid w:val="006F3C1F"/>
    <w:rsid w:val="006F3CA3"/>
    <w:rsid w:val="006F41F0"/>
    <w:rsid w:val="006F44EF"/>
    <w:rsid w:val="006F4533"/>
    <w:rsid w:val="006F4583"/>
    <w:rsid w:val="006F45A4"/>
    <w:rsid w:val="006F4609"/>
    <w:rsid w:val="006F474D"/>
    <w:rsid w:val="006F48D5"/>
    <w:rsid w:val="006F4C65"/>
    <w:rsid w:val="006F4CC9"/>
    <w:rsid w:val="006F4FB4"/>
    <w:rsid w:val="006F50D9"/>
    <w:rsid w:val="006F512C"/>
    <w:rsid w:val="006F5271"/>
    <w:rsid w:val="006F52ED"/>
    <w:rsid w:val="006F54DE"/>
    <w:rsid w:val="006F58E1"/>
    <w:rsid w:val="006F5A76"/>
    <w:rsid w:val="006F5A7C"/>
    <w:rsid w:val="006F5CC2"/>
    <w:rsid w:val="006F5D2D"/>
    <w:rsid w:val="006F6062"/>
    <w:rsid w:val="006F60E6"/>
    <w:rsid w:val="006F6303"/>
    <w:rsid w:val="006F6316"/>
    <w:rsid w:val="006F65A2"/>
    <w:rsid w:val="006F66E7"/>
    <w:rsid w:val="006F6885"/>
    <w:rsid w:val="006F68BA"/>
    <w:rsid w:val="006F6C31"/>
    <w:rsid w:val="006F6F1F"/>
    <w:rsid w:val="006F7335"/>
    <w:rsid w:val="006F736D"/>
    <w:rsid w:val="006F74B5"/>
    <w:rsid w:val="006F74D3"/>
    <w:rsid w:val="006F7A56"/>
    <w:rsid w:val="006F7D74"/>
    <w:rsid w:val="006F7DC7"/>
    <w:rsid w:val="006F7DEF"/>
    <w:rsid w:val="007000CE"/>
    <w:rsid w:val="007003F1"/>
    <w:rsid w:val="007004F0"/>
    <w:rsid w:val="0070087D"/>
    <w:rsid w:val="0070090A"/>
    <w:rsid w:val="00700CF2"/>
    <w:rsid w:val="00700F78"/>
    <w:rsid w:val="00700FA4"/>
    <w:rsid w:val="007011AD"/>
    <w:rsid w:val="007011CC"/>
    <w:rsid w:val="007012D0"/>
    <w:rsid w:val="0070150E"/>
    <w:rsid w:val="007016DD"/>
    <w:rsid w:val="00701735"/>
    <w:rsid w:val="00701852"/>
    <w:rsid w:val="00701AD9"/>
    <w:rsid w:val="00701B48"/>
    <w:rsid w:val="00701B93"/>
    <w:rsid w:val="00701CC3"/>
    <w:rsid w:val="00702190"/>
    <w:rsid w:val="00702381"/>
    <w:rsid w:val="007024FB"/>
    <w:rsid w:val="00702577"/>
    <w:rsid w:val="007025DC"/>
    <w:rsid w:val="0070267A"/>
    <w:rsid w:val="00702AA9"/>
    <w:rsid w:val="00702F8D"/>
    <w:rsid w:val="00702FE6"/>
    <w:rsid w:val="0070314E"/>
    <w:rsid w:val="00703238"/>
    <w:rsid w:val="00703253"/>
    <w:rsid w:val="007032EF"/>
    <w:rsid w:val="00703CF8"/>
    <w:rsid w:val="00703F05"/>
    <w:rsid w:val="00704126"/>
    <w:rsid w:val="0070413C"/>
    <w:rsid w:val="00704167"/>
    <w:rsid w:val="00704360"/>
    <w:rsid w:val="007043D6"/>
    <w:rsid w:val="00704638"/>
    <w:rsid w:val="00704788"/>
    <w:rsid w:val="007047C6"/>
    <w:rsid w:val="00704B74"/>
    <w:rsid w:val="00704C5B"/>
    <w:rsid w:val="00705212"/>
    <w:rsid w:val="00705574"/>
    <w:rsid w:val="007055E4"/>
    <w:rsid w:val="00705AD8"/>
    <w:rsid w:val="00705B85"/>
    <w:rsid w:val="00705DB8"/>
    <w:rsid w:val="00705F50"/>
    <w:rsid w:val="00705F92"/>
    <w:rsid w:val="0070625C"/>
    <w:rsid w:val="00706584"/>
    <w:rsid w:val="007066F3"/>
    <w:rsid w:val="00706929"/>
    <w:rsid w:val="00706C34"/>
    <w:rsid w:val="00706C8C"/>
    <w:rsid w:val="0070746A"/>
    <w:rsid w:val="0070748A"/>
    <w:rsid w:val="007076A2"/>
    <w:rsid w:val="007077F3"/>
    <w:rsid w:val="00707A4C"/>
    <w:rsid w:val="00707A98"/>
    <w:rsid w:val="00707E5B"/>
    <w:rsid w:val="00707FE1"/>
    <w:rsid w:val="007101F2"/>
    <w:rsid w:val="00710222"/>
    <w:rsid w:val="00710349"/>
    <w:rsid w:val="0071035A"/>
    <w:rsid w:val="00710422"/>
    <w:rsid w:val="0071049B"/>
    <w:rsid w:val="007105E1"/>
    <w:rsid w:val="00710AF8"/>
    <w:rsid w:val="00710DF2"/>
    <w:rsid w:val="00710E22"/>
    <w:rsid w:val="0071105F"/>
    <w:rsid w:val="00711128"/>
    <w:rsid w:val="00711412"/>
    <w:rsid w:val="00711738"/>
    <w:rsid w:val="0071179B"/>
    <w:rsid w:val="007118AB"/>
    <w:rsid w:val="00711B4B"/>
    <w:rsid w:val="00711C71"/>
    <w:rsid w:val="00711C91"/>
    <w:rsid w:val="00711D14"/>
    <w:rsid w:val="00711D57"/>
    <w:rsid w:val="00712001"/>
    <w:rsid w:val="00712338"/>
    <w:rsid w:val="00712C4E"/>
    <w:rsid w:val="00712F30"/>
    <w:rsid w:val="0071300C"/>
    <w:rsid w:val="0071301C"/>
    <w:rsid w:val="007131AE"/>
    <w:rsid w:val="007131C5"/>
    <w:rsid w:val="00713225"/>
    <w:rsid w:val="00713359"/>
    <w:rsid w:val="00713737"/>
    <w:rsid w:val="00713B79"/>
    <w:rsid w:val="00713BB3"/>
    <w:rsid w:val="007140E8"/>
    <w:rsid w:val="0071418E"/>
    <w:rsid w:val="007141F4"/>
    <w:rsid w:val="00714302"/>
    <w:rsid w:val="007145C9"/>
    <w:rsid w:val="00714972"/>
    <w:rsid w:val="00714B56"/>
    <w:rsid w:val="00714C0F"/>
    <w:rsid w:val="00714F97"/>
    <w:rsid w:val="0071529D"/>
    <w:rsid w:val="0071539C"/>
    <w:rsid w:val="0071548F"/>
    <w:rsid w:val="0071572F"/>
    <w:rsid w:val="00715BE9"/>
    <w:rsid w:val="007162F1"/>
    <w:rsid w:val="00716473"/>
    <w:rsid w:val="0071682C"/>
    <w:rsid w:val="007168F2"/>
    <w:rsid w:val="00716A2C"/>
    <w:rsid w:val="00716CAE"/>
    <w:rsid w:val="00716D63"/>
    <w:rsid w:val="00716FE6"/>
    <w:rsid w:val="0071717E"/>
    <w:rsid w:val="007171E9"/>
    <w:rsid w:val="00717342"/>
    <w:rsid w:val="007173B2"/>
    <w:rsid w:val="007175A7"/>
    <w:rsid w:val="00717B3E"/>
    <w:rsid w:val="00717DF3"/>
    <w:rsid w:val="00717F67"/>
    <w:rsid w:val="007201B3"/>
    <w:rsid w:val="00720232"/>
    <w:rsid w:val="007205E1"/>
    <w:rsid w:val="00720712"/>
    <w:rsid w:val="0072095F"/>
    <w:rsid w:val="00720B45"/>
    <w:rsid w:val="00720B65"/>
    <w:rsid w:val="00720C6F"/>
    <w:rsid w:val="00720D2A"/>
    <w:rsid w:val="0072108E"/>
    <w:rsid w:val="0072136A"/>
    <w:rsid w:val="007215E5"/>
    <w:rsid w:val="007216B7"/>
    <w:rsid w:val="00721767"/>
    <w:rsid w:val="00721826"/>
    <w:rsid w:val="00721A20"/>
    <w:rsid w:val="00721C77"/>
    <w:rsid w:val="0072228B"/>
    <w:rsid w:val="007223D1"/>
    <w:rsid w:val="00722625"/>
    <w:rsid w:val="0072291A"/>
    <w:rsid w:val="0072299A"/>
    <w:rsid w:val="007229A1"/>
    <w:rsid w:val="00722ACA"/>
    <w:rsid w:val="00722B70"/>
    <w:rsid w:val="00722B8A"/>
    <w:rsid w:val="00722D6F"/>
    <w:rsid w:val="00723062"/>
    <w:rsid w:val="00723187"/>
    <w:rsid w:val="007231DD"/>
    <w:rsid w:val="007233EE"/>
    <w:rsid w:val="007234DD"/>
    <w:rsid w:val="00723770"/>
    <w:rsid w:val="00723C60"/>
    <w:rsid w:val="00723CF3"/>
    <w:rsid w:val="00724018"/>
    <w:rsid w:val="007241BE"/>
    <w:rsid w:val="00724396"/>
    <w:rsid w:val="00724786"/>
    <w:rsid w:val="007248DC"/>
    <w:rsid w:val="00724A9C"/>
    <w:rsid w:val="00724C44"/>
    <w:rsid w:val="00724E97"/>
    <w:rsid w:val="0072501E"/>
    <w:rsid w:val="00725057"/>
    <w:rsid w:val="0072512A"/>
    <w:rsid w:val="00725356"/>
    <w:rsid w:val="0072539A"/>
    <w:rsid w:val="007253C4"/>
    <w:rsid w:val="007254C4"/>
    <w:rsid w:val="00725966"/>
    <w:rsid w:val="007259C5"/>
    <w:rsid w:val="00725B7B"/>
    <w:rsid w:val="00725C82"/>
    <w:rsid w:val="00725EC3"/>
    <w:rsid w:val="00725FE6"/>
    <w:rsid w:val="00726005"/>
    <w:rsid w:val="007261CF"/>
    <w:rsid w:val="00726384"/>
    <w:rsid w:val="007264AD"/>
    <w:rsid w:val="007264B1"/>
    <w:rsid w:val="007266AB"/>
    <w:rsid w:val="007268A3"/>
    <w:rsid w:val="00726C80"/>
    <w:rsid w:val="00726C8F"/>
    <w:rsid w:val="00726E75"/>
    <w:rsid w:val="00726F11"/>
    <w:rsid w:val="00726FDC"/>
    <w:rsid w:val="00727145"/>
    <w:rsid w:val="00727529"/>
    <w:rsid w:val="007275A1"/>
    <w:rsid w:val="007276DB"/>
    <w:rsid w:val="0072789B"/>
    <w:rsid w:val="00727930"/>
    <w:rsid w:val="00727AAD"/>
    <w:rsid w:val="00727EC4"/>
    <w:rsid w:val="00727F81"/>
    <w:rsid w:val="00727FFD"/>
    <w:rsid w:val="00730160"/>
    <w:rsid w:val="0073072C"/>
    <w:rsid w:val="00730771"/>
    <w:rsid w:val="00730795"/>
    <w:rsid w:val="00730949"/>
    <w:rsid w:val="00730A8B"/>
    <w:rsid w:val="00730B5C"/>
    <w:rsid w:val="0073130B"/>
    <w:rsid w:val="0073136D"/>
    <w:rsid w:val="00731527"/>
    <w:rsid w:val="00731769"/>
    <w:rsid w:val="00731A08"/>
    <w:rsid w:val="00731A19"/>
    <w:rsid w:val="00731A58"/>
    <w:rsid w:val="00731D41"/>
    <w:rsid w:val="00731EE6"/>
    <w:rsid w:val="00731F90"/>
    <w:rsid w:val="007320A1"/>
    <w:rsid w:val="0073211A"/>
    <w:rsid w:val="00732325"/>
    <w:rsid w:val="00732410"/>
    <w:rsid w:val="0073271E"/>
    <w:rsid w:val="007329E9"/>
    <w:rsid w:val="00732AD2"/>
    <w:rsid w:val="00732C26"/>
    <w:rsid w:val="00732C2F"/>
    <w:rsid w:val="00732D58"/>
    <w:rsid w:val="00732D7D"/>
    <w:rsid w:val="00732F6B"/>
    <w:rsid w:val="00733081"/>
    <w:rsid w:val="0073347A"/>
    <w:rsid w:val="007334A3"/>
    <w:rsid w:val="0073356D"/>
    <w:rsid w:val="0073359C"/>
    <w:rsid w:val="007335E3"/>
    <w:rsid w:val="00733940"/>
    <w:rsid w:val="00733972"/>
    <w:rsid w:val="007339DD"/>
    <w:rsid w:val="00733CAD"/>
    <w:rsid w:val="007340E1"/>
    <w:rsid w:val="0073411D"/>
    <w:rsid w:val="00734249"/>
    <w:rsid w:val="00734337"/>
    <w:rsid w:val="007343D5"/>
    <w:rsid w:val="00734420"/>
    <w:rsid w:val="0073466C"/>
    <w:rsid w:val="00734D16"/>
    <w:rsid w:val="00734E10"/>
    <w:rsid w:val="00734F40"/>
    <w:rsid w:val="00734F82"/>
    <w:rsid w:val="00734FA3"/>
    <w:rsid w:val="00735025"/>
    <w:rsid w:val="007350B4"/>
    <w:rsid w:val="007350E3"/>
    <w:rsid w:val="007350E8"/>
    <w:rsid w:val="00735204"/>
    <w:rsid w:val="0073537F"/>
    <w:rsid w:val="007355A6"/>
    <w:rsid w:val="007358E6"/>
    <w:rsid w:val="0073598B"/>
    <w:rsid w:val="00735A99"/>
    <w:rsid w:val="00735AE0"/>
    <w:rsid w:val="00735C36"/>
    <w:rsid w:val="00735F43"/>
    <w:rsid w:val="00736130"/>
    <w:rsid w:val="007364C0"/>
    <w:rsid w:val="00736604"/>
    <w:rsid w:val="00736675"/>
    <w:rsid w:val="007368D0"/>
    <w:rsid w:val="00736915"/>
    <w:rsid w:val="00736E5C"/>
    <w:rsid w:val="00736E60"/>
    <w:rsid w:val="007371C6"/>
    <w:rsid w:val="007371D7"/>
    <w:rsid w:val="0073733E"/>
    <w:rsid w:val="00737503"/>
    <w:rsid w:val="00737E19"/>
    <w:rsid w:val="00737F87"/>
    <w:rsid w:val="0074008D"/>
    <w:rsid w:val="00740368"/>
    <w:rsid w:val="00740373"/>
    <w:rsid w:val="00740410"/>
    <w:rsid w:val="007406A9"/>
    <w:rsid w:val="00740958"/>
    <w:rsid w:val="00740A5D"/>
    <w:rsid w:val="00740A71"/>
    <w:rsid w:val="00740B29"/>
    <w:rsid w:val="00740CA9"/>
    <w:rsid w:val="00740D99"/>
    <w:rsid w:val="00740E94"/>
    <w:rsid w:val="00740EF9"/>
    <w:rsid w:val="00740FA6"/>
    <w:rsid w:val="00740FE0"/>
    <w:rsid w:val="00741031"/>
    <w:rsid w:val="00741167"/>
    <w:rsid w:val="0074146C"/>
    <w:rsid w:val="00741656"/>
    <w:rsid w:val="00741B08"/>
    <w:rsid w:val="00741F3A"/>
    <w:rsid w:val="0074202E"/>
    <w:rsid w:val="007420C7"/>
    <w:rsid w:val="0074223A"/>
    <w:rsid w:val="0074233D"/>
    <w:rsid w:val="00742532"/>
    <w:rsid w:val="00742648"/>
    <w:rsid w:val="00742741"/>
    <w:rsid w:val="00742D92"/>
    <w:rsid w:val="00743047"/>
    <w:rsid w:val="00743497"/>
    <w:rsid w:val="0074355E"/>
    <w:rsid w:val="00743692"/>
    <w:rsid w:val="00743805"/>
    <w:rsid w:val="007438E0"/>
    <w:rsid w:val="007439CC"/>
    <w:rsid w:val="00743A7D"/>
    <w:rsid w:val="00743AD4"/>
    <w:rsid w:val="00743AF6"/>
    <w:rsid w:val="00743CAC"/>
    <w:rsid w:val="00743CC3"/>
    <w:rsid w:val="00743DAC"/>
    <w:rsid w:val="00743DC1"/>
    <w:rsid w:val="00743E88"/>
    <w:rsid w:val="00743EA9"/>
    <w:rsid w:val="00743F14"/>
    <w:rsid w:val="00743F25"/>
    <w:rsid w:val="00744015"/>
    <w:rsid w:val="00744041"/>
    <w:rsid w:val="0074436B"/>
    <w:rsid w:val="007443B2"/>
    <w:rsid w:val="007443B5"/>
    <w:rsid w:val="00744689"/>
    <w:rsid w:val="007447D5"/>
    <w:rsid w:val="00744858"/>
    <w:rsid w:val="00744CA1"/>
    <w:rsid w:val="00744CB1"/>
    <w:rsid w:val="00744D7C"/>
    <w:rsid w:val="00744E10"/>
    <w:rsid w:val="007450A5"/>
    <w:rsid w:val="007451F1"/>
    <w:rsid w:val="00745395"/>
    <w:rsid w:val="007453BE"/>
    <w:rsid w:val="007453E9"/>
    <w:rsid w:val="00745482"/>
    <w:rsid w:val="00745587"/>
    <w:rsid w:val="007458D5"/>
    <w:rsid w:val="007459A4"/>
    <w:rsid w:val="00745AA2"/>
    <w:rsid w:val="00745AE8"/>
    <w:rsid w:val="00745C92"/>
    <w:rsid w:val="007460DA"/>
    <w:rsid w:val="00746901"/>
    <w:rsid w:val="00746A8A"/>
    <w:rsid w:val="00746BD4"/>
    <w:rsid w:val="00746F4A"/>
    <w:rsid w:val="00746F5B"/>
    <w:rsid w:val="00747126"/>
    <w:rsid w:val="0074722A"/>
    <w:rsid w:val="007476A0"/>
    <w:rsid w:val="007477C5"/>
    <w:rsid w:val="0074792C"/>
    <w:rsid w:val="00747938"/>
    <w:rsid w:val="00747A31"/>
    <w:rsid w:val="00747BB5"/>
    <w:rsid w:val="00747C8E"/>
    <w:rsid w:val="00747DAF"/>
    <w:rsid w:val="00747E8F"/>
    <w:rsid w:val="00747F39"/>
    <w:rsid w:val="00747FF2"/>
    <w:rsid w:val="00750012"/>
    <w:rsid w:val="007500C5"/>
    <w:rsid w:val="007503E2"/>
    <w:rsid w:val="007505FF"/>
    <w:rsid w:val="00750B51"/>
    <w:rsid w:val="00750EC3"/>
    <w:rsid w:val="00750FCF"/>
    <w:rsid w:val="00751012"/>
    <w:rsid w:val="007510EC"/>
    <w:rsid w:val="007512B3"/>
    <w:rsid w:val="00751551"/>
    <w:rsid w:val="007515D1"/>
    <w:rsid w:val="0075162E"/>
    <w:rsid w:val="007517DA"/>
    <w:rsid w:val="00751811"/>
    <w:rsid w:val="0075188B"/>
    <w:rsid w:val="00751B95"/>
    <w:rsid w:val="00751CC0"/>
    <w:rsid w:val="00751D76"/>
    <w:rsid w:val="0075204A"/>
    <w:rsid w:val="00752102"/>
    <w:rsid w:val="007521C4"/>
    <w:rsid w:val="007521D4"/>
    <w:rsid w:val="007522E6"/>
    <w:rsid w:val="007523DC"/>
    <w:rsid w:val="007524FF"/>
    <w:rsid w:val="007525FE"/>
    <w:rsid w:val="0075271D"/>
    <w:rsid w:val="007529CB"/>
    <w:rsid w:val="00752AB3"/>
    <w:rsid w:val="00752BEB"/>
    <w:rsid w:val="00752D13"/>
    <w:rsid w:val="00752D52"/>
    <w:rsid w:val="00752DD8"/>
    <w:rsid w:val="00752E56"/>
    <w:rsid w:val="00753095"/>
    <w:rsid w:val="00753112"/>
    <w:rsid w:val="0075312C"/>
    <w:rsid w:val="007532FA"/>
    <w:rsid w:val="00753671"/>
    <w:rsid w:val="00753757"/>
    <w:rsid w:val="0075377A"/>
    <w:rsid w:val="00753A38"/>
    <w:rsid w:val="00753D0A"/>
    <w:rsid w:val="00753EB7"/>
    <w:rsid w:val="00754139"/>
    <w:rsid w:val="007541E4"/>
    <w:rsid w:val="00754536"/>
    <w:rsid w:val="0075469A"/>
    <w:rsid w:val="00754716"/>
    <w:rsid w:val="0075481B"/>
    <w:rsid w:val="00754B18"/>
    <w:rsid w:val="00754D86"/>
    <w:rsid w:val="00754E73"/>
    <w:rsid w:val="00754EB5"/>
    <w:rsid w:val="007550F4"/>
    <w:rsid w:val="007551DD"/>
    <w:rsid w:val="00755224"/>
    <w:rsid w:val="0075531C"/>
    <w:rsid w:val="00755467"/>
    <w:rsid w:val="007557B5"/>
    <w:rsid w:val="00755817"/>
    <w:rsid w:val="00755959"/>
    <w:rsid w:val="00755B12"/>
    <w:rsid w:val="00755D93"/>
    <w:rsid w:val="00755DCB"/>
    <w:rsid w:val="00755E5C"/>
    <w:rsid w:val="00755F67"/>
    <w:rsid w:val="007563A3"/>
    <w:rsid w:val="007563C4"/>
    <w:rsid w:val="007564A6"/>
    <w:rsid w:val="00756822"/>
    <w:rsid w:val="00756B26"/>
    <w:rsid w:val="00756B2D"/>
    <w:rsid w:val="00756C93"/>
    <w:rsid w:val="00756D1A"/>
    <w:rsid w:val="00757035"/>
    <w:rsid w:val="00757186"/>
    <w:rsid w:val="007576C1"/>
    <w:rsid w:val="007578E1"/>
    <w:rsid w:val="00757A5E"/>
    <w:rsid w:val="00757A6A"/>
    <w:rsid w:val="00757CD9"/>
    <w:rsid w:val="00757CF3"/>
    <w:rsid w:val="0076006D"/>
    <w:rsid w:val="007603E9"/>
    <w:rsid w:val="00760768"/>
    <w:rsid w:val="0076095B"/>
    <w:rsid w:val="00760B48"/>
    <w:rsid w:val="00760BCC"/>
    <w:rsid w:val="00760DD3"/>
    <w:rsid w:val="00760EA0"/>
    <w:rsid w:val="0076106B"/>
    <w:rsid w:val="007611CE"/>
    <w:rsid w:val="007613E6"/>
    <w:rsid w:val="00761557"/>
    <w:rsid w:val="00761830"/>
    <w:rsid w:val="0076197A"/>
    <w:rsid w:val="00761986"/>
    <w:rsid w:val="00761A20"/>
    <w:rsid w:val="00761A7B"/>
    <w:rsid w:val="00761B62"/>
    <w:rsid w:val="00761F40"/>
    <w:rsid w:val="00762163"/>
    <w:rsid w:val="007621E7"/>
    <w:rsid w:val="007621FF"/>
    <w:rsid w:val="007626CE"/>
    <w:rsid w:val="00762895"/>
    <w:rsid w:val="00762AFB"/>
    <w:rsid w:val="00762ED8"/>
    <w:rsid w:val="007630F5"/>
    <w:rsid w:val="00763275"/>
    <w:rsid w:val="007632A4"/>
    <w:rsid w:val="0076332F"/>
    <w:rsid w:val="00763388"/>
    <w:rsid w:val="0076350A"/>
    <w:rsid w:val="00763599"/>
    <w:rsid w:val="007636D3"/>
    <w:rsid w:val="00763712"/>
    <w:rsid w:val="007637AA"/>
    <w:rsid w:val="007637BC"/>
    <w:rsid w:val="007638E4"/>
    <w:rsid w:val="007639D9"/>
    <w:rsid w:val="007639F5"/>
    <w:rsid w:val="00763E6C"/>
    <w:rsid w:val="00763FEA"/>
    <w:rsid w:val="007640AF"/>
    <w:rsid w:val="00764130"/>
    <w:rsid w:val="0076440A"/>
    <w:rsid w:val="0076475B"/>
    <w:rsid w:val="00764B31"/>
    <w:rsid w:val="00764B5D"/>
    <w:rsid w:val="00764B6F"/>
    <w:rsid w:val="00764D00"/>
    <w:rsid w:val="00764E52"/>
    <w:rsid w:val="00764FD5"/>
    <w:rsid w:val="007651B8"/>
    <w:rsid w:val="0076537B"/>
    <w:rsid w:val="007655A9"/>
    <w:rsid w:val="007656A1"/>
    <w:rsid w:val="007656CA"/>
    <w:rsid w:val="0076574E"/>
    <w:rsid w:val="00765956"/>
    <w:rsid w:val="00765A07"/>
    <w:rsid w:val="00765BA8"/>
    <w:rsid w:val="00765BC1"/>
    <w:rsid w:val="00765F59"/>
    <w:rsid w:val="00766007"/>
    <w:rsid w:val="007660E2"/>
    <w:rsid w:val="00766143"/>
    <w:rsid w:val="0076627A"/>
    <w:rsid w:val="00766463"/>
    <w:rsid w:val="007664F4"/>
    <w:rsid w:val="007664F7"/>
    <w:rsid w:val="00766833"/>
    <w:rsid w:val="00766890"/>
    <w:rsid w:val="00766896"/>
    <w:rsid w:val="00766A21"/>
    <w:rsid w:val="00766B1B"/>
    <w:rsid w:val="00766BB7"/>
    <w:rsid w:val="00766C85"/>
    <w:rsid w:val="00766E34"/>
    <w:rsid w:val="00767193"/>
    <w:rsid w:val="007673C8"/>
    <w:rsid w:val="0076743C"/>
    <w:rsid w:val="007674C3"/>
    <w:rsid w:val="00767650"/>
    <w:rsid w:val="00767768"/>
    <w:rsid w:val="0076781B"/>
    <w:rsid w:val="0076784F"/>
    <w:rsid w:val="00767BEF"/>
    <w:rsid w:val="00767BF3"/>
    <w:rsid w:val="00767D40"/>
    <w:rsid w:val="00767D9C"/>
    <w:rsid w:val="00767EBD"/>
    <w:rsid w:val="00767FFC"/>
    <w:rsid w:val="0077018F"/>
    <w:rsid w:val="007705E0"/>
    <w:rsid w:val="00770A26"/>
    <w:rsid w:val="00770C4C"/>
    <w:rsid w:val="00770D2D"/>
    <w:rsid w:val="00770F71"/>
    <w:rsid w:val="00770FA5"/>
    <w:rsid w:val="00771027"/>
    <w:rsid w:val="00771608"/>
    <w:rsid w:val="0077163A"/>
    <w:rsid w:val="007717E4"/>
    <w:rsid w:val="00771C55"/>
    <w:rsid w:val="00771D07"/>
    <w:rsid w:val="00771FB5"/>
    <w:rsid w:val="007724A7"/>
    <w:rsid w:val="007726FA"/>
    <w:rsid w:val="007728AA"/>
    <w:rsid w:val="00772945"/>
    <w:rsid w:val="0077308A"/>
    <w:rsid w:val="007730BE"/>
    <w:rsid w:val="007731BC"/>
    <w:rsid w:val="0077330B"/>
    <w:rsid w:val="00773328"/>
    <w:rsid w:val="00773481"/>
    <w:rsid w:val="0077356B"/>
    <w:rsid w:val="00773809"/>
    <w:rsid w:val="00773866"/>
    <w:rsid w:val="00773913"/>
    <w:rsid w:val="00773A4A"/>
    <w:rsid w:val="00773A9D"/>
    <w:rsid w:val="00773C3D"/>
    <w:rsid w:val="00773C95"/>
    <w:rsid w:val="007741E7"/>
    <w:rsid w:val="00774240"/>
    <w:rsid w:val="007743A8"/>
    <w:rsid w:val="007743BF"/>
    <w:rsid w:val="007746ED"/>
    <w:rsid w:val="00774798"/>
    <w:rsid w:val="00774814"/>
    <w:rsid w:val="00774B93"/>
    <w:rsid w:val="00774CA1"/>
    <w:rsid w:val="00774EAF"/>
    <w:rsid w:val="00774EB0"/>
    <w:rsid w:val="00774FC7"/>
    <w:rsid w:val="00774FF4"/>
    <w:rsid w:val="00775231"/>
    <w:rsid w:val="007753CB"/>
    <w:rsid w:val="007754C3"/>
    <w:rsid w:val="0077554D"/>
    <w:rsid w:val="00775567"/>
    <w:rsid w:val="00775728"/>
    <w:rsid w:val="007757C6"/>
    <w:rsid w:val="00775ADE"/>
    <w:rsid w:val="00775BE0"/>
    <w:rsid w:val="00775C1F"/>
    <w:rsid w:val="00775C40"/>
    <w:rsid w:val="00775C59"/>
    <w:rsid w:val="00775FDB"/>
    <w:rsid w:val="0077609B"/>
    <w:rsid w:val="0077618C"/>
    <w:rsid w:val="0077629F"/>
    <w:rsid w:val="0077645D"/>
    <w:rsid w:val="00776542"/>
    <w:rsid w:val="00776749"/>
    <w:rsid w:val="007767D8"/>
    <w:rsid w:val="00776962"/>
    <w:rsid w:val="00776E28"/>
    <w:rsid w:val="00776E2E"/>
    <w:rsid w:val="00776FBA"/>
    <w:rsid w:val="0077706F"/>
    <w:rsid w:val="007772CF"/>
    <w:rsid w:val="007772F2"/>
    <w:rsid w:val="00777442"/>
    <w:rsid w:val="00777451"/>
    <w:rsid w:val="0077763C"/>
    <w:rsid w:val="007776F3"/>
    <w:rsid w:val="007779A3"/>
    <w:rsid w:val="00777AAF"/>
    <w:rsid w:val="00777ADC"/>
    <w:rsid w:val="00777B5E"/>
    <w:rsid w:val="00777D8D"/>
    <w:rsid w:val="00777F30"/>
    <w:rsid w:val="0078016B"/>
    <w:rsid w:val="007802A2"/>
    <w:rsid w:val="007802E7"/>
    <w:rsid w:val="00780585"/>
    <w:rsid w:val="007806BD"/>
    <w:rsid w:val="007807A3"/>
    <w:rsid w:val="00780935"/>
    <w:rsid w:val="00780B1A"/>
    <w:rsid w:val="00780D2E"/>
    <w:rsid w:val="00780D45"/>
    <w:rsid w:val="00780F3F"/>
    <w:rsid w:val="007810BF"/>
    <w:rsid w:val="00781297"/>
    <w:rsid w:val="007812E7"/>
    <w:rsid w:val="00781315"/>
    <w:rsid w:val="0078159F"/>
    <w:rsid w:val="00781751"/>
    <w:rsid w:val="00781A64"/>
    <w:rsid w:val="00781A97"/>
    <w:rsid w:val="00781D23"/>
    <w:rsid w:val="00781E7D"/>
    <w:rsid w:val="00782065"/>
    <w:rsid w:val="00782280"/>
    <w:rsid w:val="00782375"/>
    <w:rsid w:val="0078238B"/>
    <w:rsid w:val="00782419"/>
    <w:rsid w:val="007824BC"/>
    <w:rsid w:val="007828B0"/>
    <w:rsid w:val="00782B9C"/>
    <w:rsid w:val="00782BB1"/>
    <w:rsid w:val="00782D2D"/>
    <w:rsid w:val="00782D81"/>
    <w:rsid w:val="00782DFC"/>
    <w:rsid w:val="00782EC4"/>
    <w:rsid w:val="00782ED3"/>
    <w:rsid w:val="00782EEE"/>
    <w:rsid w:val="00783055"/>
    <w:rsid w:val="00783153"/>
    <w:rsid w:val="00783446"/>
    <w:rsid w:val="00783A74"/>
    <w:rsid w:val="00783AE5"/>
    <w:rsid w:val="00783CE0"/>
    <w:rsid w:val="00783E09"/>
    <w:rsid w:val="00784414"/>
    <w:rsid w:val="00784470"/>
    <w:rsid w:val="0078456F"/>
    <w:rsid w:val="007847FD"/>
    <w:rsid w:val="0078497B"/>
    <w:rsid w:val="00784B98"/>
    <w:rsid w:val="00784E22"/>
    <w:rsid w:val="00784F94"/>
    <w:rsid w:val="0078539C"/>
    <w:rsid w:val="00785664"/>
    <w:rsid w:val="00785777"/>
    <w:rsid w:val="00785C4F"/>
    <w:rsid w:val="00785C83"/>
    <w:rsid w:val="0078605B"/>
    <w:rsid w:val="007862E9"/>
    <w:rsid w:val="007864DA"/>
    <w:rsid w:val="0078688D"/>
    <w:rsid w:val="00786ED8"/>
    <w:rsid w:val="00786EEE"/>
    <w:rsid w:val="00787491"/>
    <w:rsid w:val="0078759B"/>
    <w:rsid w:val="007876E4"/>
    <w:rsid w:val="00787807"/>
    <w:rsid w:val="0078794B"/>
    <w:rsid w:val="00787A15"/>
    <w:rsid w:val="00787CF3"/>
    <w:rsid w:val="00787D20"/>
    <w:rsid w:val="00787DD4"/>
    <w:rsid w:val="00787FD1"/>
    <w:rsid w:val="0079001F"/>
    <w:rsid w:val="00790362"/>
    <w:rsid w:val="007904EA"/>
    <w:rsid w:val="0079065C"/>
    <w:rsid w:val="00790767"/>
    <w:rsid w:val="007907A4"/>
    <w:rsid w:val="00790A81"/>
    <w:rsid w:val="00790B53"/>
    <w:rsid w:val="00790B5F"/>
    <w:rsid w:val="00790E9B"/>
    <w:rsid w:val="0079108A"/>
    <w:rsid w:val="007911B6"/>
    <w:rsid w:val="007915F5"/>
    <w:rsid w:val="00791669"/>
    <w:rsid w:val="007916A4"/>
    <w:rsid w:val="007919FE"/>
    <w:rsid w:val="00791BBE"/>
    <w:rsid w:val="00791BF5"/>
    <w:rsid w:val="007920FE"/>
    <w:rsid w:val="00792431"/>
    <w:rsid w:val="00792567"/>
    <w:rsid w:val="007925B5"/>
    <w:rsid w:val="00792AAB"/>
    <w:rsid w:val="00792C03"/>
    <w:rsid w:val="00792CDE"/>
    <w:rsid w:val="00792D48"/>
    <w:rsid w:val="00792E55"/>
    <w:rsid w:val="007930B7"/>
    <w:rsid w:val="00793173"/>
    <w:rsid w:val="00793237"/>
    <w:rsid w:val="00793541"/>
    <w:rsid w:val="00793587"/>
    <w:rsid w:val="007936EE"/>
    <w:rsid w:val="00793744"/>
    <w:rsid w:val="00793C0E"/>
    <w:rsid w:val="00793C51"/>
    <w:rsid w:val="00793C60"/>
    <w:rsid w:val="00793CFF"/>
    <w:rsid w:val="0079404D"/>
    <w:rsid w:val="007946AA"/>
    <w:rsid w:val="00794840"/>
    <w:rsid w:val="00794E6A"/>
    <w:rsid w:val="00794F5F"/>
    <w:rsid w:val="00795350"/>
    <w:rsid w:val="007953AE"/>
    <w:rsid w:val="007954CF"/>
    <w:rsid w:val="007954DC"/>
    <w:rsid w:val="00795553"/>
    <w:rsid w:val="00795730"/>
    <w:rsid w:val="007958E5"/>
    <w:rsid w:val="00795A25"/>
    <w:rsid w:val="00795DF5"/>
    <w:rsid w:val="00795E2E"/>
    <w:rsid w:val="007962A6"/>
    <w:rsid w:val="00796378"/>
    <w:rsid w:val="0079671A"/>
    <w:rsid w:val="0079691E"/>
    <w:rsid w:val="007969E4"/>
    <w:rsid w:val="00796AAC"/>
    <w:rsid w:val="00796B3F"/>
    <w:rsid w:val="00796CD0"/>
    <w:rsid w:val="00796DC5"/>
    <w:rsid w:val="00796E5B"/>
    <w:rsid w:val="00796E96"/>
    <w:rsid w:val="0079705E"/>
    <w:rsid w:val="00797093"/>
    <w:rsid w:val="007970C0"/>
    <w:rsid w:val="00797236"/>
    <w:rsid w:val="0079776F"/>
    <w:rsid w:val="00797CD7"/>
    <w:rsid w:val="00797F05"/>
    <w:rsid w:val="007A0003"/>
    <w:rsid w:val="007A0131"/>
    <w:rsid w:val="007A03C1"/>
    <w:rsid w:val="007A04E1"/>
    <w:rsid w:val="007A05A4"/>
    <w:rsid w:val="007A06CB"/>
    <w:rsid w:val="007A08CD"/>
    <w:rsid w:val="007A08CE"/>
    <w:rsid w:val="007A092C"/>
    <w:rsid w:val="007A0A35"/>
    <w:rsid w:val="007A0B7E"/>
    <w:rsid w:val="007A0BC8"/>
    <w:rsid w:val="007A0D79"/>
    <w:rsid w:val="007A0F3F"/>
    <w:rsid w:val="007A1364"/>
    <w:rsid w:val="007A1785"/>
    <w:rsid w:val="007A1889"/>
    <w:rsid w:val="007A1939"/>
    <w:rsid w:val="007A1F2D"/>
    <w:rsid w:val="007A2286"/>
    <w:rsid w:val="007A22A2"/>
    <w:rsid w:val="007A2485"/>
    <w:rsid w:val="007A24A0"/>
    <w:rsid w:val="007A2542"/>
    <w:rsid w:val="007A2577"/>
    <w:rsid w:val="007A267C"/>
    <w:rsid w:val="007A2720"/>
    <w:rsid w:val="007A2769"/>
    <w:rsid w:val="007A2824"/>
    <w:rsid w:val="007A28EC"/>
    <w:rsid w:val="007A2938"/>
    <w:rsid w:val="007A2B36"/>
    <w:rsid w:val="007A2CCB"/>
    <w:rsid w:val="007A2DB0"/>
    <w:rsid w:val="007A2E83"/>
    <w:rsid w:val="007A332C"/>
    <w:rsid w:val="007A35AC"/>
    <w:rsid w:val="007A3B62"/>
    <w:rsid w:val="007A3B9A"/>
    <w:rsid w:val="007A3BFF"/>
    <w:rsid w:val="007A3CA4"/>
    <w:rsid w:val="007A3EF2"/>
    <w:rsid w:val="007A3FC1"/>
    <w:rsid w:val="007A4171"/>
    <w:rsid w:val="007A41A1"/>
    <w:rsid w:val="007A41B9"/>
    <w:rsid w:val="007A4377"/>
    <w:rsid w:val="007A438D"/>
    <w:rsid w:val="007A4446"/>
    <w:rsid w:val="007A45AF"/>
    <w:rsid w:val="007A4637"/>
    <w:rsid w:val="007A4887"/>
    <w:rsid w:val="007A48CA"/>
    <w:rsid w:val="007A48E1"/>
    <w:rsid w:val="007A49F8"/>
    <w:rsid w:val="007A4AB2"/>
    <w:rsid w:val="007A4E13"/>
    <w:rsid w:val="007A4F08"/>
    <w:rsid w:val="007A50F6"/>
    <w:rsid w:val="007A5139"/>
    <w:rsid w:val="007A5152"/>
    <w:rsid w:val="007A58DD"/>
    <w:rsid w:val="007A5CA2"/>
    <w:rsid w:val="007A5E68"/>
    <w:rsid w:val="007A602B"/>
    <w:rsid w:val="007A61FE"/>
    <w:rsid w:val="007A623A"/>
    <w:rsid w:val="007A62AC"/>
    <w:rsid w:val="007A63C9"/>
    <w:rsid w:val="007A6C40"/>
    <w:rsid w:val="007A6C77"/>
    <w:rsid w:val="007A6CFC"/>
    <w:rsid w:val="007A6D5E"/>
    <w:rsid w:val="007A6D8F"/>
    <w:rsid w:val="007A6D98"/>
    <w:rsid w:val="007A6FC5"/>
    <w:rsid w:val="007A6FDC"/>
    <w:rsid w:val="007A71CE"/>
    <w:rsid w:val="007A7314"/>
    <w:rsid w:val="007A7442"/>
    <w:rsid w:val="007A7626"/>
    <w:rsid w:val="007A7825"/>
    <w:rsid w:val="007A7876"/>
    <w:rsid w:val="007A7925"/>
    <w:rsid w:val="007A7E8C"/>
    <w:rsid w:val="007A7EDB"/>
    <w:rsid w:val="007B051C"/>
    <w:rsid w:val="007B0671"/>
    <w:rsid w:val="007B08C9"/>
    <w:rsid w:val="007B09AA"/>
    <w:rsid w:val="007B0A22"/>
    <w:rsid w:val="007B0CAC"/>
    <w:rsid w:val="007B0E20"/>
    <w:rsid w:val="007B12DB"/>
    <w:rsid w:val="007B14FD"/>
    <w:rsid w:val="007B15A6"/>
    <w:rsid w:val="007B1609"/>
    <w:rsid w:val="007B179F"/>
    <w:rsid w:val="007B1807"/>
    <w:rsid w:val="007B18D5"/>
    <w:rsid w:val="007B18F1"/>
    <w:rsid w:val="007B1961"/>
    <w:rsid w:val="007B1B6D"/>
    <w:rsid w:val="007B1B73"/>
    <w:rsid w:val="007B1BF7"/>
    <w:rsid w:val="007B1DA8"/>
    <w:rsid w:val="007B1DF8"/>
    <w:rsid w:val="007B206A"/>
    <w:rsid w:val="007B210B"/>
    <w:rsid w:val="007B22DF"/>
    <w:rsid w:val="007B2412"/>
    <w:rsid w:val="007B245A"/>
    <w:rsid w:val="007B25EA"/>
    <w:rsid w:val="007B263C"/>
    <w:rsid w:val="007B265A"/>
    <w:rsid w:val="007B27BE"/>
    <w:rsid w:val="007B2892"/>
    <w:rsid w:val="007B2ED6"/>
    <w:rsid w:val="007B2FD6"/>
    <w:rsid w:val="007B321C"/>
    <w:rsid w:val="007B33E5"/>
    <w:rsid w:val="007B341D"/>
    <w:rsid w:val="007B367E"/>
    <w:rsid w:val="007B36BF"/>
    <w:rsid w:val="007B3741"/>
    <w:rsid w:val="007B37E4"/>
    <w:rsid w:val="007B3C14"/>
    <w:rsid w:val="007B3CAE"/>
    <w:rsid w:val="007B3D0B"/>
    <w:rsid w:val="007B3E08"/>
    <w:rsid w:val="007B3F93"/>
    <w:rsid w:val="007B41B4"/>
    <w:rsid w:val="007B4261"/>
    <w:rsid w:val="007B4493"/>
    <w:rsid w:val="007B454A"/>
    <w:rsid w:val="007B46A6"/>
    <w:rsid w:val="007B4A59"/>
    <w:rsid w:val="007B4A7A"/>
    <w:rsid w:val="007B4AD0"/>
    <w:rsid w:val="007B4D42"/>
    <w:rsid w:val="007B4F22"/>
    <w:rsid w:val="007B5068"/>
    <w:rsid w:val="007B51AA"/>
    <w:rsid w:val="007B529E"/>
    <w:rsid w:val="007B5432"/>
    <w:rsid w:val="007B5502"/>
    <w:rsid w:val="007B564F"/>
    <w:rsid w:val="007B5693"/>
    <w:rsid w:val="007B577C"/>
    <w:rsid w:val="007B598C"/>
    <w:rsid w:val="007B5A2F"/>
    <w:rsid w:val="007B5AB6"/>
    <w:rsid w:val="007B5B27"/>
    <w:rsid w:val="007B5B32"/>
    <w:rsid w:val="007B5B3B"/>
    <w:rsid w:val="007B5B97"/>
    <w:rsid w:val="007B5C75"/>
    <w:rsid w:val="007B5CEE"/>
    <w:rsid w:val="007B6048"/>
    <w:rsid w:val="007B60C6"/>
    <w:rsid w:val="007B610F"/>
    <w:rsid w:val="007B61B4"/>
    <w:rsid w:val="007B629E"/>
    <w:rsid w:val="007B63CF"/>
    <w:rsid w:val="007B64B1"/>
    <w:rsid w:val="007B66B4"/>
    <w:rsid w:val="007B6AEE"/>
    <w:rsid w:val="007B6D9C"/>
    <w:rsid w:val="007B6DAB"/>
    <w:rsid w:val="007B713D"/>
    <w:rsid w:val="007B73A4"/>
    <w:rsid w:val="007B745C"/>
    <w:rsid w:val="007B7472"/>
    <w:rsid w:val="007B7573"/>
    <w:rsid w:val="007B7A13"/>
    <w:rsid w:val="007B7AAB"/>
    <w:rsid w:val="007B7F08"/>
    <w:rsid w:val="007B7F39"/>
    <w:rsid w:val="007B7FD9"/>
    <w:rsid w:val="007C000D"/>
    <w:rsid w:val="007C006F"/>
    <w:rsid w:val="007C00F0"/>
    <w:rsid w:val="007C021A"/>
    <w:rsid w:val="007C025D"/>
    <w:rsid w:val="007C03BB"/>
    <w:rsid w:val="007C0542"/>
    <w:rsid w:val="007C06B2"/>
    <w:rsid w:val="007C073A"/>
    <w:rsid w:val="007C0761"/>
    <w:rsid w:val="007C0840"/>
    <w:rsid w:val="007C0959"/>
    <w:rsid w:val="007C0E6D"/>
    <w:rsid w:val="007C0F9E"/>
    <w:rsid w:val="007C100A"/>
    <w:rsid w:val="007C1043"/>
    <w:rsid w:val="007C1119"/>
    <w:rsid w:val="007C124F"/>
    <w:rsid w:val="007C14FC"/>
    <w:rsid w:val="007C1AC9"/>
    <w:rsid w:val="007C1D9D"/>
    <w:rsid w:val="007C2207"/>
    <w:rsid w:val="007C229C"/>
    <w:rsid w:val="007C2672"/>
    <w:rsid w:val="007C270F"/>
    <w:rsid w:val="007C27C2"/>
    <w:rsid w:val="007C27F4"/>
    <w:rsid w:val="007C286E"/>
    <w:rsid w:val="007C28CF"/>
    <w:rsid w:val="007C2941"/>
    <w:rsid w:val="007C29A2"/>
    <w:rsid w:val="007C29D7"/>
    <w:rsid w:val="007C2A9E"/>
    <w:rsid w:val="007C2FC6"/>
    <w:rsid w:val="007C3036"/>
    <w:rsid w:val="007C3159"/>
    <w:rsid w:val="007C3215"/>
    <w:rsid w:val="007C3436"/>
    <w:rsid w:val="007C34DE"/>
    <w:rsid w:val="007C3853"/>
    <w:rsid w:val="007C38B5"/>
    <w:rsid w:val="007C39DA"/>
    <w:rsid w:val="007C39E5"/>
    <w:rsid w:val="007C3AA9"/>
    <w:rsid w:val="007C3C93"/>
    <w:rsid w:val="007C3E15"/>
    <w:rsid w:val="007C404B"/>
    <w:rsid w:val="007C4187"/>
    <w:rsid w:val="007C41A0"/>
    <w:rsid w:val="007C459D"/>
    <w:rsid w:val="007C4A68"/>
    <w:rsid w:val="007C4BAE"/>
    <w:rsid w:val="007C4BEE"/>
    <w:rsid w:val="007C4D64"/>
    <w:rsid w:val="007C4E9F"/>
    <w:rsid w:val="007C4EDF"/>
    <w:rsid w:val="007C4EF0"/>
    <w:rsid w:val="007C4FAE"/>
    <w:rsid w:val="007C5BA9"/>
    <w:rsid w:val="007C5CFD"/>
    <w:rsid w:val="007C62AC"/>
    <w:rsid w:val="007C667A"/>
    <w:rsid w:val="007C68BE"/>
    <w:rsid w:val="007C6A89"/>
    <w:rsid w:val="007C6D1B"/>
    <w:rsid w:val="007C6D50"/>
    <w:rsid w:val="007C6F2E"/>
    <w:rsid w:val="007C6F33"/>
    <w:rsid w:val="007C7208"/>
    <w:rsid w:val="007C7395"/>
    <w:rsid w:val="007C73CF"/>
    <w:rsid w:val="007C763E"/>
    <w:rsid w:val="007C764E"/>
    <w:rsid w:val="007C77C5"/>
    <w:rsid w:val="007C7AA3"/>
    <w:rsid w:val="007C7B77"/>
    <w:rsid w:val="007C7E37"/>
    <w:rsid w:val="007C7EC0"/>
    <w:rsid w:val="007D01AF"/>
    <w:rsid w:val="007D044C"/>
    <w:rsid w:val="007D08FA"/>
    <w:rsid w:val="007D0EE3"/>
    <w:rsid w:val="007D10C8"/>
    <w:rsid w:val="007D1269"/>
    <w:rsid w:val="007D1343"/>
    <w:rsid w:val="007D1388"/>
    <w:rsid w:val="007D1406"/>
    <w:rsid w:val="007D164B"/>
    <w:rsid w:val="007D1C33"/>
    <w:rsid w:val="007D1CFA"/>
    <w:rsid w:val="007D1D3B"/>
    <w:rsid w:val="007D1DF0"/>
    <w:rsid w:val="007D1F4E"/>
    <w:rsid w:val="007D20B0"/>
    <w:rsid w:val="007D214B"/>
    <w:rsid w:val="007D24CF"/>
    <w:rsid w:val="007D258D"/>
    <w:rsid w:val="007D2A15"/>
    <w:rsid w:val="007D2A6A"/>
    <w:rsid w:val="007D2C04"/>
    <w:rsid w:val="007D3165"/>
    <w:rsid w:val="007D32B3"/>
    <w:rsid w:val="007D3362"/>
    <w:rsid w:val="007D34C2"/>
    <w:rsid w:val="007D3560"/>
    <w:rsid w:val="007D3CC1"/>
    <w:rsid w:val="007D3DF2"/>
    <w:rsid w:val="007D4068"/>
    <w:rsid w:val="007D40AE"/>
    <w:rsid w:val="007D41C2"/>
    <w:rsid w:val="007D4284"/>
    <w:rsid w:val="007D4621"/>
    <w:rsid w:val="007D47A8"/>
    <w:rsid w:val="007D495A"/>
    <w:rsid w:val="007D4982"/>
    <w:rsid w:val="007D4D87"/>
    <w:rsid w:val="007D4E55"/>
    <w:rsid w:val="007D5134"/>
    <w:rsid w:val="007D529D"/>
    <w:rsid w:val="007D5525"/>
    <w:rsid w:val="007D5540"/>
    <w:rsid w:val="007D5696"/>
    <w:rsid w:val="007D5787"/>
    <w:rsid w:val="007D57AF"/>
    <w:rsid w:val="007D5911"/>
    <w:rsid w:val="007D5929"/>
    <w:rsid w:val="007D5960"/>
    <w:rsid w:val="007D5A97"/>
    <w:rsid w:val="007D5F21"/>
    <w:rsid w:val="007D6002"/>
    <w:rsid w:val="007D606A"/>
    <w:rsid w:val="007D60A1"/>
    <w:rsid w:val="007D65F6"/>
    <w:rsid w:val="007D6913"/>
    <w:rsid w:val="007D6B1F"/>
    <w:rsid w:val="007D6C0C"/>
    <w:rsid w:val="007D75D4"/>
    <w:rsid w:val="007D7882"/>
    <w:rsid w:val="007D795D"/>
    <w:rsid w:val="007D7C3C"/>
    <w:rsid w:val="007D7D31"/>
    <w:rsid w:val="007E025A"/>
    <w:rsid w:val="007E0463"/>
    <w:rsid w:val="007E0521"/>
    <w:rsid w:val="007E06A2"/>
    <w:rsid w:val="007E06B3"/>
    <w:rsid w:val="007E0703"/>
    <w:rsid w:val="007E0CCD"/>
    <w:rsid w:val="007E0D25"/>
    <w:rsid w:val="007E0D5F"/>
    <w:rsid w:val="007E0F44"/>
    <w:rsid w:val="007E114E"/>
    <w:rsid w:val="007E1167"/>
    <w:rsid w:val="007E119B"/>
    <w:rsid w:val="007E1435"/>
    <w:rsid w:val="007E15F0"/>
    <w:rsid w:val="007E17FA"/>
    <w:rsid w:val="007E1AF3"/>
    <w:rsid w:val="007E21C8"/>
    <w:rsid w:val="007E23AD"/>
    <w:rsid w:val="007E23D2"/>
    <w:rsid w:val="007E2490"/>
    <w:rsid w:val="007E2536"/>
    <w:rsid w:val="007E2751"/>
    <w:rsid w:val="007E29EE"/>
    <w:rsid w:val="007E2A7D"/>
    <w:rsid w:val="007E2B82"/>
    <w:rsid w:val="007E2C19"/>
    <w:rsid w:val="007E2DD3"/>
    <w:rsid w:val="007E2FF0"/>
    <w:rsid w:val="007E2FF4"/>
    <w:rsid w:val="007E3130"/>
    <w:rsid w:val="007E3258"/>
    <w:rsid w:val="007E3327"/>
    <w:rsid w:val="007E33B9"/>
    <w:rsid w:val="007E3460"/>
    <w:rsid w:val="007E3468"/>
    <w:rsid w:val="007E3588"/>
    <w:rsid w:val="007E36ED"/>
    <w:rsid w:val="007E378E"/>
    <w:rsid w:val="007E4222"/>
    <w:rsid w:val="007E42E6"/>
    <w:rsid w:val="007E4550"/>
    <w:rsid w:val="007E4680"/>
    <w:rsid w:val="007E46BF"/>
    <w:rsid w:val="007E487F"/>
    <w:rsid w:val="007E48D9"/>
    <w:rsid w:val="007E494A"/>
    <w:rsid w:val="007E4955"/>
    <w:rsid w:val="007E4A0D"/>
    <w:rsid w:val="007E4B2D"/>
    <w:rsid w:val="007E4C3F"/>
    <w:rsid w:val="007E4FB3"/>
    <w:rsid w:val="007E50D5"/>
    <w:rsid w:val="007E534B"/>
    <w:rsid w:val="007E5388"/>
    <w:rsid w:val="007E53B4"/>
    <w:rsid w:val="007E54E0"/>
    <w:rsid w:val="007E54FC"/>
    <w:rsid w:val="007E5745"/>
    <w:rsid w:val="007E5769"/>
    <w:rsid w:val="007E587D"/>
    <w:rsid w:val="007E58C0"/>
    <w:rsid w:val="007E5B3D"/>
    <w:rsid w:val="007E5CE4"/>
    <w:rsid w:val="007E5CE8"/>
    <w:rsid w:val="007E6447"/>
    <w:rsid w:val="007E6757"/>
    <w:rsid w:val="007E68C0"/>
    <w:rsid w:val="007E6B91"/>
    <w:rsid w:val="007E6D75"/>
    <w:rsid w:val="007E6D9B"/>
    <w:rsid w:val="007E6DE7"/>
    <w:rsid w:val="007E7124"/>
    <w:rsid w:val="007E71C9"/>
    <w:rsid w:val="007E71E9"/>
    <w:rsid w:val="007E74E3"/>
    <w:rsid w:val="007E76CB"/>
    <w:rsid w:val="007E7721"/>
    <w:rsid w:val="007E79DB"/>
    <w:rsid w:val="007E7B1C"/>
    <w:rsid w:val="007E7C5C"/>
    <w:rsid w:val="007E7CB2"/>
    <w:rsid w:val="007E7CF2"/>
    <w:rsid w:val="007F00D6"/>
    <w:rsid w:val="007F01A6"/>
    <w:rsid w:val="007F02B2"/>
    <w:rsid w:val="007F02C7"/>
    <w:rsid w:val="007F032B"/>
    <w:rsid w:val="007F06D1"/>
    <w:rsid w:val="007F0722"/>
    <w:rsid w:val="007F07CC"/>
    <w:rsid w:val="007F0B05"/>
    <w:rsid w:val="007F0CBE"/>
    <w:rsid w:val="007F0E36"/>
    <w:rsid w:val="007F0E9C"/>
    <w:rsid w:val="007F10CC"/>
    <w:rsid w:val="007F12D8"/>
    <w:rsid w:val="007F12E0"/>
    <w:rsid w:val="007F160D"/>
    <w:rsid w:val="007F1746"/>
    <w:rsid w:val="007F1873"/>
    <w:rsid w:val="007F1BA9"/>
    <w:rsid w:val="007F1BFB"/>
    <w:rsid w:val="007F1C5C"/>
    <w:rsid w:val="007F1D06"/>
    <w:rsid w:val="007F1DBC"/>
    <w:rsid w:val="007F1ECD"/>
    <w:rsid w:val="007F1F25"/>
    <w:rsid w:val="007F2395"/>
    <w:rsid w:val="007F2C72"/>
    <w:rsid w:val="007F2EB2"/>
    <w:rsid w:val="007F2F7E"/>
    <w:rsid w:val="007F3034"/>
    <w:rsid w:val="007F3137"/>
    <w:rsid w:val="007F31D2"/>
    <w:rsid w:val="007F32AA"/>
    <w:rsid w:val="007F33B4"/>
    <w:rsid w:val="007F344C"/>
    <w:rsid w:val="007F3745"/>
    <w:rsid w:val="007F3848"/>
    <w:rsid w:val="007F3C34"/>
    <w:rsid w:val="007F3FB8"/>
    <w:rsid w:val="007F45DB"/>
    <w:rsid w:val="007F47F9"/>
    <w:rsid w:val="007F48A3"/>
    <w:rsid w:val="007F4C4D"/>
    <w:rsid w:val="007F4FAE"/>
    <w:rsid w:val="007F51E9"/>
    <w:rsid w:val="007F5287"/>
    <w:rsid w:val="007F5452"/>
    <w:rsid w:val="007F5799"/>
    <w:rsid w:val="007F58FD"/>
    <w:rsid w:val="007F593A"/>
    <w:rsid w:val="007F5A11"/>
    <w:rsid w:val="007F5BE0"/>
    <w:rsid w:val="007F5BF1"/>
    <w:rsid w:val="007F5BF6"/>
    <w:rsid w:val="007F5BFC"/>
    <w:rsid w:val="007F5DD0"/>
    <w:rsid w:val="007F62F3"/>
    <w:rsid w:val="007F66F4"/>
    <w:rsid w:val="007F6806"/>
    <w:rsid w:val="007F68DC"/>
    <w:rsid w:val="007F68DF"/>
    <w:rsid w:val="007F6B28"/>
    <w:rsid w:val="007F6D6C"/>
    <w:rsid w:val="007F70B9"/>
    <w:rsid w:val="007F70C1"/>
    <w:rsid w:val="007F7137"/>
    <w:rsid w:val="007F77A1"/>
    <w:rsid w:val="007F7A75"/>
    <w:rsid w:val="007F7C14"/>
    <w:rsid w:val="007F7C48"/>
    <w:rsid w:val="007F7ECC"/>
    <w:rsid w:val="00800063"/>
    <w:rsid w:val="0080006E"/>
    <w:rsid w:val="00800462"/>
    <w:rsid w:val="0080048C"/>
    <w:rsid w:val="008007B7"/>
    <w:rsid w:val="008007D0"/>
    <w:rsid w:val="00800802"/>
    <w:rsid w:val="0080090A"/>
    <w:rsid w:val="008009F8"/>
    <w:rsid w:val="00800BF1"/>
    <w:rsid w:val="00800C7E"/>
    <w:rsid w:val="00800E62"/>
    <w:rsid w:val="00800F35"/>
    <w:rsid w:val="008010D7"/>
    <w:rsid w:val="0080128D"/>
    <w:rsid w:val="008012B2"/>
    <w:rsid w:val="0080147D"/>
    <w:rsid w:val="00801657"/>
    <w:rsid w:val="008016CA"/>
    <w:rsid w:val="008017B6"/>
    <w:rsid w:val="008017BD"/>
    <w:rsid w:val="00801C16"/>
    <w:rsid w:val="00801DB0"/>
    <w:rsid w:val="00802134"/>
    <w:rsid w:val="00802436"/>
    <w:rsid w:val="008029D7"/>
    <w:rsid w:val="00802A65"/>
    <w:rsid w:val="00802DF1"/>
    <w:rsid w:val="00802F44"/>
    <w:rsid w:val="008030C2"/>
    <w:rsid w:val="00803432"/>
    <w:rsid w:val="00803443"/>
    <w:rsid w:val="008036C0"/>
    <w:rsid w:val="00803939"/>
    <w:rsid w:val="008039BF"/>
    <w:rsid w:val="00803E7E"/>
    <w:rsid w:val="00804069"/>
    <w:rsid w:val="00804131"/>
    <w:rsid w:val="00804144"/>
    <w:rsid w:val="008041C8"/>
    <w:rsid w:val="008041DE"/>
    <w:rsid w:val="0080436B"/>
    <w:rsid w:val="00804409"/>
    <w:rsid w:val="0080450E"/>
    <w:rsid w:val="00804530"/>
    <w:rsid w:val="00804779"/>
    <w:rsid w:val="008048F5"/>
    <w:rsid w:val="00804A6F"/>
    <w:rsid w:val="00804B1E"/>
    <w:rsid w:val="00804D52"/>
    <w:rsid w:val="00804D80"/>
    <w:rsid w:val="00805159"/>
    <w:rsid w:val="0080516A"/>
    <w:rsid w:val="00805444"/>
    <w:rsid w:val="008054CA"/>
    <w:rsid w:val="008058D0"/>
    <w:rsid w:val="00805930"/>
    <w:rsid w:val="00805B4A"/>
    <w:rsid w:val="00805D9C"/>
    <w:rsid w:val="00805F03"/>
    <w:rsid w:val="008061D6"/>
    <w:rsid w:val="008062E9"/>
    <w:rsid w:val="0080646D"/>
    <w:rsid w:val="00806512"/>
    <w:rsid w:val="00806636"/>
    <w:rsid w:val="0080680D"/>
    <w:rsid w:val="00806865"/>
    <w:rsid w:val="00806A46"/>
    <w:rsid w:val="00806D95"/>
    <w:rsid w:val="00807138"/>
    <w:rsid w:val="0080786A"/>
    <w:rsid w:val="0080795B"/>
    <w:rsid w:val="00807AA3"/>
    <w:rsid w:val="00807E0D"/>
    <w:rsid w:val="00807F10"/>
    <w:rsid w:val="0081002B"/>
    <w:rsid w:val="00810139"/>
    <w:rsid w:val="00810408"/>
    <w:rsid w:val="008104D1"/>
    <w:rsid w:val="00810552"/>
    <w:rsid w:val="008105B3"/>
    <w:rsid w:val="008107D1"/>
    <w:rsid w:val="00810ACA"/>
    <w:rsid w:val="00811023"/>
    <w:rsid w:val="008111CF"/>
    <w:rsid w:val="00811421"/>
    <w:rsid w:val="0081154C"/>
    <w:rsid w:val="00811589"/>
    <w:rsid w:val="00811CEA"/>
    <w:rsid w:val="00811D79"/>
    <w:rsid w:val="00811FD1"/>
    <w:rsid w:val="0081204C"/>
    <w:rsid w:val="008121C5"/>
    <w:rsid w:val="008125C4"/>
    <w:rsid w:val="008127F9"/>
    <w:rsid w:val="008128A2"/>
    <w:rsid w:val="008128BA"/>
    <w:rsid w:val="00812A4B"/>
    <w:rsid w:val="00812C05"/>
    <w:rsid w:val="00812DF0"/>
    <w:rsid w:val="00812FA4"/>
    <w:rsid w:val="00812FA8"/>
    <w:rsid w:val="008130B1"/>
    <w:rsid w:val="008130B3"/>
    <w:rsid w:val="008130C4"/>
    <w:rsid w:val="0081322A"/>
    <w:rsid w:val="00813480"/>
    <w:rsid w:val="008135A8"/>
    <w:rsid w:val="008135E9"/>
    <w:rsid w:val="0081367C"/>
    <w:rsid w:val="008137B6"/>
    <w:rsid w:val="00813A02"/>
    <w:rsid w:val="00813B8D"/>
    <w:rsid w:val="00813C26"/>
    <w:rsid w:val="00813DC9"/>
    <w:rsid w:val="00813EF4"/>
    <w:rsid w:val="00813F0E"/>
    <w:rsid w:val="00813FD5"/>
    <w:rsid w:val="0081405A"/>
    <w:rsid w:val="0081423C"/>
    <w:rsid w:val="008145C2"/>
    <w:rsid w:val="0081462E"/>
    <w:rsid w:val="00814693"/>
    <w:rsid w:val="008146F1"/>
    <w:rsid w:val="00814746"/>
    <w:rsid w:val="008148C2"/>
    <w:rsid w:val="008149C4"/>
    <w:rsid w:val="00814A30"/>
    <w:rsid w:val="00814D2B"/>
    <w:rsid w:val="00814E23"/>
    <w:rsid w:val="00814EBC"/>
    <w:rsid w:val="00814FFC"/>
    <w:rsid w:val="00815055"/>
    <w:rsid w:val="008151CC"/>
    <w:rsid w:val="0081521F"/>
    <w:rsid w:val="008153C9"/>
    <w:rsid w:val="00815617"/>
    <w:rsid w:val="008158D3"/>
    <w:rsid w:val="008158DC"/>
    <w:rsid w:val="00815975"/>
    <w:rsid w:val="008159C8"/>
    <w:rsid w:val="00815BF2"/>
    <w:rsid w:val="00815E02"/>
    <w:rsid w:val="00815E12"/>
    <w:rsid w:val="00815F1D"/>
    <w:rsid w:val="008162AB"/>
    <w:rsid w:val="008164EB"/>
    <w:rsid w:val="00816594"/>
    <w:rsid w:val="008165F2"/>
    <w:rsid w:val="008166BD"/>
    <w:rsid w:val="00816951"/>
    <w:rsid w:val="008169C0"/>
    <w:rsid w:val="008169E7"/>
    <w:rsid w:val="00816B48"/>
    <w:rsid w:val="00816DB6"/>
    <w:rsid w:val="00816E7C"/>
    <w:rsid w:val="008173C3"/>
    <w:rsid w:val="0081766B"/>
    <w:rsid w:val="008177AE"/>
    <w:rsid w:val="00817A08"/>
    <w:rsid w:val="00817A68"/>
    <w:rsid w:val="00817F01"/>
    <w:rsid w:val="00820071"/>
    <w:rsid w:val="0082025D"/>
    <w:rsid w:val="00820281"/>
    <w:rsid w:val="008202E1"/>
    <w:rsid w:val="0082039B"/>
    <w:rsid w:val="008203C0"/>
    <w:rsid w:val="00820BC4"/>
    <w:rsid w:val="00820C60"/>
    <w:rsid w:val="00820D13"/>
    <w:rsid w:val="00820F65"/>
    <w:rsid w:val="008211AE"/>
    <w:rsid w:val="0082130E"/>
    <w:rsid w:val="0082150F"/>
    <w:rsid w:val="0082158C"/>
    <w:rsid w:val="00821747"/>
    <w:rsid w:val="00821C6A"/>
    <w:rsid w:val="00821DC7"/>
    <w:rsid w:val="00821EE3"/>
    <w:rsid w:val="00821F85"/>
    <w:rsid w:val="00822048"/>
    <w:rsid w:val="008223E4"/>
    <w:rsid w:val="0082253F"/>
    <w:rsid w:val="008226AB"/>
    <w:rsid w:val="008228EE"/>
    <w:rsid w:val="00822C58"/>
    <w:rsid w:val="00822CFF"/>
    <w:rsid w:val="00822D96"/>
    <w:rsid w:val="00822E2A"/>
    <w:rsid w:val="008231C8"/>
    <w:rsid w:val="0082352B"/>
    <w:rsid w:val="0082353F"/>
    <w:rsid w:val="00823AEB"/>
    <w:rsid w:val="00823C4B"/>
    <w:rsid w:val="00823E43"/>
    <w:rsid w:val="00823F22"/>
    <w:rsid w:val="00823FA6"/>
    <w:rsid w:val="00824399"/>
    <w:rsid w:val="0082455C"/>
    <w:rsid w:val="008249A1"/>
    <w:rsid w:val="00824AB1"/>
    <w:rsid w:val="00824AE4"/>
    <w:rsid w:val="00824AFA"/>
    <w:rsid w:val="00824E21"/>
    <w:rsid w:val="0082515D"/>
    <w:rsid w:val="008252C7"/>
    <w:rsid w:val="008253BF"/>
    <w:rsid w:val="008254A6"/>
    <w:rsid w:val="00825933"/>
    <w:rsid w:val="00825A84"/>
    <w:rsid w:val="00825DF1"/>
    <w:rsid w:val="00825F3E"/>
    <w:rsid w:val="0082604B"/>
    <w:rsid w:val="00826220"/>
    <w:rsid w:val="0082624E"/>
    <w:rsid w:val="008264F4"/>
    <w:rsid w:val="008266AF"/>
    <w:rsid w:val="00826747"/>
    <w:rsid w:val="008267DA"/>
    <w:rsid w:val="00826892"/>
    <w:rsid w:val="00826A77"/>
    <w:rsid w:val="00826C83"/>
    <w:rsid w:val="00826D47"/>
    <w:rsid w:val="00827368"/>
    <w:rsid w:val="00827580"/>
    <w:rsid w:val="00827A33"/>
    <w:rsid w:val="00827AAC"/>
    <w:rsid w:val="00827BA0"/>
    <w:rsid w:val="00827C83"/>
    <w:rsid w:val="00827D6E"/>
    <w:rsid w:val="00827DC0"/>
    <w:rsid w:val="00827DEF"/>
    <w:rsid w:val="00827F0B"/>
    <w:rsid w:val="00827F65"/>
    <w:rsid w:val="00830040"/>
    <w:rsid w:val="0083010F"/>
    <w:rsid w:val="00830232"/>
    <w:rsid w:val="008302B7"/>
    <w:rsid w:val="00830340"/>
    <w:rsid w:val="008303A5"/>
    <w:rsid w:val="00830A36"/>
    <w:rsid w:val="00830D35"/>
    <w:rsid w:val="00830F45"/>
    <w:rsid w:val="00831088"/>
    <w:rsid w:val="0083115E"/>
    <w:rsid w:val="0083118A"/>
    <w:rsid w:val="00831279"/>
    <w:rsid w:val="00831282"/>
    <w:rsid w:val="0083164D"/>
    <w:rsid w:val="008317B5"/>
    <w:rsid w:val="00831852"/>
    <w:rsid w:val="00831864"/>
    <w:rsid w:val="00831F66"/>
    <w:rsid w:val="00831FC2"/>
    <w:rsid w:val="00832015"/>
    <w:rsid w:val="0083205F"/>
    <w:rsid w:val="00832565"/>
    <w:rsid w:val="0083256E"/>
    <w:rsid w:val="0083269B"/>
    <w:rsid w:val="00832A9A"/>
    <w:rsid w:val="00832B42"/>
    <w:rsid w:val="00832BB0"/>
    <w:rsid w:val="00832C0E"/>
    <w:rsid w:val="00832D79"/>
    <w:rsid w:val="00832F98"/>
    <w:rsid w:val="0083309B"/>
    <w:rsid w:val="008330FE"/>
    <w:rsid w:val="008331D0"/>
    <w:rsid w:val="00833396"/>
    <w:rsid w:val="008333AF"/>
    <w:rsid w:val="008337D2"/>
    <w:rsid w:val="008339CD"/>
    <w:rsid w:val="00833B23"/>
    <w:rsid w:val="00833C7E"/>
    <w:rsid w:val="00833DDB"/>
    <w:rsid w:val="00833E1F"/>
    <w:rsid w:val="00833E6F"/>
    <w:rsid w:val="00833EE8"/>
    <w:rsid w:val="00833F3F"/>
    <w:rsid w:val="00833FBC"/>
    <w:rsid w:val="008341E4"/>
    <w:rsid w:val="0083438F"/>
    <w:rsid w:val="0083455D"/>
    <w:rsid w:val="00834608"/>
    <w:rsid w:val="008346F0"/>
    <w:rsid w:val="0083479F"/>
    <w:rsid w:val="008349B6"/>
    <w:rsid w:val="00834C54"/>
    <w:rsid w:val="00834D92"/>
    <w:rsid w:val="0083508E"/>
    <w:rsid w:val="008352EF"/>
    <w:rsid w:val="0083536C"/>
    <w:rsid w:val="008357A3"/>
    <w:rsid w:val="0083582D"/>
    <w:rsid w:val="00835B00"/>
    <w:rsid w:val="00835B07"/>
    <w:rsid w:val="00835ED8"/>
    <w:rsid w:val="00835F6A"/>
    <w:rsid w:val="0083608A"/>
    <w:rsid w:val="008360A1"/>
    <w:rsid w:val="00836103"/>
    <w:rsid w:val="00836207"/>
    <w:rsid w:val="0083639B"/>
    <w:rsid w:val="008363EC"/>
    <w:rsid w:val="008363FE"/>
    <w:rsid w:val="00836467"/>
    <w:rsid w:val="00836A63"/>
    <w:rsid w:val="00836C65"/>
    <w:rsid w:val="00836D98"/>
    <w:rsid w:val="00836E9D"/>
    <w:rsid w:val="00836F69"/>
    <w:rsid w:val="00836FA6"/>
    <w:rsid w:val="008374D2"/>
    <w:rsid w:val="008375A0"/>
    <w:rsid w:val="008375AB"/>
    <w:rsid w:val="0083793B"/>
    <w:rsid w:val="00837AA4"/>
    <w:rsid w:val="00837CF2"/>
    <w:rsid w:val="00837E7D"/>
    <w:rsid w:val="0084002A"/>
    <w:rsid w:val="00840287"/>
    <w:rsid w:val="008404A5"/>
    <w:rsid w:val="0084076B"/>
    <w:rsid w:val="00840A83"/>
    <w:rsid w:val="00840A88"/>
    <w:rsid w:val="00840CA5"/>
    <w:rsid w:val="00841391"/>
    <w:rsid w:val="00841533"/>
    <w:rsid w:val="00841676"/>
    <w:rsid w:val="00841B13"/>
    <w:rsid w:val="00841E92"/>
    <w:rsid w:val="008420F6"/>
    <w:rsid w:val="0084251E"/>
    <w:rsid w:val="00842778"/>
    <w:rsid w:val="0084286A"/>
    <w:rsid w:val="008429E0"/>
    <w:rsid w:val="00842AB6"/>
    <w:rsid w:val="00842BA0"/>
    <w:rsid w:val="00842E09"/>
    <w:rsid w:val="00843016"/>
    <w:rsid w:val="00843577"/>
    <w:rsid w:val="00843BA4"/>
    <w:rsid w:val="00843E60"/>
    <w:rsid w:val="00843E6F"/>
    <w:rsid w:val="00844011"/>
    <w:rsid w:val="008440AD"/>
    <w:rsid w:val="008441CE"/>
    <w:rsid w:val="008443E7"/>
    <w:rsid w:val="00844890"/>
    <w:rsid w:val="0084489B"/>
    <w:rsid w:val="008448CD"/>
    <w:rsid w:val="00844A90"/>
    <w:rsid w:val="00844B7D"/>
    <w:rsid w:val="00844E7A"/>
    <w:rsid w:val="00844F46"/>
    <w:rsid w:val="00844F83"/>
    <w:rsid w:val="0084524A"/>
    <w:rsid w:val="008453B2"/>
    <w:rsid w:val="00845487"/>
    <w:rsid w:val="00845499"/>
    <w:rsid w:val="008454C8"/>
    <w:rsid w:val="008456CE"/>
    <w:rsid w:val="00845881"/>
    <w:rsid w:val="00845918"/>
    <w:rsid w:val="00845FEF"/>
    <w:rsid w:val="0084605E"/>
    <w:rsid w:val="008460D6"/>
    <w:rsid w:val="0084618C"/>
    <w:rsid w:val="008461BC"/>
    <w:rsid w:val="00846679"/>
    <w:rsid w:val="008467C2"/>
    <w:rsid w:val="00846C00"/>
    <w:rsid w:val="00846E05"/>
    <w:rsid w:val="00846E4A"/>
    <w:rsid w:val="00846F39"/>
    <w:rsid w:val="008471EA"/>
    <w:rsid w:val="008476D6"/>
    <w:rsid w:val="0084780D"/>
    <w:rsid w:val="00847C2B"/>
    <w:rsid w:val="00847D46"/>
    <w:rsid w:val="00847D63"/>
    <w:rsid w:val="00850049"/>
    <w:rsid w:val="00850128"/>
    <w:rsid w:val="008502A0"/>
    <w:rsid w:val="008502E9"/>
    <w:rsid w:val="0085036B"/>
    <w:rsid w:val="008503D0"/>
    <w:rsid w:val="00850581"/>
    <w:rsid w:val="00850832"/>
    <w:rsid w:val="00850A67"/>
    <w:rsid w:val="00850D14"/>
    <w:rsid w:val="00851046"/>
    <w:rsid w:val="00851100"/>
    <w:rsid w:val="00851111"/>
    <w:rsid w:val="0085126F"/>
    <w:rsid w:val="0085127C"/>
    <w:rsid w:val="00851652"/>
    <w:rsid w:val="00851654"/>
    <w:rsid w:val="00851758"/>
    <w:rsid w:val="00851AF5"/>
    <w:rsid w:val="00851C5D"/>
    <w:rsid w:val="00851C86"/>
    <w:rsid w:val="00851DAA"/>
    <w:rsid w:val="00851E3A"/>
    <w:rsid w:val="00851EA9"/>
    <w:rsid w:val="00851FB5"/>
    <w:rsid w:val="008521DB"/>
    <w:rsid w:val="008522B1"/>
    <w:rsid w:val="008522D5"/>
    <w:rsid w:val="008523B5"/>
    <w:rsid w:val="00852677"/>
    <w:rsid w:val="0085275C"/>
    <w:rsid w:val="00852766"/>
    <w:rsid w:val="0085276F"/>
    <w:rsid w:val="008527D1"/>
    <w:rsid w:val="00852940"/>
    <w:rsid w:val="0085299A"/>
    <w:rsid w:val="00852A40"/>
    <w:rsid w:val="00852B97"/>
    <w:rsid w:val="00852DB9"/>
    <w:rsid w:val="00852EC6"/>
    <w:rsid w:val="00852ECF"/>
    <w:rsid w:val="008533EE"/>
    <w:rsid w:val="008534C5"/>
    <w:rsid w:val="008535E3"/>
    <w:rsid w:val="0085379D"/>
    <w:rsid w:val="008537CD"/>
    <w:rsid w:val="00853F22"/>
    <w:rsid w:val="0085404C"/>
    <w:rsid w:val="008541D8"/>
    <w:rsid w:val="00854332"/>
    <w:rsid w:val="00854397"/>
    <w:rsid w:val="008543AB"/>
    <w:rsid w:val="00854670"/>
    <w:rsid w:val="008546AC"/>
    <w:rsid w:val="00854724"/>
    <w:rsid w:val="008547E3"/>
    <w:rsid w:val="00854B60"/>
    <w:rsid w:val="00854DAA"/>
    <w:rsid w:val="008550CB"/>
    <w:rsid w:val="00855354"/>
    <w:rsid w:val="00855479"/>
    <w:rsid w:val="008554CB"/>
    <w:rsid w:val="00855513"/>
    <w:rsid w:val="0085574B"/>
    <w:rsid w:val="00855761"/>
    <w:rsid w:val="008558DD"/>
    <w:rsid w:val="00855AAF"/>
    <w:rsid w:val="00855B60"/>
    <w:rsid w:val="00855E0B"/>
    <w:rsid w:val="008560B9"/>
    <w:rsid w:val="008561E8"/>
    <w:rsid w:val="00856466"/>
    <w:rsid w:val="0085681C"/>
    <w:rsid w:val="008569B2"/>
    <w:rsid w:val="00856A20"/>
    <w:rsid w:val="00856BDE"/>
    <w:rsid w:val="00856D81"/>
    <w:rsid w:val="00856F13"/>
    <w:rsid w:val="00856F3C"/>
    <w:rsid w:val="00856F44"/>
    <w:rsid w:val="008570DB"/>
    <w:rsid w:val="0085710F"/>
    <w:rsid w:val="0085718B"/>
    <w:rsid w:val="0085751A"/>
    <w:rsid w:val="00857567"/>
    <w:rsid w:val="00857897"/>
    <w:rsid w:val="00857A69"/>
    <w:rsid w:val="00857B6C"/>
    <w:rsid w:val="008603CB"/>
    <w:rsid w:val="00860446"/>
    <w:rsid w:val="00860793"/>
    <w:rsid w:val="008607BE"/>
    <w:rsid w:val="008607FA"/>
    <w:rsid w:val="008608A3"/>
    <w:rsid w:val="0086092E"/>
    <w:rsid w:val="008609B8"/>
    <w:rsid w:val="00860B4C"/>
    <w:rsid w:val="00860D6C"/>
    <w:rsid w:val="008610D2"/>
    <w:rsid w:val="0086112D"/>
    <w:rsid w:val="008612B7"/>
    <w:rsid w:val="0086169D"/>
    <w:rsid w:val="00861779"/>
    <w:rsid w:val="008618ED"/>
    <w:rsid w:val="00861950"/>
    <w:rsid w:val="00861B3D"/>
    <w:rsid w:val="00861B8D"/>
    <w:rsid w:val="008620B2"/>
    <w:rsid w:val="00862196"/>
    <w:rsid w:val="008622FB"/>
    <w:rsid w:val="0086242C"/>
    <w:rsid w:val="0086247B"/>
    <w:rsid w:val="00862676"/>
    <w:rsid w:val="008626B9"/>
    <w:rsid w:val="00862721"/>
    <w:rsid w:val="008627AF"/>
    <w:rsid w:val="00862A3D"/>
    <w:rsid w:val="00862CC3"/>
    <w:rsid w:val="0086310F"/>
    <w:rsid w:val="0086328B"/>
    <w:rsid w:val="008633A5"/>
    <w:rsid w:val="008634A8"/>
    <w:rsid w:val="0086362C"/>
    <w:rsid w:val="008636D5"/>
    <w:rsid w:val="0086396F"/>
    <w:rsid w:val="00863986"/>
    <w:rsid w:val="00863A06"/>
    <w:rsid w:val="00863A17"/>
    <w:rsid w:val="00863AE9"/>
    <w:rsid w:val="00863C65"/>
    <w:rsid w:val="00863EA1"/>
    <w:rsid w:val="008641C0"/>
    <w:rsid w:val="0086439F"/>
    <w:rsid w:val="0086447F"/>
    <w:rsid w:val="00864599"/>
    <w:rsid w:val="008647DE"/>
    <w:rsid w:val="00864A8A"/>
    <w:rsid w:val="00864AA4"/>
    <w:rsid w:val="00864B95"/>
    <w:rsid w:val="00864DEB"/>
    <w:rsid w:val="00864E48"/>
    <w:rsid w:val="0086549E"/>
    <w:rsid w:val="008654D4"/>
    <w:rsid w:val="00865566"/>
    <w:rsid w:val="008656A2"/>
    <w:rsid w:val="00865737"/>
    <w:rsid w:val="00865890"/>
    <w:rsid w:val="008658D8"/>
    <w:rsid w:val="00865B18"/>
    <w:rsid w:val="00865C1A"/>
    <w:rsid w:val="00865C59"/>
    <w:rsid w:val="00865E72"/>
    <w:rsid w:val="00865F33"/>
    <w:rsid w:val="00865F6D"/>
    <w:rsid w:val="00866142"/>
    <w:rsid w:val="00866277"/>
    <w:rsid w:val="0086631B"/>
    <w:rsid w:val="0086663F"/>
    <w:rsid w:val="00866788"/>
    <w:rsid w:val="008667B8"/>
    <w:rsid w:val="008667FE"/>
    <w:rsid w:val="008668F6"/>
    <w:rsid w:val="00866A85"/>
    <w:rsid w:val="00866D11"/>
    <w:rsid w:val="00866EDF"/>
    <w:rsid w:val="00866EFA"/>
    <w:rsid w:val="00867003"/>
    <w:rsid w:val="0086708F"/>
    <w:rsid w:val="00867115"/>
    <w:rsid w:val="008673EB"/>
    <w:rsid w:val="0086746F"/>
    <w:rsid w:val="00867488"/>
    <w:rsid w:val="008678A8"/>
    <w:rsid w:val="008678E6"/>
    <w:rsid w:val="00867AA8"/>
    <w:rsid w:val="00867BA3"/>
    <w:rsid w:val="00867DA2"/>
    <w:rsid w:val="0087006A"/>
    <w:rsid w:val="00870122"/>
    <w:rsid w:val="00870402"/>
    <w:rsid w:val="008705D6"/>
    <w:rsid w:val="00870656"/>
    <w:rsid w:val="00870958"/>
    <w:rsid w:val="00870AE0"/>
    <w:rsid w:val="00870BFB"/>
    <w:rsid w:val="00870C2B"/>
    <w:rsid w:val="0087109D"/>
    <w:rsid w:val="008712E0"/>
    <w:rsid w:val="008713BA"/>
    <w:rsid w:val="00871C23"/>
    <w:rsid w:val="00871C8A"/>
    <w:rsid w:val="00871C95"/>
    <w:rsid w:val="00871DDA"/>
    <w:rsid w:val="00871E2B"/>
    <w:rsid w:val="0087202D"/>
    <w:rsid w:val="00872175"/>
    <w:rsid w:val="0087225B"/>
    <w:rsid w:val="0087227D"/>
    <w:rsid w:val="00872295"/>
    <w:rsid w:val="008723B7"/>
    <w:rsid w:val="0087278C"/>
    <w:rsid w:val="008727F1"/>
    <w:rsid w:val="00872EAF"/>
    <w:rsid w:val="00873275"/>
    <w:rsid w:val="00873620"/>
    <w:rsid w:val="00873A6B"/>
    <w:rsid w:val="00873AD8"/>
    <w:rsid w:val="00873BDE"/>
    <w:rsid w:val="00873C67"/>
    <w:rsid w:val="00873D0A"/>
    <w:rsid w:val="00873EFF"/>
    <w:rsid w:val="00874159"/>
    <w:rsid w:val="008741B2"/>
    <w:rsid w:val="008747A6"/>
    <w:rsid w:val="00874ABD"/>
    <w:rsid w:val="00874DB0"/>
    <w:rsid w:val="00874E64"/>
    <w:rsid w:val="00874F40"/>
    <w:rsid w:val="00875525"/>
    <w:rsid w:val="00875A5A"/>
    <w:rsid w:val="00875A72"/>
    <w:rsid w:val="00875EF7"/>
    <w:rsid w:val="00875F56"/>
    <w:rsid w:val="008760EF"/>
    <w:rsid w:val="00876249"/>
    <w:rsid w:val="008762E2"/>
    <w:rsid w:val="00876567"/>
    <w:rsid w:val="00876B8D"/>
    <w:rsid w:val="00876D2F"/>
    <w:rsid w:val="00876F19"/>
    <w:rsid w:val="00877051"/>
    <w:rsid w:val="00877064"/>
    <w:rsid w:val="008771D1"/>
    <w:rsid w:val="008771EA"/>
    <w:rsid w:val="00877277"/>
    <w:rsid w:val="008773A1"/>
    <w:rsid w:val="008773CD"/>
    <w:rsid w:val="00877727"/>
    <w:rsid w:val="008778F9"/>
    <w:rsid w:val="00877B1A"/>
    <w:rsid w:val="00877E6A"/>
    <w:rsid w:val="00877E7E"/>
    <w:rsid w:val="00877E9C"/>
    <w:rsid w:val="00877FCC"/>
    <w:rsid w:val="00880074"/>
    <w:rsid w:val="00880078"/>
    <w:rsid w:val="008800D3"/>
    <w:rsid w:val="00880159"/>
    <w:rsid w:val="00880286"/>
    <w:rsid w:val="00880418"/>
    <w:rsid w:val="00880431"/>
    <w:rsid w:val="00880651"/>
    <w:rsid w:val="008807CD"/>
    <w:rsid w:val="00880C56"/>
    <w:rsid w:val="00880D54"/>
    <w:rsid w:val="00880D8E"/>
    <w:rsid w:val="00880F1A"/>
    <w:rsid w:val="00881133"/>
    <w:rsid w:val="008811B5"/>
    <w:rsid w:val="008813DF"/>
    <w:rsid w:val="0088141F"/>
    <w:rsid w:val="0088169A"/>
    <w:rsid w:val="008816A8"/>
    <w:rsid w:val="008817C9"/>
    <w:rsid w:val="00881ADB"/>
    <w:rsid w:val="00881B11"/>
    <w:rsid w:val="00881B16"/>
    <w:rsid w:val="00881C85"/>
    <w:rsid w:val="00881CDD"/>
    <w:rsid w:val="00881CFD"/>
    <w:rsid w:val="00881F6A"/>
    <w:rsid w:val="00882181"/>
    <w:rsid w:val="008822DC"/>
    <w:rsid w:val="0088236F"/>
    <w:rsid w:val="00882748"/>
    <w:rsid w:val="00882AB4"/>
    <w:rsid w:val="00882D12"/>
    <w:rsid w:val="00882EF8"/>
    <w:rsid w:val="00882F3C"/>
    <w:rsid w:val="0088309B"/>
    <w:rsid w:val="008831D1"/>
    <w:rsid w:val="00883255"/>
    <w:rsid w:val="008838E9"/>
    <w:rsid w:val="00883927"/>
    <w:rsid w:val="00883B56"/>
    <w:rsid w:val="00883CA4"/>
    <w:rsid w:val="00883E2B"/>
    <w:rsid w:val="00883EC1"/>
    <w:rsid w:val="008840AC"/>
    <w:rsid w:val="00884102"/>
    <w:rsid w:val="0088412E"/>
    <w:rsid w:val="008841C5"/>
    <w:rsid w:val="0088439D"/>
    <w:rsid w:val="00884782"/>
    <w:rsid w:val="00884845"/>
    <w:rsid w:val="00884E8E"/>
    <w:rsid w:val="00884EA2"/>
    <w:rsid w:val="008853B4"/>
    <w:rsid w:val="008853C7"/>
    <w:rsid w:val="008853D9"/>
    <w:rsid w:val="008854AA"/>
    <w:rsid w:val="00885825"/>
    <w:rsid w:val="008859D5"/>
    <w:rsid w:val="00885B9B"/>
    <w:rsid w:val="00885DBC"/>
    <w:rsid w:val="00885F0A"/>
    <w:rsid w:val="00886030"/>
    <w:rsid w:val="00886501"/>
    <w:rsid w:val="00886531"/>
    <w:rsid w:val="008866CD"/>
    <w:rsid w:val="00886777"/>
    <w:rsid w:val="008867B0"/>
    <w:rsid w:val="0088683E"/>
    <w:rsid w:val="00886C92"/>
    <w:rsid w:val="00886CDD"/>
    <w:rsid w:val="00886E08"/>
    <w:rsid w:val="00886F36"/>
    <w:rsid w:val="00886F38"/>
    <w:rsid w:val="00886FF6"/>
    <w:rsid w:val="0088729D"/>
    <w:rsid w:val="00887315"/>
    <w:rsid w:val="00887435"/>
    <w:rsid w:val="00887462"/>
    <w:rsid w:val="00887580"/>
    <w:rsid w:val="0088792B"/>
    <w:rsid w:val="008879A9"/>
    <w:rsid w:val="00887A37"/>
    <w:rsid w:val="00887E1E"/>
    <w:rsid w:val="00890161"/>
    <w:rsid w:val="0089022F"/>
    <w:rsid w:val="008902E5"/>
    <w:rsid w:val="008904F2"/>
    <w:rsid w:val="00890951"/>
    <w:rsid w:val="00890A55"/>
    <w:rsid w:val="00890CFD"/>
    <w:rsid w:val="00891437"/>
    <w:rsid w:val="008914FB"/>
    <w:rsid w:val="008915B6"/>
    <w:rsid w:val="00891AD4"/>
    <w:rsid w:val="00891D46"/>
    <w:rsid w:val="00891D47"/>
    <w:rsid w:val="00891E1D"/>
    <w:rsid w:val="0089214D"/>
    <w:rsid w:val="008922AD"/>
    <w:rsid w:val="008928AD"/>
    <w:rsid w:val="008929C8"/>
    <w:rsid w:val="00892B2D"/>
    <w:rsid w:val="008932B0"/>
    <w:rsid w:val="008933CE"/>
    <w:rsid w:val="0089344A"/>
    <w:rsid w:val="00893661"/>
    <w:rsid w:val="008936AC"/>
    <w:rsid w:val="00893AFC"/>
    <w:rsid w:val="00893C0D"/>
    <w:rsid w:val="00893D72"/>
    <w:rsid w:val="00893F10"/>
    <w:rsid w:val="00894081"/>
    <w:rsid w:val="00894125"/>
    <w:rsid w:val="00894143"/>
    <w:rsid w:val="0089435A"/>
    <w:rsid w:val="0089455B"/>
    <w:rsid w:val="00894781"/>
    <w:rsid w:val="0089485F"/>
    <w:rsid w:val="00894A3F"/>
    <w:rsid w:val="00894A50"/>
    <w:rsid w:val="00894E3A"/>
    <w:rsid w:val="00894E8A"/>
    <w:rsid w:val="008950EF"/>
    <w:rsid w:val="00895273"/>
    <w:rsid w:val="008954F9"/>
    <w:rsid w:val="0089559F"/>
    <w:rsid w:val="00895653"/>
    <w:rsid w:val="008957DD"/>
    <w:rsid w:val="00895A49"/>
    <w:rsid w:val="00895DFB"/>
    <w:rsid w:val="00896449"/>
    <w:rsid w:val="00896596"/>
    <w:rsid w:val="00896856"/>
    <w:rsid w:val="008968B7"/>
    <w:rsid w:val="00896ED8"/>
    <w:rsid w:val="00897194"/>
    <w:rsid w:val="0089724F"/>
    <w:rsid w:val="008972EE"/>
    <w:rsid w:val="0089754C"/>
    <w:rsid w:val="008975B7"/>
    <w:rsid w:val="008975D9"/>
    <w:rsid w:val="008977CB"/>
    <w:rsid w:val="00897978"/>
    <w:rsid w:val="00897A5D"/>
    <w:rsid w:val="00897AF7"/>
    <w:rsid w:val="00897B5E"/>
    <w:rsid w:val="00897BC2"/>
    <w:rsid w:val="00897BC6"/>
    <w:rsid w:val="00897D86"/>
    <w:rsid w:val="00897D8B"/>
    <w:rsid w:val="00897DC3"/>
    <w:rsid w:val="00897EEE"/>
    <w:rsid w:val="008A002A"/>
    <w:rsid w:val="008A014D"/>
    <w:rsid w:val="008A02EC"/>
    <w:rsid w:val="008A03AF"/>
    <w:rsid w:val="008A0BCB"/>
    <w:rsid w:val="008A0BD9"/>
    <w:rsid w:val="008A0E11"/>
    <w:rsid w:val="008A0E48"/>
    <w:rsid w:val="008A0FC3"/>
    <w:rsid w:val="008A12ED"/>
    <w:rsid w:val="008A14E2"/>
    <w:rsid w:val="008A18AD"/>
    <w:rsid w:val="008A1B0F"/>
    <w:rsid w:val="008A1E69"/>
    <w:rsid w:val="008A20DA"/>
    <w:rsid w:val="008A21C0"/>
    <w:rsid w:val="008A21CD"/>
    <w:rsid w:val="008A21E4"/>
    <w:rsid w:val="008A222F"/>
    <w:rsid w:val="008A27B9"/>
    <w:rsid w:val="008A2853"/>
    <w:rsid w:val="008A28B1"/>
    <w:rsid w:val="008A298B"/>
    <w:rsid w:val="008A2B8C"/>
    <w:rsid w:val="008A2D0B"/>
    <w:rsid w:val="008A2D18"/>
    <w:rsid w:val="008A2EF0"/>
    <w:rsid w:val="008A2FD3"/>
    <w:rsid w:val="008A3163"/>
    <w:rsid w:val="008A359B"/>
    <w:rsid w:val="008A36C1"/>
    <w:rsid w:val="008A39C4"/>
    <w:rsid w:val="008A3C6F"/>
    <w:rsid w:val="008A3CC4"/>
    <w:rsid w:val="008A4019"/>
    <w:rsid w:val="008A409A"/>
    <w:rsid w:val="008A417E"/>
    <w:rsid w:val="008A436D"/>
    <w:rsid w:val="008A4424"/>
    <w:rsid w:val="008A44BB"/>
    <w:rsid w:val="008A461B"/>
    <w:rsid w:val="008A47DA"/>
    <w:rsid w:val="008A4A95"/>
    <w:rsid w:val="008A4D27"/>
    <w:rsid w:val="008A534C"/>
    <w:rsid w:val="008A54C1"/>
    <w:rsid w:val="008A5585"/>
    <w:rsid w:val="008A5616"/>
    <w:rsid w:val="008A581A"/>
    <w:rsid w:val="008A5BFA"/>
    <w:rsid w:val="008A5FB5"/>
    <w:rsid w:val="008A6066"/>
    <w:rsid w:val="008A612D"/>
    <w:rsid w:val="008A6395"/>
    <w:rsid w:val="008A6B2C"/>
    <w:rsid w:val="008A6B43"/>
    <w:rsid w:val="008A6D58"/>
    <w:rsid w:val="008A7031"/>
    <w:rsid w:val="008A71FC"/>
    <w:rsid w:val="008A72BD"/>
    <w:rsid w:val="008A72E9"/>
    <w:rsid w:val="008A74B7"/>
    <w:rsid w:val="008A7694"/>
    <w:rsid w:val="008A7878"/>
    <w:rsid w:val="008A79B3"/>
    <w:rsid w:val="008A7C16"/>
    <w:rsid w:val="008A7CA8"/>
    <w:rsid w:val="008A7FE2"/>
    <w:rsid w:val="008B0164"/>
    <w:rsid w:val="008B0254"/>
    <w:rsid w:val="008B02F2"/>
    <w:rsid w:val="008B0434"/>
    <w:rsid w:val="008B044E"/>
    <w:rsid w:val="008B0526"/>
    <w:rsid w:val="008B07AE"/>
    <w:rsid w:val="008B0C80"/>
    <w:rsid w:val="008B0F41"/>
    <w:rsid w:val="008B104D"/>
    <w:rsid w:val="008B108F"/>
    <w:rsid w:val="008B13ED"/>
    <w:rsid w:val="008B14E9"/>
    <w:rsid w:val="008B1ABF"/>
    <w:rsid w:val="008B1D08"/>
    <w:rsid w:val="008B1D84"/>
    <w:rsid w:val="008B1E85"/>
    <w:rsid w:val="008B1F63"/>
    <w:rsid w:val="008B20E3"/>
    <w:rsid w:val="008B2156"/>
    <w:rsid w:val="008B22E8"/>
    <w:rsid w:val="008B259C"/>
    <w:rsid w:val="008B261F"/>
    <w:rsid w:val="008B2636"/>
    <w:rsid w:val="008B272C"/>
    <w:rsid w:val="008B28B6"/>
    <w:rsid w:val="008B293C"/>
    <w:rsid w:val="008B2978"/>
    <w:rsid w:val="008B2B14"/>
    <w:rsid w:val="008B2BEE"/>
    <w:rsid w:val="008B2C85"/>
    <w:rsid w:val="008B31BB"/>
    <w:rsid w:val="008B35D7"/>
    <w:rsid w:val="008B3612"/>
    <w:rsid w:val="008B36C5"/>
    <w:rsid w:val="008B3745"/>
    <w:rsid w:val="008B3750"/>
    <w:rsid w:val="008B37C7"/>
    <w:rsid w:val="008B3A20"/>
    <w:rsid w:val="008B3C5E"/>
    <w:rsid w:val="008B3FA6"/>
    <w:rsid w:val="008B4026"/>
    <w:rsid w:val="008B406E"/>
    <w:rsid w:val="008B4093"/>
    <w:rsid w:val="008B40F2"/>
    <w:rsid w:val="008B4431"/>
    <w:rsid w:val="008B44B2"/>
    <w:rsid w:val="008B466C"/>
    <w:rsid w:val="008B4931"/>
    <w:rsid w:val="008B4DED"/>
    <w:rsid w:val="008B4F65"/>
    <w:rsid w:val="008B506C"/>
    <w:rsid w:val="008B5224"/>
    <w:rsid w:val="008B5965"/>
    <w:rsid w:val="008B5AC3"/>
    <w:rsid w:val="008B5C25"/>
    <w:rsid w:val="008B5C8F"/>
    <w:rsid w:val="008B5DD6"/>
    <w:rsid w:val="008B5F16"/>
    <w:rsid w:val="008B63AC"/>
    <w:rsid w:val="008B63D0"/>
    <w:rsid w:val="008B644C"/>
    <w:rsid w:val="008B6509"/>
    <w:rsid w:val="008B6B1E"/>
    <w:rsid w:val="008B6C9D"/>
    <w:rsid w:val="008B6F7C"/>
    <w:rsid w:val="008B713A"/>
    <w:rsid w:val="008B7183"/>
    <w:rsid w:val="008B7222"/>
    <w:rsid w:val="008B7451"/>
    <w:rsid w:val="008B7539"/>
    <w:rsid w:val="008B7722"/>
    <w:rsid w:val="008B77CE"/>
    <w:rsid w:val="008B7868"/>
    <w:rsid w:val="008B786F"/>
    <w:rsid w:val="008B7873"/>
    <w:rsid w:val="008B792C"/>
    <w:rsid w:val="008B7A29"/>
    <w:rsid w:val="008B7A3E"/>
    <w:rsid w:val="008B7B3D"/>
    <w:rsid w:val="008B7D38"/>
    <w:rsid w:val="008B7DB8"/>
    <w:rsid w:val="008B7EAB"/>
    <w:rsid w:val="008B7ECF"/>
    <w:rsid w:val="008B7F50"/>
    <w:rsid w:val="008B7F9A"/>
    <w:rsid w:val="008C02BE"/>
    <w:rsid w:val="008C02E7"/>
    <w:rsid w:val="008C033A"/>
    <w:rsid w:val="008C0475"/>
    <w:rsid w:val="008C07DA"/>
    <w:rsid w:val="008C0849"/>
    <w:rsid w:val="008C0952"/>
    <w:rsid w:val="008C0AFA"/>
    <w:rsid w:val="008C0DAB"/>
    <w:rsid w:val="008C0E5C"/>
    <w:rsid w:val="008C11AE"/>
    <w:rsid w:val="008C1207"/>
    <w:rsid w:val="008C12F6"/>
    <w:rsid w:val="008C1460"/>
    <w:rsid w:val="008C184B"/>
    <w:rsid w:val="008C18BC"/>
    <w:rsid w:val="008C1A12"/>
    <w:rsid w:val="008C1ADE"/>
    <w:rsid w:val="008C1B45"/>
    <w:rsid w:val="008C1D8A"/>
    <w:rsid w:val="008C1E2C"/>
    <w:rsid w:val="008C1F5E"/>
    <w:rsid w:val="008C250F"/>
    <w:rsid w:val="008C25BF"/>
    <w:rsid w:val="008C26B8"/>
    <w:rsid w:val="008C26ED"/>
    <w:rsid w:val="008C28D0"/>
    <w:rsid w:val="008C28DD"/>
    <w:rsid w:val="008C2BB5"/>
    <w:rsid w:val="008C343F"/>
    <w:rsid w:val="008C36BD"/>
    <w:rsid w:val="008C39E1"/>
    <w:rsid w:val="008C3A1E"/>
    <w:rsid w:val="008C3B3A"/>
    <w:rsid w:val="008C3B69"/>
    <w:rsid w:val="008C3BEE"/>
    <w:rsid w:val="008C3C63"/>
    <w:rsid w:val="008C3D3D"/>
    <w:rsid w:val="008C3E4A"/>
    <w:rsid w:val="008C3E86"/>
    <w:rsid w:val="008C41E5"/>
    <w:rsid w:val="008C4206"/>
    <w:rsid w:val="008C43E2"/>
    <w:rsid w:val="008C4453"/>
    <w:rsid w:val="008C446A"/>
    <w:rsid w:val="008C4581"/>
    <w:rsid w:val="008C489E"/>
    <w:rsid w:val="008C4973"/>
    <w:rsid w:val="008C4E6E"/>
    <w:rsid w:val="008C4FA9"/>
    <w:rsid w:val="008C504D"/>
    <w:rsid w:val="008C5226"/>
    <w:rsid w:val="008C53A8"/>
    <w:rsid w:val="008C5974"/>
    <w:rsid w:val="008C59C0"/>
    <w:rsid w:val="008C59DF"/>
    <w:rsid w:val="008C5C08"/>
    <w:rsid w:val="008C5D76"/>
    <w:rsid w:val="008C5EE3"/>
    <w:rsid w:val="008C6076"/>
    <w:rsid w:val="008C6162"/>
    <w:rsid w:val="008C623B"/>
    <w:rsid w:val="008C63A8"/>
    <w:rsid w:val="008C6425"/>
    <w:rsid w:val="008C6703"/>
    <w:rsid w:val="008C6829"/>
    <w:rsid w:val="008C688E"/>
    <w:rsid w:val="008C6962"/>
    <w:rsid w:val="008C6B32"/>
    <w:rsid w:val="008C6BB6"/>
    <w:rsid w:val="008C6E40"/>
    <w:rsid w:val="008C6F52"/>
    <w:rsid w:val="008C7096"/>
    <w:rsid w:val="008C7138"/>
    <w:rsid w:val="008C73B9"/>
    <w:rsid w:val="008C7543"/>
    <w:rsid w:val="008C7584"/>
    <w:rsid w:val="008C7753"/>
    <w:rsid w:val="008C7939"/>
    <w:rsid w:val="008C79A1"/>
    <w:rsid w:val="008C7A44"/>
    <w:rsid w:val="008C7C57"/>
    <w:rsid w:val="008C7DF8"/>
    <w:rsid w:val="008C7EE3"/>
    <w:rsid w:val="008C7F69"/>
    <w:rsid w:val="008D0242"/>
    <w:rsid w:val="008D0369"/>
    <w:rsid w:val="008D0519"/>
    <w:rsid w:val="008D0902"/>
    <w:rsid w:val="008D0ED4"/>
    <w:rsid w:val="008D100D"/>
    <w:rsid w:val="008D1022"/>
    <w:rsid w:val="008D1146"/>
    <w:rsid w:val="008D1441"/>
    <w:rsid w:val="008D1497"/>
    <w:rsid w:val="008D1569"/>
    <w:rsid w:val="008D1719"/>
    <w:rsid w:val="008D1822"/>
    <w:rsid w:val="008D1C1A"/>
    <w:rsid w:val="008D1D3D"/>
    <w:rsid w:val="008D1E8F"/>
    <w:rsid w:val="008D1FB9"/>
    <w:rsid w:val="008D2099"/>
    <w:rsid w:val="008D248E"/>
    <w:rsid w:val="008D264B"/>
    <w:rsid w:val="008D288A"/>
    <w:rsid w:val="008D2CD5"/>
    <w:rsid w:val="008D30F3"/>
    <w:rsid w:val="008D30FA"/>
    <w:rsid w:val="008D32FC"/>
    <w:rsid w:val="008D335A"/>
    <w:rsid w:val="008D348B"/>
    <w:rsid w:val="008D34EE"/>
    <w:rsid w:val="008D37DA"/>
    <w:rsid w:val="008D385B"/>
    <w:rsid w:val="008D3A64"/>
    <w:rsid w:val="008D3BB2"/>
    <w:rsid w:val="008D3C8B"/>
    <w:rsid w:val="008D3C94"/>
    <w:rsid w:val="008D4002"/>
    <w:rsid w:val="008D4269"/>
    <w:rsid w:val="008D43A7"/>
    <w:rsid w:val="008D4584"/>
    <w:rsid w:val="008D4629"/>
    <w:rsid w:val="008D4658"/>
    <w:rsid w:val="008D46EE"/>
    <w:rsid w:val="008D497F"/>
    <w:rsid w:val="008D4A17"/>
    <w:rsid w:val="008D4E5B"/>
    <w:rsid w:val="008D4FF4"/>
    <w:rsid w:val="008D54CB"/>
    <w:rsid w:val="008D55AC"/>
    <w:rsid w:val="008D55D1"/>
    <w:rsid w:val="008D5705"/>
    <w:rsid w:val="008D5909"/>
    <w:rsid w:val="008D5B67"/>
    <w:rsid w:val="008D635F"/>
    <w:rsid w:val="008D6426"/>
    <w:rsid w:val="008D64AE"/>
    <w:rsid w:val="008D6600"/>
    <w:rsid w:val="008D6782"/>
    <w:rsid w:val="008D6973"/>
    <w:rsid w:val="008D6BA0"/>
    <w:rsid w:val="008D6C04"/>
    <w:rsid w:val="008D6D34"/>
    <w:rsid w:val="008D74E2"/>
    <w:rsid w:val="008D76A3"/>
    <w:rsid w:val="008D7891"/>
    <w:rsid w:val="008D79E0"/>
    <w:rsid w:val="008D7A33"/>
    <w:rsid w:val="008D7A9F"/>
    <w:rsid w:val="008D7C8F"/>
    <w:rsid w:val="008D7CD8"/>
    <w:rsid w:val="008D7EE9"/>
    <w:rsid w:val="008D7F31"/>
    <w:rsid w:val="008E006C"/>
    <w:rsid w:val="008E027A"/>
    <w:rsid w:val="008E0629"/>
    <w:rsid w:val="008E07EB"/>
    <w:rsid w:val="008E097D"/>
    <w:rsid w:val="008E0AF4"/>
    <w:rsid w:val="008E0CCD"/>
    <w:rsid w:val="008E0FAA"/>
    <w:rsid w:val="008E128B"/>
    <w:rsid w:val="008E144C"/>
    <w:rsid w:val="008E14F9"/>
    <w:rsid w:val="008E1617"/>
    <w:rsid w:val="008E1619"/>
    <w:rsid w:val="008E190C"/>
    <w:rsid w:val="008E1947"/>
    <w:rsid w:val="008E1989"/>
    <w:rsid w:val="008E1A81"/>
    <w:rsid w:val="008E1B8E"/>
    <w:rsid w:val="008E1BF5"/>
    <w:rsid w:val="008E1CD4"/>
    <w:rsid w:val="008E1DBB"/>
    <w:rsid w:val="008E1FC2"/>
    <w:rsid w:val="008E2136"/>
    <w:rsid w:val="008E230B"/>
    <w:rsid w:val="008E27A2"/>
    <w:rsid w:val="008E2BE4"/>
    <w:rsid w:val="008E2CBC"/>
    <w:rsid w:val="008E2D28"/>
    <w:rsid w:val="008E2D39"/>
    <w:rsid w:val="008E2D87"/>
    <w:rsid w:val="008E2E2C"/>
    <w:rsid w:val="008E303B"/>
    <w:rsid w:val="008E3191"/>
    <w:rsid w:val="008E33CB"/>
    <w:rsid w:val="008E345C"/>
    <w:rsid w:val="008E37EE"/>
    <w:rsid w:val="008E399A"/>
    <w:rsid w:val="008E3B97"/>
    <w:rsid w:val="008E3C3B"/>
    <w:rsid w:val="008E3D72"/>
    <w:rsid w:val="008E3E2D"/>
    <w:rsid w:val="008E3ED5"/>
    <w:rsid w:val="008E4117"/>
    <w:rsid w:val="008E41BE"/>
    <w:rsid w:val="008E41D9"/>
    <w:rsid w:val="008E4254"/>
    <w:rsid w:val="008E425A"/>
    <w:rsid w:val="008E4277"/>
    <w:rsid w:val="008E4449"/>
    <w:rsid w:val="008E456A"/>
    <w:rsid w:val="008E46C7"/>
    <w:rsid w:val="008E46D4"/>
    <w:rsid w:val="008E48A8"/>
    <w:rsid w:val="008E49F3"/>
    <w:rsid w:val="008E4A5B"/>
    <w:rsid w:val="008E4A7E"/>
    <w:rsid w:val="008E4BCC"/>
    <w:rsid w:val="008E4FAE"/>
    <w:rsid w:val="008E5020"/>
    <w:rsid w:val="008E5047"/>
    <w:rsid w:val="008E5063"/>
    <w:rsid w:val="008E5175"/>
    <w:rsid w:val="008E52DE"/>
    <w:rsid w:val="008E536D"/>
    <w:rsid w:val="008E53A2"/>
    <w:rsid w:val="008E5585"/>
    <w:rsid w:val="008E5786"/>
    <w:rsid w:val="008E58F0"/>
    <w:rsid w:val="008E5B20"/>
    <w:rsid w:val="008E60B5"/>
    <w:rsid w:val="008E6109"/>
    <w:rsid w:val="008E62D2"/>
    <w:rsid w:val="008E64F0"/>
    <w:rsid w:val="008E66B3"/>
    <w:rsid w:val="008E68E5"/>
    <w:rsid w:val="008E6974"/>
    <w:rsid w:val="008E6B4E"/>
    <w:rsid w:val="008E6B79"/>
    <w:rsid w:val="008E6CE6"/>
    <w:rsid w:val="008E6DC0"/>
    <w:rsid w:val="008E7196"/>
    <w:rsid w:val="008E72EE"/>
    <w:rsid w:val="008E7455"/>
    <w:rsid w:val="008E74CE"/>
    <w:rsid w:val="008E7876"/>
    <w:rsid w:val="008E7970"/>
    <w:rsid w:val="008E7B40"/>
    <w:rsid w:val="008E7C34"/>
    <w:rsid w:val="008E7F4A"/>
    <w:rsid w:val="008F0155"/>
    <w:rsid w:val="008F03A7"/>
    <w:rsid w:val="008F0AF2"/>
    <w:rsid w:val="008F0B57"/>
    <w:rsid w:val="008F0C36"/>
    <w:rsid w:val="008F0DC7"/>
    <w:rsid w:val="008F0EB2"/>
    <w:rsid w:val="008F0ED8"/>
    <w:rsid w:val="008F1016"/>
    <w:rsid w:val="008F107F"/>
    <w:rsid w:val="008F10B3"/>
    <w:rsid w:val="008F10D9"/>
    <w:rsid w:val="008F10DD"/>
    <w:rsid w:val="008F1350"/>
    <w:rsid w:val="008F186F"/>
    <w:rsid w:val="008F18B1"/>
    <w:rsid w:val="008F1959"/>
    <w:rsid w:val="008F1BDA"/>
    <w:rsid w:val="008F1C38"/>
    <w:rsid w:val="008F1DC3"/>
    <w:rsid w:val="008F1FCB"/>
    <w:rsid w:val="008F20F7"/>
    <w:rsid w:val="008F21B8"/>
    <w:rsid w:val="008F258F"/>
    <w:rsid w:val="008F267E"/>
    <w:rsid w:val="008F2782"/>
    <w:rsid w:val="008F27D1"/>
    <w:rsid w:val="008F2847"/>
    <w:rsid w:val="008F2B6B"/>
    <w:rsid w:val="008F2F7D"/>
    <w:rsid w:val="008F300E"/>
    <w:rsid w:val="008F31DA"/>
    <w:rsid w:val="008F328D"/>
    <w:rsid w:val="008F3321"/>
    <w:rsid w:val="008F344E"/>
    <w:rsid w:val="008F36E2"/>
    <w:rsid w:val="008F377B"/>
    <w:rsid w:val="008F39D9"/>
    <w:rsid w:val="008F3C4B"/>
    <w:rsid w:val="008F3F3F"/>
    <w:rsid w:val="008F3F8D"/>
    <w:rsid w:val="008F413B"/>
    <w:rsid w:val="008F42BF"/>
    <w:rsid w:val="008F43F5"/>
    <w:rsid w:val="008F480B"/>
    <w:rsid w:val="008F4823"/>
    <w:rsid w:val="008F4835"/>
    <w:rsid w:val="008F48F6"/>
    <w:rsid w:val="008F4B76"/>
    <w:rsid w:val="008F4E23"/>
    <w:rsid w:val="008F4FC9"/>
    <w:rsid w:val="008F50A6"/>
    <w:rsid w:val="008F51DA"/>
    <w:rsid w:val="008F54F6"/>
    <w:rsid w:val="008F56DE"/>
    <w:rsid w:val="008F59EF"/>
    <w:rsid w:val="008F5AD3"/>
    <w:rsid w:val="008F5D89"/>
    <w:rsid w:val="008F5D8C"/>
    <w:rsid w:val="008F5E4C"/>
    <w:rsid w:val="008F6110"/>
    <w:rsid w:val="008F61A0"/>
    <w:rsid w:val="008F621C"/>
    <w:rsid w:val="008F6385"/>
    <w:rsid w:val="008F6433"/>
    <w:rsid w:val="008F67CC"/>
    <w:rsid w:val="008F67DA"/>
    <w:rsid w:val="008F6AD6"/>
    <w:rsid w:val="008F7056"/>
    <w:rsid w:val="008F7272"/>
    <w:rsid w:val="008F7593"/>
    <w:rsid w:val="008F75B8"/>
    <w:rsid w:val="008F794F"/>
    <w:rsid w:val="008F7A42"/>
    <w:rsid w:val="008F7A4B"/>
    <w:rsid w:val="008F7F24"/>
    <w:rsid w:val="009000E2"/>
    <w:rsid w:val="00900259"/>
    <w:rsid w:val="00900296"/>
    <w:rsid w:val="009007FC"/>
    <w:rsid w:val="00900892"/>
    <w:rsid w:val="009008B7"/>
    <w:rsid w:val="0090099A"/>
    <w:rsid w:val="00900B47"/>
    <w:rsid w:val="00900C35"/>
    <w:rsid w:val="00901012"/>
    <w:rsid w:val="009011CE"/>
    <w:rsid w:val="009017A1"/>
    <w:rsid w:val="00901D41"/>
    <w:rsid w:val="009022A4"/>
    <w:rsid w:val="00902466"/>
    <w:rsid w:val="0090252A"/>
    <w:rsid w:val="0090256E"/>
    <w:rsid w:val="0090258C"/>
    <w:rsid w:val="009025AB"/>
    <w:rsid w:val="009025D7"/>
    <w:rsid w:val="00902696"/>
    <w:rsid w:val="00902BBB"/>
    <w:rsid w:val="00902C00"/>
    <w:rsid w:val="00902CA5"/>
    <w:rsid w:val="00902D4F"/>
    <w:rsid w:val="00902FA5"/>
    <w:rsid w:val="009030E3"/>
    <w:rsid w:val="0090315E"/>
    <w:rsid w:val="009034B9"/>
    <w:rsid w:val="00903558"/>
    <w:rsid w:val="00903793"/>
    <w:rsid w:val="0090385C"/>
    <w:rsid w:val="00903B31"/>
    <w:rsid w:val="00903BE6"/>
    <w:rsid w:val="00903D14"/>
    <w:rsid w:val="00903D8B"/>
    <w:rsid w:val="00903FB3"/>
    <w:rsid w:val="00904416"/>
    <w:rsid w:val="0090463B"/>
    <w:rsid w:val="00904690"/>
    <w:rsid w:val="00904857"/>
    <w:rsid w:val="009049C7"/>
    <w:rsid w:val="00904AAD"/>
    <w:rsid w:val="00904D95"/>
    <w:rsid w:val="00905336"/>
    <w:rsid w:val="00905A87"/>
    <w:rsid w:val="00905EAE"/>
    <w:rsid w:val="00905F43"/>
    <w:rsid w:val="009060FF"/>
    <w:rsid w:val="0090619B"/>
    <w:rsid w:val="00906514"/>
    <w:rsid w:val="009066DC"/>
    <w:rsid w:val="00906828"/>
    <w:rsid w:val="00906D5A"/>
    <w:rsid w:val="00906E22"/>
    <w:rsid w:val="00906ED9"/>
    <w:rsid w:val="00907163"/>
    <w:rsid w:val="0090718B"/>
    <w:rsid w:val="009071A6"/>
    <w:rsid w:val="0090728D"/>
    <w:rsid w:val="0090730D"/>
    <w:rsid w:val="00907441"/>
    <w:rsid w:val="00907583"/>
    <w:rsid w:val="0090758F"/>
    <w:rsid w:val="0090766F"/>
    <w:rsid w:val="0090774E"/>
    <w:rsid w:val="0090779A"/>
    <w:rsid w:val="0090780A"/>
    <w:rsid w:val="00907A75"/>
    <w:rsid w:val="0091004C"/>
    <w:rsid w:val="00910202"/>
    <w:rsid w:val="009102B4"/>
    <w:rsid w:val="009102BC"/>
    <w:rsid w:val="0091052B"/>
    <w:rsid w:val="00910715"/>
    <w:rsid w:val="009107FF"/>
    <w:rsid w:val="0091091D"/>
    <w:rsid w:val="00910BDD"/>
    <w:rsid w:val="0091101F"/>
    <w:rsid w:val="009110AF"/>
    <w:rsid w:val="00911327"/>
    <w:rsid w:val="0091154B"/>
    <w:rsid w:val="0091165F"/>
    <w:rsid w:val="00911F7E"/>
    <w:rsid w:val="009121C7"/>
    <w:rsid w:val="009122DB"/>
    <w:rsid w:val="0091236A"/>
    <w:rsid w:val="009123F6"/>
    <w:rsid w:val="009124D1"/>
    <w:rsid w:val="009125AD"/>
    <w:rsid w:val="009126B3"/>
    <w:rsid w:val="00912848"/>
    <w:rsid w:val="0091290A"/>
    <w:rsid w:val="00912B56"/>
    <w:rsid w:val="00912C6F"/>
    <w:rsid w:val="00912E6B"/>
    <w:rsid w:val="00912F9D"/>
    <w:rsid w:val="00913096"/>
    <w:rsid w:val="009131F8"/>
    <w:rsid w:val="00913232"/>
    <w:rsid w:val="00913331"/>
    <w:rsid w:val="009133D4"/>
    <w:rsid w:val="009136D9"/>
    <w:rsid w:val="009137EE"/>
    <w:rsid w:val="009138D6"/>
    <w:rsid w:val="00913F80"/>
    <w:rsid w:val="00913F98"/>
    <w:rsid w:val="009143A0"/>
    <w:rsid w:val="009143B4"/>
    <w:rsid w:val="0091463E"/>
    <w:rsid w:val="00914662"/>
    <w:rsid w:val="00914AA5"/>
    <w:rsid w:val="00914D25"/>
    <w:rsid w:val="00914D48"/>
    <w:rsid w:val="00914FB4"/>
    <w:rsid w:val="0091512A"/>
    <w:rsid w:val="009154C1"/>
    <w:rsid w:val="00915512"/>
    <w:rsid w:val="009155E0"/>
    <w:rsid w:val="009156D7"/>
    <w:rsid w:val="00915AB3"/>
    <w:rsid w:val="00915BDA"/>
    <w:rsid w:val="00916112"/>
    <w:rsid w:val="009161AB"/>
    <w:rsid w:val="009161D3"/>
    <w:rsid w:val="00916223"/>
    <w:rsid w:val="009163A0"/>
    <w:rsid w:val="009163E7"/>
    <w:rsid w:val="009165A9"/>
    <w:rsid w:val="0091660C"/>
    <w:rsid w:val="0091696F"/>
    <w:rsid w:val="00916C99"/>
    <w:rsid w:val="00916EA5"/>
    <w:rsid w:val="00916EE9"/>
    <w:rsid w:val="00917159"/>
    <w:rsid w:val="009172F7"/>
    <w:rsid w:val="00917B0D"/>
    <w:rsid w:val="00917BB0"/>
    <w:rsid w:val="00917C84"/>
    <w:rsid w:val="00917D6B"/>
    <w:rsid w:val="00917E30"/>
    <w:rsid w:val="00917F4C"/>
    <w:rsid w:val="0092014F"/>
    <w:rsid w:val="00920872"/>
    <w:rsid w:val="0092093E"/>
    <w:rsid w:val="00920A6C"/>
    <w:rsid w:val="00920CD3"/>
    <w:rsid w:val="00920D75"/>
    <w:rsid w:val="00920E06"/>
    <w:rsid w:val="00920FCF"/>
    <w:rsid w:val="0092119F"/>
    <w:rsid w:val="0092147F"/>
    <w:rsid w:val="00921618"/>
    <w:rsid w:val="009216AF"/>
    <w:rsid w:val="009218A2"/>
    <w:rsid w:val="0092191B"/>
    <w:rsid w:val="009219AF"/>
    <w:rsid w:val="00921D86"/>
    <w:rsid w:val="00921E60"/>
    <w:rsid w:val="00921FE8"/>
    <w:rsid w:val="009221A3"/>
    <w:rsid w:val="0092241F"/>
    <w:rsid w:val="009224A3"/>
    <w:rsid w:val="009224B7"/>
    <w:rsid w:val="009224CF"/>
    <w:rsid w:val="0092261B"/>
    <w:rsid w:val="00922DD5"/>
    <w:rsid w:val="00922E3B"/>
    <w:rsid w:val="00922F32"/>
    <w:rsid w:val="00922FD8"/>
    <w:rsid w:val="009230B4"/>
    <w:rsid w:val="00923261"/>
    <w:rsid w:val="00923381"/>
    <w:rsid w:val="009233CC"/>
    <w:rsid w:val="009233D7"/>
    <w:rsid w:val="00923509"/>
    <w:rsid w:val="00923551"/>
    <w:rsid w:val="00923633"/>
    <w:rsid w:val="00923644"/>
    <w:rsid w:val="00923651"/>
    <w:rsid w:val="0092368F"/>
    <w:rsid w:val="00923948"/>
    <w:rsid w:val="00923A52"/>
    <w:rsid w:val="00923AE3"/>
    <w:rsid w:val="00923C11"/>
    <w:rsid w:val="00923D6C"/>
    <w:rsid w:val="00923F57"/>
    <w:rsid w:val="009240D8"/>
    <w:rsid w:val="009240FF"/>
    <w:rsid w:val="009241A2"/>
    <w:rsid w:val="00924310"/>
    <w:rsid w:val="00924502"/>
    <w:rsid w:val="0092459D"/>
    <w:rsid w:val="009246DF"/>
    <w:rsid w:val="00924AA7"/>
    <w:rsid w:val="00924C2B"/>
    <w:rsid w:val="00924C95"/>
    <w:rsid w:val="00924EC9"/>
    <w:rsid w:val="0092518C"/>
    <w:rsid w:val="009251CA"/>
    <w:rsid w:val="009251F6"/>
    <w:rsid w:val="0092523D"/>
    <w:rsid w:val="009254CE"/>
    <w:rsid w:val="0092560B"/>
    <w:rsid w:val="0092571D"/>
    <w:rsid w:val="0092586A"/>
    <w:rsid w:val="0092589F"/>
    <w:rsid w:val="00925948"/>
    <w:rsid w:val="009259B7"/>
    <w:rsid w:val="00925C16"/>
    <w:rsid w:val="00925DE2"/>
    <w:rsid w:val="00925EE9"/>
    <w:rsid w:val="00925EF6"/>
    <w:rsid w:val="00925F7F"/>
    <w:rsid w:val="009260FB"/>
    <w:rsid w:val="00926354"/>
    <w:rsid w:val="009264CA"/>
    <w:rsid w:val="00926856"/>
    <w:rsid w:val="00926CFC"/>
    <w:rsid w:val="00926D09"/>
    <w:rsid w:val="00926EF0"/>
    <w:rsid w:val="00926F34"/>
    <w:rsid w:val="00927038"/>
    <w:rsid w:val="009274C3"/>
    <w:rsid w:val="00927551"/>
    <w:rsid w:val="0092785A"/>
    <w:rsid w:val="0092789F"/>
    <w:rsid w:val="00927A08"/>
    <w:rsid w:val="00927AA6"/>
    <w:rsid w:val="00927CC4"/>
    <w:rsid w:val="00927F26"/>
    <w:rsid w:val="00927FCB"/>
    <w:rsid w:val="00930125"/>
    <w:rsid w:val="00930196"/>
    <w:rsid w:val="00930286"/>
    <w:rsid w:val="0093034F"/>
    <w:rsid w:val="009303C3"/>
    <w:rsid w:val="0093063D"/>
    <w:rsid w:val="0093066B"/>
    <w:rsid w:val="0093069F"/>
    <w:rsid w:val="00930745"/>
    <w:rsid w:val="00930812"/>
    <w:rsid w:val="00930948"/>
    <w:rsid w:val="00930A39"/>
    <w:rsid w:val="00930A74"/>
    <w:rsid w:val="00930BED"/>
    <w:rsid w:val="00930E1C"/>
    <w:rsid w:val="00930EA1"/>
    <w:rsid w:val="00930FB5"/>
    <w:rsid w:val="0093107A"/>
    <w:rsid w:val="009310EB"/>
    <w:rsid w:val="00931112"/>
    <w:rsid w:val="00931338"/>
    <w:rsid w:val="009316A4"/>
    <w:rsid w:val="0093176E"/>
    <w:rsid w:val="009317BA"/>
    <w:rsid w:val="00931852"/>
    <w:rsid w:val="00931B5E"/>
    <w:rsid w:val="00931B60"/>
    <w:rsid w:val="00931F5D"/>
    <w:rsid w:val="00931FF5"/>
    <w:rsid w:val="0093204A"/>
    <w:rsid w:val="00932055"/>
    <w:rsid w:val="00932100"/>
    <w:rsid w:val="00932509"/>
    <w:rsid w:val="009326E2"/>
    <w:rsid w:val="00932929"/>
    <w:rsid w:val="00932983"/>
    <w:rsid w:val="009329A6"/>
    <w:rsid w:val="009329B0"/>
    <w:rsid w:val="009329B2"/>
    <w:rsid w:val="00933165"/>
    <w:rsid w:val="009332E2"/>
    <w:rsid w:val="009335D0"/>
    <w:rsid w:val="00933817"/>
    <w:rsid w:val="0093383D"/>
    <w:rsid w:val="00933A35"/>
    <w:rsid w:val="00933B25"/>
    <w:rsid w:val="00933CC4"/>
    <w:rsid w:val="00933FE3"/>
    <w:rsid w:val="00934194"/>
    <w:rsid w:val="009342E7"/>
    <w:rsid w:val="00934365"/>
    <w:rsid w:val="009343B4"/>
    <w:rsid w:val="0093454E"/>
    <w:rsid w:val="009349E5"/>
    <w:rsid w:val="00934B9E"/>
    <w:rsid w:val="00934EAC"/>
    <w:rsid w:val="009350E4"/>
    <w:rsid w:val="00935207"/>
    <w:rsid w:val="009354E5"/>
    <w:rsid w:val="009356A9"/>
    <w:rsid w:val="00935753"/>
    <w:rsid w:val="009359DF"/>
    <w:rsid w:val="00935A5A"/>
    <w:rsid w:val="00935C54"/>
    <w:rsid w:val="00936007"/>
    <w:rsid w:val="0093603E"/>
    <w:rsid w:val="009360D7"/>
    <w:rsid w:val="009362C9"/>
    <w:rsid w:val="009363DA"/>
    <w:rsid w:val="00936A11"/>
    <w:rsid w:val="00936CED"/>
    <w:rsid w:val="00936DE9"/>
    <w:rsid w:val="00936F4A"/>
    <w:rsid w:val="009373BD"/>
    <w:rsid w:val="0093743C"/>
    <w:rsid w:val="00937498"/>
    <w:rsid w:val="00937509"/>
    <w:rsid w:val="0093753F"/>
    <w:rsid w:val="00937935"/>
    <w:rsid w:val="00937BC0"/>
    <w:rsid w:val="00937E54"/>
    <w:rsid w:val="00937F8E"/>
    <w:rsid w:val="009404D7"/>
    <w:rsid w:val="009405A4"/>
    <w:rsid w:val="00940733"/>
    <w:rsid w:val="009407AA"/>
    <w:rsid w:val="00940AD1"/>
    <w:rsid w:val="00940B13"/>
    <w:rsid w:val="00940E50"/>
    <w:rsid w:val="00941026"/>
    <w:rsid w:val="00941536"/>
    <w:rsid w:val="00941624"/>
    <w:rsid w:val="00941754"/>
    <w:rsid w:val="00941769"/>
    <w:rsid w:val="00941D13"/>
    <w:rsid w:val="00941E16"/>
    <w:rsid w:val="00941E1E"/>
    <w:rsid w:val="00942058"/>
    <w:rsid w:val="0094218A"/>
    <w:rsid w:val="00942226"/>
    <w:rsid w:val="00942387"/>
    <w:rsid w:val="00942503"/>
    <w:rsid w:val="009428B3"/>
    <w:rsid w:val="00942927"/>
    <w:rsid w:val="0094299E"/>
    <w:rsid w:val="00942A1E"/>
    <w:rsid w:val="00942B96"/>
    <w:rsid w:val="00942C80"/>
    <w:rsid w:val="00943093"/>
    <w:rsid w:val="0094332B"/>
    <w:rsid w:val="009434F5"/>
    <w:rsid w:val="00943501"/>
    <w:rsid w:val="0094380C"/>
    <w:rsid w:val="0094385A"/>
    <w:rsid w:val="009438FE"/>
    <w:rsid w:val="00943A79"/>
    <w:rsid w:val="00943AD9"/>
    <w:rsid w:val="00943AE3"/>
    <w:rsid w:val="00943E99"/>
    <w:rsid w:val="00943F2E"/>
    <w:rsid w:val="0094414D"/>
    <w:rsid w:val="009441B4"/>
    <w:rsid w:val="00944236"/>
    <w:rsid w:val="009442DE"/>
    <w:rsid w:val="0094457D"/>
    <w:rsid w:val="00944614"/>
    <w:rsid w:val="009447E7"/>
    <w:rsid w:val="00944959"/>
    <w:rsid w:val="00944AEF"/>
    <w:rsid w:val="00944EAE"/>
    <w:rsid w:val="0094517F"/>
    <w:rsid w:val="009451A4"/>
    <w:rsid w:val="00945355"/>
    <w:rsid w:val="00945449"/>
    <w:rsid w:val="0094553C"/>
    <w:rsid w:val="00945613"/>
    <w:rsid w:val="0094562E"/>
    <w:rsid w:val="0094567C"/>
    <w:rsid w:val="009457B0"/>
    <w:rsid w:val="00945872"/>
    <w:rsid w:val="00945B52"/>
    <w:rsid w:val="00945D86"/>
    <w:rsid w:val="00945EF3"/>
    <w:rsid w:val="00946019"/>
    <w:rsid w:val="0094602A"/>
    <w:rsid w:val="0094626F"/>
    <w:rsid w:val="009462D2"/>
    <w:rsid w:val="00946653"/>
    <w:rsid w:val="0094690E"/>
    <w:rsid w:val="0094692B"/>
    <w:rsid w:val="00946A1D"/>
    <w:rsid w:val="00946D03"/>
    <w:rsid w:val="00946FB7"/>
    <w:rsid w:val="0094701C"/>
    <w:rsid w:val="0094701F"/>
    <w:rsid w:val="00947253"/>
    <w:rsid w:val="00947511"/>
    <w:rsid w:val="009476AB"/>
    <w:rsid w:val="009479A6"/>
    <w:rsid w:val="00947B47"/>
    <w:rsid w:val="00947C58"/>
    <w:rsid w:val="00947E56"/>
    <w:rsid w:val="00950043"/>
    <w:rsid w:val="00950A20"/>
    <w:rsid w:val="00950CD5"/>
    <w:rsid w:val="00950D16"/>
    <w:rsid w:val="009510F8"/>
    <w:rsid w:val="00951186"/>
    <w:rsid w:val="0095118D"/>
    <w:rsid w:val="009512FB"/>
    <w:rsid w:val="009513D0"/>
    <w:rsid w:val="0095144C"/>
    <w:rsid w:val="009515F4"/>
    <w:rsid w:val="0095165B"/>
    <w:rsid w:val="009519D1"/>
    <w:rsid w:val="00951BD0"/>
    <w:rsid w:val="00951CAB"/>
    <w:rsid w:val="00952046"/>
    <w:rsid w:val="009521B8"/>
    <w:rsid w:val="009523F2"/>
    <w:rsid w:val="00952548"/>
    <w:rsid w:val="00952563"/>
    <w:rsid w:val="00952844"/>
    <w:rsid w:val="00952D86"/>
    <w:rsid w:val="00952ED7"/>
    <w:rsid w:val="009531B5"/>
    <w:rsid w:val="00953670"/>
    <w:rsid w:val="0095381E"/>
    <w:rsid w:val="00953825"/>
    <w:rsid w:val="009538C2"/>
    <w:rsid w:val="009538CB"/>
    <w:rsid w:val="009538DA"/>
    <w:rsid w:val="0095399C"/>
    <w:rsid w:val="00953D0A"/>
    <w:rsid w:val="00953D79"/>
    <w:rsid w:val="00953D91"/>
    <w:rsid w:val="00953E1E"/>
    <w:rsid w:val="00954003"/>
    <w:rsid w:val="00954148"/>
    <w:rsid w:val="009542ED"/>
    <w:rsid w:val="0095434A"/>
    <w:rsid w:val="0095441F"/>
    <w:rsid w:val="00954613"/>
    <w:rsid w:val="0095468A"/>
    <w:rsid w:val="00954939"/>
    <w:rsid w:val="00954B16"/>
    <w:rsid w:val="00955054"/>
    <w:rsid w:val="0095514F"/>
    <w:rsid w:val="00955341"/>
    <w:rsid w:val="009553CF"/>
    <w:rsid w:val="009553DD"/>
    <w:rsid w:val="0095554D"/>
    <w:rsid w:val="00955630"/>
    <w:rsid w:val="009556A5"/>
    <w:rsid w:val="00955943"/>
    <w:rsid w:val="009559B8"/>
    <w:rsid w:val="00955A2D"/>
    <w:rsid w:val="00955AC4"/>
    <w:rsid w:val="00955B92"/>
    <w:rsid w:val="00955DF3"/>
    <w:rsid w:val="00955E61"/>
    <w:rsid w:val="009561C3"/>
    <w:rsid w:val="009562E7"/>
    <w:rsid w:val="00956319"/>
    <w:rsid w:val="0095654C"/>
    <w:rsid w:val="009565B6"/>
    <w:rsid w:val="0095686C"/>
    <w:rsid w:val="0095696B"/>
    <w:rsid w:val="00956C4E"/>
    <w:rsid w:val="00956D03"/>
    <w:rsid w:val="00956F0B"/>
    <w:rsid w:val="009574D7"/>
    <w:rsid w:val="0095751D"/>
    <w:rsid w:val="00957569"/>
    <w:rsid w:val="0095793D"/>
    <w:rsid w:val="00957940"/>
    <w:rsid w:val="00957A77"/>
    <w:rsid w:val="00957BBB"/>
    <w:rsid w:val="00957BDD"/>
    <w:rsid w:val="00957D5D"/>
    <w:rsid w:val="00957D84"/>
    <w:rsid w:val="00957ED6"/>
    <w:rsid w:val="0096002A"/>
    <w:rsid w:val="009600B9"/>
    <w:rsid w:val="00960521"/>
    <w:rsid w:val="0096085C"/>
    <w:rsid w:val="009608B3"/>
    <w:rsid w:val="00960CEC"/>
    <w:rsid w:val="009611CD"/>
    <w:rsid w:val="0096152D"/>
    <w:rsid w:val="00961623"/>
    <w:rsid w:val="00961898"/>
    <w:rsid w:val="009619B3"/>
    <w:rsid w:val="00961C33"/>
    <w:rsid w:val="00961D09"/>
    <w:rsid w:val="00961F6E"/>
    <w:rsid w:val="00961F98"/>
    <w:rsid w:val="00961F9F"/>
    <w:rsid w:val="00961FF0"/>
    <w:rsid w:val="0096209F"/>
    <w:rsid w:val="009620D1"/>
    <w:rsid w:val="00962323"/>
    <w:rsid w:val="0096235B"/>
    <w:rsid w:val="009623C4"/>
    <w:rsid w:val="00962526"/>
    <w:rsid w:val="009626AC"/>
    <w:rsid w:val="00962935"/>
    <w:rsid w:val="0096297B"/>
    <w:rsid w:val="00962E67"/>
    <w:rsid w:val="009630EA"/>
    <w:rsid w:val="00963204"/>
    <w:rsid w:val="009633D7"/>
    <w:rsid w:val="0096358B"/>
    <w:rsid w:val="009637F5"/>
    <w:rsid w:val="0096397C"/>
    <w:rsid w:val="00963ACD"/>
    <w:rsid w:val="00963B72"/>
    <w:rsid w:val="00963B85"/>
    <w:rsid w:val="00963E62"/>
    <w:rsid w:val="0096402C"/>
    <w:rsid w:val="00964036"/>
    <w:rsid w:val="0096409E"/>
    <w:rsid w:val="00964604"/>
    <w:rsid w:val="00964723"/>
    <w:rsid w:val="009649A0"/>
    <w:rsid w:val="00964A1C"/>
    <w:rsid w:val="00964A79"/>
    <w:rsid w:val="00964C14"/>
    <w:rsid w:val="00964CF1"/>
    <w:rsid w:val="00964ED0"/>
    <w:rsid w:val="009651B9"/>
    <w:rsid w:val="009652D5"/>
    <w:rsid w:val="00965338"/>
    <w:rsid w:val="0096590C"/>
    <w:rsid w:val="009659C9"/>
    <w:rsid w:val="00965D78"/>
    <w:rsid w:val="00965DA4"/>
    <w:rsid w:val="00966646"/>
    <w:rsid w:val="00966691"/>
    <w:rsid w:val="009668BA"/>
    <w:rsid w:val="00966C16"/>
    <w:rsid w:val="00966D01"/>
    <w:rsid w:val="00967184"/>
    <w:rsid w:val="0096726A"/>
    <w:rsid w:val="009673BF"/>
    <w:rsid w:val="0096761A"/>
    <w:rsid w:val="00967718"/>
    <w:rsid w:val="009677F8"/>
    <w:rsid w:val="00967945"/>
    <w:rsid w:val="00967F13"/>
    <w:rsid w:val="0097004D"/>
    <w:rsid w:val="00970076"/>
    <w:rsid w:val="009701A3"/>
    <w:rsid w:val="00970210"/>
    <w:rsid w:val="0097036B"/>
    <w:rsid w:val="00970386"/>
    <w:rsid w:val="009703AE"/>
    <w:rsid w:val="0097054C"/>
    <w:rsid w:val="009705FE"/>
    <w:rsid w:val="00970910"/>
    <w:rsid w:val="00970B3F"/>
    <w:rsid w:val="00970C46"/>
    <w:rsid w:val="00970CB3"/>
    <w:rsid w:val="00970D1A"/>
    <w:rsid w:val="00970E55"/>
    <w:rsid w:val="00970EF1"/>
    <w:rsid w:val="00970F09"/>
    <w:rsid w:val="00970F7A"/>
    <w:rsid w:val="00971146"/>
    <w:rsid w:val="009713E2"/>
    <w:rsid w:val="009713EB"/>
    <w:rsid w:val="009714C5"/>
    <w:rsid w:val="00971556"/>
    <w:rsid w:val="009716CB"/>
    <w:rsid w:val="009717F0"/>
    <w:rsid w:val="0097198B"/>
    <w:rsid w:val="00971AA1"/>
    <w:rsid w:val="00971BBC"/>
    <w:rsid w:val="00971C3A"/>
    <w:rsid w:val="00971DC0"/>
    <w:rsid w:val="00971E8B"/>
    <w:rsid w:val="0097209B"/>
    <w:rsid w:val="00972166"/>
    <w:rsid w:val="009721A3"/>
    <w:rsid w:val="00972278"/>
    <w:rsid w:val="009723EC"/>
    <w:rsid w:val="00972458"/>
    <w:rsid w:val="009725D9"/>
    <w:rsid w:val="009725F2"/>
    <w:rsid w:val="00972636"/>
    <w:rsid w:val="0097274C"/>
    <w:rsid w:val="00972847"/>
    <w:rsid w:val="009728B7"/>
    <w:rsid w:val="00972916"/>
    <w:rsid w:val="00972A9A"/>
    <w:rsid w:val="00972AFF"/>
    <w:rsid w:val="00972B99"/>
    <w:rsid w:val="00972BD2"/>
    <w:rsid w:val="00972D07"/>
    <w:rsid w:val="00972D58"/>
    <w:rsid w:val="009730CB"/>
    <w:rsid w:val="009731A3"/>
    <w:rsid w:val="009731F4"/>
    <w:rsid w:val="0097348D"/>
    <w:rsid w:val="009735E7"/>
    <w:rsid w:val="009735FB"/>
    <w:rsid w:val="0097374B"/>
    <w:rsid w:val="00973A3E"/>
    <w:rsid w:val="00973B43"/>
    <w:rsid w:val="00973B7B"/>
    <w:rsid w:val="00973C5E"/>
    <w:rsid w:val="00973C85"/>
    <w:rsid w:val="00973F14"/>
    <w:rsid w:val="0097421D"/>
    <w:rsid w:val="0097429B"/>
    <w:rsid w:val="009742C4"/>
    <w:rsid w:val="00974456"/>
    <w:rsid w:val="00974461"/>
    <w:rsid w:val="009745E1"/>
    <w:rsid w:val="009746C6"/>
    <w:rsid w:val="009749F7"/>
    <w:rsid w:val="00974B50"/>
    <w:rsid w:val="00974CFA"/>
    <w:rsid w:val="00975184"/>
    <w:rsid w:val="00975777"/>
    <w:rsid w:val="009757B3"/>
    <w:rsid w:val="00975814"/>
    <w:rsid w:val="00975B8C"/>
    <w:rsid w:val="00975F3B"/>
    <w:rsid w:val="00975FD5"/>
    <w:rsid w:val="0097600B"/>
    <w:rsid w:val="0097609C"/>
    <w:rsid w:val="009764DD"/>
    <w:rsid w:val="0097675E"/>
    <w:rsid w:val="00976791"/>
    <w:rsid w:val="0097691F"/>
    <w:rsid w:val="009769C3"/>
    <w:rsid w:val="00976A8E"/>
    <w:rsid w:val="00976E82"/>
    <w:rsid w:val="00976FDD"/>
    <w:rsid w:val="0097709F"/>
    <w:rsid w:val="00977263"/>
    <w:rsid w:val="00977458"/>
    <w:rsid w:val="009774C0"/>
    <w:rsid w:val="00977A34"/>
    <w:rsid w:val="00977BB6"/>
    <w:rsid w:val="00977D75"/>
    <w:rsid w:val="00977E23"/>
    <w:rsid w:val="009801CA"/>
    <w:rsid w:val="009803AC"/>
    <w:rsid w:val="00980475"/>
    <w:rsid w:val="009809DC"/>
    <w:rsid w:val="00980DA3"/>
    <w:rsid w:val="00980F39"/>
    <w:rsid w:val="00981061"/>
    <w:rsid w:val="00981126"/>
    <w:rsid w:val="00981384"/>
    <w:rsid w:val="00981498"/>
    <w:rsid w:val="009814AC"/>
    <w:rsid w:val="0098193C"/>
    <w:rsid w:val="00981A01"/>
    <w:rsid w:val="00981B55"/>
    <w:rsid w:val="00981C05"/>
    <w:rsid w:val="00981E75"/>
    <w:rsid w:val="0098204A"/>
    <w:rsid w:val="009820C5"/>
    <w:rsid w:val="00982106"/>
    <w:rsid w:val="0098213F"/>
    <w:rsid w:val="009821F9"/>
    <w:rsid w:val="00982221"/>
    <w:rsid w:val="00982435"/>
    <w:rsid w:val="00982559"/>
    <w:rsid w:val="00982627"/>
    <w:rsid w:val="00982719"/>
    <w:rsid w:val="00982745"/>
    <w:rsid w:val="0098282A"/>
    <w:rsid w:val="00982C45"/>
    <w:rsid w:val="00982C72"/>
    <w:rsid w:val="0098307E"/>
    <w:rsid w:val="00983096"/>
    <w:rsid w:val="0098338D"/>
    <w:rsid w:val="009833F7"/>
    <w:rsid w:val="00983486"/>
    <w:rsid w:val="00983666"/>
    <w:rsid w:val="0098395E"/>
    <w:rsid w:val="009839CC"/>
    <w:rsid w:val="00983A0F"/>
    <w:rsid w:val="00983C31"/>
    <w:rsid w:val="00983DFB"/>
    <w:rsid w:val="00983E7E"/>
    <w:rsid w:val="00983EF1"/>
    <w:rsid w:val="0098401C"/>
    <w:rsid w:val="009841C1"/>
    <w:rsid w:val="0098439F"/>
    <w:rsid w:val="009843A6"/>
    <w:rsid w:val="0098461A"/>
    <w:rsid w:val="00984753"/>
    <w:rsid w:val="009847DC"/>
    <w:rsid w:val="00984836"/>
    <w:rsid w:val="00984A1E"/>
    <w:rsid w:val="00984A2C"/>
    <w:rsid w:val="00984A30"/>
    <w:rsid w:val="00984CDB"/>
    <w:rsid w:val="00984E8C"/>
    <w:rsid w:val="00985121"/>
    <w:rsid w:val="0098513A"/>
    <w:rsid w:val="009855BB"/>
    <w:rsid w:val="0098565F"/>
    <w:rsid w:val="0098597D"/>
    <w:rsid w:val="00985AC4"/>
    <w:rsid w:val="00985E04"/>
    <w:rsid w:val="00985F27"/>
    <w:rsid w:val="00985FFB"/>
    <w:rsid w:val="00986050"/>
    <w:rsid w:val="0098621E"/>
    <w:rsid w:val="0098627D"/>
    <w:rsid w:val="0098655D"/>
    <w:rsid w:val="009865DA"/>
    <w:rsid w:val="009866A4"/>
    <w:rsid w:val="0098686A"/>
    <w:rsid w:val="009869C4"/>
    <w:rsid w:val="00986A71"/>
    <w:rsid w:val="00986B48"/>
    <w:rsid w:val="00986D26"/>
    <w:rsid w:val="00987008"/>
    <w:rsid w:val="009870BC"/>
    <w:rsid w:val="00987318"/>
    <w:rsid w:val="00987347"/>
    <w:rsid w:val="009873A1"/>
    <w:rsid w:val="0098740D"/>
    <w:rsid w:val="009874D7"/>
    <w:rsid w:val="0098765E"/>
    <w:rsid w:val="009879E1"/>
    <w:rsid w:val="00987A6D"/>
    <w:rsid w:val="00987BAC"/>
    <w:rsid w:val="00987BB1"/>
    <w:rsid w:val="00987C50"/>
    <w:rsid w:val="00987C9B"/>
    <w:rsid w:val="00987D63"/>
    <w:rsid w:val="00987ECD"/>
    <w:rsid w:val="00987FCA"/>
    <w:rsid w:val="00990169"/>
    <w:rsid w:val="0099020D"/>
    <w:rsid w:val="00990287"/>
    <w:rsid w:val="009902F9"/>
    <w:rsid w:val="009905FF"/>
    <w:rsid w:val="00990672"/>
    <w:rsid w:val="00990AAF"/>
    <w:rsid w:val="00990CF1"/>
    <w:rsid w:val="00990D40"/>
    <w:rsid w:val="00990E58"/>
    <w:rsid w:val="00990F5F"/>
    <w:rsid w:val="00990F98"/>
    <w:rsid w:val="00991127"/>
    <w:rsid w:val="00991577"/>
    <w:rsid w:val="00991584"/>
    <w:rsid w:val="00991614"/>
    <w:rsid w:val="00991675"/>
    <w:rsid w:val="009918A0"/>
    <w:rsid w:val="00991A92"/>
    <w:rsid w:val="00991BE9"/>
    <w:rsid w:val="00991CB9"/>
    <w:rsid w:val="00991CC4"/>
    <w:rsid w:val="00991D05"/>
    <w:rsid w:val="00991E41"/>
    <w:rsid w:val="00992008"/>
    <w:rsid w:val="0099224B"/>
    <w:rsid w:val="0099237A"/>
    <w:rsid w:val="0099280A"/>
    <w:rsid w:val="009928FE"/>
    <w:rsid w:val="00992A0D"/>
    <w:rsid w:val="00992B05"/>
    <w:rsid w:val="00992BBD"/>
    <w:rsid w:val="00992BC7"/>
    <w:rsid w:val="00992C68"/>
    <w:rsid w:val="00993034"/>
    <w:rsid w:val="00993141"/>
    <w:rsid w:val="00993387"/>
    <w:rsid w:val="00993739"/>
    <w:rsid w:val="009937CD"/>
    <w:rsid w:val="00993D17"/>
    <w:rsid w:val="00993EC9"/>
    <w:rsid w:val="00993F9C"/>
    <w:rsid w:val="0099410F"/>
    <w:rsid w:val="00994279"/>
    <w:rsid w:val="00994318"/>
    <w:rsid w:val="00994454"/>
    <w:rsid w:val="00994511"/>
    <w:rsid w:val="00994540"/>
    <w:rsid w:val="00994556"/>
    <w:rsid w:val="0099478E"/>
    <w:rsid w:val="00994824"/>
    <w:rsid w:val="009948B7"/>
    <w:rsid w:val="0099499F"/>
    <w:rsid w:val="00994B8D"/>
    <w:rsid w:val="0099513F"/>
    <w:rsid w:val="00995563"/>
    <w:rsid w:val="0099566F"/>
    <w:rsid w:val="009959ED"/>
    <w:rsid w:val="00995D17"/>
    <w:rsid w:val="00995D23"/>
    <w:rsid w:val="00995D8B"/>
    <w:rsid w:val="00995DB0"/>
    <w:rsid w:val="00995E32"/>
    <w:rsid w:val="00995F67"/>
    <w:rsid w:val="0099606C"/>
    <w:rsid w:val="00996235"/>
    <w:rsid w:val="00996409"/>
    <w:rsid w:val="00996499"/>
    <w:rsid w:val="009965BC"/>
    <w:rsid w:val="00996750"/>
    <w:rsid w:val="0099682F"/>
    <w:rsid w:val="0099684A"/>
    <w:rsid w:val="0099699D"/>
    <w:rsid w:val="009969D4"/>
    <w:rsid w:val="00996A60"/>
    <w:rsid w:val="00996ACD"/>
    <w:rsid w:val="00996AF5"/>
    <w:rsid w:val="00996B46"/>
    <w:rsid w:val="00996BB0"/>
    <w:rsid w:val="00996CEF"/>
    <w:rsid w:val="00996D00"/>
    <w:rsid w:val="00996D57"/>
    <w:rsid w:val="00996EA3"/>
    <w:rsid w:val="00997429"/>
    <w:rsid w:val="0099752F"/>
    <w:rsid w:val="00997B48"/>
    <w:rsid w:val="00997CD4"/>
    <w:rsid w:val="00997D58"/>
    <w:rsid w:val="009A00C8"/>
    <w:rsid w:val="009A01A7"/>
    <w:rsid w:val="009A0382"/>
    <w:rsid w:val="009A03DC"/>
    <w:rsid w:val="009A0481"/>
    <w:rsid w:val="009A058D"/>
    <w:rsid w:val="009A0D0E"/>
    <w:rsid w:val="009A0D4F"/>
    <w:rsid w:val="009A0FD4"/>
    <w:rsid w:val="009A11CD"/>
    <w:rsid w:val="009A1366"/>
    <w:rsid w:val="009A1683"/>
    <w:rsid w:val="009A16C3"/>
    <w:rsid w:val="009A1741"/>
    <w:rsid w:val="009A17CE"/>
    <w:rsid w:val="009A199F"/>
    <w:rsid w:val="009A1E7C"/>
    <w:rsid w:val="009A1EC9"/>
    <w:rsid w:val="009A1F4E"/>
    <w:rsid w:val="009A20B5"/>
    <w:rsid w:val="009A2217"/>
    <w:rsid w:val="009A228E"/>
    <w:rsid w:val="009A2554"/>
    <w:rsid w:val="009A2700"/>
    <w:rsid w:val="009A270A"/>
    <w:rsid w:val="009A2799"/>
    <w:rsid w:val="009A2B0C"/>
    <w:rsid w:val="009A2B6D"/>
    <w:rsid w:val="009A2BBA"/>
    <w:rsid w:val="009A2C92"/>
    <w:rsid w:val="009A2E5E"/>
    <w:rsid w:val="009A3215"/>
    <w:rsid w:val="009A326D"/>
    <w:rsid w:val="009A3414"/>
    <w:rsid w:val="009A34D9"/>
    <w:rsid w:val="009A35F7"/>
    <w:rsid w:val="009A3979"/>
    <w:rsid w:val="009A3C18"/>
    <w:rsid w:val="009A3D0F"/>
    <w:rsid w:val="009A3D6B"/>
    <w:rsid w:val="009A3DC1"/>
    <w:rsid w:val="009A4159"/>
    <w:rsid w:val="009A4162"/>
    <w:rsid w:val="009A41A1"/>
    <w:rsid w:val="009A43B2"/>
    <w:rsid w:val="009A4622"/>
    <w:rsid w:val="009A47F9"/>
    <w:rsid w:val="009A48BF"/>
    <w:rsid w:val="009A4BB1"/>
    <w:rsid w:val="009A567A"/>
    <w:rsid w:val="009A569A"/>
    <w:rsid w:val="009A5C84"/>
    <w:rsid w:val="009A5F71"/>
    <w:rsid w:val="009A62C0"/>
    <w:rsid w:val="009A6383"/>
    <w:rsid w:val="009A6CA2"/>
    <w:rsid w:val="009A6CF3"/>
    <w:rsid w:val="009A7199"/>
    <w:rsid w:val="009A74E4"/>
    <w:rsid w:val="009A76F7"/>
    <w:rsid w:val="009A7999"/>
    <w:rsid w:val="009A7C7E"/>
    <w:rsid w:val="009B0134"/>
    <w:rsid w:val="009B023A"/>
    <w:rsid w:val="009B0430"/>
    <w:rsid w:val="009B0612"/>
    <w:rsid w:val="009B0655"/>
    <w:rsid w:val="009B0694"/>
    <w:rsid w:val="009B079E"/>
    <w:rsid w:val="009B07E2"/>
    <w:rsid w:val="009B08A0"/>
    <w:rsid w:val="009B099F"/>
    <w:rsid w:val="009B0D89"/>
    <w:rsid w:val="009B0E88"/>
    <w:rsid w:val="009B1091"/>
    <w:rsid w:val="009B1819"/>
    <w:rsid w:val="009B1A42"/>
    <w:rsid w:val="009B1A56"/>
    <w:rsid w:val="009B1A57"/>
    <w:rsid w:val="009B1B86"/>
    <w:rsid w:val="009B1D17"/>
    <w:rsid w:val="009B2020"/>
    <w:rsid w:val="009B2458"/>
    <w:rsid w:val="009B24F2"/>
    <w:rsid w:val="009B252F"/>
    <w:rsid w:val="009B2584"/>
    <w:rsid w:val="009B2785"/>
    <w:rsid w:val="009B2AE5"/>
    <w:rsid w:val="009B2DBA"/>
    <w:rsid w:val="009B2F0A"/>
    <w:rsid w:val="009B3133"/>
    <w:rsid w:val="009B3298"/>
    <w:rsid w:val="009B348C"/>
    <w:rsid w:val="009B348E"/>
    <w:rsid w:val="009B3504"/>
    <w:rsid w:val="009B366F"/>
    <w:rsid w:val="009B38BC"/>
    <w:rsid w:val="009B3974"/>
    <w:rsid w:val="009B3EA7"/>
    <w:rsid w:val="009B4059"/>
    <w:rsid w:val="009B40CC"/>
    <w:rsid w:val="009B4219"/>
    <w:rsid w:val="009B42DD"/>
    <w:rsid w:val="009B43BF"/>
    <w:rsid w:val="009B43CB"/>
    <w:rsid w:val="009B449D"/>
    <w:rsid w:val="009B4693"/>
    <w:rsid w:val="009B46A5"/>
    <w:rsid w:val="009B4A2D"/>
    <w:rsid w:val="009B4A90"/>
    <w:rsid w:val="009B4B34"/>
    <w:rsid w:val="009B4C32"/>
    <w:rsid w:val="009B4D47"/>
    <w:rsid w:val="009B512A"/>
    <w:rsid w:val="009B5357"/>
    <w:rsid w:val="009B540B"/>
    <w:rsid w:val="009B545F"/>
    <w:rsid w:val="009B54E0"/>
    <w:rsid w:val="009B5547"/>
    <w:rsid w:val="009B56C2"/>
    <w:rsid w:val="009B56F9"/>
    <w:rsid w:val="009B591D"/>
    <w:rsid w:val="009B5934"/>
    <w:rsid w:val="009B59AB"/>
    <w:rsid w:val="009B5A07"/>
    <w:rsid w:val="009B5CD6"/>
    <w:rsid w:val="009B64A4"/>
    <w:rsid w:val="009B64D1"/>
    <w:rsid w:val="009B655D"/>
    <w:rsid w:val="009B6567"/>
    <w:rsid w:val="009B6884"/>
    <w:rsid w:val="009B6BC6"/>
    <w:rsid w:val="009B6C97"/>
    <w:rsid w:val="009B6EAB"/>
    <w:rsid w:val="009B7058"/>
    <w:rsid w:val="009B739A"/>
    <w:rsid w:val="009B7496"/>
    <w:rsid w:val="009B74D3"/>
    <w:rsid w:val="009B757A"/>
    <w:rsid w:val="009B77E9"/>
    <w:rsid w:val="009B7A74"/>
    <w:rsid w:val="009C01B5"/>
    <w:rsid w:val="009C065D"/>
    <w:rsid w:val="009C0734"/>
    <w:rsid w:val="009C09C4"/>
    <w:rsid w:val="009C0B41"/>
    <w:rsid w:val="009C0BD8"/>
    <w:rsid w:val="009C0D78"/>
    <w:rsid w:val="009C0DCC"/>
    <w:rsid w:val="009C11A5"/>
    <w:rsid w:val="009C1363"/>
    <w:rsid w:val="009C14A4"/>
    <w:rsid w:val="009C16B9"/>
    <w:rsid w:val="009C18B8"/>
    <w:rsid w:val="009C19B1"/>
    <w:rsid w:val="009C1B3C"/>
    <w:rsid w:val="009C1B59"/>
    <w:rsid w:val="009C1B99"/>
    <w:rsid w:val="009C1E01"/>
    <w:rsid w:val="009C1E0B"/>
    <w:rsid w:val="009C2259"/>
    <w:rsid w:val="009C2465"/>
    <w:rsid w:val="009C25E3"/>
    <w:rsid w:val="009C26C9"/>
    <w:rsid w:val="009C27F2"/>
    <w:rsid w:val="009C2871"/>
    <w:rsid w:val="009C2A2D"/>
    <w:rsid w:val="009C2EC7"/>
    <w:rsid w:val="009C2F02"/>
    <w:rsid w:val="009C329A"/>
    <w:rsid w:val="009C3740"/>
    <w:rsid w:val="009C3986"/>
    <w:rsid w:val="009C3A08"/>
    <w:rsid w:val="009C3B8E"/>
    <w:rsid w:val="009C3BCD"/>
    <w:rsid w:val="009C4163"/>
    <w:rsid w:val="009C4382"/>
    <w:rsid w:val="009C442C"/>
    <w:rsid w:val="009C448A"/>
    <w:rsid w:val="009C4689"/>
    <w:rsid w:val="009C4851"/>
    <w:rsid w:val="009C4884"/>
    <w:rsid w:val="009C48E7"/>
    <w:rsid w:val="009C4A9D"/>
    <w:rsid w:val="009C4AD3"/>
    <w:rsid w:val="009C4C59"/>
    <w:rsid w:val="009C50E6"/>
    <w:rsid w:val="009C52A7"/>
    <w:rsid w:val="009C5421"/>
    <w:rsid w:val="009C551F"/>
    <w:rsid w:val="009C56C2"/>
    <w:rsid w:val="009C57A4"/>
    <w:rsid w:val="009C5A39"/>
    <w:rsid w:val="009C5AFF"/>
    <w:rsid w:val="009C5C78"/>
    <w:rsid w:val="009C601F"/>
    <w:rsid w:val="009C62E5"/>
    <w:rsid w:val="009C62EA"/>
    <w:rsid w:val="009C62F8"/>
    <w:rsid w:val="009C6631"/>
    <w:rsid w:val="009C6634"/>
    <w:rsid w:val="009C7012"/>
    <w:rsid w:val="009C701F"/>
    <w:rsid w:val="009C7189"/>
    <w:rsid w:val="009C73CB"/>
    <w:rsid w:val="009C7882"/>
    <w:rsid w:val="009C7951"/>
    <w:rsid w:val="009C7B7D"/>
    <w:rsid w:val="009C7B91"/>
    <w:rsid w:val="009D0052"/>
    <w:rsid w:val="009D023D"/>
    <w:rsid w:val="009D03E1"/>
    <w:rsid w:val="009D057F"/>
    <w:rsid w:val="009D0581"/>
    <w:rsid w:val="009D07C3"/>
    <w:rsid w:val="009D0946"/>
    <w:rsid w:val="009D097D"/>
    <w:rsid w:val="009D09FF"/>
    <w:rsid w:val="009D0D30"/>
    <w:rsid w:val="009D0D3A"/>
    <w:rsid w:val="009D0EE8"/>
    <w:rsid w:val="009D0F03"/>
    <w:rsid w:val="009D1012"/>
    <w:rsid w:val="009D1027"/>
    <w:rsid w:val="009D15C6"/>
    <w:rsid w:val="009D17B9"/>
    <w:rsid w:val="009D19E9"/>
    <w:rsid w:val="009D1A67"/>
    <w:rsid w:val="009D1C02"/>
    <w:rsid w:val="009D1D33"/>
    <w:rsid w:val="009D1ED1"/>
    <w:rsid w:val="009D1F69"/>
    <w:rsid w:val="009D211F"/>
    <w:rsid w:val="009D2362"/>
    <w:rsid w:val="009D23F9"/>
    <w:rsid w:val="009D2788"/>
    <w:rsid w:val="009D2A9F"/>
    <w:rsid w:val="009D2C43"/>
    <w:rsid w:val="009D2FBB"/>
    <w:rsid w:val="009D36D1"/>
    <w:rsid w:val="009D38D7"/>
    <w:rsid w:val="009D38F7"/>
    <w:rsid w:val="009D3ACA"/>
    <w:rsid w:val="009D3B55"/>
    <w:rsid w:val="009D3D77"/>
    <w:rsid w:val="009D3DD0"/>
    <w:rsid w:val="009D406F"/>
    <w:rsid w:val="009D46CE"/>
    <w:rsid w:val="009D4703"/>
    <w:rsid w:val="009D4735"/>
    <w:rsid w:val="009D4D5C"/>
    <w:rsid w:val="009D4D87"/>
    <w:rsid w:val="009D4ED8"/>
    <w:rsid w:val="009D522A"/>
    <w:rsid w:val="009D545A"/>
    <w:rsid w:val="009D545F"/>
    <w:rsid w:val="009D558A"/>
    <w:rsid w:val="009D572A"/>
    <w:rsid w:val="009D57FC"/>
    <w:rsid w:val="009D59B6"/>
    <w:rsid w:val="009D59E1"/>
    <w:rsid w:val="009D5BCD"/>
    <w:rsid w:val="009D5BF0"/>
    <w:rsid w:val="009D5D3E"/>
    <w:rsid w:val="009D5E81"/>
    <w:rsid w:val="009D5E88"/>
    <w:rsid w:val="009D5F02"/>
    <w:rsid w:val="009D6014"/>
    <w:rsid w:val="009D6321"/>
    <w:rsid w:val="009D6606"/>
    <w:rsid w:val="009D661F"/>
    <w:rsid w:val="009D669A"/>
    <w:rsid w:val="009D67E0"/>
    <w:rsid w:val="009D6877"/>
    <w:rsid w:val="009D6889"/>
    <w:rsid w:val="009D6967"/>
    <w:rsid w:val="009D699C"/>
    <w:rsid w:val="009D6B83"/>
    <w:rsid w:val="009D6B9B"/>
    <w:rsid w:val="009D6CDA"/>
    <w:rsid w:val="009D6D44"/>
    <w:rsid w:val="009D70D7"/>
    <w:rsid w:val="009D7225"/>
    <w:rsid w:val="009D7487"/>
    <w:rsid w:val="009D7CFE"/>
    <w:rsid w:val="009D7E92"/>
    <w:rsid w:val="009D7ECF"/>
    <w:rsid w:val="009E0023"/>
    <w:rsid w:val="009E00EA"/>
    <w:rsid w:val="009E01B1"/>
    <w:rsid w:val="009E01D7"/>
    <w:rsid w:val="009E0208"/>
    <w:rsid w:val="009E02E3"/>
    <w:rsid w:val="009E037D"/>
    <w:rsid w:val="009E0593"/>
    <w:rsid w:val="009E05C9"/>
    <w:rsid w:val="009E0746"/>
    <w:rsid w:val="009E09FF"/>
    <w:rsid w:val="009E0AD5"/>
    <w:rsid w:val="009E0CBB"/>
    <w:rsid w:val="009E0CC9"/>
    <w:rsid w:val="009E0F4D"/>
    <w:rsid w:val="009E0FF3"/>
    <w:rsid w:val="009E100A"/>
    <w:rsid w:val="009E10D6"/>
    <w:rsid w:val="009E11F6"/>
    <w:rsid w:val="009E1377"/>
    <w:rsid w:val="009E165F"/>
    <w:rsid w:val="009E1678"/>
    <w:rsid w:val="009E171E"/>
    <w:rsid w:val="009E1CCF"/>
    <w:rsid w:val="009E1F4C"/>
    <w:rsid w:val="009E1F85"/>
    <w:rsid w:val="009E22FA"/>
    <w:rsid w:val="009E2B6E"/>
    <w:rsid w:val="009E2C62"/>
    <w:rsid w:val="009E2C9E"/>
    <w:rsid w:val="009E2D9C"/>
    <w:rsid w:val="009E2E6B"/>
    <w:rsid w:val="009E2EA8"/>
    <w:rsid w:val="009E2EC8"/>
    <w:rsid w:val="009E30B2"/>
    <w:rsid w:val="009E3474"/>
    <w:rsid w:val="009E36F2"/>
    <w:rsid w:val="009E37FA"/>
    <w:rsid w:val="009E3AE1"/>
    <w:rsid w:val="009E3CCD"/>
    <w:rsid w:val="009E3F46"/>
    <w:rsid w:val="009E3FA9"/>
    <w:rsid w:val="009E40A9"/>
    <w:rsid w:val="009E43BE"/>
    <w:rsid w:val="009E443E"/>
    <w:rsid w:val="009E44B8"/>
    <w:rsid w:val="009E44DA"/>
    <w:rsid w:val="009E46F7"/>
    <w:rsid w:val="009E4744"/>
    <w:rsid w:val="009E47E0"/>
    <w:rsid w:val="009E4878"/>
    <w:rsid w:val="009E4BFD"/>
    <w:rsid w:val="009E4CB5"/>
    <w:rsid w:val="009E4CBA"/>
    <w:rsid w:val="009E4DBC"/>
    <w:rsid w:val="009E4EC9"/>
    <w:rsid w:val="009E4FA3"/>
    <w:rsid w:val="009E53E4"/>
    <w:rsid w:val="009E5542"/>
    <w:rsid w:val="009E5622"/>
    <w:rsid w:val="009E58B0"/>
    <w:rsid w:val="009E5A76"/>
    <w:rsid w:val="009E5D00"/>
    <w:rsid w:val="009E5D2B"/>
    <w:rsid w:val="009E5D5A"/>
    <w:rsid w:val="009E5E8B"/>
    <w:rsid w:val="009E60F7"/>
    <w:rsid w:val="009E6237"/>
    <w:rsid w:val="009E6423"/>
    <w:rsid w:val="009E65B5"/>
    <w:rsid w:val="009E67D4"/>
    <w:rsid w:val="009E67DC"/>
    <w:rsid w:val="009E67F6"/>
    <w:rsid w:val="009E6876"/>
    <w:rsid w:val="009E69EE"/>
    <w:rsid w:val="009E6D30"/>
    <w:rsid w:val="009E6DB6"/>
    <w:rsid w:val="009E6EAD"/>
    <w:rsid w:val="009E7446"/>
    <w:rsid w:val="009E750B"/>
    <w:rsid w:val="009E75BC"/>
    <w:rsid w:val="009E75C9"/>
    <w:rsid w:val="009E784E"/>
    <w:rsid w:val="009E7945"/>
    <w:rsid w:val="009E7F68"/>
    <w:rsid w:val="009F0147"/>
    <w:rsid w:val="009F0630"/>
    <w:rsid w:val="009F0984"/>
    <w:rsid w:val="009F0A8C"/>
    <w:rsid w:val="009F0B36"/>
    <w:rsid w:val="009F0C04"/>
    <w:rsid w:val="009F0C19"/>
    <w:rsid w:val="009F1112"/>
    <w:rsid w:val="009F1180"/>
    <w:rsid w:val="009F12E8"/>
    <w:rsid w:val="009F13A7"/>
    <w:rsid w:val="009F1758"/>
    <w:rsid w:val="009F1C84"/>
    <w:rsid w:val="009F1D0E"/>
    <w:rsid w:val="009F1E91"/>
    <w:rsid w:val="009F2114"/>
    <w:rsid w:val="009F222A"/>
    <w:rsid w:val="009F2262"/>
    <w:rsid w:val="009F25EC"/>
    <w:rsid w:val="009F27FB"/>
    <w:rsid w:val="009F2834"/>
    <w:rsid w:val="009F28E2"/>
    <w:rsid w:val="009F299F"/>
    <w:rsid w:val="009F2C2D"/>
    <w:rsid w:val="009F2E8F"/>
    <w:rsid w:val="009F2FC5"/>
    <w:rsid w:val="009F300C"/>
    <w:rsid w:val="009F323D"/>
    <w:rsid w:val="009F3315"/>
    <w:rsid w:val="009F3377"/>
    <w:rsid w:val="009F36B6"/>
    <w:rsid w:val="009F3908"/>
    <w:rsid w:val="009F3910"/>
    <w:rsid w:val="009F3BCC"/>
    <w:rsid w:val="009F4171"/>
    <w:rsid w:val="009F42E8"/>
    <w:rsid w:val="009F441E"/>
    <w:rsid w:val="009F4462"/>
    <w:rsid w:val="009F4483"/>
    <w:rsid w:val="009F4563"/>
    <w:rsid w:val="009F4583"/>
    <w:rsid w:val="009F47CE"/>
    <w:rsid w:val="009F4A66"/>
    <w:rsid w:val="009F4ADA"/>
    <w:rsid w:val="009F4BA8"/>
    <w:rsid w:val="009F5858"/>
    <w:rsid w:val="009F5EFD"/>
    <w:rsid w:val="009F60E2"/>
    <w:rsid w:val="009F6239"/>
    <w:rsid w:val="009F6459"/>
    <w:rsid w:val="009F6658"/>
    <w:rsid w:val="009F6A0D"/>
    <w:rsid w:val="009F6B59"/>
    <w:rsid w:val="009F6BF2"/>
    <w:rsid w:val="009F6C05"/>
    <w:rsid w:val="009F6D97"/>
    <w:rsid w:val="009F6FF3"/>
    <w:rsid w:val="009F7100"/>
    <w:rsid w:val="009F7294"/>
    <w:rsid w:val="009F734C"/>
    <w:rsid w:val="009F746A"/>
    <w:rsid w:val="009F7542"/>
    <w:rsid w:val="009F76B8"/>
    <w:rsid w:val="009F7707"/>
    <w:rsid w:val="009F797D"/>
    <w:rsid w:val="009F7C9B"/>
    <w:rsid w:val="009F7E3B"/>
    <w:rsid w:val="009F7E63"/>
    <w:rsid w:val="009F7E8C"/>
    <w:rsid w:val="009F7F22"/>
    <w:rsid w:val="009F7FB3"/>
    <w:rsid w:val="00A00371"/>
    <w:rsid w:val="00A00434"/>
    <w:rsid w:val="00A00694"/>
    <w:rsid w:val="00A0079A"/>
    <w:rsid w:val="00A00BA5"/>
    <w:rsid w:val="00A00BC9"/>
    <w:rsid w:val="00A00CB1"/>
    <w:rsid w:val="00A010E5"/>
    <w:rsid w:val="00A015C3"/>
    <w:rsid w:val="00A017A8"/>
    <w:rsid w:val="00A018AC"/>
    <w:rsid w:val="00A01AAD"/>
    <w:rsid w:val="00A01B15"/>
    <w:rsid w:val="00A01B1A"/>
    <w:rsid w:val="00A01BA3"/>
    <w:rsid w:val="00A01C8B"/>
    <w:rsid w:val="00A01CDE"/>
    <w:rsid w:val="00A01E28"/>
    <w:rsid w:val="00A01EAA"/>
    <w:rsid w:val="00A01F85"/>
    <w:rsid w:val="00A020DC"/>
    <w:rsid w:val="00A02352"/>
    <w:rsid w:val="00A0257E"/>
    <w:rsid w:val="00A025AA"/>
    <w:rsid w:val="00A027AB"/>
    <w:rsid w:val="00A028E5"/>
    <w:rsid w:val="00A02C23"/>
    <w:rsid w:val="00A02F04"/>
    <w:rsid w:val="00A02FD1"/>
    <w:rsid w:val="00A0313B"/>
    <w:rsid w:val="00A03214"/>
    <w:rsid w:val="00A03333"/>
    <w:rsid w:val="00A03532"/>
    <w:rsid w:val="00A036CD"/>
    <w:rsid w:val="00A03755"/>
    <w:rsid w:val="00A038AC"/>
    <w:rsid w:val="00A03BF5"/>
    <w:rsid w:val="00A03D58"/>
    <w:rsid w:val="00A03D76"/>
    <w:rsid w:val="00A03E03"/>
    <w:rsid w:val="00A03F67"/>
    <w:rsid w:val="00A044CC"/>
    <w:rsid w:val="00A045C9"/>
    <w:rsid w:val="00A04712"/>
    <w:rsid w:val="00A047AE"/>
    <w:rsid w:val="00A0491D"/>
    <w:rsid w:val="00A04B44"/>
    <w:rsid w:val="00A04CFA"/>
    <w:rsid w:val="00A04D9F"/>
    <w:rsid w:val="00A04E17"/>
    <w:rsid w:val="00A04FB9"/>
    <w:rsid w:val="00A05069"/>
    <w:rsid w:val="00A050D7"/>
    <w:rsid w:val="00A051F5"/>
    <w:rsid w:val="00A0534B"/>
    <w:rsid w:val="00A0548E"/>
    <w:rsid w:val="00A057F0"/>
    <w:rsid w:val="00A05D74"/>
    <w:rsid w:val="00A05FFE"/>
    <w:rsid w:val="00A0627A"/>
    <w:rsid w:val="00A0638A"/>
    <w:rsid w:val="00A06918"/>
    <w:rsid w:val="00A069D1"/>
    <w:rsid w:val="00A06E2E"/>
    <w:rsid w:val="00A06FA3"/>
    <w:rsid w:val="00A070B7"/>
    <w:rsid w:val="00A074B7"/>
    <w:rsid w:val="00A07646"/>
    <w:rsid w:val="00A07764"/>
    <w:rsid w:val="00A07848"/>
    <w:rsid w:val="00A07991"/>
    <w:rsid w:val="00A079A5"/>
    <w:rsid w:val="00A07ACD"/>
    <w:rsid w:val="00A07B27"/>
    <w:rsid w:val="00A07B61"/>
    <w:rsid w:val="00A07C3C"/>
    <w:rsid w:val="00A07F1F"/>
    <w:rsid w:val="00A1008B"/>
    <w:rsid w:val="00A100AB"/>
    <w:rsid w:val="00A103AA"/>
    <w:rsid w:val="00A1049F"/>
    <w:rsid w:val="00A104CE"/>
    <w:rsid w:val="00A106AC"/>
    <w:rsid w:val="00A10831"/>
    <w:rsid w:val="00A1092B"/>
    <w:rsid w:val="00A10A3F"/>
    <w:rsid w:val="00A10A4D"/>
    <w:rsid w:val="00A10AFA"/>
    <w:rsid w:val="00A10CDE"/>
    <w:rsid w:val="00A10D01"/>
    <w:rsid w:val="00A1135A"/>
    <w:rsid w:val="00A11545"/>
    <w:rsid w:val="00A115A2"/>
    <w:rsid w:val="00A11647"/>
    <w:rsid w:val="00A1194F"/>
    <w:rsid w:val="00A11BF1"/>
    <w:rsid w:val="00A11DFE"/>
    <w:rsid w:val="00A11E7F"/>
    <w:rsid w:val="00A11EAA"/>
    <w:rsid w:val="00A1219D"/>
    <w:rsid w:val="00A1223D"/>
    <w:rsid w:val="00A12DE8"/>
    <w:rsid w:val="00A12E10"/>
    <w:rsid w:val="00A12F1D"/>
    <w:rsid w:val="00A12F28"/>
    <w:rsid w:val="00A12FE0"/>
    <w:rsid w:val="00A139FC"/>
    <w:rsid w:val="00A13A10"/>
    <w:rsid w:val="00A13A7B"/>
    <w:rsid w:val="00A13A89"/>
    <w:rsid w:val="00A13AC8"/>
    <w:rsid w:val="00A13DB2"/>
    <w:rsid w:val="00A13E76"/>
    <w:rsid w:val="00A1439A"/>
    <w:rsid w:val="00A143E1"/>
    <w:rsid w:val="00A143F0"/>
    <w:rsid w:val="00A1445E"/>
    <w:rsid w:val="00A144EB"/>
    <w:rsid w:val="00A14598"/>
    <w:rsid w:val="00A14748"/>
    <w:rsid w:val="00A14887"/>
    <w:rsid w:val="00A14B5D"/>
    <w:rsid w:val="00A14DE8"/>
    <w:rsid w:val="00A14F5E"/>
    <w:rsid w:val="00A150BE"/>
    <w:rsid w:val="00A15169"/>
    <w:rsid w:val="00A151AF"/>
    <w:rsid w:val="00A152E5"/>
    <w:rsid w:val="00A15551"/>
    <w:rsid w:val="00A156C7"/>
    <w:rsid w:val="00A158C5"/>
    <w:rsid w:val="00A159DE"/>
    <w:rsid w:val="00A15BD1"/>
    <w:rsid w:val="00A15F04"/>
    <w:rsid w:val="00A15F05"/>
    <w:rsid w:val="00A15F51"/>
    <w:rsid w:val="00A15F6E"/>
    <w:rsid w:val="00A160A9"/>
    <w:rsid w:val="00A164F8"/>
    <w:rsid w:val="00A16596"/>
    <w:rsid w:val="00A1680D"/>
    <w:rsid w:val="00A168CB"/>
    <w:rsid w:val="00A168D9"/>
    <w:rsid w:val="00A16CA1"/>
    <w:rsid w:val="00A16D8F"/>
    <w:rsid w:val="00A16EA7"/>
    <w:rsid w:val="00A170FA"/>
    <w:rsid w:val="00A1716C"/>
    <w:rsid w:val="00A1749D"/>
    <w:rsid w:val="00A176FF"/>
    <w:rsid w:val="00A177F6"/>
    <w:rsid w:val="00A1799A"/>
    <w:rsid w:val="00A17CC1"/>
    <w:rsid w:val="00A2023A"/>
    <w:rsid w:val="00A2037A"/>
    <w:rsid w:val="00A2047F"/>
    <w:rsid w:val="00A20747"/>
    <w:rsid w:val="00A211BF"/>
    <w:rsid w:val="00A21896"/>
    <w:rsid w:val="00A2190F"/>
    <w:rsid w:val="00A21962"/>
    <w:rsid w:val="00A21B20"/>
    <w:rsid w:val="00A21D6F"/>
    <w:rsid w:val="00A21DA9"/>
    <w:rsid w:val="00A21DDD"/>
    <w:rsid w:val="00A21EDD"/>
    <w:rsid w:val="00A22037"/>
    <w:rsid w:val="00A22061"/>
    <w:rsid w:val="00A22262"/>
    <w:rsid w:val="00A222B9"/>
    <w:rsid w:val="00A222CC"/>
    <w:rsid w:val="00A22302"/>
    <w:rsid w:val="00A224E8"/>
    <w:rsid w:val="00A22571"/>
    <w:rsid w:val="00A22592"/>
    <w:rsid w:val="00A229E0"/>
    <w:rsid w:val="00A22BA1"/>
    <w:rsid w:val="00A22CA0"/>
    <w:rsid w:val="00A22D99"/>
    <w:rsid w:val="00A22EE8"/>
    <w:rsid w:val="00A2313C"/>
    <w:rsid w:val="00A23718"/>
    <w:rsid w:val="00A23741"/>
    <w:rsid w:val="00A23764"/>
    <w:rsid w:val="00A23799"/>
    <w:rsid w:val="00A23876"/>
    <w:rsid w:val="00A238F3"/>
    <w:rsid w:val="00A23A52"/>
    <w:rsid w:val="00A23AB0"/>
    <w:rsid w:val="00A23E16"/>
    <w:rsid w:val="00A23E41"/>
    <w:rsid w:val="00A24026"/>
    <w:rsid w:val="00A24165"/>
    <w:rsid w:val="00A241A2"/>
    <w:rsid w:val="00A24456"/>
    <w:rsid w:val="00A24731"/>
    <w:rsid w:val="00A248FA"/>
    <w:rsid w:val="00A24949"/>
    <w:rsid w:val="00A24BAC"/>
    <w:rsid w:val="00A25055"/>
    <w:rsid w:val="00A2507A"/>
    <w:rsid w:val="00A2512B"/>
    <w:rsid w:val="00A252E4"/>
    <w:rsid w:val="00A2592B"/>
    <w:rsid w:val="00A25C1B"/>
    <w:rsid w:val="00A25D3B"/>
    <w:rsid w:val="00A25F0B"/>
    <w:rsid w:val="00A263DD"/>
    <w:rsid w:val="00A264CD"/>
    <w:rsid w:val="00A26509"/>
    <w:rsid w:val="00A266C3"/>
    <w:rsid w:val="00A266C5"/>
    <w:rsid w:val="00A26704"/>
    <w:rsid w:val="00A267D1"/>
    <w:rsid w:val="00A26B02"/>
    <w:rsid w:val="00A26B03"/>
    <w:rsid w:val="00A26C43"/>
    <w:rsid w:val="00A26D60"/>
    <w:rsid w:val="00A26E70"/>
    <w:rsid w:val="00A2712F"/>
    <w:rsid w:val="00A271DD"/>
    <w:rsid w:val="00A27303"/>
    <w:rsid w:val="00A273D4"/>
    <w:rsid w:val="00A27448"/>
    <w:rsid w:val="00A27623"/>
    <w:rsid w:val="00A278A8"/>
    <w:rsid w:val="00A278DB"/>
    <w:rsid w:val="00A27AC4"/>
    <w:rsid w:val="00A27E50"/>
    <w:rsid w:val="00A3020D"/>
    <w:rsid w:val="00A303CF"/>
    <w:rsid w:val="00A30488"/>
    <w:rsid w:val="00A3052D"/>
    <w:rsid w:val="00A308B2"/>
    <w:rsid w:val="00A308DD"/>
    <w:rsid w:val="00A309C6"/>
    <w:rsid w:val="00A30AFD"/>
    <w:rsid w:val="00A30BC0"/>
    <w:rsid w:val="00A30C55"/>
    <w:rsid w:val="00A30F98"/>
    <w:rsid w:val="00A3104B"/>
    <w:rsid w:val="00A3115A"/>
    <w:rsid w:val="00A313F8"/>
    <w:rsid w:val="00A31657"/>
    <w:rsid w:val="00A31734"/>
    <w:rsid w:val="00A31778"/>
    <w:rsid w:val="00A317A3"/>
    <w:rsid w:val="00A3187D"/>
    <w:rsid w:val="00A319A5"/>
    <w:rsid w:val="00A31A5C"/>
    <w:rsid w:val="00A31BA2"/>
    <w:rsid w:val="00A31BE9"/>
    <w:rsid w:val="00A31C8F"/>
    <w:rsid w:val="00A31E73"/>
    <w:rsid w:val="00A31FB1"/>
    <w:rsid w:val="00A3227D"/>
    <w:rsid w:val="00A323C7"/>
    <w:rsid w:val="00A326F2"/>
    <w:rsid w:val="00A3277F"/>
    <w:rsid w:val="00A32AFC"/>
    <w:rsid w:val="00A32CA8"/>
    <w:rsid w:val="00A32E4E"/>
    <w:rsid w:val="00A33019"/>
    <w:rsid w:val="00A3301F"/>
    <w:rsid w:val="00A33136"/>
    <w:rsid w:val="00A33384"/>
    <w:rsid w:val="00A333F6"/>
    <w:rsid w:val="00A336C1"/>
    <w:rsid w:val="00A336E7"/>
    <w:rsid w:val="00A337A0"/>
    <w:rsid w:val="00A33BAE"/>
    <w:rsid w:val="00A33D3C"/>
    <w:rsid w:val="00A33E13"/>
    <w:rsid w:val="00A33E98"/>
    <w:rsid w:val="00A33EBA"/>
    <w:rsid w:val="00A34308"/>
    <w:rsid w:val="00A3430F"/>
    <w:rsid w:val="00A3443F"/>
    <w:rsid w:val="00A34441"/>
    <w:rsid w:val="00A34493"/>
    <w:rsid w:val="00A344E0"/>
    <w:rsid w:val="00A34538"/>
    <w:rsid w:val="00A345D9"/>
    <w:rsid w:val="00A347C7"/>
    <w:rsid w:val="00A347CC"/>
    <w:rsid w:val="00A34882"/>
    <w:rsid w:val="00A349DD"/>
    <w:rsid w:val="00A34B97"/>
    <w:rsid w:val="00A34BA3"/>
    <w:rsid w:val="00A34D12"/>
    <w:rsid w:val="00A353DA"/>
    <w:rsid w:val="00A35428"/>
    <w:rsid w:val="00A354E8"/>
    <w:rsid w:val="00A3553A"/>
    <w:rsid w:val="00A3553E"/>
    <w:rsid w:val="00A357C1"/>
    <w:rsid w:val="00A357F9"/>
    <w:rsid w:val="00A358C4"/>
    <w:rsid w:val="00A35ACA"/>
    <w:rsid w:val="00A35B65"/>
    <w:rsid w:val="00A35C99"/>
    <w:rsid w:val="00A35E30"/>
    <w:rsid w:val="00A35E89"/>
    <w:rsid w:val="00A36400"/>
    <w:rsid w:val="00A3647F"/>
    <w:rsid w:val="00A36493"/>
    <w:rsid w:val="00A36563"/>
    <w:rsid w:val="00A3662E"/>
    <w:rsid w:val="00A36842"/>
    <w:rsid w:val="00A36A8B"/>
    <w:rsid w:val="00A36C43"/>
    <w:rsid w:val="00A36C9C"/>
    <w:rsid w:val="00A36E46"/>
    <w:rsid w:val="00A36E8B"/>
    <w:rsid w:val="00A36EE4"/>
    <w:rsid w:val="00A36EFF"/>
    <w:rsid w:val="00A37095"/>
    <w:rsid w:val="00A37147"/>
    <w:rsid w:val="00A372A5"/>
    <w:rsid w:val="00A374B1"/>
    <w:rsid w:val="00A37574"/>
    <w:rsid w:val="00A37DE7"/>
    <w:rsid w:val="00A40043"/>
    <w:rsid w:val="00A40325"/>
    <w:rsid w:val="00A40893"/>
    <w:rsid w:val="00A4089E"/>
    <w:rsid w:val="00A408C0"/>
    <w:rsid w:val="00A408EE"/>
    <w:rsid w:val="00A408FB"/>
    <w:rsid w:val="00A40B8D"/>
    <w:rsid w:val="00A40F54"/>
    <w:rsid w:val="00A40FD7"/>
    <w:rsid w:val="00A40FE5"/>
    <w:rsid w:val="00A4103C"/>
    <w:rsid w:val="00A4109C"/>
    <w:rsid w:val="00A41182"/>
    <w:rsid w:val="00A415E6"/>
    <w:rsid w:val="00A415F6"/>
    <w:rsid w:val="00A4163D"/>
    <w:rsid w:val="00A41726"/>
    <w:rsid w:val="00A41A4E"/>
    <w:rsid w:val="00A41B00"/>
    <w:rsid w:val="00A41D03"/>
    <w:rsid w:val="00A41E02"/>
    <w:rsid w:val="00A42026"/>
    <w:rsid w:val="00A426A8"/>
    <w:rsid w:val="00A427D6"/>
    <w:rsid w:val="00A42865"/>
    <w:rsid w:val="00A42945"/>
    <w:rsid w:val="00A42A00"/>
    <w:rsid w:val="00A42AF7"/>
    <w:rsid w:val="00A42BED"/>
    <w:rsid w:val="00A42C43"/>
    <w:rsid w:val="00A42D3E"/>
    <w:rsid w:val="00A42D88"/>
    <w:rsid w:val="00A42EFE"/>
    <w:rsid w:val="00A4327B"/>
    <w:rsid w:val="00A4351F"/>
    <w:rsid w:val="00A43727"/>
    <w:rsid w:val="00A43827"/>
    <w:rsid w:val="00A438EC"/>
    <w:rsid w:val="00A43A8B"/>
    <w:rsid w:val="00A43CE1"/>
    <w:rsid w:val="00A43D64"/>
    <w:rsid w:val="00A43EF4"/>
    <w:rsid w:val="00A44066"/>
    <w:rsid w:val="00A441C9"/>
    <w:rsid w:val="00A445E5"/>
    <w:rsid w:val="00A44625"/>
    <w:rsid w:val="00A446BD"/>
    <w:rsid w:val="00A44C91"/>
    <w:rsid w:val="00A44EA7"/>
    <w:rsid w:val="00A450C3"/>
    <w:rsid w:val="00A451A0"/>
    <w:rsid w:val="00A45368"/>
    <w:rsid w:val="00A4542B"/>
    <w:rsid w:val="00A45D10"/>
    <w:rsid w:val="00A45FF3"/>
    <w:rsid w:val="00A464C8"/>
    <w:rsid w:val="00A46671"/>
    <w:rsid w:val="00A46EEA"/>
    <w:rsid w:val="00A4707A"/>
    <w:rsid w:val="00A47281"/>
    <w:rsid w:val="00A47353"/>
    <w:rsid w:val="00A4736B"/>
    <w:rsid w:val="00A4765F"/>
    <w:rsid w:val="00A47868"/>
    <w:rsid w:val="00A47B26"/>
    <w:rsid w:val="00A47CD7"/>
    <w:rsid w:val="00A47D63"/>
    <w:rsid w:val="00A47E79"/>
    <w:rsid w:val="00A47ECE"/>
    <w:rsid w:val="00A500A5"/>
    <w:rsid w:val="00A5015B"/>
    <w:rsid w:val="00A50328"/>
    <w:rsid w:val="00A504C0"/>
    <w:rsid w:val="00A505DE"/>
    <w:rsid w:val="00A505F6"/>
    <w:rsid w:val="00A50CDF"/>
    <w:rsid w:val="00A50D3F"/>
    <w:rsid w:val="00A50D81"/>
    <w:rsid w:val="00A50D97"/>
    <w:rsid w:val="00A50DBB"/>
    <w:rsid w:val="00A5102B"/>
    <w:rsid w:val="00A51164"/>
    <w:rsid w:val="00A511A3"/>
    <w:rsid w:val="00A511EF"/>
    <w:rsid w:val="00A51644"/>
    <w:rsid w:val="00A51682"/>
    <w:rsid w:val="00A51818"/>
    <w:rsid w:val="00A51A3F"/>
    <w:rsid w:val="00A51CF1"/>
    <w:rsid w:val="00A51F4C"/>
    <w:rsid w:val="00A522A5"/>
    <w:rsid w:val="00A525F4"/>
    <w:rsid w:val="00A52857"/>
    <w:rsid w:val="00A529E8"/>
    <w:rsid w:val="00A52C4F"/>
    <w:rsid w:val="00A52C97"/>
    <w:rsid w:val="00A52E3C"/>
    <w:rsid w:val="00A530CA"/>
    <w:rsid w:val="00A5314F"/>
    <w:rsid w:val="00A531BB"/>
    <w:rsid w:val="00A531FF"/>
    <w:rsid w:val="00A5327C"/>
    <w:rsid w:val="00A53A7F"/>
    <w:rsid w:val="00A53AE7"/>
    <w:rsid w:val="00A53EAD"/>
    <w:rsid w:val="00A53F6A"/>
    <w:rsid w:val="00A54056"/>
    <w:rsid w:val="00A54439"/>
    <w:rsid w:val="00A545A0"/>
    <w:rsid w:val="00A545B7"/>
    <w:rsid w:val="00A54842"/>
    <w:rsid w:val="00A548A8"/>
    <w:rsid w:val="00A548B8"/>
    <w:rsid w:val="00A549DA"/>
    <w:rsid w:val="00A54B75"/>
    <w:rsid w:val="00A54C8C"/>
    <w:rsid w:val="00A54F75"/>
    <w:rsid w:val="00A55503"/>
    <w:rsid w:val="00A5556F"/>
    <w:rsid w:val="00A5584E"/>
    <w:rsid w:val="00A55871"/>
    <w:rsid w:val="00A558F9"/>
    <w:rsid w:val="00A5597C"/>
    <w:rsid w:val="00A55B2C"/>
    <w:rsid w:val="00A55B31"/>
    <w:rsid w:val="00A55EAB"/>
    <w:rsid w:val="00A56120"/>
    <w:rsid w:val="00A5652B"/>
    <w:rsid w:val="00A56AC9"/>
    <w:rsid w:val="00A56C71"/>
    <w:rsid w:val="00A56ED8"/>
    <w:rsid w:val="00A5721C"/>
    <w:rsid w:val="00A572F5"/>
    <w:rsid w:val="00A573BB"/>
    <w:rsid w:val="00A57434"/>
    <w:rsid w:val="00A5743A"/>
    <w:rsid w:val="00A574AA"/>
    <w:rsid w:val="00A574FA"/>
    <w:rsid w:val="00A575BD"/>
    <w:rsid w:val="00A5763F"/>
    <w:rsid w:val="00A57761"/>
    <w:rsid w:val="00A577DB"/>
    <w:rsid w:val="00A57976"/>
    <w:rsid w:val="00A57EB4"/>
    <w:rsid w:val="00A57F1C"/>
    <w:rsid w:val="00A60287"/>
    <w:rsid w:val="00A60563"/>
    <w:rsid w:val="00A60581"/>
    <w:rsid w:val="00A6063F"/>
    <w:rsid w:val="00A608CE"/>
    <w:rsid w:val="00A60A26"/>
    <w:rsid w:val="00A60BB9"/>
    <w:rsid w:val="00A60CF4"/>
    <w:rsid w:val="00A60D2F"/>
    <w:rsid w:val="00A6117F"/>
    <w:rsid w:val="00A6119D"/>
    <w:rsid w:val="00A611D9"/>
    <w:rsid w:val="00A61239"/>
    <w:rsid w:val="00A61446"/>
    <w:rsid w:val="00A6146C"/>
    <w:rsid w:val="00A614EB"/>
    <w:rsid w:val="00A614EC"/>
    <w:rsid w:val="00A6156A"/>
    <w:rsid w:val="00A6165A"/>
    <w:rsid w:val="00A61692"/>
    <w:rsid w:val="00A61705"/>
    <w:rsid w:val="00A61915"/>
    <w:rsid w:val="00A61E6C"/>
    <w:rsid w:val="00A61F47"/>
    <w:rsid w:val="00A621BB"/>
    <w:rsid w:val="00A62293"/>
    <w:rsid w:val="00A625A5"/>
    <w:rsid w:val="00A62781"/>
    <w:rsid w:val="00A62A7A"/>
    <w:rsid w:val="00A62BCF"/>
    <w:rsid w:val="00A62D5D"/>
    <w:rsid w:val="00A62E3F"/>
    <w:rsid w:val="00A62FC9"/>
    <w:rsid w:val="00A63029"/>
    <w:rsid w:val="00A6304E"/>
    <w:rsid w:val="00A63410"/>
    <w:rsid w:val="00A634A3"/>
    <w:rsid w:val="00A6355A"/>
    <w:rsid w:val="00A63598"/>
    <w:rsid w:val="00A635B0"/>
    <w:rsid w:val="00A63A07"/>
    <w:rsid w:val="00A63B1D"/>
    <w:rsid w:val="00A63D22"/>
    <w:rsid w:val="00A63F85"/>
    <w:rsid w:val="00A64769"/>
    <w:rsid w:val="00A64813"/>
    <w:rsid w:val="00A64B4E"/>
    <w:rsid w:val="00A65106"/>
    <w:rsid w:val="00A653DA"/>
    <w:rsid w:val="00A654E7"/>
    <w:rsid w:val="00A6578A"/>
    <w:rsid w:val="00A6591E"/>
    <w:rsid w:val="00A6591F"/>
    <w:rsid w:val="00A65C97"/>
    <w:rsid w:val="00A65DAD"/>
    <w:rsid w:val="00A65E23"/>
    <w:rsid w:val="00A6608F"/>
    <w:rsid w:val="00A661CC"/>
    <w:rsid w:val="00A66234"/>
    <w:rsid w:val="00A6633A"/>
    <w:rsid w:val="00A6681E"/>
    <w:rsid w:val="00A66883"/>
    <w:rsid w:val="00A6690C"/>
    <w:rsid w:val="00A66997"/>
    <w:rsid w:val="00A66B9D"/>
    <w:rsid w:val="00A66C65"/>
    <w:rsid w:val="00A66D34"/>
    <w:rsid w:val="00A66DE4"/>
    <w:rsid w:val="00A67215"/>
    <w:rsid w:val="00A674AD"/>
    <w:rsid w:val="00A674D9"/>
    <w:rsid w:val="00A6772E"/>
    <w:rsid w:val="00A67913"/>
    <w:rsid w:val="00A67969"/>
    <w:rsid w:val="00A67A73"/>
    <w:rsid w:val="00A67B22"/>
    <w:rsid w:val="00A67D49"/>
    <w:rsid w:val="00A67D93"/>
    <w:rsid w:val="00A67DAB"/>
    <w:rsid w:val="00A700A6"/>
    <w:rsid w:val="00A700EA"/>
    <w:rsid w:val="00A7025E"/>
    <w:rsid w:val="00A70854"/>
    <w:rsid w:val="00A70884"/>
    <w:rsid w:val="00A708B6"/>
    <w:rsid w:val="00A709F3"/>
    <w:rsid w:val="00A70D18"/>
    <w:rsid w:val="00A70EF8"/>
    <w:rsid w:val="00A7113E"/>
    <w:rsid w:val="00A7121B"/>
    <w:rsid w:val="00A714FB"/>
    <w:rsid w:val="00A715AD"/>
    <w:rsid w:val="00A716BA"/>
    <w:rsid w:val="00A718A5"/>
    <w:rsid w:val="00A719FD"/>
    <w:rsid w:val="00A71A6C"/>
    <w:rsid w:val="00A71CD9"/>
    <w:rsid w:val="00A722A2"/>
    <w:rsid w:val="00A72432"/>
    <w:rsid w:val="00A72C63"/>
    <w:rsid w:val="00A72F24"/>
    <w:rsid w:val="00A731FD"/>
    <w:rsid w:val="00A73252"/>
    <w:rsid w:val="00A73704"/>
    <w:rsid w:val="00A73797"/>
    <w:rsid w:val="00A73851"/>
    <w:rsid w:val="00A73884"/>
    <w:rsid w:val="00A73E10"/>
    <w:rsid w:val="00A73E86"/>
    <w:rsid w:val="00A73F43"/>
    <w:rsid w:val="00A74064"/>
    <w:rsid w:val="00A74133"/>
    <w:rsid w:val="00A74260"/>
    <w:rsid w:val="00A743F8"/>
    <w:rsid w:val="00A74599"/>
    <w:rsid w:val="00A7468E"/>
    <w:rsid w:val="00A7483E"/>
    <w:rsid w:val="00A748F0"/>
    <w:rsid w:val="00A74934"/>
    <w:rsid w:val="00A74A6B"/>
    <w:rsid w:val="00A74B9B"/>
    <w:rsid w:val="00A74F2B"/>
    <w:rsid w:val="00A74F50"/>
    <w:rsid w:val="00A75077"/>
    <w:rsid w:val="00A750EE"/>
    <w:rsid w:val="00A756F4"/>
    <w:rsid w:val="00A7582A"/>
    <w:rsid w:val="00A75892"/>
    <w:rsid w:val="00A759D5"/>
    <w:rsid w:val="00A75A1F"/>
    <w:rsid w:val="00A75B4F"/>
    <w:rsid w:val="00A75BC4"/>
    <w:rsid w:val="00A75CD1"/>
    <w:rsid w:val="00A76299"/>
    <w:rsid w:val="00A765DD"/>
    <w:rsid w:val="00A766E4"/>
    <w:rsid w:val="00A766FF"/>
    <w:rsid w:val="00A76768"/>
    <w:rsid w:val="00A76917"/>
    <w:rsid w:val="00A76986"/>
    <w:rsid w:val="00A76BFF"/>
    <w:rsid w:val="00A76F02"/>
    <w:rsid w:val="00A7721E"/>
    <w:rsid w:val="00A77605"/>
    <w:rsid w:val="00A777A3"/>
    <w:rsid w:val="00A77C21"/>
    <w:rsid w:val="00A77D6D"/>
    <w:rsid w:val="00A80106"/>
    <w:rsid w:val="00A8014C"/>
    <w:rsid w:val="00A8041C"/>
    <w:rsid w:val="00A80573"/>
    <w:rsid w:val="00A808DB"/>
    <w:rsid w:val="00A80956"/>
    <w:rsid w:val="00A80AF2"/>
    <w:rsid w:val="00A80B2C"/>
    <w:rsid w:val="00A80B3C"/>
    <w:rsid w:val="00A80FF2"/>
    <w:rsid w:val="00A81252"/>
    <w:rsid w:val="00A81740"/>
    <w:rsid w:val="00A819F5"/>
    <w:rsid w:val="00A81A2B"/>
    <w:rsid w:val="00A81A94"/>
    <w:rsid w:val="00A81AEB"/>
    <w:rsid w:val="00A81CB0"/>
    <w:rsid w:val="00A81D28"/>
    <w:rsid w:val="00A81D45"/>
    <w:rsid w:val="00A81F9A"/>
    <w:rsid w:val="00A82114"/>
    <w:rsid w:val="00A8223B"/>
    <w:rsid w:val="00A823B3"/>
    <w:rsid w:val="00A82534"/>
    <w:rsid w:val="00A8267F"/>
    <w:rsid w:val="00A8268C"/>
    <w:rsid w:val="00A826B2"/>
    <w:rsid w:val="00A82923"/>
    <w:rsid w:val="00A82948"/>
    <w:rsid w:val="00A82BA1"/>
    <w:rsid w:val="00A82C5B"/>
    <w:rsid w:val="00A82C9E"/>
    <w:rsid w:val="00A82E29"/>
    <w:rsid w:val="00A82F7B"/>
    <w:rsid w:val="00A830C5"/>
    <w:rsid w:val="00A83299"/>
    <w:rsid w:val="00A8329D"/>
    <w:rsid w:val="00A83595"/>
    <w:rsid w:val="00A8364E"/>
    <w:rsid w:val="00A83767"/>
    <w:rsid w:val="00A83ACF"/>
    <w:rsid w:val="00A83D26"/>
    <w:rsid w:val="00A83E25"/>
    <w:rsid w:val="00A83E4A"/>
    <w:rsid w:val="00A83EEE"/>
    <w:rsid w:val="00A84091"/>
    <w:rsid w:val="00A84338"/>
    <w:rsid w:val="00A84381"/>
    <w:rsid w:val="00A843C4"/>
    <w:rsid w:val="00A8453D"/>
    <w:rsid w:val="00A84554"/>
    <w:rsid w:val="00A845F6"/>
    <w:rsid w:val="00A846C5"/>
    <w:rsid w:val="00A84914"/>
    <w:rsid w:val="00A84CF0"/>
    <w:rsid w:val="00A84D50"/>
    <w:rsid w:val="00A84DB0"/>
    <w:rsid w:val="00A84E12"/>
    <w:rsid w:val="00A84E5E"/>
    <w:rsid w:val="00A84EBA"/>
    <w:rsid w:val="00A850E9"/>
    <w:rsid w:val="00A85163"/>
    <w:rsid w:val="00A85346"/>
    <w:rsid w:val="00A859CA"/>
    <w:rsid w:val="00A85B94"/>
    <w:rsid w:val="00A85D0F"/>
    <w:rsid w:val="00A85E10"/>
    <w:rsid w:val="00A85EDA"/>
    <w:rsid w:val="00A86039"/>
    <w:rsid w:val="00A860BF"/>
    <w:rsid w:val="00A860C3"/>
    <w:rsid w:val="00A860CD"/>
    <w:rsid w:val="00A860F3"/>
    <w:rsid w:val="00A86104"/>
    <w:rsid w:val="00A861E7"/>
    <w:rsid w:val="00A8646E"/>
    <w:rsid w:val="00A869BD"/>
    <w:rsid w:val="00A86A29"/>
    <w:rsid w:val="00A86A2A"/>
    <w:rsid w:val="00A86A91"/>
    <w:rsid w:val="00A86B68"/>
    <w:rsid w:val="00A86C01"/>
    <w:rsid w:val="00A86C7B"/>
    <w:rsid w:val="00A86CAC"/>
    <w:rsid w:val="00A86D5A"/>
    <w:rsid w:val="00A86E2E"/>
    <w:rsid w:val="00A86E64"/>
    <w:rsid w:val="00A86ED6"/>
    <w:rsid w:val="00A86FA4"/>
    <w:rsid w:val="00A87104"/>
    <w:rsid w:val="00A871F1"/>
    <w:rsid w:val="00A8727E"/>
    <w:rsid w:val="00A87332"/>
    <w:rsid w:val="00A8736B"/>
    <w:rsid w:val="00A873DE"/>
    <w:rsid w:val="00A8741B"/>
    <w:rsid w:val="00A87653"/>
    <w:rsid w:val="00A878B9"/>
    <w:rsid w:val="00A87B69"/>
    <w:rsid w:val="00A87BE3"/>
    <w:rsid w:val="00A87CFC"/>
    <w:rsid w:val="00A87DD8"/>
    <w:rsid w:val="00A87ECB"/>
    <w:rsid w:val="00A87FE4"/>
    <w:rsid w:val="00A87FF6"/>
    <w:rsid w:val="00A90503"/>
    <w:rsid w:val="00A90A4F"/>
    <w:rsid w:val="00A90B83"/>
    <w:rsid w:val="00A90E03"/>
    <w:rsid w:val="00A9108B"/>
    <w:rsid w:val="00A9119A"/>
    <w:rsid w:val="00A911F3"/>
    <w:rsid w:val="00A91515"/>
    <w:rsid w:val="00A9174C"/>
    <w:rsid w:val="00A92037"/>
    <w:rsid w:val="00A9263C"/>
    <w:rsid w:val="00A927C2"/>
    <w:rsid w:val="00A9289F"/>
    <w:rsid w:val="00A92A25"/>
    <w:rsid w:val="00A92A30"/>
    <w:rsid w:val="00A92F14"/>
    <w:rsid w:val="00A93036"/>
    <w:rsid w:val="00A9312C"/>
    <w:rsid w:val="00A93220"/>
    <w:rsid w:val="00A93262"/>
    <w:rsid w:val="00A93636"/>
    <w:rsid w:val="00A93749"/>
    <w:rsid w:val="00A9396C"/>
    <w:rsid w:val="00A93B09"/>
    <w:rsid w:val="00A93DAA"/>
    <w:rsid w:val="00A93F7E"/>
    <w:rsid w:val="00A941CB"/>
    <w:rsid w:val="00A942CB"/>
    <w:rsid w:val="00A943A2"/>
    <w:rsid w:val="00A9453E"/>
    <w:rsid w:val="00A9485D"/>
    <w:rsid w:val="00A949AE"/>
    <w:rsid w:val="00A949FF"/>
    <w:rsid w:val="00A94C12"/>
    <w:rsid w:val="00A94C15"/>
    <w:rsid w:val="00A94CFE"/>
    <w:rsid w:val="00A94F3E"/>
    <w:rsid w:val="00A94F59"/>
    <w:rsid w:val="00A9501B"/>
    <w:rsid w:val="00A9513B"/>
    <w:rsid w:val="00A951CD"/>
    <w:rsid w:val="00A9522D"/>
    <w:rsid w:val="00A95300"/>
    <w:rsid w:val="00A956B1"/>
    <w:rsid w:val="00A95932"/>
    <w:rsid w:val="00A95A12"/>
    <w:rsid w:val="00A95A19"/>
    <w:rsid w:val="00A95A56"/>
    <w:rsid w:val="00A95D13"/>
    <w:rsid w:val="00A95DED"/>
    <w:rsid w:val="00A961DE"/>
    <w:rsid w:val="00A962F1"/>
    <w:rsid w:val="00A9663C"/>
    <w:rsid w:val="00A9681E"/>
    <w:rsid w:val="00A96A38"/>
    <w:rsid w:val="00A96A58"/>
    <w:rsid w:val="00A96E4B"/>
    <w:rsid w:val="00A97049"/>
    <w:rsid w:val="00A97066"/>
    <w:rsid w:val="00A97254"/>
    <w:rsid w:val="00A97287"/>
    <w:rsid w:val="00A97670"/>
    <w:rsid w:val="00A97948"/>
    <w:rsid w:val="00A97952"/>
    <w:rsid w:val="00A97B74"/>
    <w:rsid w:val="00A97E96"/>
    <w:rsid w:val="00AA007A"/>
    <w:rsid w:val="00AA0235"/>
    <w:rsid w:val="00AA02FE"/>
    <w:rsid w:val="00AA0470"/>
    <w:rsid w:val="00AA06B7"/>
    <w:rsid w:val="00AA0772"/>
    <w:rsid w:val="00AA0D4C"/>
    <w:rsid w:val="00AA0D6A"/>
    <w:rsid w:val="00AA0E8A"/>
    <w:rsid w:val="00AA12B3"/>
    <w:rsid w:val="00AA12C5"/>
    <w:rsid w:val="00AA182E"/>
    <w:rsid w:val="00AA19FE"/>
    <w:rsid w:val="00AA1BAD"/>
    <w:rsid w:val="00AA1C89"/>
    <w:rsid w:val="00AA1E89"/>
    <w:rsid w:val="00AA20FA"/>
    <w:rsid w:val="00AA255D"/>
    <w:rsid w:val="00AA274B"/>
    <w:rsid w:val="00AA3169"/>
    <w:rsid w:val="00AA336A"/>
    <w:rsid w:val="00AA353F"/>
    <w:rsid w:val="00AA35B4"/>
    <w:rsid w:val="00AA3602"/>
    <w:rsid w:val="00AA3603"/>
    <w:rsid w:val="00AA3693"/>
    <w:rsid w:val="00AA37DE"/>
    <w:rsid w:val="00AA3858"/>
    <w:rsid w:val="00AA3B49"/>
    <w:rsid w:val="00AA3B57"/>
    <w:rsid w:val="00AA3D45"/>
    <w:rsid w:val="00AA3F57"/>
    <w:rsid w:val="00AA4179"/>
    <w:rsid w:val="00AA4394"/>
    <w:rsid w:val="00AA4600"/>
    <w:rsid w:val="00AA46F0"/>
    <w:rsid w:val="00AA4801"/>
    <w:rsid w:val="00AA4A3D"/>
    <w:rsid w:val="00AA4DB7"/>
    <w:rsid w:val="00AA4DD2"/>
    <w:rsid w:val="00AA4E64"/>
    <w:rsid w:val="00AA5069"/>
    <w:rsid w:val="00AA5287"/>
    <w:rsid w:val="00AA5443"/>
    <w:rsid w:val="00AA569F"/>
    <w:rsid w:val="00AA5767"/>
    <w:rsid w:val="00AA5CF6"/>
    <w:rsid w:val="00AA5D23"/>
    <w:rsid w:val="00AA5F1A"/>
    <w:rsid w:val="00AA6068"/>
    <w:rsid w:val="00AA607B"/>
    <w:rsid w:val="00AA63D5"/>
    <w:rsid w:val="00AA6586"/>
    <w:rsid w:val="00AA685A"/>
    <w:rsid w:val="00AA6C3C"/>
    <w:rsid w:val="00AA71F4"/>
    <w:rsid w:val="00AA71F8"/>
    <w:rsid w:val="00AA7225"/>
    <w:rsid w:val="00AA73C3"/>
    <w:rsid w:val="00AA756E"/>
    <w:rsid w:val="00AA7586"/>
    <w:rsid w:val="00AA75F7"/>
    <w:rsid w:val="00AA7713"/>
    <w:rsid w:val="00AA7749"/>
    <w:rsid w:val="00AA7945"/>
    <w:rsid w:val="00AA79A8"/>
    <w:rsid w:val="00AA7A82"/>
    <w:rsid w:val="00AA7D7B"/>
    <w:rsid w:val="00AA7DB5"/>
    <w:rsid w:val="00AA7DEE"/>
    <w:rsid w:val="00AA7E3A"/>
    <w:rsid w:val="00AA7EBC"/>
    <w:rsid w:val="00AB0288"/>
    <w:rsid w:val="00AB04CC"/>
    <w:rsid w:val="00AB067C"/>
    <w:rsid w:val="00AB073E"/>
    <w:rsid w:val="00AB08A4"/>
    <w:rsid w:val="00AB0950"/>
    <w:rsid w:val="00AB0989"/>
    <w:rsid w:val="00AB0AAB"/>
    <w:rsid w:val="00AB0B61"/>
    <w:rsid w:val="00AB0EAB"/>
    <w:rsid w:val="00AB13AF"/>
    <w:rsid w:val="00AB14AE"/>
    <w:rsid w:val="00AB14D7"/>
    <w:rsid w:val="00AB164D"/>
    <w:rsid w:val="00AB16B0"/>
    <w:rsid w:val="00AB1859"/>
    <w:rsid w:val="00AB1A13"/>
    <w:rsid w:val="00AB1D66"/>
    <w:rsid w:val="00AB208F"/>
    <w:rsid w:val="00AB20FB"/>
    <w:rsid w:val="00AB214E"/>
    <w:rsid w:val="00AB240C"/>
    <w:rsid w:val="00AB24C5"/>
    <w:rsid w:val="00AB25BF"/>
    <w:rsid w:val="00AB2662"/>
    <w:rsid w:val="00AB29E8"/>
    <w:rsid w:val="00AB2D58"/>
    <w:rsid w:val="00AB2E87"/>
    <w:rsid w:val="00AB3173"/>
    <w:rsid w:val="00AB31BC"/>
    <w:rsid w:val="00AB3757"/>
    <w:rsid w:val="00AB3896"/>
    <w:rsid w:val="00AB39C0"/>
    <w:rsid w:val="00AB3D7C"/>
    <w:rsid w:val="00AB3F36"/>
    <w:rsid w:val="00AB3F82"/>
    <w:rsid w:val="00AB3FBA"/>
    <w:rsid w:val="00AB40F3"/>
    <w:rsid w:val="00AB4121"/>
    <w:rsid w:val="00AB424B"/>
    <w:rsid w:val="00AB432C"/>
    <w:rsid w:val="00AB4505"/>
    <w:rsid w:val="00AB4563"/>
    <w:rsid w:val="00AB46E0"/>
    <w:rsid w:val="00AB47DC"/>
    <w:rsid w:val="00AB4C43"/>
    <w:rsid w:val="00AB4E79"/>
    <w:rsid w:val="00AB4E9F"/>
    <w:rsid w:val="00AB4EF3"/>
    <w:rsid w:val="00AB506E"/>
    <w:rsid w:val="00AB5272"/>
    <w:rsid w:val="00AB5493"/>
    <w:rsid w:val="00AB54D6"/>
    <w:rsid w:val="00AB5607"/>
    <w:rsid w:val="00AB5666"/>
    <w:rsid w:val="00AB5842"/>
    <w:rsid w:val="00AB5A29"/>
    <w:rsid w:val="00AB5A3B"/>
    <w:rsid w:val="00AB5CDF"/>
    <w:rsid w:val="00AB5FAC"/>
    <w:rsid w:val="00AB60E2"/>
    <w:rsid w:val="00AB6206"/>
    <w:rsid w:val="00AB62FF"/>
    <w:rsid w:val="00AB63B3"/>
    <w:rsid w:val="00AB641D"/>
    <w:rsid w:val="00AB6874"/>
    <w:rsid w:val="00AB68FF"/>
    <w:rsid w:val="00AB6A39"/>
    <w:rsid w:val="00AB6B3F"/>
    <w:rsid w:val="00AB6B95"/>
    <w:rsid w:val="00AB6E87"/>
    <w:rsid w:val="00AB6FC4"/>
    <w:rsid w:val="00AB6FFE"/>
    <w:rsid w:val="00AB71AE"/>
    <w:rsid w:val="00AB7389"/>
    <w:rsid w:val="00AB74FE"/>
    <w:rsid w:val="00AB7A2F"/>
    <w:rsid w:val="00AB7D08"/>
    <w:rsid w:val="00AC00C4"/>
    <w:rsid w:val="00AC0283"/>
    <w:rsid w:val="00AC04A8"/>
    <w:rsid w:val="00AC0529"/>
    <w:rsid w:val="00AC07DD"/>
    <w:rsid w:val="00AC0A1D"/>
    <w:rsid w:val="00AC0A35"/>
    <w:rsid w:val="00AC0B0B"/>
    <w:rsid w:val="00AC0B87"/>
    <w:rsid w:val="00AC0CE2"/>
    <w:rsid w:val="00AC10F5"/>
    <w:rsid w:val="00AC126F"/>
    <w:rsid w:val="00AC1736"/>
    <w:rsid w:val="00AC1795"/>
    <w:rsid w:val="00AC18E9"/>
    <w:rsid w:val="00AC190C"/>
    <w:rsid w:val="00AC1A01"/>
    <w:rsid w:val="00AC1C55"/>
    <w:rsid w:val="00AC1CEA"/>
    <w:rsid w:val="00AC1D2B"/>
    <w:rsid w:val="00AC210F"/>
    <w:rsid w:val="00AC2262"/>
    <w:rsid w:val="00AC23D0"/>
    <w:rsid w:val="00AC23FE"/>
    <w:rsid w:val="00AC25D2"/>
    <w:rsid w:val="00AC2654"/>
    <w:rsid w:val="00AC27FF"/>
    <w:rsid w:val="00AC29FA"/>
    <w:rsid w:val="00AC2A0A"/>
    <w:rsid w:val="00AC2A31"/>
    <w:rsid w:val="00AC2AD1"/>
    <w:rsid w:val="00AC2F92"/>
    <w:rsid w:val="00AC3010"/>
    <w:rsid w:val="00AC315E"/>
    <w:rsid w:val="00AC319E"/>
    <w:rsid w:val="00AC31BA"/>
    <w:rsid w:val="00AC328F"/>
    <w:rsid w:val="00AC3299"/>
    <w:rsid w:val="00AC3302"/>
    <w:rsid w:val="00AC35FD"/>
    <w:rsid w:val="00AC3685"/>
    <w:rsid w:val="00AC3B64"/>
    <w:rsid w:val="00AC3D4D"/>
    <w:rsid w:val="00AC3D64"/>
    <w:rsid w:val="00AC3D80"/>
    <w:rsid w:val="00AC3F70"/>
    <w:rsid w:val="00AC4276"/>
    <w:rsid w:val="00AC42ED"/>
    <w:rsid w:val="00AC446F"/>
    <w:rsid w:val="00AC4659"/>
    <w:rsid w:val="00AC46E9"/>
    <w:rsid w:val="00AC472E"/>
    <w:rsid w:val="00AC48B8"/>
    <w:rsid w:val="00AC4BB9"/>
    <w:rsid w:val="00AC4CEC"/>
    <w:rsid w:val="00AC4D73"/>
    <w:rsid w:val="00AC4F69"/>
    <w:rsid w:val="00AC5684"/>
    <w:rsid w:val="00AC5750"/>
    <w:rsid w:val="00AC58C6"/>
    <w:rsid w:val="00AC58E4"/>
    <w:rsid w:val="00AC591B"/>
    <w:rsid w:val="00AC5A10"/>
    <w:rsid w:val="00AC5A33"/>
    <w:rsid w:val="00AC5B1B"/>
    <w:rsid w:val="00AC5D5A"/>
    <w:rsid w:val="00AC5D6E"/>
    <w:rsid w:val="00AC624F"/>
    <w:rsid w:val="00AC6BCD"/>
    <w:rsid w:val="00AC6C7E"/>
    <w:rsid w:val="00AC6E73"/>
    <w:rsid w:val="00AC6F02"/>
    <w:rsid w:val="00AC6F7A"/>
    <w:rsid w:val="00AC71D8"/>
    <w:rsid w:val="00AC723A"/>
    <w:rsid w:val="00AC745C"/>
    <w:rsid w:val="00AC75A9"/>
    <w:rsid w:val="00AC75D3"/>
    <w:rsid w:val="00AC760C"/>
    <w:rsid w:val="00AC7653"/>
    <w:rsid w:val="00AC7665"/>
    <w:rsid w:val="00AC7812"/>
    <w:rsid w:val="00AC79CC"/>
    <w:rsid w:val="00AC7D5E"/>
    <w:rsid w:val="00AC7D89"/>
    <w:rsid w:val="00AC7EBA"/>
    <w:rsid w:val="00AC7F2F"/>
    <w:rsid w:val="00AD008E"/>
    <w:rsid w:val="00AD010E"/>
    <w:rsid w:val="00AD0326"/>
    <w:rsid w:val="00AD069D"/>
    <w:rsid w:val="00AD06BC"/>
    <w:rsid w:val="00AD0845"/>
    <w:rsid w:val="00AD09B3"/>
    <w:rsid w:val="00AD0AFB"/>
    <w:rsid w:val="00AD0CF7"/>
    <w:rsid w:val="00AD0F45"/>
    <w:rsid w:val="00AD129A"/>
    <w:rsid w:val="00AD15AC"/>
    <w:rsid w:val="00AD1A10"/>
    <w:rsid w:val="00AD1B7B"/>
    <w:rsid w:val="00AD1C47"/>
    <w:rsid w:val="00AD1D52"/>
    <w:rsid w:val="00AD1DC4"/>
    <w:rsid w:val="00AD21A1"/>
    <w:rsid w:val="00AD222C"/>
    <w:rsid w:val="00AD2294"/>
    <w:rsid w:val="00AD26A3"/>
    <w:rsid w:val="00AD2AC9"/>
    <w:rsid w:val="00AD2D21"/>
    <w:rsid w:val="00AD2E0D"/>
    <w:rsid w:val="00AD30A0"/>
    <w:rsid w:val="00AD34F4"/>
    <w:rsid w:val="00AD353F"/>
    <w:rsid w:val="00AD367B"/>
    <w:rsid w:val="00AD386C"/>
    <w:rsid w:val="00AD3B7A"/>
    <w:rsid w:val="00AD3F5E"/>
    <w:rsid w:val="00AD3FC6"/>
    <w:rsid w:val="00AD3FFA"/>
    <w:rsid w:val="00AD401E"/>
    <w:rsid w:val="00AD47E6"/>
    <w:rsid w:val="00AD494E"/>
    <w:rsid w:val="00AD4A03"/>
    <w:rsid w:val="00AD4BE5"/>
    <w:rsid w:val="00AD4E04"/>
    <w:rsid w:val="00AD4ED4"/>
    <w:rsid w:val="00AD5077"/>
    <w:rsid w:val="00AD50AD"/>
    <w:rsid w:val="00AD512F"/>
    <w:rsid w:val="00AD51E1"/>
    <w:rsid w:val="00AD526D"/>
    <w:rsid w:val="00AD5635"/>
    <w:rsid w:val="00AD5678"/>
    <w:rsid w:val="00AD5861"/>
    <w:rsid w:val="00AD593E"/>
    <w:rsid w:val="00AD5A30"/>
    <w:rsid w:val="00AD5B94"/>
    <w:rsid w:val="00AD5C38"/>
    <w:rsid w:val="00AD5EEC"/>
    <w:rsid w:val="00AD5F24"/>
    <w:rsid w:val="00AD5FE2"/>
    <w:rsid w:val="00AD6131"/>
    <w:rsid w:val="00AD62F0"/>
    <w:rsid w:val="00AD63CC"/>
    <w:rsid w:val="00AD66BE"/>
    <w:rsid w:val="00AD675E"/>
    <w:rsid w:val="00AD6AD3"/>
    <w:rsid w:val="00AD6AE5"/>
    <w:rsid w:val="00AD6B6D"/>
    <w:rsid w:val="00AD6C19"/>
    <w:rsid w:val="00AD6D52"/>
    <w:rsid w:val="00AD6E42"/>
    <w:rsid w:val="00AD6E81"/>
    <w:rsid w:val="00AD6EB9"/>
    <w:rsid w:val="00AD71F4"/>
    <w:rsid w:val="00AD722A"/>
    <w:rsid w:val="00AD726C"/>
    <w:rsid w:val="00AD7286"/>
    <w:rsid w:val="00AD7318"/>
    <w:rsid w:val="00AD73E9"/>
    <w:rsid w:val="00AD7460"/>
    <w:rsid w:val="00AD7615"/>
    <w:rsid w:val="00AD764E"/>
    <w:rsid w:val="00AD7AB1"/>
    <w:rsid w:val="00AD7EDE"/>
    <w:rsid w:val="00AD7F4A"/>
    <w:rsid w:val="00AD7FE9"/>
    <w:rsid w:val="00AE00A3"/>
    <w:rsid w:val="00AE00F4"/>
    <w:rsid w:val="00AE0356"/>
    <w:rsid w:val="00AE04BC"/>
    <w:rsid w:val="00AE0631"/>
    <w:rsid w:val="00AE07EA"/>
    <w:rsid w:val="00AE0954"/>
    <w:rsid w:val="00AE0961"/>
    <w:rsid w:val="00AE09FB"/>
    <w:rsid w:val="00AE0A2D"/>
    <w:rsid w:val="00AE0AB4"/>
    <w:rsid w:val="00AE0B90"/>
    <w:rsid w:val="00AE1529"/>
    <w:rsid w:val="00AE162B"/>
    <w:rsid w:val="00AE1637"/>
    <w:rsid w:val="00AE167A"/>
    <w:rsid w:val="00AE1746"/>
    <w:rsid w:val="00AE17C3"/>
    <w:rsid w:val="00AE1B01"/>
    <w:rsid w:val="00AE1E3C"/>
    <w:rsid w:val="00AE2469"/>
    <w:rsid w:val="00AE248E"/>
    <w:rsid w:val="00AE2677"/>
    <w:rsid w:val="00AE28E4"/>
    <w:rsid w:val="00AE2AF7"/>
    <w:rsid w:val="00AE2B5B"/>
    <w:rsid w:val="00AE3035"/>
    <w:rsid w:val="00AE309D"/>
    <w:rsid w:val="00AE30EF"/>
    <w:rsid w:val="00AE313D"/>
    <w:rsid w:val="00AE32DA"/>
    <w:rsid w:val="00AE3455"/>
    <w:rsid w:val="00AE348A"/>
    <w:rsid w:val="00AE3739"/>
    <w:rsid w:val="00AE3A1E"/>
    <w:rsid w:val="00AE3AA3"/>
    <w:rsid w:val="00AE3D11"/>
    <w:rsid w:val="00AE3D37"/>
    <w:rsid w:val="00AE3D8F"/>
    <w:rsid w:val="00AE3DB4"/>
    <w:rsid w:val="00AE3E48"/>
    <w:rsid w:val="00AE3E4A"/>
    <w:rsid w:val="00AE40BB"/>
    <w:rsid w:val="00AE4395"/>
    <w:rsid w:val="00AE4673"/>
    <w:rsid w:val="00AE4AC3"/>
    <w:rsid w:val="00AE4D3E"/>
    <w:rsid w:val="00AE4ECC"/>
    <w:rsid w:val="00AE516C"/>
    <w:rsid w:val="00AE54B9"/>
    <w:rsid w:val="00AE578C"/>
    <w:rsid w:val="00AE5A0C"/>
    <w:rsid w:val="00AE5AD4"/>
    <w:rsid w:val="00AE5E3C"/>
    <w:rsid w:val="00AE5F32"/>
    <w:rsid w:val="00AE5F4E"/>
    <w:rsid w:val="00AE6113"/>
    <w:rsid w:val="00AE644F"/>
    <w:rsid w:val="00AE6491"/>
    <w:rsid w:val="00AE666F"/>
    <w:rsid w:val="00AE6898"/>
    <w:rsid w:val="00AE68F7"/>
    <w:rsid w:val="00AE69A7"/>
    <w:rsid w:val="00AE69E3"/>
    <w:rsid w:val="00AE6B73"/>
    <w:rsid w:val="00AE6CD0"/>
    <w:rsid w:val="00AE6D6E"/>
    <w:rsid w:val="00AE734F"/>
    <w:rsid w:val="00AE73BE"/>
    <w:rsid w:val="00AE7661"/>
    <w:rsid w:val="00AE772C"/>
    <w:rsid w:val="00AE7BB9"/>
    <w:rsid w:val="00AE7C81"/>
    <w:rsid w:val="00AE7CF4"/>
    <w:rsid w:val="00AE7E94"/>
    <w:rsid w:val="00AE7F77"/>
    <w:rsid w:val="00AF0308"/>
    <w:rsid w:val="00AF03B8"/>
    <w:rsid w:val="00AF041F"/>
    <w:rsid w:val="00AF042F"/>
    <w:rsid w:val="00AF055B"/>
    <w:rsid w:val="00AF067A"/>
    <w:rsid w:val="00AF07B2"/>
    <w:rsid w:val="00AF080F"/>
    <w:rsid w:val="00AF0BE4"/>
    <w:rsid w:val="00AF0C83"/>
    <w:rsid w:val="00AF109B"/>
    <w:rsid w:val="00AF109E"/>
    <w:rsid w:val="00AF10C2"/>
    <w:rsid w:val="00AF12C6"/>
    <w:rsid w:val="00AF1427"/>
    <w:rsid w:val="00AF18AB"/>
    <w:rsid w:val="00AF1A2D"/>
    <w:rsid w:val="00AF1EEB"/>
    <w:rsid w:val="00AF20EA"/>
    <w:rsid w:val="00AF2146"/>
    <w:rsid w:val="00AF217E"/>
    <w:rsid w:val="00AF23A3"/>
    <w:rsid w:val="00AF2420"/>
    <w:rsid w:val="00AF2656"/>
    <w:rsid w:val="00AF2676"/>
    <w:rsid w:val="00AF294A"/>
    <w:rsid w:val="00AF2C0B"/>
    <w:rsid w:val="00AF2D9C"/>
    <w:rsid w:val="00AF2DBC"/>
    <w:rsid w:val="00AF2DC2"/>
    <w:rsid w:val="00AF2E95"/>
    <w:rsid w:val="00AF2FCC"/>
    <w:rsid w:val="00AF300E"/>
    <w:rsid w:val="00AF3149"/>
    <w:rsid w:val="00AF365F"/>
    <w:rsid w:val="00AF3824"/>
    <w:rsid w:val="00AF39E4"/>
    <w:rsid w:val="00AF3D60"/>
    <w:rsid w:val="00AF3DFE"/>
    <w:rsid w:val="00AF3E8F"/>
    <w:rsid w:val="00AF4019"/>
    <w:rsid w:val="00AF4170"/>
    <w:rsid w:val="00AF421D"/>
    <w:rsid w:val="00AF4305"/>
    <w:rsid w:val="00AF4AA0"/>
    <w:rsid w:val="00AF4B22"/>
    <w:rsid w:val="00AF4DBF"/>
    <w:rsid w:val="00AF4E5E"/>
    <w:rsid w:val="00AF4FD5"/>
    <w:rsid w:val="00AF57E0"/>
    <w:rsid w:val="00AF5806"/>
    <w:rsid w:val="00AF5901"/>
    <w:rsid w:val="00AF5917"/>
    <w:rsid w:val="00AF5A7E"/>
    <w:rsid w:val="00AF5ACD"/>
    <w:rsid w:val="00AF5B15"/>
    <w:rsid w:val="00AF5B96"/>
    <w:rsid w:val="00AF5CCC"/>
    <w:rsid w:val="00AF5DDF"/>
    <w:rsid w:val="00AF60DB"/>
    <w:rsid w:val="00AF6110"/>
    <w:rsid w:val="00AF6226"/>
    <w:rsid w:val="00AF63E9"/>
    <w:rsid w:val="00AF6425"/>
    <w:rsid w:val="00AF646E"/>
    <w:rsid w:val="00AF685D"/>
    <w:rsid w:val="00AF68FA"/>
    <w:rsid w:val="00AF696E"/>
    <w:rsid w:val="00AF69F0"/>
    <w:rsid w:val="00AF6AC6"/>
    <w:rsid w:val="00AF6B65"/>
    <w:rsid w:val="00AF6F55"/>
    <w:rsid w:val="00AF7095"/>
    <w:rsid w:val="00AF70D8"/>
    <w:rsid w:val="00AF719C"/>
    <w:rsid w:val="00AF71A7"/>
    <w:rsid w:val="00AF71C9"/>
    <w:rsid w:val="00AF7246"/>
    <w:rsid w:val="00AF72E9"/>
    <w:rsid w:val="00AF7D99"/>
    <w:rsid w:val="00AF7DB3"/>
    <w:rsid w:val="00AF7E82"/>
    <w:rsid w:val="00B00014"/>
    <w:rsid w:val="00B000A0"/>
    <w:rsid w:val="00B002B8"/>
    <w:rsid w:val="00B00611"/>
    <w:rsid w:val="00B00749"/>
    <w:rsid w:val="00B00949"/>
    <w:rsid w:val="00B0094E"/>
    <w:rsid w:val="00B00999"/>
    <w:rsid w:val="00B00AAB"/>
    <w:rsid w:val="00B011B3"/>
    <w:rsid w:val="00B013E3"/>
    <w:rsid w:val="00B01B10"/>
    <w:rsid w:val="00B01D5C"/>
    <w:rsid w:val="00B01F1F"/>
    <w:rsid w:val="00B02141"/>
    <w:rsid w:val="00B02144"/>
    <w:rsid w:val="00B02502"/>
    <w:rsid w:val="00B02513"/>
    <w:rsid w:val="00B02871"/>
    <w:rsid w:val="00B02B88"/>
    <w:rsid w:val="00B02CFD"/>
    <w:rsid w:val="00B02DD8"/>
    <w:rsid w:val="00B02DF1"/>
    <w:rsid w:val="00B03037"/>
    <w:rsid w:val="00B0334E"/>
    <w:rsid w:val="00B033E2"/>
    <w:rsid w:val="00B03439"/>
    <w:rsid w:val="00B03484"/>
    <w:rsid w:val="00B034AE"/>
    <w:rsid w:val="00B03719"/>
    <w:rsid w:val="00B03936"/>
    <w:rsid w:val="00B03985"/>
    <w:rsid w:val="00B039A1"/>
    <w:rsid w:val="00B03A5A"/>
    <w:rsid w:val="00B03A82"/>
    <w:rsid w:val="00B03CED"/>
    <w:rsid w:val="00B03DC5"/>
    <w:rsid w:val="00B0411B"/>
    <w:rsid w:val="00B04354"/>
    <w:rsid w:val="00B0461C"/>
    <w:rsid w:val="00B04663"/>
    <w:rsid w:val="00B0479D"/>
    <w:rsid w:val="00B048DB"/>
    <w:rsid w:val="00B049C5"/>
    <w:rsid w:val="00B04BD4"/>
    <w:rsid w:val="00B04FD7"/>
    <w:rsid w:val="00B051E5"/>
    <w:rsid w:val="00B05316"/>
    <w:rsid w:val="00B054DE"/>
    <w:rsid w:val="00B05686"/>
    <w:rsid w:val="00B057E2"/>
    <w:rsid w:val="00B057F7"/>
    <w:rsid w:val="00B05ACF"/>
    <w:rsid w:val="00B06093"/>
    <w:rsid w:val="00B061F9"/>
    <w:rsid w:val="00B06224"/>
    <w:rsid w:val="00B065B9"/>
    <w:rsid w:val="00B0684A"/>
    <w:rsid w:val="00B06BA4"/>
    <w:rsid w:val="00B06BDC"/>
    <w:rsid w:val="00B06C9E"/>
    <w:rsid w:val="00B06D0F"/>
    <w:rsid w:val="00B06F83"/>
    <w:rsid w:val="00B07360"/>
    <w:rsid w:val="00B073E3"/>
    <w:rsid w:val="00B074FA"/>
    <w:rsid w:val="00B0770C"/>
    <w:rsid w:val="00B07769"/>
    <w:rsid w:val="00B077DB"/>
    <w:rsid w:val="00B0793B"/>
    <w:rsid w:val="00B07A39"/>
    <w:rsid w:val="00B07B91"/>
    <w:rsid w:val="00B07D14"/>
    <w:rsid w:val="00B07DB8"/>
    <w:rsid w:val="00B07DFC"/>
    <w:rsid w:val="00B10118"/>
    <w:rsid w:val="00B101C7"/>
    <w:rsid w:val="00B101E6"/>
    <w:rsid w:val="00B10367"/>
    <w:rsid w:val="00B10737"/>
    <w:rsid w:val="00B10C17"/>
    <w:rsid w:val="00B10D08"/>
    <w:rsid w:val="00B10D0C"/>
    <w:rsid w:val="00B10D51"/>
    <w:rsid w:val="00B10D6B"/>
    <w:rsid w:val="00B11406"/>
    <w:rsid w:val="00B114BF"/>
    <w:rsid w:val="00B11706"/>
    <w:rsid w:val="00B119B5"/>
    <w:rsid w:val="00B11B22"/>
    <w:rsid w:val="00B11B7E"/>
    <w:rsid w:val="00B11BAA"/>
    <w:rsid w:val="00B11BCB"/>
    <w:rsid w:val="00B11D09"/>
    <w:rsid w:val="00B11D32"/>
    <w:rsid w:val="00B11E11"/>
    <w:rsid w:val="00B11E5A"/>
    <w:rsid w:val="00B11FF7"/>
    <w:rsid w:val="00B1225D"/>
    <w:rsid w:val="00B1232A"/>
    <w:rsid w:val="00B124D4"/>
    <w:rsid w:val="00B125F7"/>
    <w:rsid w:val="00B13013"/>
    <w:rsid w:val="00B13051"/>
    <w:rsid w:val="00B130FC"/>
    <w:rsid w:val="00B1325A"/>
    <w:rsid w:val="00B13475"/>
    <w:rsid w:val="00B136E7"/>
    <w:rsid w:val="00B1372B"/>
    <w:rsid w:val="00B139D2"/>
    <w:rsid w:val="00B13C94"/>
    <w:rsid w:val="00B13DCB"/>
    <w:rsid w:val="00B1426E"/>
    <w:rsid w:val="00B1437F"/>
    <w:rsid w:val="00B143E0"/>
    <w:rsid w:val="00B143E7"/>
    <w:rsid w:val="00B144AA"/>
    <w:rsid w:val="00B14834"/>
    <w:rsid w:val="00B14874"/>
    <w:rsid w:val="00B14875"/>
    <w:rsid w:val="00B14BB1"/>
    <w:rsid w:val="00B14CDE"/>
    <w:rsid w:val="00B14DBC"/>
    <w:rsid w:val="00B14FD0"/>
    <w:rsid w:val="00B15033"/>
    <w:rsid w:val="00B152D3"/>
    <w:rsid w:val="00B152E1"/>
    <w:rsid w:val="00B15407"/>
    <w:rsid w:val="00B154F0"/>
    <w:rsid w:val="00B157A5"/>
    <w:rsid w:val="00B157B6"/>
    <w:rsid w:val="00B15AFC"/>
    <w:rsid w:val="00B15B1B"/>
    <w:rsid w:val="00B15BA3"/>
    <w:rsid w:val="00B15BAF"/>
    <w:rsid w:val="00B15DFC"/>
    <w:rsid w:val="00B15ED6"/>
    <w:rsid w:val="00B160CA"/>
    <w:rsid w:val="00B16126"/>
    <w:rsid w:val="00B16420"/>
    <w:rsid w:val="00B164E0"/>
    <w:rsid w:val="00B168CA"/>
    <w:rsid w:val="00B168E7"/>
    <w:rsid w:val="00B16BCB"/>
    <w:rsid w:val="00B16D7F"/>
    <w:rsid w:val="00B16E01"/>
    <w:rsid w:val="00B16F00"/>
    <w:rsid w:val="00B174F2"/>
    <w:rsid w:val="00B1756D"/>
    <w:rsid w:val="00B17A4C"/>
    <w:rsid w:val="00B17A4F"/>
    <w:rsid w:val="00B17D28"/>
    <w:rsid w:val="00B17F99"/>
    <w:rsid w:val="00B17FBC"/>
    <w:rsid w:val="00B201E3"/>
    <w:rsid w:val="00B20514"/>
    <w:rsid w:val="00B206EF"/>
    <w:rsid w:val="00B207B3"/>
    <w:rsid w:val="00B20C13"/>
    <w:rsid w:val="00B20C8E"/>
    <w:rsid w:val="00B20CCB"/>
    <w:rsid w:val="00B20E7B"/>
    <w:rsid w:val="00B20EEC"/>
    <w:rsid w:val="00B2118D"/>
    <w:rsid w:val="00B2129D"/>
    <w:rsid w:val="00B21601"/>
    <w:rsid w:val="00B2184E"/>
    <w:rsid w:val="00B21D12"/>
    <w:rsid w:val="00B21D23"/>
    <w:rsid w:val="00B21E50"/>
    <w:rsid w:val="00B21F3A"/>
    <w:rsid w:val="00B22170"/>
    <w:rsid w:val="00B22173"/>
    <w:rsid w:val="00B221B5"/>
    <w:rsid w:val="00B2234B"/>
    <w:rsid w:val="00B223C5"/>
    <w:rsid w:val="00B223EF"/>
    <w:rsid w:val="00B223FB"/>
    <w:rsid w:val="00B2258B"/>
    <w:rsid w:val="00B2282A"/>
    <w:rsid w:val="00B2283A"/>
    <w:rsid w:val="00B2293B"/>
    <w:rsid w:val="00B22E31"/>
    <w:rsid w:val="00B22FAC"/>
    <w:rsid w:val="00B2307F"/>
    <w:rsid w:val="00B2324E"/>
    <w:rsid w:val="00B2335B"/>
    <w:rsid w:val="00B23445"/>
    <w:rsid w:val="00B2363B"/>
    <w:rsid w:val="00B238E4"/>
    <w:rsid w:val="00B23A6B"/>
    <w:rsid w:val="00B23C92"/>
    <w:rsid w:val="00B23CCC"/>
    <w:rsid w:val="00B23D3C"/>
    <w:rsid w:val="00B23E2D"/>
    <w:rsid w:val="00B23F8C"/>
    <w:rsid w:val="00B2414D"/>
    <w:rsid w:val="00B243B0"/>
    <w:rsid w:val="00B24599"/>
    <w:rsid w:val="00B2462E"/>
    <w:rsid w:val="00B247CB"/>
    <w:rsid w:val="00B2484E"/>
    <w:rsid w:val="00B249FC"/>
    <w:rsid w:val="00B24CE9"/>
    <w:rsid w:val="00B24EB5"/>
    <w:rsid w:val="00B25147"/>
    <w:rsid w:val="00B254B8"/>
    <w:rsid w:val="00B259DE"/>
    <w:rsid w:val="00B25ABD"/>
    <w:rsid w:val="00B25C8C"/>
    <w:rsid w:val="00B25D6F"/>
    <w:rsid w:val="00B25E26"/>
    <w:rsid w:val="00B25F0C"/>
    <w:rsid w:val="00B261E2"/>
    <w:rsid w:val="00B2651A"/>
    <w:rsid w:val="00B2678B"/>
    <w:rsid w:val="00B268A9"/>
    <w:rsid w:val="00B26BEF"/>
    <w:rsid w:val="00B26E78"/>
    <w:rsid w:val="00B26F41"/>
    <w:rsid w:val="00B27212"/>
    <w:rsid w:val="00B2726F"/>
    <w:rsid w:val="00B2737F"/>
    <w:rsid w:val="00B276D1"/>
    <w:rsid w:val="00B27740"/>
    <w:rsid w:val="00B277F2"/>
    <w:rsid w:val="00B27925"/>
    <w:rsid w:val="00B27975"/>
    <w:rsid w:val="00B279F8"/>
    <w:rsid w:val="00B27B23"/>
    <w:rsid w:val="00B27DCC"/>
    <w:rsid w:val="00B27E16"/>
    <w:rsid w:val="00B27FC2"/>
    <w:rsid w:val="00B30071"/>
    <w:rsid w:val="00B300D4"/>
    <w:rsid w:val="00B30397"/>
    <w:rsid w:val="00B305EC"/>
    <w:rsid w:val="00B31035"/>
    <w:rsid w:val="00B3108C"/>
    <w:rsid w:val="00B31323"/>
    <w:rsid w:val="00B31347"/>
    <w:rsid w:val="00B31552"/>
    <w:rsid w:val="00B317E7"/>
    <w:rsid w:val="00B31A96"/>
    <w:rsid w:val="00B31B40"/>
    <w:rsid w:val="00B31C0F"/>
    <w:rsid w:val="00B31D7B"/>
    <w:rsid w:val="00B31FC3"/>
    <w:rsid w:val="00B323EC"/>
    <w:rsid w:val="00B328AA"/>
    <w:rsid w:val="00B32B3C"/>
    <w:rsid w:val="00B32B64"/>
    <w:rsid w:val="00B32E4D"/>
    <w:rsid w:val="00B32E72"/>
    <w:rsid w:val="00B32EFF"/>
    <w:rsid w:val="00B32FB1"/>
    <w:rsid w:val="00B3347F"/>
    <w:rsid w:val="00B3363C"/>
    <w:rsid w:val="00B338FB"/>
    <w:rsid w:val="00B33A0F"/>
    <w:rsid w:val="00B33A57"/>
    <w:rsid w:val="00B33ACF"/>
    <w:rsid w:val="00B33D39"/>
    <w:rsid w:val="00B34083"/>
    <w:rsid w:val="00B341FD"/>
    <w:rsid w:val="00B34226"/>
    <w:rsid w:val="00B3436F"/>
    <w:rsid w:val="00B34744"/>
    <w:rsid w:val="00B34BD6"/>
    <w:rsid w:val="00B34C57"/>
    <w:rsid w:val="00B34F90"/>
    <w:rsid w:val="00B34FFF"/>
    <w:rsid w:val="00B3500D"/>
    <w:rsid w:val="00B35056"/>
    <w:rsid w:val="00B35105"/>
    <w:rsid w:val="00B3514C"/>
    <w:rsid w:val="00B35201"/>
    <w:rsid w:val="00B35307"/>
    <w:rsid w:val="00B35392"/>
    <w:rsid w:val="00B35412"/>
    <w:rsid w:val="00B3582E"/>
    <w:rsid w:val="00B359DA"/>
    <w:rsid w:val="00B35BC4"/>
    <w:rsid w:val="00B35C9C"/>
    <w:rsid w:val="00B35DB9"/>
    <w:rsid w:val="00B3623C"/>
    <w:rsid w:val="00B362E2"/>
    <w:rsid w:val="00B36704"/>
    <w:rsid w:val="00B3678D"/>
    <w:rsid w:val="00B3693B"/>
    <w:rsid w:val="00B36998"/>
    <w:rsid w:val="00B36C21"/>
    <w:rsid w:val="00B36C36"/>
    <w:rsid w:val="00B36E32"/>
    <w:rsid w:val="00B37057"/>
    <w:rsid w:val="00B371D0"/>
    <w:rsid w:val="00B37514"/>
    <w:rsid w:val="00B37728"/>
    <w:rsid w:val="00B377C7"/>
    <w:rsid w:val="00B37935"/>
    <w:rsid w:val="00B37946"/>
    <w:rsid w:val="00B37E37"/>
    <w:rsid w:val="00B37E88"/>
    <w:rsid w:val="00B400CA"/>
    <w:rsid w:val="00B4020A"/>
    <w:rsid w:val="00B404C4"/>
    <w:rsid w:val="00B40526"/>
    <w:rsid w:val="00B40671"/>
    <w:rsid w:val="00B40949"/>
    <w:rsid w:val="00B409FC"/>
    <w:rsid w:val="00B40C29"/>
    <w:rsid w:val="00B40D19"/>
    <w:rsid w:val="00B410FF"/>
    <w:rsid w:val="00B41288"/>
    <w:rsid w:val="00B41383"/>
    <w:rsid w:val="00B41514"/>
    <w:rsid w:val="00B41B52"/>
    <w:rsid w:val="00B41B9A"/>
    <w:rsid w:val="00B41CEC"/>
    <w:rsid w:val="00B41E4A"/>
    <w:rsid w:val="00B41F32"/>
    <w:rsid w:val="00B41F45"/>
    <w:rsid w:val="00B42350"/>
    <w:rsid w:val="00B42503"/>
    <w:rsid w:val="00B4250C"/>
    <w:rsid w:val="00B4255E"/>
    <w:rsid w:val="00B4275B"/>
    <w:rsid w:val="00B42761"/>
    <w:rsid w:val="00B428F5"/>
    <w:rsid w:val="00B4291E"/>
    <w:rsid w:val="00B42ADE"/>
    <w:rsid w:val="00B42E70"/>
    <w:rsid w:val="00B42EA7"/>
    <w:rsid w:val="00B43268"/>
    <w:rsid w:val="00B432C6"/>
    <w:rsid w:val="00B4338B"/>
    <w:rsid w:val="00B433D2"/>
    <w:rsid w:val="00B43495"/>
    <w:rsid w:val="00B435E3"/>
    <w:rsid w:val="00B43698"/>
    <w:rsid w:val="00B43827"/>
    <w:rsid w:val="00B43C7F"/>
    <w:rsid w:val="00B43DC2"/>
    <w:rsid w:val="00B43E60"/>
    <w:rsid w:val="00B43EE1"/>
    <w:rsid w:val="00B43EEA"/>
    <w:rsid w:val="00B43F44"/>
    <w:rsid w:val="00B43FF7"/>
    <w:rsid w:val="00B44205"/>
    <w:rsid w:val="00B444AF"/>
    <w:rsid w:val="00B4484C"/>
    <w:rsid w:val="00B449D1"/>
    <w:rsid w:val="00B449E9"/>
    <w:rsid w:val="00B44B04"/>
    <w:rsid w:val="00B44F1C"/>
    <w:rsid w:val="00B44F47"/>
    <w:rsid w:val="00B44F50"/>
    <w:rsid w:val="00B44F9C"/>
    <w:rsid w:val="00B450AB"/>
    <w:rsid w:val="00B452EC"/>
    <w:rsid w:val="00B45373"/>
    <w:rsid w:val="00B4541C"/>
    <w:rsid w:val="00B45615"/>
    <w:rsid w:val="00B45702"/>
    <w:rsid w:val="00B458E7"/>
    <w:rsid w:val="00B45BDA"/>
    <w:rsid w:val="00B45C64"/>
    <w:rsid w:val="00B45DB8"/>
    <w:rsid w:val="00B46207"/>
    <w:rsid w:val="00B466F6"/>
    <w:rsid w:val="00B4678F"/>
    <w:rsid w:val="00B469F5"/>
    <w:rsid w:val="00B46A32"/>
    <w:rsid w:val="00B46B29"/>
    <w:rsid w:val="00B46D00"/>
    <w:rsid w:val="00B46EF4"/>
    <w:rsid w:val="00B46F0F"/>
    <w:rsid w:val="00B46F1F"/>
    <w:rsid w:val="00B46FE3"/>
    <w:rsid w:val="00B47298"/>
    <w:rsid w:val="00B47545"/>
    <w:rsid w:val="00B476E0"/>
    <w:rsid w:val="00B47896"/>
    <w:rsid w:val="00B47903"/>
    <w:rsid w:val="00B47954"/>
    <w:rsid w:val="00B47BF7"/>
    <w:rsid w:val="00B47C01"/>
    <w:rsid w:val="00B47FBE"/>
    <w:rsid w:val="00B500C8"/>
    <w:rsid w:val="00B500D5"/>
    <w:rsid w:val="00B501AF"/>
    <w:rsid w:val="00B50541"/>
    <w:rsid w:val="00B50728"/>
    <w:rsid w:val="00B50765"/>
    <w:rsid w:val="00B50A40"/>
    <w:rsid w:val="00B50A7D"/>
    <w:rsid w:val="00B50AA6"/>
    <w:rsid w:val="00B50B42"/>
    <w:rsid w:val="00B50BB3"/>
    <w:rsid w:val="00B50DF4"/>
    <w:rsid w:val="00B50E4F"/>
    <w:rsid w:val="00B50E9E"/>
    <w:rsid w:val="00B51177"/>
    <w:rsid w:val="00B5120F"/>
    <w:rsid w:val="00B5147F"/>
    <w:rsid w:val="00B518E8"/>
    <w:rsid w:val="00B51973"/>
    <w:rsid w:val="00B51B18"/>
    <w:rsid w:val="00B51D59"/>
    <w:rsid w:val="00B51DC0"/>
    <w:rsid w:val="00B52136"/>
    <w:rsid w:val="00B5230B"/>
    <w:rsid w:val="00B523B8"/>
    <w:rsid w:val="00B5251B"/>
    <w:rsid w:val="00B52535"/>
    <w:rsid w:val="00B528DF"/>
    <w:rsid w:val="00B529B6"/>
    <w:rsid w:val="00B529FF"/>
    <w:rsid w:val="00B52ABC"/>
    <w:rsid w:val="00B52B19"/>
    <w:rsid w:val="00B52BD1"/>
    <w:rsid w:val="00B52BE4"/>
    <w:rsid w:val="00B52E18"/>
    <w:rsid w:val="00B5329D"/>
    <w:rsid w:val="00B532FF"/>
    <w:rsid w:val="00B53547"/>
    <w:rsid w:val="00B53597"/>
    <w:rsid w:val="00B535E9"/>
    <w:rsid w:val="00B535F4"/>
    <w:rsid w:val="00B53784"/>
    <w:rsid w:val="00B537EF"/>
    <w:rsid w:val="00B539BA"/>
    <w:rsid w:val="00B53B6B"/>
    <w:rsid w:val="00B53BBC"/>
    <w:rsid w:val="00B53E8C"/>
    <w:rsid w:val="00B53EAC"/>
    <w:rsid w:val="00B53F85"/>
    <w:rsid w:val="00B54111"/>
    <w:rsid w:val="00B54268"/>
    <w:rsid w:val="00B54533"/>
    <w:rsid w:val="00B54641"/>
    <w:rsid w:val="00B54690"/>
    <w:rsid w:val="00B5494B"/>
    <w:rsid w:val="00B54A2D"/>
    <w:rsid w:val="00B54C75"/>
    <w:rsid w:val="00B54E1F"/>
    <w:rsid w:val="00B5508D"/>
    <w:rsid w:val="00B550D8"/>
    <w:rsid w:val="00B55114"/>
    <w:rsid w:val="00B5524F"/>
    <w:rsid w:val="00B55322"/>
    <w:rsid w:val="00B55B56"/>
    <w:rsid w:val="00B55D09"/>
    <w:rsid w:val="00B55D3E"/>
    <w:rsid w:val="00B55DAF"/>
    <w:rsid w:val="00B561E5"/>
    <w:rsid w:val="00B566E4"/>
    <w:rsid w:val="00B56C52"/>
    <w:rsid w:val="00B56C7F"/>
    <w:rsid w:val="00B56D81"/>
    <w:rsid w:val="00B56D96"/>
    <w:rsid w:val="00B56F38"/>
    <w:rsid w:val="00B5711C"/>
    <w:rsid w:val="00B5714B"/>
    <w:rsid w:val="00B573EC"/>
    <w:rsid w:val="00B57642"/>
    <w:rsid w:val="00B5774D"/>
    <w:rsid w:val="00B57918"/>
    <w:rsid w:val="00B5791A"/>
    <w:rsid w:val="00B57921"/>
    <w:rsid w:val="00B57938"/>
    <w:rsid w:val="00B57B6C"/>
    <w:rsid w:val="00B57B8D"/>
    <w:rsid w:val="00B57C68"/>
    <w:rsid w:val="00B60122"/>
    <w:rsid w:val="00B601C3"/>
    <w:rsid w:val="00B60558"/>
    <w:rsid w:val="00B60A25"/>
    <w:rsid w:val="00B60BF4"/>
    <w:rsid w:val="00B60BF9"/>
    <w:rsid w:val="00B610F4"/>
    <w:rsid w:val="00B61291"/>
    <w:rsid w:val="00B6141E"/>
    <w:rsid w:val="00B61512"/>
    <w:rsid w:val="00B6152F"/>
    <w:rsid w:val="00B615ED"/>
    <w:rsid w:val="00B61619"/>
    <w:rsid w:val="00B619F4"/>
    <w:rsid w:val="00B61A01"/>
    <w:rsid w:val="00B61D80"/>
    <w:rsid w:val="00B61F4E"/>
    <w:rsid w:val="00B61F54"/>
    <w:rsid w:val="00B62126"/>
    <w:rsid w:val="00B6218D"/>
    <w:rsid w:val="00B62590"/>
    <w:rsid w:val="00B6263B"/>
    <w:rsid w:val="00B626C0"/>
    <w:rsid w:val="00B62700"/>
    <w:rsid w:val="00B62B35"/>
    <w:rsid w:val="00B62BEA"/>
    <w:rsid w:val="00B62D16"/>
    <w:rsid w:val="00B62F20"/>
    <w:rsid w:val="00B63129"/>
    <w:rsid w:val="00B631B5"/>
    <w:rsid w:val="00B6327D"/>
    <w:rsid w:val="00B632FF"/>
    <w:rsid w:val="00B636E3"/>
    <w:rsid w:val="00B6393A"/>
    <w:rsid w:val="00B63970"/>
    <w:rsid w:val="00B63BA7"/>
    <w:rsid w:val="00B63C21"/>
    <w:rsid w:val="00B63E90"/>
    <w:rsid w:val="00B63F5B"/>
    <w:rsid w:val="00B63F5D"/>
    <w:rsid w:val="00B63F99"/>
    <w:rsid w:val="00B641F7"/>
    <w:rsid w:val="00B6437D"/>
    <w:rsid w:val="00B64580"/>
    <w:rsid w:val="00B646A9"/>
    <w:rsid w:val="00B64832"/>
    <w:rsid w:val="00B64AA0"/>
    <w:rsid w:val="00B64AE4"/>
    <w:rsid w:val="00B64C77"/>
    <w:rsid w:val="00B64C7F"/>
    <w:rsid w:val="00B64E82"/>
    <w:rsid w:val="00B64F0E"/>
    <w:rsid w:val="00B651B5"/>
    <w:rsid w:val="00B65464"/>
    <w:rsid w:val="00B65880"/>
    <w:rsid w:val="00B65AF3"/>
    <w:rsid w:val="00B65CD0"/>
    <w:rsid w:val="00B65EBE"/>
    <w:rsid w:val="00B65F69"/>
    <w:rsid w:val="00B6634B"/>
    <w:rsid w:val="00B66381"/>
    <w:rsid w:val="00B663F1"/>
    <w:rsid w:val="00B6664F"/>
    <w:rsid w:val="00B66761"/>
    <w:rsid w:val="00B6684C"/>
    <w:rsid w:val="00B66CA1"/>
    <w:rsid w:val="00B66F88"/>
    <w:rsid w:val="00B670BA"/>
    <w:rsid w:val="00B6718D"/>
    <w:rsid w:val="00B67271"/>
    <w:rsid w:val="00B6729F"/>
    <w:rsid w:val="00B672A8"/>
    <w:rsid w:val="00B67666"/>
    <w:rsid w:val="00B676E1"/>
    <w:rsid w:val="00B67883"/>
    <w:rsid w:val="00B679CF"/>
    <w:rsid w:val="00B67FD8"/>
    <w:rsid w:val="00B7006C"/>
    <w:rsid w:val="00B700A5"/>
    <w:rsid w:val="00B706E2"/>
    <w:rsid w:val="00B707D6"/>
    <w:rsid w:val="00B70A8C"/>
    <w:rsid w:val="00B70B53"/>
    <w:rsid w:val="00B70C54"/>
    <w:rsid w:val="00B70D2E"/>
    <w:rsid w:val="00B70F1C"/>
    <w:rsid w:val="00B7129F"/>
    <w:rsid w:val="00B714BA"/>
    <w:rsid w:val="00B715E0"/>
    <w:rsid w:val="00B71668"/>
    <w:rsid w:val="00B716F2"/>
    <w:rsid w:val="00B7175D"/>
    <w:rsid w:val="00B718D5"/>
    <w:rsid w:val="00B71B0B"/>
    <w:rsid w:val="00B71B50"/>
    <w:rsid w:val="00B71D78"/>
    <w:rsid w:val="00B720D4"/>
    <w:rsid w:val="00B721B4"/>
    <w:rsid w:val="00B7222D"/>
    <w:rsid w:val="00B72490"/>
    <w:rsid w:val="00B725E1"/>
    <w:rsid w:val="00B7267A"/>
    <w:rsid w:val="00B72988"/>
    <w:rsid w:val="00B72A02"/>
    <w:rsid w:val="00B72A12"/>
    <w:rsid w:val="00B72E67"/>
    <w:rsid w:val="00B730B9"/>
    <w:rsid w:val="00B730C2"/>
    <w:rsid w:val="00B7361F"/>
    <w:rsid w:val="00B73686"/>
    <w:rsid w:val="00B73788"/>
    <w:rsid w:val="00B7389D"/>
    <w:rsid w:val="00B73AF4"/>
    <w:rsid w:val="00B73D0A"/>
    <w:rsid w:val="00B74013"/>
    <w:rsid w:val="00B742DF"/>
    <w:rsid w:val="00B7451F"/>
    <w:rsid w:val="00B74607"/>
    <w:rsid w:val="00B7475E"/>
    <w:rsid w:val="00B747FD"/>
    <w:rsid w:val="00B74BA0"/>
    <w:rsid w:val="00B74E63"/>
    <w:rsid w:val="00B74E9A"/>
    <w:rsid w:val="00B74FD2"/>
    <w:rsid w:val="00B754A4"/>
    <w:rsid w:val="00B755ED"/>
    <w:rsid w:val="00B75608"/>
    <w:rsid w:val="00B75682"/>
    <w:rsid w:val="00B757F1"/>
    <w:rsid w:val="00B7591E"/>
    <w:rsid w:val="00B759AA"/>
    <w:rsid w:val="00B75B4F"/>
    <w:rsid w:val="00B75BF6"/>
    <w:rsid w:val="00B75C8D"/>
    <w:rsid w:val="00B75DB8"/>
    <w:rsid w:val="00B760B4"/>
    <w:rsid w:val="00B76292"/>
    <w:rsid w:val="00B768C2"/>
    <w:rsid w:val="00B769C0"/>
    <w:rsid w:val="00B76AB2"/>
    <w:rsid w:val="00B76BDD"/>
    <w:rsid w:val="00B76C7B"/>
    <w:rsid w:val="00B76CD3"/>
    <w:rsid w:val="00B76D3B"/>
    <w:rsid w:val="00B76DBB"/>
    <w:rsid w:val="00B77096"/>
    <w:rsid w:val="00B7712F"/>
    <w:rsid w:val="00B7731A"/>
    <w:rsid w:val="00B7778D"/>
    <w:rsid w:val="00B777BF"/>
    <w:rsid w:val="00B779FE"/>
    <w:rsid w:val="00B77A33"/>
    <w:rsid w:val="00B77B49"/>
    <w:rsid w:val="00B77BBF"/>
    <w:rsid w:val="00B77D2C"/>
    <w:rsid w:val="00B77F1D"/>
    <w:rsid w:val="00B77F57"/>
    <w:rsid w:val="00B80167"/>
    <w:rsid w:val="00B801AD"/>
    <w:rsid w:val="00B80381"/>
    <w:rsid w:val="00B8050A"/>
    <w:rsid w:val="00B806E4"/>
    <w:rsid w:val="00B80772"/>
    <w:rsid w:val="00B8098C"/>
    <w:rsid w:val="00B80B50"/>
    <w:rsid w:val="00B812BB"/>
    <w:rsid w:val="00B81389"/>
    <w:rsid w:val="00B81421"/>
    <w:rsid w:val="00B815E3"/>
    <w:rsid w:val="00B8194C"/>
    <w:rsid w:val="00B81AA6"/>
    <w:rsid w:val="00B81B49"/>
    <w:rsid w:val="00B81C48"/>
    <w:rsid w:val="00B81F24"/>
    <w:rsid w:val="00B81F98"/>
    <w:rsid w:val="00B820E1"/>
    <w:rsid w:val="00B823A7"/>
    <w:rsid w:val="00B82567"/>
    <w:rsid w:val="00B82627"/>
    <w:rsid w:val="00B8282F"/>
    <w:rsid w:val="00B82A96"/>
    <w:rsid w:val="00B82CE2"/>
    <w:rsid w:val="00B82D02"/>
    <w:rsid w:val="00B83298"/>
    <w:rsid w:val="00B83403"/>
    <w:rsid w:val="00B8358F"/>
    <w:rsid w:val="00B835A4"/>
    <w:rsid w:val="00B839BC"/>
    <w:rsid w:val="00B83A4B"/>
    <w:rsid w:val="00B83F66"/>
    <w:rsid w:val="00B840CB"/>
    <w:rsid w:val="00B841E9"/>
    <w:rsid w:val="00B84331"/>
    <w:rsid w:val="00B84913"/>
    <w:rsid w:val="00B8493A"/>
    <w:rsid w:val="00B84A8E"/>
    <w:rsid w:val="00B84B30"/>
    <w:rsid w:val="00B84B6C"/>
    <w:rsid w:val="00B84BA8"/>
    <w:rsid w:val="00B84DB6"/>
    <w:rsid w:val="00B84E65"/>
    <w:rsid w:val="00B84EED"/>
    <w:rsid w:val="00B84F29"/>
    <w:rsid w:val="00B84FA5"/>
    <w:rsid w:val="00B85271"/>
    <w:rsid w:val="00B8528E"/>
    <w:rsid w:val="00B85423"/>
    <w:rsid w:val="00B85508"/>
    <w:rsid w:val="00B859CF"/>
    <w:rsid w:val="00B85B8F"/>
    <w:rsid w:val="00B85BAB"/>
    <w:rsid w:val="00B85BB2"/>
    <w:rsid w:val="00B85BE2"/>
    <w:rsid w:val="00B8624B"/>
    <w:rsid w:val="00B8643E"/>
    <w:rsid w:val="00B86669"/>
    <w:rsid w:val="00B866F3"/>
    <w:rsid w:val="00B86804"/>
    <w:rsid w:val="00B8693B"/>
    <w:rsid w:val="00B86978"/>
    <w:rsid w:val="00B86AF9"/>
    <w:rsid w:val="00B86B69"/>
    <w:rsid w:val="00B86C33"/>
    <w:rsid w:val="00B86D16"/>
    <w:rsid w:val="00B86D56"/>
    <w:rsid w:val="00B86E2C"/>
    <w:rsid w:val="00B86FE9"/>
    <w:rsid w:val="00B87023"/>
    <w:rsid w:val="00B871F0"/>
    <w:rsid w:val="00B87247"/>
    <w:rsid w:val="00B872A8"/>
    <w:rsid w:val="00B87334"/>
    <w:rsid w:val="00B87403"/>
    <w:rsid w:val="00B8751C"/>
    <w:rsid w:val="00B87654"/>
    <w:rsid w:val="00B87694"/>
    <w:rsid w:val="00B877A0"/>
    <w:rsid w:val="00B87802"/>
    <w:rsid w:val="00B878BC"/>
    <w:rsid w:val="00B87951"/>
    <w:rsid w:val="00B879CE"/>
    <w:rsid w:val="00B879D6"/>
    <w:rsid w:val="00B87BCE"/>
    <w:rsid w:val="00B87D9F"/>
    <w:rsid w:val="00B87FB6"/>
    <w:rsid w:val="00B908D3"/>
    <w:rsid w:val="00B90A0B"/>
    <w:rsid w:val="00B90AA7"/>
    <w:rsid w:val="00B90C1F"/>
    <w:rsid w:val="00B90D03"/>
    <w:rsid w:val="00B9137B"/>
    <w:rsid w:val="00B91411"/>
    <w:rsid w:val="00B91453"/>
    <w:rsid w:val="00B91488"/>
    <w:rsid w:val="00B91A26"/>
    <w:rsid w:val="00B91F32"/>
    <w:rsid w:val="00B91FC2"/>
    <w:rsid w:val="00B922EC"/>
    <w:rsid w:val="00B9230F"/>
    <w:rsid w:val="00B923CA"/>
    <w:rsid w:val="00B925CD"/>
    <w:rsid w:val="00B92825"/>
    <w:rsid w:val="00B929BD"/>
    <w:rsid w:val="00B929DD"/>
    <w:rsid w:val="00B92B39"/>
    <w:rsid w:val="00B92D6B"/>
    <w:rsid w:val="00B9309F"/>
    <w:rsid w:val="00B93311"/>
    <w:rsid w:val="00B936C1"/>
    <w:rsid w:val="00B93798"/>
    <w:rsid w:val="00B937BA"/>
    <w:rsid w:val="00B93809"/>
    <w:rsid w:val="00B938DC"/>
    <w:rsid w:val="00B93DF4"/>
    <w:rsid w:val="00B93EC5"/>
    <w:rsid w:val="00B93F7E"/>
    <w:rsid w:val="00B940D0"/>
    <w:rsid w:val="00B941ED"/>
    <w:rsid w:val="00B94335"/>
    <w:rsid w:val="00B944A0"/>
    <w:rsid w:val="00B94548"/>
    <w:rsid w:val="00B94569"/>
    <w:rsid w:val="00B9483F"/>
    <w:rsid w:val="00B94879"/>
    <w:rsid w:val="00B94887"/>
    <w:rsid w:val="00B948C0"/>
    <w:rsid w:val="00B94D92"/>
    <w:rsid w:val="00B94E68"/>
    <w:rsid w:val="00B95273"/>
    <w:rsid w:val="00B952E2"/>
    <w:rsid w:val="00B9532E"/>
    <w:rsid w:val="00B95376"/>
    <w:rsid w:val="00B957B9"/>
    <w:rsid w:val="00B95981"/>
    <w:rsid w:val="00B95AD0"/>
    <w:rsid w:val="00B95FBC"/>
    <w:rsid w:val="00B96085"/>
    <w:rsid w:val="00B96237"/>
    <w:rsid w:val="00B96302"/>
    <w:rsid w:val="00B9655A"/>
    <w:rsid w:val="00B96777"/>
    <w:rsid w:val="00B9696A"/>
    <w:rsid w:val="00B96987"/>
    <w:rsid w:val="00B96A15"/>
    <w:rsid w:val="00B96B43"/>
    <w:rsid w:val="00B96CDE"/>
    <w:rsid w:val="00B96DC0"/>
    <w:rsid w:val="00B96E07"/>
    <w:rsid w:val="00B96E12"/>
    <w:rsid w:val="00B96EA2"/>
    <w:rsid w:val="00B97943"/>
    <w:rsid w:val="00B979A6"/>
    <w:rsid w:val="00B979EE"/>
    <w:rsid w:val="00B97A8A"/>
    <w:rsid w:val="00B97ACA"/>
    <w:rsid w:val="00B97AD7"/>
    <w:rsid w:val="00B97BC3"/>
    <w:rsid w:val="00B97F03"/>
    <w:rsid w:val="00BA0002"/>
    <w:rsid w:val="00BA0033"/>
    <w:rsid w:val="00BA00CD"/>
    <w:rsid w:val="00BA012A"/>
    <w:rsid w:val="00BA0152"/>
    <w:rsid w:val="00BA01A5"/>
    <w:rsid w:val="00BA0526"/>
    <w:rsid w:val="00BA07B0"/>
    <w:rsid w:val="00BA0B59"/>
    <w:rsid w:val="00BA0D13"/>
    <w:rsid w:val="00BA0FC7"/>
    <w:rsid w:val="00BA12A2"/>
    <w:rsid w:val="00BA136A"/>
    <w:rsid w:val="00BA13F3"/>
    <w:rsid w:val="00BA1451"/>
    <w:rsid w:val="00BA15A4"/>
    <w:rsid w:val="00BA167C"/>
    <w:rsid w:val="00BA168B"/>
    <w:rsid w:val="00BA17DE"/>
    <w:rsid w:val="00BA1810"/>
    <w:rsid w:val="00BA18C8"/>
    <w:rsid w:val="00BA1CB9"/>
    <w:rsid w:val="00BA1E6E"/>
    <w:rsid w:val="00BA206E"/>
    <w:rsid w:val="00BA230D"/>
    <w:rsid w:val="00BA23CC"/>
    <w:rsid w:val="00BA24E0"/>
    <w:rsid w:val="00BA24EC"/>
    <w:rsid w:val="00BA2837"/>
    <w:rsid w:val="00BA2952"/>
    <w:rsid w:val="00BA2C95"/>
    <w:rsid w:val="00BA2F9B"/>
    <w:rsid w:val="00BA303A"/>
    <w:rsid w:val="00BA3063"/>
    <w:rsid w:val="00BA3271"/>
    <w:rsid w:val="00BA32B2"/>
    <w:rsid w:val="00BA3343"/>
    <w:rsid w:val="00BA3359"/>
    <w:rsid w:val="00BA3505"/>
    <w:rsid w:val="00BA35C7"/>
    <w:rsid w:val="00BA3717"/>
    <w:rsid w:val="00BA381E"/>
    <w:rsid w:val="00BA386D"/>
    <w:rsid w:val="00BA38F6"/>
    <w:rsid w:val="00BA38FF"/>
    <w:rsid w:val="00BA3DA3"/>
    <w:rsid w:val="00BA40EA"/>
    <w:rsid w:val="00BA456C"/>
    <w:rsid w:val="00BA46F2"/>
    <w:rsid w:val="00BA48C0"/>
    <w:rsid w:val="00BA4B41"/>
    <w:rsid w:val="00BA4C59"/>
    <w:rsid w:val="00BA4C9E"/>
    <w:rsid w:val="00BA4EC4"/>
    <w:rsid w:val="00BA55A6"/>
    <w:rsid w:val="00BA56B7"/>
    <w:rsid w:val="00BA56C3"/>
    <w:rsid w:val="00BA5946"/>
    <w:rsid w:val="00BA5B1B"/>
    <w:rsid w:val="00BA5CBD"/>
    <w:rsid w:val="00BA5EDB"/>
    <w:rsid w:val="00BA60C8"/>
    <w:rsid w:val="00BA63E4"/>
    <w:rsid w:val="00BA659D"/>
    <w:rsid w:val="00BA65E5"/>
    <w:rsid w:val="00BA6747"/>
    <w:rsid w:val="00BA686F"/>
    <w:rsid w:val="00BA68D1"/>
    <w:rsid w:val="00BA6A10"/>
    <w:rsid w:val="00BA6AC7"/>
    <w:rsid w:val="00BA6CEE"/>
    <w:rsid w:val="00BA6DD3"/>
    <w:rsid w:val="00BA704F"/>
    <w:rsid w:val="00BA70B4"/>
    <w:rsid w:val="00BA75A5"/>
    <w:rsid w:val="00BA75E4"/>
    <w:rsid w:val="00BA7903"/>
    <w:rsid w:val="00BA7A62"/>
    <w:rsid w:val="00BA7AE0"/>
    <w:rsid w:val="00BA7CCB"/>
    <w:rsid w:val="00BA7CDC"/>
    <w:rsid w:val="00BA7D37"/>
    <w:rsid w:val="00BA7DB3"/>
    <w:rsid w:val="00BB032F"/>
    <w:rsid w:val="00BB0386"/>
    <w:rsid w:val="00BB0507"/>
    <w:rsid w:val="00BB09DF"/>
    <w:rsid w:val="00BB0D58"/>
    <w:rsid w:val="00BB0F75"/>
    <w:rsid w:val="00BB128A"/>
    <w:rsid w:val="00BB13D3"/>
    <w:rsid w:val="00BB19DA"/>
    <w:rsid w:val="00BB1B43"/>
    <w:rsid w:val="00BB1B4C"/>
    <w:rsid w:val="00BB1D7B"/>
    <w:rsid w:val="00BB2028"/>
    <w:rsid w:val="00BB210A"/>
    <w:rsid w:val="00BB2427"/>
    <w:rsid w:val="00BB273E"/>
    <w:rsid w:val="00BB2ACB"/>
    <w:rsid w:val="00BB2B29"/>
    <w:rsid w:val="00BB2BBC"/>
    <w:rsid w:val="00BB2D53"/>
    <w:rsid w:val="00BB2D79"/>
    <w:rsid w:val="00BB2E20"/>
    <w:rsid w:val="00BB32FD"/>
    <w:rsid w:val="00BB339D"/>
    <w:rsid w:val="00BB35B9"/>
    <w:rsid w:val="00BB3633"/>
    <w:rsid w:val="00BB36E3"/>
    <w:rsid w:val="00BB3776"/>
    <w:rsid w:val="00BB388E"/>
    <w:rsid w:val="00BB3CD8"/>
    <w:rsid w:val="00BB3E0F"/>
    <w:rsid w:val="00BB3FC5"/>
    <w:rsid w:val="00BB419C"/>
    <w:rsid w:val="00BB4226"/>
    <w:rsid w:val="00BB4263"/>
    <w:rsid w:val="00BB444B"/>
    <w:rsid w:val="00BB4456"/>
    <w:rsid w:val="00BB4627"/>
    <w:rsid w:val="00BB467D"/>
    <w:rsid w:val="00BB47EC"/>
    <w:rsid w:val="00BB481C"/>
    <w:rsid w:val="00BB48D2"/>
    <w:rsid w:val="00BB4A61"/>
    <w:rsid w:val="00BB4BCA"/>
    <w:rsid w:val="00BB4C11"/>
    <w:rsid w:val="00BB5158"/>
    <w:rsid w:val="00BB53C1"/>
    <w:rsid w:val="00BB54E7"/>
    <w:rsid w:val="00BB551D"/>
    <w:rsid w:val="00BB597B"/>
    <w:rsid w:val="00BB5D1C"/>
    <w:rsid w:val="00BB5D8E"/>
    <w:rsid w:val="00BB5E6F"/>
    <w:rsid w:val="00BB60A2"/>
    <w:rsid w:val="00BB6281"/>
    <w:rsid w:val="00BB63F8"/>
    <w:rsid w:val="00BB64D6"/>
    <w:rsid w:val="00BB65CE"/>
    <w:rsid w:val="00BB6ABD"/>
    <w:rsid w:val="00BB6B54"/>
    <w:rsid w:val="00BB702E"/>
    <w:rsid w:val="00BB724E"/>
    <w:rsid w:val="00BB7423"/>
    <w:rsid w:val="00BB7561"/>
    <w:rsid w:val="00BB7636"/>
    <w:rsid w:val="00BB7652"/>
    <w:rsid w:val="00BB7751"/>
    <w:rsid w:val="00BB77A6"/>
    <w:rsid w:val="00BB78D5"/>
    <w:rsid w:val="00BB7B9C"/>
    <w:rsid w:val="00BB7D4B"/>
    <w:rsid w:val="00BB7E62"/>
    <w:rsid w:val="00BB7FB1"/>
    <w:rsid w:val="00BB7FF0"/>
    <w:rsid w:val="00BC01D5"/>
    <w:rsid w:val="00BC03BB"/>
    <w:rsid w:val="00BC0532"/>
    <w:rsid w:val="00BC08AB"/>
    <w:rsid w:val="00BC09FB"/>
    <w:rsid w:val="00BC0A2C"/>
    <w:rsid w:val="00BC0A61"/>
    <w:rsid w:val="00BC0E1C"/>
    <w:rsid w:val="00BC1B16"/>
    <w:rsid w:val="00BC1DF1"/>
    <w:rsid w:val="00BC1E00"/>
    <w:rsid w:val="00BC1E27"/>
    <w:rsid w:val="00BC2098"/>
    <w:rsid w:val="00BC20C8"/>
    <w:rsid w:val="00BC24D8"/>
    <w:rsid w:val="00BC25ED"/>
    <w:rsid w:val="00BC2605"/>
    <w:rsid w:val="00BC2761"/>
    <w:rsid w:val="00BC2790"/>
    <w:rsid w:val="00BC28D1"/>
    <w:rsid w:val="00BC2963"/>
    <w:rsid w:val="00BC2B30"/>
    <w:rsid w:val="00BC2B3B"/>
    <w:rsid w:val="00BC2B7D"/>
    <w:rsid w:val="00BC2EFC"/>
    <w:rsid w:val="00BC3070"/>
    <w:rsid w:val="00BC31AA"/>
    <w:rsid w:val="00BC3232"/>
    <w:rsid w:val="00BC34C9"/>
    <w:rsid w:val="00BC36A7"/>
    <w:rsid w:val="00BC39FC"/>
    <w:rsid w:val="00BC3A6A"/>
    <w:rsid w:val="00BC3C0B"/>
    <w:rsid w:val="00BC3D42"/>
    <w:rsid w:val="00BC4008"/>
    <w:rsid w:val="00BC4198"/>
    <w:rsid w:val="00BC4579"/>
    <w:rsid w:val="00BC45E9"/>
    <w:rsid w:val="00BC463D"/>
    <w:rsid w:val="00BC4661"/>
    <w:rsid w:val="00BC46EC"/>
    <w:rsid w:val="00BC47AE"/>
    <w:rsid w:val="00BC49B1"/>
    <w:rsid w:val="00BC4A7B"/>
    <w:rsid w:val="00BC4ACA"/>
    <w:rsid w:val="00BC4B66"/>
    <w:rsid w:val="00BC4BA4"/>
    <w:rsid w:val="00BC4F8B"/>
    <w:rsid w:val="00BC511E"/>
    <w:rsid w:val="00BC52DB"/>
    <w:rsid w:val="00BC543C"/>
    <w:rsid w:val="00BC5715"/>
    <w:rsid w:val="00BC5779"/>
    <w:rsid w:val="00BC5799"/>
    <w:rsid w:val="00BC5BA2"/>
    <w:rsid w:val="00BC5C23"/>
    <w:rsid w:val="00BC6226"/>
    <w:rsid w:val="00BC6254"/>
    <w:rsid w:val="00BC65C6"/>
    <w:rsid w:val="00BC695E"/>
    <w:rsid w:val="00BC6BA3"/>
    <w:rsid w:val="00BC6DE9"/>
    <w:rsid w:val="00BC6E7E"/>
    <w:rsid w:val="00BC6E8B"/>
    <w:rsid w:val="00BC6EBC"/>
    <w:rsid w:val="00BC6EC5"/>
    <w:rsid w:val="00BC6F11"/>
    <w:rsid w:val="00BC7156"/>
    <w:rsid w:val="00BC72DD"/>
    <w:rsid w:val="00BC7530"/>
    <w:rsid w:val="00BC7606"/>
    <w:rsid w:val="00BC764E"/>
    <w:rsid w:val="00BC79D1"/>
    <w:rsid w:val="00BC7D96"/>
    <w:rsid w:val="00BC7DBC"/>
    <w:rsid w:val="00BD01BF"/>
    <w:rsid w:val="00BD08F8"/>
    <w:rsid w:val="00BD0B1B"/>
    <w:rsid w:val="00BD0B1F"/>
    <w:rsid w:val="00BD0BB6"/>
    <w:rsid w:val="00BD0C45"/>
    <w:rsid w:val="00BD0E9C"/>
    <w:rsid w:val="00BD119B"/>
    <w:rsid w:val="00BD11D4"/>
    <w:rsid w:val="00BD127A"/>
    <w:rsid w:val="00BD128A"/>
    <w:rsid w:val="00BD13E7"/>
    <w:rsid w:val="00BD1464"/>
    <w:rsid w:val="00BD1511"/>
    <w:rsid w:val="00BD165F"/>
    <w:rsid w:val="00BD17F2"/>
    <w:rsid w:val="00BD1855"/>
    <w:rsid w:val="00BD193B"/>
    <w:rsid w:val="00BD1940"/>
    <w:rsid w:val="00BD1BDE"/>
    <w:rsid w:val="00BD2005"/>
    <w:rsid w:val="00BD21B0"/>
    <w:rsid w:val="00BD2421"/>
    <w:rsid w:val="00BD2593"/>
    <w:rsid w:val="00BD2604"/>
    <w:rsid w:val="00BD2853"/>
    <w:rsid w:val="00BD2A2B"/>
    <w:rsid w:val="00BD2C56"/>
    <w:rsid w:val="00BD2E85"/>
    <w:rsid w:val="00BD2ED8"/>
    <w:rsid w:val="00BD2F79"/>
    <w:rsid w:val="00BD301D"/>
    <w:rsid w:val="00BD3161"/>
    <w:rsid w:val="00BD3396"/>
    <w:rsid w:val="00BD3471"/>
    <w:rsid w:val="00BD362F"/>
    <w:rsid w:val="00BD392C"/>
    <w:rsid w:val="00BD3998"/>
    <w:rsid w:val="00BD3C0A"/>
    <w:rsid w:val="00BD3C98"/>
    <w:rsid w:val="00BD3D24"/>
    <w:rsid w:val="00BD3DCC"/>
    <w:rsid w:val="00BD3E05"/>
    <w:rsid w:val="00BD3F67"/>
    <w:rsid w:val="00BD4259"/>
    <w:rsid w:val="00BD4511"/>
    <w:rsid w:val="00BD469D"/>
    <w:rsid w:val="00BD481D"/>
    <w:rsid w:val="00BD48BC"/>
    <w:rsid w:val="00BD49FD"/>
    <w:rsid w:val="00BD4A85"/>
    <w:rsid w:val="00BD4B1A"/>
    <w:rsid w:val="00BD4E64"/>
    <w:rsid w:val="00BD4EEE"/>
    <w:rsid w:val="00BD5128"/>
    <w:rsid w:val="00BD5A60"/>
    <w:rsid w:val="00BD5C5C"/>
    <w:rsid w:val="00BD5D19"/>
    <w:rsid w:val="00BD5E61"/>
    <w:rsid w:val="00BD5E8D"/>
    <w:rsid w:val="00BD625B"/>
    <w:rsid w:val="00BD62E0"/>
    <w:rsid w:val="00BD630C"/>
    <w:rsid w:val="00BD63D3"/>
    <w:rsid w:val="00BD640F"/>
    <w:rsid w:val="00BD6414"/>
    <w:rsid w:val="00BD6447"/>
    <w:rsid w:val="00BD645D"/>
    <w:rsid w:val="00BD6466"/>
    <w:rsid w:val="00BD64D5"/>
    <w:rsid w:val="00BD6551"/>
    <w:rsid w:val="00BD66BF"/>
    <w:rsid w:val="00BD67C1"/>
    <w:rsid w:val="00BD67FF"/>
    <w:rsid w:val="00BD6950"/>
    <w:rsid w:val="00BD6A77"/>
    <w:rsid w:val="00BD6B3E"/>
    <w:rsid w:val="00BD6C77"/>
    <w:rsid w:val="00BD6C86"/>
    <w:rsid w:val="00BD6D2E"/>
    <w:rsid w:val="00BD6EEE"/>
    <w:rsid w:val="00BD6F66"/>
    <w:rsid w:val="00BD6FE8"/>
    <w:rsid w:val="00BD70F5"/>
    <w:rsid w:val="00BD70FE"/>
    <w:rsid w:val="00BD7585"/>
    <w:rsid w:val="00BD76C2"/>
    <w:rsid w:val="00BD7856"/>
    <w:rsid w:val="00BD7B2F"/>
    <w:rsid w:val="00BD7B3E"/>
    <w:rsid w:val="00BD7C26"/>
    <w:rsid w:val="00BD7DD8"/>
    <w:rsid w:val="00BD7E63"/>
    <w:rsid w:val="00BE0486"/>
    <w:rsid w:val="00BE0593"/>
    <w:rsid w:val="00BE0854"/>
    <w:rsid w:val="00BE0C60"/>
    <w:rsid w:val="00BE0CA9"/>
    <w:rsid w:val="00BE0E0F"/>
    <w:rsid w:val="00BE1058"/>
    <w:rsid w:val="00BE1650"/>
    <w:rsid w:val="00BE1774"/>
    <w:rsid w:val="00BE182D"/>
    <w:rsid w:val="00BE1FDD"/>
    <w:rsid w:val="00BE206D"/>
    <w:rsid w:val="00BE23C6"/>
    <w:rsid w:val="00BE23EA"/>
    <w:rsid w:val="00BE24E5"/>
    <w:rsid w:val="00BE27F2"/>
    <w:rsid w:val="00BE2855"/>
    <w:rsid w:val="00BE286F"/>
    <w:rsid w:val="00BE28C7"/>
    <w:rsid w:val="00BE2ACF"/>
    <w:rsid w:val="00BE2D21"/>
    <w:rsid w:val="00BE2D6C"/>
    <w:rsid w:val="00BE2E9A"/>
    <w:rsid w:val="00BE2FDC"/>
    <w:rsid w:val="00BE2FE9"/>
    <w:rsid w:val="00BE31B5"/>
    <w:rsid w:val="00BE3323"/>
    <w:rsid w:val="00BE36E0"/>
    <w:rsid w:val="00BE386C"/>
    <w:rsid w:val="00BE3CCE"/>
    <w:rsid w:val="00BE3CDB"/>
    <w:rsid w:val="00BE3E52"/>
    <w:rsid w:val="00BE3E6B"/>
    <w:rsid w:val="00BE409A"/>
    <w:rsid w:val="00BE4133"/>
    <w:rsid w:val="00BE442A"/>
    <w:rsid w:val="00BE4478"/>
    <w:rsid w:val="00BE4593"/>
    <w:rsid w:val="00BE4768"/>
    <w:rsid w:val="00BE48AD"/>
    <w:rsid w:val="00BE491C"/>
    <w:rsid w:val="00BE4A92"/>
    <w:rsid w:val="00BE4B9E"/>
    <w:rsid w:val="00BE4C5C"/>
    <w:rsid w:val="00BE4D48"/>
    <w:rsid w:val="00BE4E1D"/>
    <w:rsid w:val="00BE535B"/>
    <w:rsid w:val="00BE53B1"/>
    <w:rsid w:val="00BE543A"/>
    <w:rsid w:val="00BE5447"/>
    <w:rsid w:val="00BE5587"/>
    <w:rsid w:val="00BE55AE"/>
    <w:rsid w:val="00BE5622"/>
    <w:rsid w:val="00BE59A1"/>
    <w:rsid w:val="00BE59BE"/>
    <w:rsid w:val="00BE5A5F"/>
    <w:rsid w:val="00BE5A95"/>
    <w:rsid w:val="00BE5E91"/>
    <w:rsid w:val="00BE6000"/>
    <w:rsid w:val="00BE6399"/>
    <w:rsid w:val="00BE63AF"/>
    <w:rsid w:val="00BE675E"/>
    <w:rsid w:val="00BE6C53"/>
    <w:rsid w:val="00BE6EC8"/>
    <w:rsid w:val="00BE6EEE"/>
    <w:rsid w:val="00BE6F7A"/>
    <w:rsid w:val="00BE6FA7"/>
    <w:rsid w:val="00BE708D"/>
    <w:rsid w:val="00BE71AE"/>
    <w:rsid w:val="00BE7238"/>
    <w:rsid w:val="00BE7398"/>
    <w:rsid w:val="00BE7465"/>
    <w:rsid w:val="00BE769B"/>
    <w:rsid w:val="00BE7C40"/>
    <w:rsid w:val="00BE7FFE"/>
    <w:rsid w:val="00BF0073"/>
    <w:rsid w:val="00BF01CB"/>
    <w:rsid w:val="00BF02A3"/>
    <w:rsid w:val="00BF0401"/>
    <w:rsid w:val="00BF047B"/>
    <w:rsid w:val="00BF0BA7"/>
    <w:rsid w:val="00BF0BBB"/>
    <w:rsid w:val="00BF0BD7"/>
    <w:rsid w:val="00BF0C46"/>
    <w:rsid w:val="00BF0CD1"/>
    <w:rsid w:val="00BF0D1A"/>
    <w:rsid w:val="00BF0D9D"/>
    <w:rsid w:val="00BF0E18"/>
    <w:rsid w:val="00BF0FD7"/>
    <w:rsid w:val="00BF1225"/>
    <w:rsid w:val="00BF13D3"/>
    <w:rsid w:val="00BF1554"/>
    <w:rsid w:val="00BF173D"/>
    <w:rsid w:val="00BF176A"/>
    <w:rsid w:val="00BF1AF1"/>
    <w:rsid w:val="00BF1AF8"/>
    <w:rsid w:val="00BF1CBD"/>
    <w:rsid w:val="00BF1FC9"/>
    <w:rsid w:val="00BF1FD8"/>
    <w:rsid w:val="00BF2058"/>
    <w:rsid w:val="00BF20E8"/>
    <w:rsid w:val="00BF2131"/>
    <w:rsid w:val="00BF2C44"/>
    <w:rsid w:val="00BF2D81"/>
    <w:rsid w:val="00BF316F"/>
    <w:rsid w:val="00BF330D"/>
    <w:rsid w:val="00BF3675"/>
    <w:rsid w:val="00BF3782"/>
    <w:rsid w:val="00BF38CD"/>
    <w:rsid w:val="00BF38DC"/>
    <w:rsid w:val="00BF3BCA"/>
    <w:rsid w:val="00BF3C53"/>
    <w:rsid w:val="00BF48A7"/>
    <w:rsid w:val="00BF4A76"/>
    <w:rsid w:val="00BF4F09"/>
    <w:rsid w:val="00BF5067"/>
    <w:rsid w:val="00BF595D"/>
    <w:rsid w:val="00BF5997"/>
    <w:rsid w:val="00BF59CA"/>
    <w:rsid w:val="00BF5BDD"/>
    <w:rsid w:val="00BF5C35"/>
    <w:rsid w:val="00BF5C66"/>
    <w:rsid w:val="00BF5C7E"/>
    <w:rsid w:val="00BF6050"/>
    <w:rsid w:val="00BF60E8"/>
    <w:rsid w:val="00BF63B6"/>
    <w:rsid w:val="00BF63D0"/>
    <w:rsid w:val="00BF66EE"/>
    <w:rsid w:val="00BF6E44"/>
    <w:rsid w:val="00BF71A3"/>
    <w:rsid w:val="00BF75A1"/>
    <w:rsid w:val="00BF7680"/>
    <w:rsid w:val="00BF796C"/>
    <w:rsid w:val="00BF7A2C"/>
    <w:rsid w:val="00BF7A2E"/>
    <w:rsid w:val="00BF7A78"/>
    <w:rsid w:val="00BF7DB2"/>
    <w:rsid w:val="00BF7E8C"/>
    <w:rsid w:val="00C0002A"/>
    <w:rsid w:val="00C00082"/>
    <w:rsid w:val="00C0018A"/>
    <w:rsid w:val="00C001B4"/>
    <w:rsid w:val="00C0034C"/>
    <w:rsid w:val="00C0037D"/>
    <w:rsid w:val="00C003B9"/>
    <w:rsid w:val="00C00822"/>
    <w:rsid w:val="00C00905"/>
    <w:rsid w:val="00C00A7C"/>
    <w:rsid w:val="00C00AF2"/>
    <w:rsid w:val="00C00D4F"/>
    <w:rsid w:val="00C00EC0"/>
    <w:rsid w:val="00C0104C"/>
    <w:rsid w:val="00C01170"/>
    <w:rsid w:val="00C0141F"/>
    <w:rsid w:val="00C0156D"/>
    <w:rsid w:val="00C0158E"/>
    <w:rsid w:val="00C01892"/>
    <w:rsid w:val="00C01BBB"/>
    <w:rsid w:val="00C01D22"/>
    <w:rsid w:val="00C01E4A"/>
    <w:rsid w:val="00C01FD1"/>
    <w:rsid w:val="00C0237F"/>
    <w:rsid w:val="00C024A5"/>
    <w:rsid w:val="00C026D3"/>
    <w:rsid w:val="00C02C22"/>
    <w:rsid w:val="00C02CDD"/>
    <w:rsid w:val="00C02CE1"/>
    <w:rsid w:val="00C02D1E"/>
    <w:rsid w:val="00C02F14"/>
    <w:rsid w:val="00C03144"/>
    <w:rsid w:val="00C0314D"/>
    <w:rsid w:val="00C03281"/>
    <w:rsid w:val="00C0331F"/>
    <w:rsid w:val="00C03525"/>
    <w:rsid w:val="00C035B5"/>
    <w:rsid w:val="00C036AC"/>
    <w:rsid w:val="00C03865"/>
    <w:rsid w:val="00C03B7F"/>
    <w:rsid w:val="00C03D5A"/>
    <w:rsid w:val="00C03F13"/>
    <w:rsid w:val="00C04338"/>
    <w:rsid w:val="00C0433A"/>
    <w:rsid w:val="00C04546"/>
    <w:rsid w:val="00C0483B"/>
    <w:rsid w:val="00C04A19"/>
    <w:rsid w:val="00C04EFC"/>
    <w:rsid w:val="00C05187"/>
    <w:rsid w:val="00C051E3"/>
    <w:rsid w:val="00C05276"/>
    <w:rsid w:val="00C054A3"/>
    <w:rsid w:val="00C05622"/>
    <w:rsid w:val="00C05745"/>
    <w:rsid w:val="00C05851"/>
    <w:rsid w:val="00C059CB"/>
    <w:rsid w:val="00C05ECD"/>
    <w:rsid w:val="00C05FB6"/>
    <w:rsid w:val="00C06BEC"/>
    <w:rsid w:val="00C06CD9"/>
    <w:rsid w:val="00C06F7C"/>
    <w:rsid w:val="00C07091"/>
    <w:rsid w:val="00C074AE"/>
    <w:rsid w:val="00C074D5"/>
    <w:rsid w:val="00C07620"/>
    <w:rsid w:val="00C0775F"/>
    <w:rsid w:val="00C07AB6"/>
    <w:rsid w:val="00C07ACB"/>
    <w:rsid w:val="00C1003E"/>
    <w:rsid w:val="00C1022B"/>
    <w:rsid w:val="00C102F3"/>
    <w:rsid w:val="00C10352"/>
    <w:rsid w:val="00C106B8"/>
    <w:rsid w:val="00C1082E"/>
    <w:rsid w:val="00C10901"/>
    <w:rsid w:val="00C10AFD"/>
    <w:rsid w:val="00C10B22"/>
    <w:rsid w:val="00C10C3F"/>
    <w:rsid w:val="00C10C52"/>
    <w:rsid w:val="00C10D5C"/>
    <w:rsid w:val="00C10EC6"/>
    <w:rsid w:val="00C11442"/>
    <w:rsid w:val="00C11623"/>
    <w:rsid w:val="00C1172F"/>
    <w:rsid w:val="00C117CC"/>
    <w:rsid w:val="00C11875"/>
    <w:rsid w:val="00C119A0"/>
    <w:rsid w:val="00C11A92"/>
    <w:rsid w:val="00C11ABD"/>
    <w:rsid w:val="00C11AE9"/>
    <w:rsid w:val="00C12135"/>
    <w:rsid w:val="00C12188"/>
    <w:rsid w:val="00C1237D"/>
    <w:rsid w:val="00C1266E"/>
    <w:rsid w:val="00C129D9"/>
    <w:rsid w:val="00C12A85"/>
    <w:rsid w:val="00C12C26"/>
    <w:rsid w:val="00C12D18"/>
    <w:rsid w:val="00C13089"/>
    <w:rsid w:val="00C130BF"/>
    <w:rsid w:val="00C13123"/>
    <w:rsid w:val="00C13237"/>
    <w:rsid w:val="00C133D2"/>
    <w:rsid w:val="00C134DA"/>
    <w:rsid w:val="00C136D5"/>
    <w:rsid w:val="00C13957"/>
    <w:rsid w:val="00C13C06"/>
    <w:rsid w:val="00C13C90"/>
    <w:rsid w:val="00C13CF2"/>
    <w:rsid w:val="00C13D14"/>
    <w:rsid w:val="00C13EA1"/>
    <w:rsid w:val="00C14458"/>
    <w:rsid w:val="00C1445A"/>
    <w:rsid w:val="00C14F19"/>
    <w:rsid w:val="00C14FB2"/>
    <w:rsid w:val="00C15180"/>
    <w:rsid w:val="00C15205"/>
    <w:rsid w:val="00C1523E"/>
    <w:rsid w:val="00C1575F"/>
    <w:rsid w:val="00C15766"/>
    <w:rsid w:val="00C15B0C"/>
    <w:rsid w:val="00C15DE5"/>
    <w:rsid w:val="00C160EF"/>
    <w:rsid w:val="00C16260"/>
    <w:rsid w:val="00C16621"/>
    <w:rsid w:val="00C16774"/>
    <w:rsid w:val="00C1677F"/>
    <w:rsid w:val="00C167E4"/>
    <w:rsid w:val="00C168CF"/>
    <w:rsid w:val="00C16912"/>
    <w:rsid w:val="00C17007"/>
    <w:rsid w:val="00C17204"/>
    <w:rsid w:val="00C17304"/>
    <w:rsid w:val="00C1748F"/>
    <w:rsid w:val="00C175FD"/>
    <w:rsid w:val="00C176AC"/>
    <w:rsid w:val="00C17C63"/>
    <w:rsid w:val="00C17CE1"/>
    <w:rsid w:val="00C2049D"/>
    <w:rsid w:val="00C2058B"/>
    <w:rsid w:val="00C205AF"/>
    <w:rsid w:val="00C20668"/>
    <w:rsid w:val="00C208B8"/>
    <w:rsid w:val="00C20914"/>
    <w:rsid w:val="00C209AD"/>
    <w:rsid w:val="00C20AA8"/>
    <w:rsid w:val="00C20B13"/>
    <w:rsid w:val="00C2103A"/>
    <w:rsid w:val="00C2123D"/>
    <w:rsid w:val="00C21506"/>
    <w:rsid w:val="00C2164B"/>
    <w:rsid w:val="00C21AF6"/>
    <w:rsid w:val="00C21CC5"/>
    <w:rsid w:val="00C21DA3"/>
    <w:rsid w:val="00C21E6B"/>
    <w:rsid w:val="00C21EF9"/>
    <w:rsid w:val="00C21FE6"/>
    <w:rsid w:val="00C221C0"/>
    <w:rsid w:val="00C222A1"/>
    <w:rsid w:val="00C222F7"/>
    <w:rsid w:val="00C22397"/>
    <w:rsid w:val="00C224E3"/>
    <w:rsid w:val="00C2269D"/>
    <w:rsid w:val="00C229E4"/>
    <w:rsid w:val="00C22AAB"/>
    <w:rsid w:val="00C22ECB"/>
    <w:rsid w:val="00C235C0"/>
    <w:rsid w:val="00C23BB4"/>
    <w:rsid w:val="00C23CBF"/>
    <w:rsid w:val="00C23EA9"/>
    <w:rsid w:val="00C23F47"/>
    <w:rsid w:val="00C23F65"/>
    <w:rsid w:val="00C240CF"/>
    <w:rsid w:val="00C242C1"/>
    <w:rsid w:val="00C24301"/>
    <w:rsid w:val="00C24589"/>
    <w:rsid w:val="00C246B1"/>
    <w:rsid w:val="00C24707"/>
    <w:rsid w:val="00C2474B"/>
    <w:rsid w:val="00C24792"/>
    <w:rsid w:val="00C24839"/>
    <w:rsid w:val="00C24873"/>
    <w:rsid w:val="00C24930"/>
    <w:rsid w:val="00C24D35"/>
    <w:rsid w:val="00C24DF0"/>
    <w:rsid w:val="00C24E4D"/>
    <w:rsid w:val="00C25039"/>
    <w:rsid w:val="00C2507C"/>
    <w:rsid w:val="00C2525E"/>
    <w:rsid w:val="00C2584D"/>
    <w:rsid w:val="00C25A8E"/>
    <w:rsid w:val="00C25F77"/>
    <w:rsid w:val="00C25FBC"/>
    <w:rsid w:val="00C26159"/>
    <w:rsid w:val="00C2629C"/>
    <w:rsid w:val="00C262ED"/>
    <w:rsid w:val="00C265C9"/>
    <w:rsid w:val="00C267D4"/>
    <w:rsid w:val="00C26968"/>
    <w:rsid w:val="00C26A69"/>
    <w:rsid w:val="00C26B1C"/>
    <w:rsid w:val="00C26B2E"/>
    <w:rsid w:val="00C26E79"/>
    <w:rsid w:val="00C26FB8"/>
    <w:rsid w:val="00C27037"/>
    <w:rsid w:val="00C27231"/>
    <w:rsid w:val="00C2786C"/>
    <w:rsid w:val="00C27C23"/>
    <w:rsid w:val="00C27F3E"/>
    <w:rsid w:val="00C30019"/>
    <w:rsid w:val="00C301CF"/>
    <w:rsid w:val="00C302CC"/>
    <w:rsid w:val="00C3038A"/>
    <w:rsid w:val="00C3053E"/>
    <w:rsid w:val="00C30603"/>
    <w:rsid w:val="00C309E6"/>
    <w:rsid w:val="00C30B6D"/>
    <w:rsid w:val="00C30C46"/>
    <w:rsid w:val="00C311E2"/>
    <w:rsid w:val="00C31439"/>
    <w:rsid w:val="00C31460"/>
    <w:rsid w:val="00C314F9"/>
    <w:rsid w:val="00C31529"/>
    <w:rsid w:val="00C3167F"/>
    <w:rsid w:val="00C31808"/>
    <w:rsid w:val="00C318E4"/>
    <w:rsid w:val="00C31ACA"/>
    <w:rsid w:val="00C31AEE"/>
    <w:rsid w:val="00C31C56"/>
    <w:rsid w:val="00C31CD8"/>
    <w:rsid w:val="00C31D03"/>
    <w:rsid w:val="00C31D26"/>
    <w:rsid w:val="00C31E1D"/>
    <w:rsid w:val="00C31ED3"/>
    <w:rsid w:val="00C32064"/>
    <w:rsid w:val="00C32194"/>
    <w:rsid w:val="00C3223A"/>
    <w:rsid w:val="00C323E3"/>
    <w:rsid w:val="00C327D7"/>
    <w:rsid w:val="00C32ACF"/>
    <w:rsid w:val="00C32CA7"/>
    <w:rsid w:val="00C32CB6"/>
    <w:rsid w:val="00C32E58"/>
    <w:rsid w:val="00C330B7"/>
    <w:rsid w:val="00C33183"/>
    <w:rsid w:val="00C3335F"/>
    <w:rsid w:val="00C335D7"/>
    <w:rsid w:val="00C33706"/>
    <w:rsid w:val="00C337E2"/>
    <w:rsid w:val="00C33823"/>
    <w:rsid w:val="00C33A05"/>
    <w:rsid w:val="00C33ADF"/>
    <w:rsid w:val="00C33B39"/>
    <w:rsid w:val="00C33F14"/>
    <w:rsid w:val="00C33F67"/>
    <w:rsid w:val="00C34760"/>
    <w:rsid w:val="00C347FA"/>
    <w:rsid w:val="00C3498A"/>
    <w:rsid w:val="00C34BE1"/>
    <w:rsid w:val="00C34D0A"/>
    <w:rsid w:val="00C34D84"/>
    <w:rsid w:val="00C35028"/>
    <w:rsid w:val="00C3536B"/>
    <w:rsid w:val="00C353D7"/>
    <w:rsid w:val="00C355D6"/>
    <w:rsid w:val="00C357EA"/>
    <w:rsid w:val="00C35844"/>
    <w:rsid w:val="00C3588F"/>
    <w:rsid w:val="00C35941"/>
    <w:rsid w:val="00C35A3D"/>
    <w:rsid w:val="00C35BCA"/>
    <w:rsid w:val="00C35BD6"/>
    <w:rsid w:val="00C35CB9"/>
    <w:rsid w:val="00C35E97"/>
    <w:rsid w:val="00C3616F"/>
    <w:rsid w:val="00C364C8"/>
    <w:rsid w:val="00C36691"/>
    <w:rsid w:val="00C366C6"/>
    <w:rsid w:val="00C3679D"/>
    <w:rsid w:val="00C36A9F"/>
    <w:rsid w:val="00C36AF8"/>
    <w:rsid w:val="00C36B8F"/>
    <w:rsid w:val="00C36DC5"/>
    <w:rsid w:val="00C36F8C"/>
    <w:rsid w:val="00C370C9"/>
    <w:rsid w:val="00C374C1"/>
    <w:rsid w:val="00C37611"/>
    <w:rsid w:val="00C37666"/>
    <w:rsid w:val="00C37B9E"/>
    <w:rsid w:val="00C37CF3"/>
    <w:rsid w:val="00C40013"/>
    <w:rsid w:val="00C40232"/>
    <w:rsid w:val="00C402DB"/>
    <w:rsid w:val="00C40379"/>
    <w:rsid w:val="00C4099B"/>
    <w:rsid w:val="00C40A36"/>
    <w:rsid w:val="00C40A7E"/>
    <w:rsid w:val="00C40B6B"/>
    <w:rsid w:val="00C411E9"/>
    <w:rsid w:val="00C41369"/>
    <w:rsid w:val="00C414B7"/>
    <w:rsid w:val="00C41598"/>
    <w:rsid w:val="00C416FD"/>
    <w:rsid w:val="00C417CC"/>
    <w:rsid w:val="00C417D8"/>
    <w:rsid w:val="00C417F5"/>
    <w:rsid w:val="00C419F8"/>
    <w:rsid w:val="00C41AFB"/>
    <w:rsid w:val="00C41C84"/>
    <w:rsid w:val="00C41CFF"/>
    <w:rsid w:val="00C41DF7"/>
    <w:rsid w:val="00C41E33"/>
    <w:rsid w:val="00C41F79"/>
    <w:rsid w:val="00C4219C"/>
    <w:rsid w:val="00C42277"/>
    <w:rsid w:val="00C423B8"/>
    <w:rsid w:val="00C424DF"/>
    <w:rsid w:val="00C42666"/>
    <w:rsid w:val="00C426CE"/>
    <w:rsid w:val="00C428FF"/>
    <w:rsid w:val="00C42B46"/>
    <w:rsid w:val="00C42B80"/>
    <w:rsid w:val="00C42C31"/>
    <w:rsid w:val="00C42C84"/>
    <w:rsid w:val="00C42ED7"/>
    <w:rsid w:val="00C42F3E"/>
    <w:rsid w:val="00C42FAA"/>
    <w:rsid w:val="00C43034"/>
    <w:rsid w:val="00C43051"/>
    <w:rsid w:val="00C43314"/>
    <w:rsid w:val="00C433AA"/>
    <w:rsid w:val="00C434B4"/>
    <w:rsid w:val="00C43565"/>
    <w:rsid w:val="00C43760"/>
    <w:rsid w:val="00C43792"/>
    <w:rsid w:val="00C43825"/>
    <w:rsid w:val="00C43B2A"/>
    <w:rsid w:val="00C43DF6"/>
    <w:rsid w:val="00C43EA9"/>
    <w:rsid w:val="00C43EC5"/>
    <w:rsid w:val="00C44104"/>
    <w:rsid w:val="00C4473A"/>
    <w:rsid w:val="00C44BB9"/>
    <w:rsid w:val="00C44D46"/>
    <w:rsid w:val="00C44DC1"/>
    <w:rsid w:val="00C44DED"/>
    <w:rsid w:val="00C44EED"/>
    <w:rsid w:val="00C44FB6"/>
    <w:rsid w:val="00C45289"/>
    <w:rsid w:val="00C45348"/>
    <w:rsid w:val="00C45423"/>
    <w:rsid w:val="00C454D9"/>
    <w:rsid w:val="00C45525"/>
    <w:rsid w:val="00C45537"/>
    <w:rsid w:val="00C45779"/>
    <w:rsid w:val="00C459FF"/>
    <w:rsid w:val="00C45AE9"/>
    <w:rsid w:val="00C45C60"/>
    <w:rsid w:val="00C45ED7"/>
    <w:rsid w:val="00C46030"/>
    <w:rsid w:val="00C4639F"/>
    <w:rsid w:val="00C4655B"/>
    <w:rsid w:val="00C46782"/>
    <w:rsid w:val="00C4684C"/>
    <w:rsid w:val="00C469F2"/>
    <w:rsid w:val="00C469FB"/>
    <w:rsid w:val="00C46D29"/>
    <w:rsid w:val="00C46E19"/>
    <w:rsid w:val="00C46E4D"/>
    <w:rsid w:val="00C46E5B"/>
    <w:rsid w:val="00C4705B"/>
    <w:rsid w:val="00C470E7"/>
    <w:rsid w:val="00C471F9"/>
    <w:rsid w:val="00C47205"/>
    <w:rsid w:val="00C47541"/>
    <w:rsid w:val="00C475C7"/>
    <w:rsid w:val="00C47601"/>
    <w:rsid w:val="00C47998"/>
    <w:rsid w:val="00C47B1D"/>
    <w:rsid w:val="00C47D88"/>
    <w:rsid w:val="00C47DB8"/>
    <w:rsid w:val="00C47DF2"/>
    <w:rsid w:val="00C47F23"/>
    <w:rsid w:val="00C503C1"/>
    <w:rsid w:val="00C503D4"/>
    <w:rsid w:val="00C50906"/>
    <w:rsid w:val="00C50AAE"/>
    <w:rsid w:val="00C50E9B"/>
    <w:rsid w:val="00C50FD2"/>
    <w:rsid w:val="00C5119C"/>
    <w:rsid w:val="00C51349"/>
    <w:rsid w:val="00C51511"/>
    <w:rsid w:val="00C51591"/>
    <w:rsid w:val="00C515AB"/>
    <w:rsid w:val="00C515B0"/>
    <w:rsid w:val="00C51702"/>
    <w:rsid w:val="00C51704"/>
    <w:rsid w:val="00C5171D"/>
    <w:rsid w:val="00C517ED"/>
    <w:rsid w:val="00C51AD0"/>
    <w:rsid w:val="00C51B08"/>
    <w:rsid w:val="00C51BA8"/>
    <w:rsid w:val="00C51C23"/>
    <w:rsid w:val="00C51C4D"/>
    <w:rsid w:val="00C51C57"/>
    <w:rsid w:val="00C51DB8"/>
    <w:rsid w:val="00C51E7A"/>
    <w:rsid w:val="00C51FF9"/>
    <w:rsid w:val="00C527D5"/>
    <w:rsid w:val="00C5298A"/>
    <w:rsid w:val="00C52D16"/>
    <w:rsid w:val="00C52D78"/>
    <w:rsid w:val="00C52E75"/>
    <w:rsid w:val="00C5304F"/>
    <w:rsid w:val="00C53472"/>
    <w:rsid w:val="00C53513"/>
    <w:rsid w:val="00C53522"/>
    <w:rsid w:val="00C53730"/>
    <w:rsid w:val="00C53793"/>
    <w:rsid w:val="00C53822"/>
    <w:rsid w:val="00C538BC"/>
    <w:rsid w:val="00C53E49"/>
    <w:rsid w:val="00C53EEE"/>
    <w:rsid w:val="00C540B9"/>
    <w:rsid w:val="00C54398"/>
    <w:rsid w:val="00C543A2"/>
    <w:rsid w:val="00C54411"/>
    <w:rsid w:val="00C5456C"/>
    <w:rsid w:val="00C54CC3"/>
    <w:rsid w:val="00C54D6E"/>
    <w:rsid w:val="00C54E52"/>
    <w:rsid w:val="00C54EE3"/>
    <w:rsid w:val="00C552F9"/>
    <w:rsid w:val="00C553A3"/>
    <w:rsid w:val="00C554D4"/>
    <w:rsid w:val="00C554D9"/>
    <w:rsid w:val="00C55606"/>
    <w:rsid w:val="00C55771"/>
    <w:rsid w:val="00C55860"/>
    <w:rsid w:val="00C55DF9"/>
    <w:rsid w:val="00C560DB"/>
    <w:rsid w:val="00C56526"/>
    <w:rsid w:val="00C56532"/>
    <w:rsid w:val="00C569F2"/>
    <w:rsid w:val="00C56C08"/>
    <w:rsid w:val="00C56C79"/>
    <w:rsid w:val="00C56D39"/>
    <w:rsid w:val="00C56DBC"/>
    <w:rsid w:val="00C56EDF"/>
    <w:rsid w:val="00C56F60"/>
    <w:rsid w:val="00C5703F"/>
    <w:rsid w:val="00C5705B"/>
    <w:rsid w:val="00C57155"/>
    <w:rsid w:val="00C5715C"/>
    <w:rsid w:val="00C571FD"/>
    <w:rsid w:val="00C5757A"/>
    <w:rsid w:val="00C5764B"/>
    <w:rsid w:val="00C57A92"/>
    <w:rsid w:val="00C57C0D"/>
    <w:rsid w:val="00C57C63"/>
    <w:rsid w:val="00C57E63"/>
    <w:rsid w:val="00C6000B"/>
    <w:rsid w:val="00C6069B"/>
    <w:rsid w:val="00C6073B"/>
    <w:rsid w:val="00C607D1"/>
    <w:rsid w:val="00C608EB"/>
    <w:rsid w:val="00C60A5A"/>
    <w:rsid w:val="00C60A86"/>
    <w:rsid w:val="00C60CB5"/>
    <w:rsid w:val="00C60D11"/>
    <w:rsid w:val="00C60E16"/>
    <w:rsid w:val="00C60FBF"/>
    <w:rsid w:val="00C61109"/>
    <w:rsid w:val="00C61324"/>
    <w:rsid w:val="00C61485"/>
    <w:rsid w:val="00C617C4"/>
    <w:rsid w:val="00C6183D"/>
    <w:rsid w:val="00C619B5"/>
    <w:rsid w:val="00C61AB2"/>
    <w:rsid w:val="00C61B02"/>
    <w:rsid w:val="00C61E90"/>
    <w:rsid w:val="00C61F1C"/>
    <w:rsid w:val="00C61FCC"/>
    <w:rsid w:val="00C61FD2"/>
    <w:rsid w:val="00C620D4"/>
    <w:rsid w:val="00C6222B"/>
    <w:rsid w:val="00C6224E"/>
    <w:rsid w:val="00C62383"/>
    <w:rsid w:val="00C6276A"/>
    <w:rsid w:val="00C62798"/>
    <w:rsid w:val="00C6296B"/>
    <w:rsid w:val="00C6297B"/>
    <w:rsid w:val="00C629BB"/>
    <w:rsid w:val="00C62AB4"/>
    <w:rsid w:val="00C62B8E"/>
    <w:rsid w:val="00C634D9"/>
    <w:rsid w:val="00C6361A"/>
    <w:rsid w:val="00C63BFA"/>
    <w:rsid w:val="00C64208"/>
    <w:rsid w:val="00C643EB"/>
    <w:rsid w:val="00C644C4"/>
    <w:rsid w:val="00C644F2"/>
    <w:rsid w:val="00C64544"/>
    <w:rsid w:val="00C645FD"/>
    <w:rsid w:val="00C647A4"/>
    <w:rsid w:val="00C64868"/>
    <w:rsid w:val="00C648A0"/>
    <w:rsid w:val="00C64936"/>
    <w:rsid w:val="00C64BC1"/>
    <w:rsid w:val="00C64DA3"/>
    <w:rsid w:val="00C64E8C"/>
    <w:rsid w:val="00C650AE"/>
    <w:rsid w:val="00C6521F"/>
    <w:rsid w:val="00C6539B"/>
    <w:rsid w:val="00C6540F"/>
    <w:rsid w:val="00C6553C"/>
    <w:rsid w:val="00C656FA"/>
    <w:rsid w:val="00C65840"/>
    <w:rsid w:val="00C6590B"/>
    <w:rsid w:val="00C6598A"/>
    <w:rsid w:val="00C65B72"/>
    <w:rsid w:val="00C65C09"/>
    <w:rsid w:val="00C65D6D"/>
    <w:rsid w:val="00C65DE1"/>
    <w:rsid w:val="00C65FF3"/>
    <w:rsid w:val="00C6624C"/>
    <w:rsid w:val="00C662FA"/>
    <w:rsid w:val="00C66338"/>
    <w:rsid w:val="00C6642E"/>
    <w:rsid w:val="00C66494"/>
    <w:rsid w:val="00C66676"/>
    <w:rsid w:val="00C666B9"/>
    <w:rsid w:val="00C667E0"/>
    <w:rsid w:val="00C66A19"/>
    <w:rsid w:val="00C66A1B"/>
    <w:rsid w:val="00C66B3E"/>
    <w:rsid w:val="00C66B4A"/>
    <w:rsid w:val="00C66E98"/>
    <w:rsid w:val="00C670FC"/>
    <w:rsid w:val="00C67303"/>
    <w:rsid w:val="00C6743E"/>
    <w:rsid w:val="00C67B9F"/>
    <w:rsid w:val="00C70072"/>
    <w:rsid w:val="00C700E1"/>
    <w:rsid w:val="00C7012E"/>
    <w:rsid w:val="00C702A2"/>
    <w:rsid w:val="00C70370"/>
    <w:rsid w:val="00C70585"/>
    <w:rsid w:val="00C707A9"/>
    <w:rsid w:val="00C70975"/>
    <w:rsid w:val="00C709F0"/>
    <w:rsid w:val="00C70A5E"/>
    <w:rsid w:val="00C70B31"/>
    <w:rsid w:val="00C7101E"/>
    <w:rsid w:val="00C71490"/>
    <w:rsid w:val="00C716DE"/>
    <w:rsid w:val="00C71783"/>
    <w:rsid w:val="00C7190D"/>
    <w:rsid w:val="00C719A2"/>
    <w:rsid w:val="00C71DC7"/>
    <w:rsid w:val="00C71F6D"/>
    <w:rsid w:val="00C72165"/>
    <w:rsid w:val="00C72184"/>
    <w:rsid w:val="00C721B9"/>
    <w:rsid w:val="00C722C6"/>
    <w:rsid w:val="00C723B7"/>
    <w:rsid w:val="00C724E7"/>
    <w:rsid w:val="00C72773"/>
    <w:rsid w:val="00C72837"/>
    <w:rsid w:val="00C728A1"/>
    <w:rsid w:val="00C72A19"/>
    <w:rsid w:val="00C72B08"/>
    <w:rsid w:val="00C72B8E"/>
    <w:rsid w:val="00C72D7B"/>
    <w:rsid w:val="00C72DF2"/>
    <w:rsid w:val="00C72E75"/>
    <w:rsid w:val="00C72F4B"/>
    <w:rsid w:val="00C73240"/>
    <w:rsid w:val="00C73317"/>
    <w:rsid w:val="00C73327"/>
    <w:rsid w:val="00C736E2"/>
    <w:rsid w:val="00C73777"/>
    <w:rsid w:val="00C73AB0"/>
    <w:rsid w:val="00C73D66"/>
    <w:rsid w:val="00C73F93"/>
    <w:rsid w:val="00C74167"/>
    <w:rsid w:val="00C741CE"/>
    <w:rsid w:val="00C741D2"/>
    <w:rsid w:val="00C742E3"/>
    <w:rsid w:val="00C745D0"/>
    <w:rsid w:val="00C7486E"/>
    <w:rsid w:val="00C74929"/>
    <w:rsid w:val="00C74AB7"/>
    <w:rsid w:val="00C74D98"/>
    <w:rsid w:val="00C74EF2"/>
    <w:rsid w:val="00C75357"/>
    <w:rsid w:val="00C75669"/>
    <w:rsid w:val="00C7574B"/>
    <w:rsid w:val="00C757AE"/>
    <w:rsid w:val="00C758BD"/>
    <w:rsid w:val="00C75A6D"/>
    <w:rsid w:val="00C75AC9"/>
    <w:rsid w:val="00C75CEB"/>
    <w:rsid w:val="00C75D08"/>
    <w:rsid w:val="00C75EE8"/>
    <w:rsid w:val="00C760E4"/>
    <w:rsid w:val="00C76228"/>
    <w:rsid w:val="00C76268"/>
    <w:rsid w:val="00C765AB"/>
    <w:rsid w:val="00C76624"/>
    <w:rsid w:val="00C76661"/>
    <w:rsid w:val="00C766CA"/>
    <w:rsid w:val="00C7692D"/>
    <w:rsid w:val="00C7692F"/>
    <w:rsid w:val="00C76AAF"/>
    <w:rsid w:val="00C76BE0"/>
    <w:rsid w:val="00C76C46"/>
    <w:rsid w:val="00C76E35"/>
    <w:rsid w:val="00C77478"/>
    <w:rsid w:val="00C774A1"/>
    <w:rsid w:val="00C775A0"/>
    <w:rsid w:val="00C777CE"/>
    <w:rsid w:val="00C8002C"/>
    <w:rsid w:val="00C805F9"/>
    <w:rsid w:val="00C80743"/>
    <w:rsid w:val="00C80C41"/>
    <w:rsid w:val="00C80CEF"/>
    <w:rsid w:val="00C80E40"/>
    <w:rsid w:val="00C81120"/>
    <w:rsid w:val="00C81243"/>
    <w:rsid w:val="00C8133E"/>
    <w:rsid w:val="00C81432"/>
    <w:rsid w:val="00C814DD"/>
    <w:rsid w:val="00C818A4"/>
    <w:rsid w:val="00C81E0A"/>
    <w:rsid w:val="00C81FAE"/>
    <w:rsid w:val="00C823EC"/>
    <w:rsid w:val="00C8265B"/>
    <w:rsid w:val="00C8287D"/>
    <w:rsid w:val="00C828A5"/>
    <w:rsid w:val="00C828B8"/>
    <w:rsid w:val="00C82994"/>
    <w:rsid w:val="00C82B4F"/>
    <w:rsid w:val="00C82E07"/>
    <w:rsid w:val="00C82EC5"/>
    <w:rsid w:val="00C83041"/>
    <w:rsid w:val="00C8345C"/>
    <w:rsid w:val="00C8389D"/>
    <w:rsid w:val="00C838C3"/>
    <w:rsid w:val="00C83BFA"/>
    <w:rsid w:val="00C8424B"/>
    <w:rsid w:val="00C8452A"/>
    <w:rsid w:val="00C848A7"/>
    <w:rsid w:val="00C849C0"/>
    <w:rsid w:val="00C84AEC"/>
    <w:rsid w:val="00C84C3D"/>
    <w:rsid w:val="00C84F2E"/>
    <w:rsid w:val="00C85035"/>
    <w:rsid w:val="00C851F6"/>
    <w:rsid w:val="00C85257"/>
    <w:rsid w:val="00C85674"/>
    <w:rsid w:val="00C858AB"/>
    <w:rsid w:val="00C858FF"/>
    <w:rsid w:val="00C85972"/>
    <w:rsid w:val="00C85AE0"/>
    <w:rsid w:val="00C85E30"/>
    <w:rsid w:val="00C86274"/>
    <w:rsid w:val="00C866F4"/>
    <w:rsid w:val="00C867DE"/>
    <w:rsid w:val="00C8682F"/>
    <w:rsid w:val="00C86BFA"/>
    <w:rsid w:val="00C86E8E"/>
    <w:rsid w:val="00C86F1F"/>
    <w:rsid w:val="00C8712F"/>
    <w:rsid w:val="00C8715E"/>
    <w:rsid w:val="00C87695"/>
    <w:rsid w:val="00C876A0"/>
    <w:rsid w:val="00C87840"/>
    <w:rsid w:val="00C87853"/>
    <w:rsid w:val="00C87890"/>
    <w:rsid w:val="00C878CA"/>
    <w:rsid w:val="00C878E2"/>
    <w:rsid w:val="00C87AF2"/>
    <w:rsid w:val="00C87B57"/>
    <w:rsid w:val="00C87DE8"/>
    <w:rsid w:val="00C87DF0"/>
    <w:rsid w:val="00C87E2B"/>
    <w:rsid w:val="00C87FC6"/>
    <w:rsid w:val="00C901FE"/>
    <w:rsid w:val="00C90698"/>
    <w:rsid w:val="00C907FB"/>
    <w:rsid w:val="00C908C6"/>
    <w:rsid w:val="00C908E0"/>
    <w:rsid w:val="00C90B42"/>
    <w:rsid w:val="00C90E18"/>
    <w:rsid w:val="00C90EB9"/>
    <w:rsid w:val="00C90F83"/>
    <w:rsid w:val="00C91074"/>
    <w:rsid w:val="00C91493"/>
    <w:rsid w:val="00C91529"/>
    <w:rsid w:val="00C91690"/>
    <w:rsid w:val="00C9182B"/>
    <w:rsid w:val="00C91913"/>
    <w:rsid w:val="00C91BBC"/>
    <w:rsid w:val="00C91C39"/>
    <w:rsid w:val="00C91C5F"/>
    <w:rsid w:val="00C91C63"/>
    <w:rsid w:val="00C91F12"/>
    <w:rsid w:val="00C9213E"/>
    <w:rsid w:val="00C9255D"/>
    <w:rsid w:val="00C925AB"/>
    <w:rsid w:val="00C9269C"/>
    <w:rsid w:val="00C92895"/>
    <w:rsid w:val="00C9296C"/>
    <w:rsid w:val="00C92DFF"/>
    <w:rsid w:val="00C92E22"/>
    <w:rsid w:val="00C92F76"/>
    <w:rsid w:val="00C93046"/>
    <w:rsid w:val="00C93120"/>
    <w:rsid w:val="00C931B3"/>
    <w:rsid w:val="00C93384"/>
    <w:rsid w:val="00C93CBD"/>
    <w:rsid w:val="00C93D49"/>
    <w:rsid w:val="00C93DFA"/>
    <w:rsid w:val="00C93FD8"/>
    <w:rsid w:val="00C94170"/>
    <w:rsid w:val="00C941CD"/>
    <w:rsid w:val="00C9428C"/>
    <w:rsid w:val="00C94444"/>
    <w:rsid w:val="00C945C2"/>
    <w:rsid w:val="00C946B2"/>
    <w:rsid w:val="00C946F6"/>
    <w:rsid w:val="00C9475D"/>
    <w:rsid w:val="00C947E6"/>
    <w:rsid w:val="00C9486A"/>
    <w:rsid w:val="00C94B1E"/>
    <w:rsid w:val="00C94DF4"/>
    <w:rsid w:val="00C95056"/>
    <w:rsid w:val="00C95115"/>
    <w:rsid w:val="00C951FD"/>
    <w:rsid w:val="00C952C3"/>
    <w:rsid w:val="00C9536E"/>
    <w:rsid w:val="00C9538B"/>
    <w:rsid w:val="00C95A15"/>
    <w:rsid w:val="00C95A37"/>
    <w:rsid w:val="00C95B68"/>
    <w:rsid w:val="00C95D21"/>
    <w:rsid w:val="00C95FE3"/>
    <w:rsid w:val="00C96082"/>
    <w:rsid w:val="00C960E0"/>
    <w:rsid w:val="00C9614C"/>
    <w:rsid w:val="00C961DD"/>
    <w:rsid w:val="00C962F3"/>
    <w:rsid w:val="00C963BF"/>
    <w:rsid w:val="00C96516"/>
    <w:rsid w:val="00C96ABB"/>
    <w:rsid w:val="00C96BD8"/>
    <w:rsid w:val="00C96C65"/>
    <w:rsid w:val="00C96D8C"/>
    <w:rsid w:val="00C96EA8"/>
    <w:rsid w:val="00C96FC1"/>
    <w:rsid w:val="00C970A1"/>
    <w:rsid w:val="00C97180"/>
    <w:rsid w:val="00C97397"/>
    <w:rsid w:val="00C97404"/>
    <w:rsid w:val="00C975E6"/>
    <w:rsid w:val="00C978FE"/>
    <w:rsid w:val="00C979C5"/>
    <w:rsid w:val="00C97B57"/>
    <w:rsid w:val="00C97D40"/>
    <w:rsid w:val="00C97D48"/>
    <w:rsid w:val="00C97E1A"/>
    <w:rsid w:val="00C97E44"/>
    <w:rsid w:val="00C97EAC"/>
    <w:rsid w:val="00CA0372"/>
    <w:rsid w:val="00CA0481"/>
    <w:rsid w:val="00CA056F"/>
    <w:rsid w:val="00CA068F"/>
    <w:rsid w:val="00CA0C2D"/>
    <w:rsid w:val="00CA0D71"/>
    <w:rsid w:val="00CA0E9B"/>
    <w:rsid w:val="00CA0FC0"/>
    <w:rsid w:val="00CA10D0"/>
    <w:rsid w:val="00CA1333"/>
    <w:rsid w:val="00CA13DE"/>
    <w:rsid w:val="00CA1458"/>
    <w:rsid w:val="00CA15AC"/>
    <w:rsid w:val="00CA15B6"/>
    <w:rsid w:val="00CA175E"/>
    <w:rsid w:val="00CA19A9"/>
    <w:rsid w:val="00CA1A63"/>
    <w:rsid w:val="00CA1B16"/>
    <w:rsid w:val="00CA1D83"/>
    <w:rsid w:val="00CA1E51"/>
    <w:rsid w:val="00CA21A9"/>
    <w:rsid w:val="00CA21B6"/>
    <w:rsid w:val="00CA21EB"/>
    <w:rsid w:val="00CA2288"/>
    <w:rsid w:val="00CA24FA"/>
    <w:rsid w:val="00CA28A8"/>
    <w:rsid w:val="00CA29B1"/>
    <w:rsid w:val="00CA2AE1"/>
    <w:rsid w:val="00CA3357"/>
    <w:rsid w:val="00CA35EE"/>
    <w:rsid w:val="00CA3F35"/>
    <w:rsid w:val="00CA3F43"/>
    <w:rsid w:val="00CA40B5"/>
    <w:rsid w:val="00CA41E3"/>
    <w:rsid w:val="00CA43F9"/>
    <w:rsid w:val="00CA4458"/>
    <w:rsid w:val="00CA45FC"/>
    <w:rsid w:val="00CA46FA"/>
    <w:rsid w:val="00CA481F"/>
    <w:rsid w:val="00CA487E"/>
    <w:rsid w:val="00CA4DC9"/>
    <w:rsid w:val="00CA4E0C"/>
    <w:rsid w:val="00CA4ECA"/>
    <w:rsid w:val="00CA4F02"/>
    <w:rsid w:val="00CA516C"/>
    <w:rsid w:val="00CA52B2"/>
    <w:rsid w:val="00CA56C5"/>
    <w:rsid w:val="00CA59C2"/>
    <w:rsid w:val="00CA5C47"/>
    <w:rsid w:val="00CA5C82"/>
    <w:rsid w:val="00CA6228"/>
    <w:rsid w:val="00CA62EE"/>
    <w:rsid w:val="00CA6341"/>
    <w:rsid w:val="00CA64D1"/>
    <w:rsid w:val="00CA64F4"/>
    <w:rsid w:val="00CA65EF"/>
    <w:rsid w:val="00CA6647"/>
    <w:rsid w:val="00CA679A"/>
    <w:rsid w:val="00CA6817"/>
    <w:rsid w:val="00CA6A0F"/>
    <w:rsid w:val="00CA7037"/>
    <w:rsid w:val="00CA726E"/>
    <w:rsid w:val="00CA7334"/>
    <w:rsid w:val="00CA7414"/>
    <w:rsid w:val="00CA7632"/>
    <w:rsid w:val="00CA7682"/>
    <w:rsid w:val="00CA7854"/>
    <w:rsid w:val="00CA79DF"/>
    <w:rsid w:val="00CA7A75"/>
    <w:rsid w:val="00CA7ACA"/>
    <w:rsid w:val="00CA7B1E"/>
    <w:rsid w:val="00CA7B9D"/>
    <w:rsid w:val="00CA7C73"/>
    <w:rsid w:val="00CA7E03"/>
    <w:rsid w:val="00CA7F28"/>
    <w:rsid w:val="00CA7F39"/>
    <w:rsid w:val="00CB0054"/>
    <w:rsid w:val="00CB00EA"/>
    <w:rsid w:val="00CB0125"/>
    <w:rsid w:val="00CB01EF"/>
    <w:rsid w:val="00CB01F6"/>
    <w:rsid w:val="00CB020B"/>
    <w:rsid w:val="00CB0273"/>
    <w:rsid w:val="00CB029E"/>
    <w:rsid w:val="00CB0732"/>
    <w:rsid w:val="00CB0740"/>
    <w:rsid w:val="00CB0768"/>
    <w:rsid w:val="00CB0A1F"/>
    <w:rsid w:val="00CB0BC7"/>
    <w:rsid w:val="00CB0CE9"/>
    <w:rsid w:val="00CB10E9"/>
    <w:rsid w:val="00CB1179"/>
    <w:rsid w:val="00CB131F"/>
    <w:rsid w:val="00CB1320"/>
    <w:rsid w:val="00CB13E0"/>
    <w:rsid w:val="00CB16AA"/>
    <w:rsid w:val="00CB16C4"/>
    <w:rsid w:val="00CB1945"/>
    <w:rsid w:val="00CB199F"/>
    <w:rsid w:val="00CB1A00"/>
    <w:rsid w:val="00CB1BFE"/>
    <w:rsid w:val="00CB1F5C"/>
    <w:rsid w:val="00CB2121"/>
    <w:rsid w:val="00CB2187"/>
    <w:rsid w:val="00CB21AF"/>
    <w:rsid w:val="00CB221C"/>
    <w:rsid w:val="00CB2275"/>
    <w:rsid w:val="00CB2349"/>
    <w:rsid w:val="00CB2476"/>
    <w:rsid w:val="00CB24DB"/>
    <w:rsid w:val="00CB252C"/>
    <w:rsid w:val="00CB2570"/>
    <w:rsid w:val="00CB275B"/>
    <w:rsid w:val="00CB2CE8"/>
    <w:rsid w:val="00CB2D52"/>
    <w:rsid w:val="00CB2E15"/>
    <w:rsid w:val="00CB2EEF"/>
    <w:rsid w:val="00CB3139"/>
    <w:rsid w:val="00CB33D0"/>
    <w:rsid w:val="00CB3539"/>
    <w:rsid w:val="00CB3555"/>
    <w:rsid w:val="00CB363A"/>
    <w:rsid w:val="00CB3693"/>
    <w:rsid w:val="00CB36F7"/>
    <w:rsid w:val="00CB372C"/>
    <w:rsid w:val="00CB39E9"/>
    <w:rsid w:val="00CB3DC6"/>
    <w:rsid w:val="00CB3E69"/>
    <w:rsid w:val="00CB4278"/>
    <w:rsid w:val="00CB434C"/>
    <w:rsid w:val="00CB439C"/>
    <w:rsid w:val="00CB452B"/>
    <w:rsid w:val="00CB46E2"/>
    <w:rsid w:val="00CB48AE"/>
    <w:rsid w:val="00CB4900"/>
    <w:rsid w:val="00CB496F"/>
    <w:rsid w:val="00CB4DC2"/>
    <w:rsid w:val="00CB4DCD"/>
    <w:rsid w:val="00CB4E4B"/>
    <w:rsid w:val="00CB4F2D"/>
    <w:rsid w:val="00CB53F8"/>
    <w:rsid w:val="00CB544A"/>
    <w:rsid w:val="00CB54FD"/>
    <w:rsid w:val="00CB5543"/>
    <w:rsid w:val="00CB55C5"/>
    <w:rsid w:val="00CB5DC6"/>
    <w:rsid w:val="00CB5E59"/>
    <w:rsid w:val="00CB5F69"/>
    <w:rsid w:val="00CB5FF4"/>
    <w:rsid w:val="00CB603C"/>
    <w:rsid w:val="00CB6272"/>
    <w:rsid w:val="00CB664E"/>
    <w:rsid w:val="00CB66BF"/>
    <w:rsid w:val="00CB68EA"/>
    <w:rsid w:val="00CB6B3F"/>
    <w:rsid w:val="00CB6C9D"/>
    <w:rsid w:val="00CB6E42"/>
    <w:rsid w:val="00CB6ED1"/>
    <w:rsid w:val="00CB70C6"/>
    <w:rsid w:val="00CB71F3"/>
    <w:rsid w:val="00CB7298"/>
    <w:rsid w:val="00CB7356"/>
    <w:rsid w:val="00CB7418"/>
    <w:rsid w:val="00CB7955"/>
    <w:rsid w:val="00CB7A7D"/>
    <w:rsid w:val="00CB7AA3"/>
    <w:rsid w:val="00CB7C49"/>
    <w:rsid w:val="00CB7EC4"/>
    <w:rsid w:val="00CC00DF"/>
    <w:rsid w:val="00CC01EB"/>
    <w:rsid w:val="00CC038E"/>
    <w:rsid w:val="00CC056F"/>
    <w:rsid w:val="00CC0670"/>
    <w:rsid w:val="00CC06E0"/>
    <w:rsid w:val="00CC071D"/>
    <w:rsid w:val="00CC0743"/>
    <w:rsid w:val="00CC0908"/>
    <w:rsid w:val="00CC0B35"/>
    <w:rsid w:val="00CC0BBE"/>
    <w:rsid w:val="00CC0C2D"/>
    <w:rsid w:val="00CC0D11"/>
    <w:rsid w:val="00CC100B"/>
    <w:rsid w:val="00CC10F3"/>
    <w:rsid w:val="00CC11ED"/>
    <w:rsid w:val="00CC1311"/>
    <w:rsid w:val="00CC1690"/>
    <w:rsid w:val="00CC1969"/>
    <w:rsid w:val="00CC19DE"/>
    <w:rsid w:val="00CC1A90"/>
    <w:rsid w:val="00CC1F53"/>
    <w:rsid w:val="00CC20D4"/>
    <w:rsid w:val="00CC21E6"/>
    <w:rsid w:val="00CC2213"/>
    <w:rsid w:val="00CC2221"/>
    <w:rsid w:val="00CC23B3"/>
    <w:rsid w:val="00CC27FE"/>
    <w:rsid w:val="00CC2949"/>
    <w:rsid w:val="00CC2A78"/>
    <w:rsid w:val="00CC2CA1"/>
    <w:rsid w:val="00CC2D98"/>
    <w:rsid w:val="00CC2DCA"/>
    <w:rsid w:val="00CC2E06"/>
    <w:rsid w:val="00CC3066"/>
    <w:rsid w:val="00CC34D9"/>
    <w:rsid w:val="00CC35F7"/>
    <w:rsid w:val="00CC367D"/>
    <w:rsid w:val="00CC379F"/>
    <w:rsid w:val="00CC38FB"/>
    <w:rsid w:val="00CC3A33"/>
    <w:rsid w:val="00CC3C18"/>
    <w:rsid w:val="00CC3D23"/>
    <w:rsid w:val="00CC3E9C"/>
    <w:rsid w:val="00CC3F5E"/>
    <w:rsid w:val="00CC4035"/>
    <w:rsid w:val="00CC4053"/>
    <w:rsid w:val="00CC4210"/>
    <w:rsid w:val="00CC4238"/>
    <w:rsid w:val="00CC43A8"/>
    <w:rsid w:val="00CC440B"/>
    <w:rsid w:val="00CC4494"/>
    <w:rsid w:val="00CC44F1"/>
    <w:rsid w:val="00CC44FE"/>
    <w:rsid w:val="00CC46EC"/>
    <w:rsid w:val="00CC4921"/>
    <w:rsid w:val="00CC4A47"/>
    <w:rsid w:val="00CC4BA6"/>
    <w:rsid w:val="00CC4C1B"/>
    <w:rsid w:val="00CC5144"/>
    <w:rsid w:val="00CC5431"/>
    <w:rsid w:val="00CC5577"/>
    <w:rsid w:val="00CC5610"/>
    <w:rsid w:val="00CC576D"/>
    <w:rsid w:val="00CC57DF"/>
    <w:rsid w:val="00CC5A42"/>
    <w:rsid w:val="00CC5BA2"/>
    <w:rsid w:val="00CC5DB0"/>
    <w:rsid w:val="00CC612C"/>
    <w:rsid w:val="00CC642E"/>
    <w:rsid w:val="00CC644D"/>
    <w:rsid w:val="00CC658D"/>
    <w:rsid w:val="00CC6657"/>
    <w:rsid w:val="00CC665A"/>
    <w:rsid w:val="00CC6777"/>
    <w:rsid w:val="00CC67EC"/>
    <w:rsid w:val="00CC69B7"/>
    <w:rsid w:val="00CC69D0"/>
    <w:rsid w:val="00CC6B8B"/>
    <w:rsid w:val="00CC6FB8"/>
    <w:rsid w:val="00CC7163"/>
    <w:rsid w:val="00CC718D"/>
    <w:rsid w:val="00CC7210"/>
    <w:rsid w:val="00CC722D"/>
    <w:rsid w:val="00CC73E2"/>
    <w:rsid w:val="00CC742D"/>
    <w:rsid w:val="00CC74A2"/>
    <w:rsid w:val="00CC7500"/>
    <w:rsid w:val="00CC779C"/>
    <w:rsid w:val="00CC7B51"/>
    <w:rsid w:val="00CC7C12"/>
    <w:rsid w:val="00CC7F36"/>
    <w:rsid w:val="00CC7F97"/>
    <w:rsid w:val="00CD0492"/>
    <w:rsid w:val="00CD0518"/>
    <w:rsid w:val="00CD0593"/>
    <w:rsid w:val="00CD07CA"/>
    <w:rsid w:val="00CD07DE"/>
    <w:rsid w:val="00CD0D91"/>
    <w:rsid w:val="00CD0E7F"/>
    <w:rsid w:val="00CD107A"/>
    <w:rsid w:val="00CD1184"/>
    <w:rsid w:val="00CD1311"/>
    <w:rsid w:val="00CD137D"/>
    <w:rsid w:val="00CD13EA"/>
    <w:rsid w:val="00CD146B"/>
    <w:rsid w:val="00CD155B"/>
    <w:rsid w:val="00CD178A"/>
    <w:rsid w:val="00CD1A3E"/>
    <w:rsid w:val="00CD1DF6"/>
    <w:rsid w:val="00CD1F85"/>
    <w:rsid w:val="00CD1FD1"/>
    <w:rsid w:val="00CD20D4"/>
    <w:rsid w:val="00CD2187"/>
    <w:rsid w:val="00CD21FA"/>
    <w:rsid w:val="00CD246B"/>
    <w:rsid w:val="00CD2519"/>
    <w:rsid w:val="00CD251C"/>
    <w:rsid w:val="00CD262D"/>
    <w:rsid w:val="00CD2653"/>
    <w:rsid w:val="00CD2832"/>
    <w:rsid w:val="00CD28BA"/>
    <w:rsid w:val="00CD2C94"/>
    <w:rsid w:val="00CD2CDC"/>
    <w:rsid w:val="00CD2D37"/>
    <w:rsid w:val="00CD2F34"/>
    <w:rsid w:val="00CD3208"/>
    <w:rsid w:val="00CD3AB3"/>
    <w:rsid w:val="00CD3B66"/>
    <w:rsid w:val="00CD3D5C"/>
    <w:rsid w:val="00CD4172"/>
    <w:rsid w:val="00CD4817"/>
    <w:rsid w:val="00CD4ADB"/>
    <w:rsid w:val="00CD4B23"/>
    <w:rsid w:val="00CD4CB3"/>
    <w:rsid w:val="00CD4CC5"/>
    <w:rsid w:val="00CD4F23"/>
    <w:rsid w:val="00CD4F9E"/>
    <w:rsid w:val="00CD4FC6"/>
    <w:rsid w:val="00CD520E"/>
    <w:rsid w:val="00CD5217"/>
    <w:rsid w:val="00CD5562"/>
    <w:rsid w:val="00CD558B"/>
    <w:rsid w:val="00CD55B3"/>
    <w:rsid w:val="00CD59D9"/>
    <w:rsid w:val="00CD5A05"/>
    <w:rsid w:val="00CD5B7D"/>
    <w:rsid w:val="00CD5D9A"/>
    <w:rsid w:val="00CD5F3B"/>
    <w:rsid w:val="00CD60D9"/>
    <w:rsid w:val="00CD610C"/>
    <w:rsid w:val="00CD654D"/>
    <w:rsid w:val="00CD6ABC"/>
    <w:rsid w:val="00CD6E6B"/>
    <w:rsid w:val="00CD713E"/>
    <w:rsid w:val="00CD7372"/>
    <w:rsid w:val="00CD741A"/>
    <w:rsid w:val="00CD750A"/>
    <w:rsid w:val="00CD7A7B"/>
    <w:rsid w:val="00CD7AAD"/>
    <w:rsid w:val="00CD7BF9"/>
    <w:rsid w:val="00CD7C49"/>
    <w:rsid w:val="00CD7CD0"/>
    <w:rsid w:val="00CD7D11"/>
    <w:rsid w:val="00CD7E16"/>
    <w:rsid w:val="00CD7E4E"/>
    <w:rsid w:val="00CD7E96"/>
    <w:rsid w:val="00CD7EE5"/>
    <w:rsid w:val="00CD7FD7"/>
    <w:rsid w:val="00CE0097"/>
    <w:rsid w:val="00CE011B"/>
    <w:rsid w:val="00CE02E7"/>
    <w:rsid w:val="00CE03D8"/>
    <w:rsid w:val="00CE04A0"/>
    <w:rsid w:val="00CE04BA"/>
    <w:rsid w:val="00CE06BD"/>
    <w:rsid w:val="00CE07A2"/>
    <w:rsid w:val="00CE0855"/>
    <w:rsid w:val="00CE09E0"/>
    <w:rsid w:val="00CE0AA1"/>
    <w:rsid w:val="00CE0BA9"/>
    <w:rsid w:val="00CE11F1"/>
    <w:rsid w:val="00CE1260"/>
    <w:rsid w:val="00CE13FE"/>
    <w:rsid w:val="00CE1660"/>
    <w:rsid w:val="00CE1AAD"/>
    <w:rsid w:val="00CE1B34"/>
    <w:rsid w:val="00CE1BA3"/>
    <w:rsid w:val="00CE1C43"/>
    <w:rsid w:val="00CE21E8"/>
    <w:rsid w:val="00CE23B9"/>
    <w:rsid w:val="00CE24DD"/>
    <w:rsid w:val="00CE29C5"/>
    <w:rsid w:val="00CE2D8D"/>
    <w:rsid w:val="00CE3042"/>
    <w:rsid w:val="00CE30A7"/>
    <w:rsid w:val="00CE30B0"/>
    <w:rsid w:val="00CE30E6"/>
    <w:rsid w:val="00CE30EB"/>
    <w:rsid w:val="00CE333D"/>
    <w:rsid w:val="00CE341F"/>
    <w:rsid w:val="00CE345F"/>
    <w:rsid w:val="00CE34DC"/>
    <w:rsid w:val="00CE368B"/>
    <w:rsid w:val="00CE36DD"/>
    <w:rsid w:val="00CE384B"/>
    <w:rsid w:val="00CE3BF2"/>
    <w:rsid w:val="00CE3F11"/>
    <w:rsid w:val="00CE3FF7"/>
    <w:rsid w:val="00CE43A9"/>
    <w:rsid w:val="00CE43F1"/>
    <w:rsid w:val="00CE4429"/>
    <w:rsid w:val="00CE474B"/>
    <w:rsid w:val="00CE4844"/>
    <w:rsid w:val="00CE4BBB"/>
    <w:rsid w:val="00CE4D3C"/>
    <w:rsid w:val="00CE4F24"/>
    <w:rsid w:val="00CE5863"/>
    <w:rsid w:val="00CE5899"/>
    <w:rsid w:val="00CE593C"/>
    <w:rsid w:val="00CE5E95"/>
    <w:rsid w:val="00CE5E98"/>
    <w:rsid w:val="00CE5F05"/>
    <w:rsid w:val="00CE5F30"/>
    <w:rsid w:val="00CE5FB9"/>
    <w:rsid w:val="00CE6088"/>
    <w:rsid w:val="00CE60CD"/>
    <w:rsid w:val="00CE69FC"/>
    <w:rsid w:val="00CE6A80"/>
    <w:rsid w:val="00CE6B8A"/>
    <w:rsid w:val="00CE6CC6"/>
    <w:rsid w:val="00CE6D87"/>
    <w:rsid w:val="00CE6E7E"/>
    <w:rsid w:val="00CE6E81"/>
    <w:rsid w:val="00CE7086"/>
    <w:rsid w:val="00CE73A7"/>
    <w:rsid w:val="00CE73BF"/>
    <w:rsid w:val="00CE771C"/>
    <w:rsid w:val="00CF0219"/>
    <w:rsid w:val="00CF04B4"/>
    <w:rsid w:val="00CF05DB"/>
    <w:rsid w:val="00CF0690"/>
    <w:rsid w:val="00CF0889"/>
    <w:rsid w:val="00CF0A4D"/>
    <w:rsid w:val="00CF0B33"/>
    <w:rsid w:val="00CF0B3E"/>
    <w:rsid w:val="00CF0B8C"/>
    <w:rsid w:val="00CF0D30"/>
    <w:rsid w:val="00CF0FC4"/>
    <w:rsid w:val="00CF103E"/>
    <w:rsid w:val="00CF1089"/>
    <w:rsid w:val="00CF17DB"/>
    <w:rsid w:val="00CF17E2"/>
    <w:rsid w:val="00CF1B24"/>
    <w:rsid w:val="00CF1C79"/>
    <w:rsid w:val="00CF1D89"/>
    <w:rsid w:val="00CF2157"/>
    <w:rsid w:val="00CF218C"/>
    <w:rsid w:val="00CF2430"/>
    <w:rsid w:val="00CF26C2"/>
    <w:rsid w:val="00CF2708"/>
    <w:rsid w:val="00CF2893"/>
    <w:rsid w:val="00CF28E1"/>
    <w:rsid w:val="00CF2AD0"/>
    <w:rsid w:val="00CF2C08"/>
    <w:rsid w:val="00CF2C97"/>
    <w:rsid w:val="00CF2F3B"/>
    <w:rsid w:val="00CF2F64"/>
    <w:rsid w:val="00CF311A"/>
    <w:rsid w:val="00CF3359"/>
    <w:rsid w:val="00CF3400"/>
    <w:rsid w:val="00CF36B9"/>
    <w:rsid w:val="00CF379F"/>
    <w:rsid w:val="00CF393A"/>
    <w:rsid w:val="00CF3AB1"/>
    <w:rsid w:val="00CF3D2E"/>
    <w:rsid w:val="00CF3E71"/>
    <w:rsid w:val="00CF3FF1"/>
    <w:rsid w:val="00CF418C"/>
    <w:rsid w:val="00CF42DF"/>
    <w:rsid w:val="00CF4307"/>
    <w:rsid w:val="00CF449A"/>
    <w:rsid w:val="00CF44DB"/>
    <w:rsid w:val="00CF4680"/>
    <w:rsid w:val="00CF46A7"/>
    <w:rsid w:val="00CF4CF7"/>
    <w:rsid w:val="00CF5040"/>
    <w:rsid w:val="00CF50C3"/>
    <w:rsid w:val="00CF5183"/>
    <w:rsid w:val="00CF52F0"/>
    <w:rsid w:val="00CF550B"/>
    <w:rsid w:val="00CF5561"/>
    <w:rsid w:val="00CF56F2"/>
    <w:rsid w:val="00CF570D"/>
    <w:rsid w:val="00CF59A1"/>
    <w:rsid w:val="00CF59EF"/>
    <w:rsid w:val="00CF5B7A"/>
    <w:rsid w:val="00CF66B8"/>
    <w:rsid w:val="00CF6831"/>
    <w:rsid w:val="00CF69FF"/>
    <w:rsid w:val="00CF6B53"/>
    <w:rsid w:val="00CF6BE3"/>
    <w:rsid w:val="00CF6D2E"/>
    <w:rsid w:val="00CF6D71"/>
    <w:rsid w:val="00CF6F03"/>
    <w:rsid w:val="00CF73CA"/>
    <w:rsid w:val="00CF7F26"/>
    <w:rsid w:val="00CF7FAF"/>
    <w:rsid w:val="00D0008E"/>
    <w:rsid w:val="00D0064F"/>
    <w:rsid w:val="00D0079B"/>
    <w:rsid w:val="00D007CD"/>
    <w:rsid w:val="00D009E6"/>
    <w:rsid w:val="00D00B40"/>
    <w:rsid w:val="00D00EEC"/>
    <w:rsid w:val="00D01453"/>
    <w:rsid w:val="00D01708"/>
    <w:rsid w:val="00D018FE"/>
    <w:rsid w:val="00D01954"/>
    <w:rsid w:val="00D01E05"/>
    <w:rsid w:val="00D01ED5"/>
    <w:rsid w:val="00D021F0"/>
    <w:rsid w:val="00D02271"/>
    <w:rsid w:val="00D0242D"/>
    <w:rsid w:val="00D02456"/>
    <w:rsid w:val="00D026BC"/>
    <w:rsid w:val="00D02AD7"/>
    <w:rsid w:val="00D02C2A"/>
    <w:rsid w:val="00D02C41"/>
    <w:rsid w:val="00D02C47"/>
    <w:rsid w:val="00D02D99"/>
    <w:rsid w:val="00D02DE8"/>
    <w:rsid w:val="00D030C3"/>
    <w:rsid w:val="00D0340C"/>
    <w:rsid w:val="00D03458"/>
    <w:rsid w:val="00D03607"/>
    <w:rsid w:val="00D0375D"/>
    <w:rsid w:val="00D03E7A"/>
    <w:rsid w:val="00D04056"/>
    <w:rsid w:val="00D041B5"/>
    <w:rsid w:val="00D042BD"/>
    <w:rsid w:val="00D0469E"/>
    <w:rsid w:val="00D04827"/>
    <w:rsid w:val="00D04EFF"/>
    <w:rsid w:val="00D04F02"/>
    <w:rsid w:val="00D0502D"/>
    <w:rsid w:val="00D051A6"/>
    <w:rsid w:val="00D051E5"/>
    <w:rsid w:val="00D051FF"/>
    <w:rsid w:val="00D05245"/>
    <w:rsid w:val="00D05307"/>
    <w:rsid w:val="00D0557D"/>
    <w:rsid w:val="00D055FB"/>
    <w:rsid w:val="00D05669"/>
    <w:rsid w:val="00D05711"/>
    <w:rsid w:val="00D05C84"/>
    <w:rsid w:val="00D05C8C"/>
    <w:rsid w:val="00D05F5C"/>
    <w:rsid w:val="00D06454"/>
    <w:rsid w:val="00D0650A"/>
    <w:rsid w:val="00D06878"/>
    <w:rsid w:val="00D068D0"/>
    <w:rsid w:val="00D06948"/>
    <w:rsid w:val="00D06A55"/>
    <w:rsid w:val="00D06CBF"/>
    <w:rsid w:val="00D07071"/>
    <w:rsid w:val="00D0708A"/>
    <w:rsid w:val="00D0713C"/>
    <w:rsid w:val="00D07271"/>
    <w:rsid w:val="00D073BB"/>
    <w:rsid w:val="00D07512"/>
    <w:rsid w:val="00D075AB"/>
    <w:rsid w:val="00D078C6"/>
    <w:rsid w:val="00D07B33"/>
    <w:rsid w:val="00D07C9D"/>
    <w:rsid w:val="00D07D12"/>
    <w:rsid w:val="00D07D73"/>
    <w:rsid w:val="00D07D82"/>
    <w:rsid w:val="00D07FB4"/>
    <w:rsid w:val="00D1036E"/>
    <w:rsid w:val="00D10506"/>
    <w:rsid w:val="00D10585"/>
    <w:rsid w:val="00D105B6"/>
    <w:rsid w:val="00D1060A"/>
    <w:rsid w:val="00D1065D"/>
    <w:rsid w:val="00D10773"/>
    <w:rsid w:val="00D107E7"/>
    <w:rsid w:val="00D109CB"/>
    <w:rsid w:val="00D10D0E"/>
    <w:rsid w:val="00D10E1A"/>
    <w:rsid w:val="00D10E7B"/>
    <w:rsid w:val="00D10E91"/>
    <w:rsid w:val="00D10EC9"/>
    <w:rsid w:val="00D1105A"/>
    <w:rsid w:val="00D1111B"/>
    <w:rsid w:val="00D112DB"/>
    <w:rsid w:val="00D1137B"/>
    <w:rsid w:val="00D11387"/>
    <w:rsid w:val="00D11D5A"/>
    <w:rsid w:val="00D11DB6"/>
    <w:rsid w:val="00D12053"/>
    <w:rsid w:val="00D1217F"/>
    <w:rsid w:val="00D121D3"/>
    <w:rsid w:val="00D12482"/>
    <w:rsid w:val="00D12503"/>
    <w:rsid w:val="00D126CA"/>
    <w:rsid w:val="00D12700"/>
    <w:rsid w:val="00D12790"/>
    <w:rsid w:val="00D128D7"/>
    <w:rsid w:val="00D1298C"/>
    <w:rsid w:val="00D1298F"/>
    <w:rsid w:val="00D12A82"/>
    <w:rsid w:val="00D12B8A"/>
    <w:rsid w:val="00D12B8D"/>
    <w:rsid w:val="00D12BAC"/>
    <w:rsid w:val="00D12BB7"/>
    <w:rsid w:val="00D12CB1"/>
    <w:rsid w:val="00D12F97"/>
    <w:rsid w:val="00D1303A"/>
    <w:rsid w:val="00D13059"/>
    <w:rsid w:val="00D131DE"/>
    <w:rsid w:val="00D132D5"/>
    <w:rsid w:val="00D1349D"/>
    <w:rsid w:val="00D13621"/>
    <w:rsid w:val="00D13631"/>
    <w:rsid w:val="00D13869"/>
    <w:rsid w:val="00D13E53"/>
    <w:rsid w:val="00D14108"/>
    <w:rsid w:val="00D14152"/>
    <w:rsid w:val="00D142D9"/>
    <w:rsid w:val="00D14722"/>
    <w:rsid w:val="00D14CBB"/>
    <w:rsid w:val="00D14E84"/>
    <w:rsid w:val="00D15041"/>
    <w:rsid w:val="00D151EA"/>
    <w:rsid w:val="00D15303"/>
    <w:rsid w:val="00D15547"/>
    <w:rsid w:val="00D156D5"/>
    <w:rsid w:val="00D1596F"/>
    <w:rsid w:val="00D15B09"/>
    <w:rsid w:val="00D16051"/>
    <w:rsid w:val="00D160F7"/>
    <w:rsid w:val="00D16297"/>
    <w:rsid w:val="00D162FA"/>
    <w:rsid w:val="00D1657B"/>
    <w:rsid w:val="00D166E3"/>
    <w:rsid w:val="00D16799"/>
    <w:rsid w:val="00D168DB"/>
    <w:rsid w:val="00D168DF"/>
    <w:rsid w:val="00D16AE5"/>
    <w:rsid w:val="00D16EF2"/>
    <w:rsid w:val="00D17428"/>
    <w:rsid w:val="00D174BE"/>
    <w:rsid w:val="00D174FF"/>
    <w:rsid w:val="00D17561"/>
    <w:rsid w:val="00D175D5"/>
    <w:rsid w:val="00D175EC"/>
    <w:rsid w:val="00D176AD"/>
    <w:rsid w:val="00D176FB"/>
    <w:rsid w:val="00D17788"/>
    <w:rsid w:val="00D17A0C"/>
    <w:rsid w:val="00D17A2A"/>
    <w:rsid w:val="00D20039"/>
    <w:rsid w:val="00D20461"/>
    <w:rsid w:val="00D2054A"/>
    <w:rsid w:val="00D20A89"/>
    <w:rsid w:val="00D20B75"/>
    <w:rsid w:val="00D20EB0"/>
    <w:rsid w:val="00D20EEB"/>
    <w:rsid w:val="00D21163"/>
    <w:rsid w:val="00D21393"/>
    <w:rsid w:val="00D2148E"/>
    <w:rsid w:val="00D21809"/>
    <w:rsid w:val="00D218BB"/>
    <w:rsid w:val="00D21A6E"/>
    <w:rsid w:val="00D21D48"/>
    <w:rsid w:val="00D21FA8"/>
    <w:rsid w:val="00D22095"/>
    <w:rsid w:val="00D22097"/>
    <w:rsid w:val="00D220EF"/>
    <w:rsid w:val="00D22166"/>
    <w:rsid w:val="00D2217D"/>
    <w:rsid w:val="00D224B2"/>
    <w:rsid w:val="00D2252B"/>
    <w:rsid w:val="00D22675"/>
    <w:rsid w:val="00D22B80"/>
    <w:rsid w:val="00D22B8A"/>
    <w:rsid w:val="00D22C25"/>
    <w:rsid w:val="00D22D61"/>
    <w:rsid w:val="00D22E61"/>
    <w:rsid w:val="00D22EBC"/>
    <w:rsid w:val="00D22ECE"/>
    <w:rsid w:val="00D22F0E"/>
    <w:rsid w:val="00D2331E"/>
    <w:rsid w:val="00D233DF"/>
    <w:rsid w:val="00D2369E"/>
    <w:rsid w:val="00D236B7"/>
    <w:rsid w:val="00D239D9"/>
    <w:rsid w:val="00D23BE3"/>
    <w:rsid w:val="00D23E48"/>
    <w:rsid w:val="00D241D7"/>
    <w:rsid w:val="00D244BE"/>
    <w:rsid w:val="00D244CE"/>
    <w:rsid w:val="00D24537"/>
    <w:rsid w:val="00D24640"/>
    <w:rsid w:val="00D24805"/>
    <w:rsid w:val="00D2482B"/>
    <w:rsid w:val="00D2482F"/>
    <w:rsid w:val="00D2489E"/>
    <w:rsid w:val="00D24B50"/>
    <w:rsid w:val="00D24B54"/>
    <w:rsid w:val="00D24BB6"/>
    <w:rsid w:val="00D24F98"/>
    <w:rsid w:val="00D25019"/>
    <w:rsid w:val="00D25352"/>
    <w:rsid w:val="00D25386"/>
    <w:rsid w:val="00D25410"/>
    <w:rsid w:val="00D2578C"/>
    <w:rsid w:val="00D25964"/>
    <w:rsid w:val="00D25EC9"/>
    <w:rsid w:val="00D25FED"/>
    <w:rsid w:val="00D263FE"/>
    <w:rsid w:val="00D2670B"/>
    <w:rsid w:val="00D2679D"/>
    <w:rsid w:val="00D268D9"/>
    <w:rsid w:val="00D2692A"/>
    <w:rsid w:val="00D2693A"/>
    <w:rsid w:val="00D2695A"/>
    <w:rsid w:val="00D269FF"/>
    <w:rsid w:val="00D26A83"/>
    <w:rsid w:val="00D26C3C"/>
    <w:rsid w:val="00D26D2F"/>
    <w:rsid w:val="00D26F36"/>
    <w:rsid w:val="00D27232"/>
    <w:rsid w:val="00D2740D"/>
    <w:rsid w:val="00D2770B"/>
    <w:rsid w:val="00D278E5"/>
    <w:rsid w:val="00D278F4"/>
    <w:rsid w:val="00D27AE4"/>
    <w:rsid w:val="00D27B83"/>
    <w:rsid w:val="00D27BEC"/>
    <w:rsid w:val="00D27C10"/>
    <w:rsid w:val="00D27F2D"/>
    <w:rsid w:val="00D300E9"/>
    <w:rsid w:val="00D30118"/>
    <w:rsid w:val="00D30334"/>
    <w:rsid w:val="00D304CF"/>
    <w:rsid w:val="00D305A1"/>
    <w:rsid w:val="00D305CC"/>
    <w:rsid w:val="00D305E1"/>
    <w:rsid w:val="00D3073A"/>
    <w:rsid w:val="00D3090A"/>
    <w:rsid w:val="00D309AC"/>
    <w:rsid w:val="00D30B7C"/>
    <w:rsid w:val="00D30CB8"/>
    <w:rsid w:val="00D30FC3"/>
    <w:rsid w:val="00D310F3"/>
    <w:rsid w:val="00D3111E"/>
    <w:rsid w:val="00D31221"/>
    <w:rsid w:val="00D31318"/>
    <w:rsid w:val="00D31697"/>
    <w:rsid w:val="00D316BD"/>
    <w:rsid w:val="00D316DF"/>
    <w:rsid w:val="00D31700"/>
    <w:rsid w:val="00D31851"/>
    <w:rsid w:val="00D31CD6"/>
    <w:rsid w:val="00D31D96"/>
    <w:rsid w:val="00D31F8D"/>
    <w:rsid w:val="00D32012"/>
    <w:rsid w:val="00D320DD"/>
    <w:rsid w:val="00D321E1"/>
    <w:rsid w:val="00D323F9"/>
    <w:rsid w:val="00D32449"/>
    <w:rsid w:val="00D32664"/>
    <w:rsid w:val="00D326D0"/>
    <w:rsid w:val="00D32753"/>
    <w:rsid w:val="00D32A68"/>
    <w:rsid w:val="00D32D36"/>
    <w:rsid w:val="00D32F44"/>
    <w:rsid w:val="00D32FA5"/>
    <w:rsid w:val="00D3300B"/>
    <w:rsid w:val="00D3328C"/>
    <w:rsid w:val="00D33470"/>
    <w:rsid w:val="00D336AD"/>
    <w:rsid w:val="00D33715"/>
    <w:rsid w:val="00D337DB"/>
    <w:rsid w:val="00D33857"/>
    <w:rsid w:val="00D33A78"/>
    <w:rsid w:val="00D33C29"/>
    <w:rsid w:val="00D33C32"/>
    <w:rsid w:val="00D33E44"/>
    <w:rsid w:val="00D33EBE"/>
    <w:rsid w:val="00D33F8A"/>
    <w:rsid w:val="00D34058"/>
    <w:rsid w:val="00D342E8"/>
    <w:rsid w:val="00D3434F"/>
    <w:rsid w:val="00D34376"/>
    <w:rsid w:val="00D343BD"/>
    <w:rsid w:val="00D34433"/>
    <w:rsid w:val="00D34615"/>
    <w:rsid w:val="00D346FA"/>
    <w:rsid w:val="00D34B44"/>
    <w:rsid w:val="00D34B57"/>
    <w:rsid w:val="00D34F92"/>
    <w:rsid w:val="00D34FA8"/>
    <w:rsid w:val="00D350C0"/>
    <w:rsid w:val="00D35155"/>
    <w:rsid w:val="00D35357"/>
    <w:rsid w:val="00D353B4"/>
    <w:rsid w:val="00D3569C"/>
    <w:rsid w:val="00D35718"/>
    <w:rsid w:val="00D35755"/>
    <w:rsid w:val="00D358E8"/>
    <w:rsid w:val="00D35E91"/>
    <w:rsid w:val="00D35EA7"/>
    <w:rsid w:val="00D35FE9"/>
    <w:rsid w:val="00D361D9"/>
    <w:rsid w:val="00D36216"/>
    <w:rsid w:val="00D366AB"/>
    <w:rsid w:val="00D369C6"/>
    <w:rsid w:val="00D36C5F"/>
    <w:rsid w:val="00D36CB6"/>
    <w:rsid w:val="00D36CFB"/>
    <w:rsid w:val="00D36D8B"/>
    <w:rsid w:val="00D36F4C"/>
    <w:rsid w:val="00D3735C"/>
    <w:rsid w:val="00D373FF"/>
    <w:rsid w:val="00D375EF"/>
    <w:rsid w:val="00D37807"/>
    <w:rsid w:val="00D37ECC"/>
    <w:rsid w:val="00D37F4A"/>
    <w:rsid w:val="00D401AB"/>
    <w:rsid w:val="00D401C6"/>
    <w:rsid w:val="00D4025E"/>
    <w:rsid w:val="00D40448"/>
    <w:rsid w:val="00D4049E"/>
    <w:rsid w:val="00D40508"/>
    <w:rsid w:val="00D40509"/>
    <w:rsid w:val="00D405FA"/>
    <w:rsid w:val="00D4062E"/>
    <w:rsid w:val="00D406B2"/>
    <w:rsid w:val="00D40843"/>
    <w:rsid w:val="00D4098C"/>
    <w:rsid w:val="00D40A90"/>
    <w:rsid w:val="00D40B82"/>
    <w:rsid w:val="00D40B95"/>
    <w:rsid w:val="00D40C35"/>
    <w:rsid w:val="00D40EAE"/>
    <w:rsid w:val="00D4111E"/>
    <w:rsid w:val="00D411C7"/>
    <w:rsid w:val="00D4124E"/>
    <w:rsid w:val="00D41438"/>
    <w:rsid w:val="00D414C5"/>
    <w:rsid w:val="00D414C7"/>
    <w:rsid w:val="00D415BC"/>
    <w:rsid w:val="00D4193D"/>
    <w:rsid w:val="00D41A59"/>
    <w:rsid w:val="00D41CF9"/>
    <w:rsid w:val="00D41DEA"/>
    <w:rsid w:val="00D41E77"/>
    <w:rsid w:val="00D42278"/>
    <w:rsid w:val="00D4280A"/>
    <w:rsid w:val="00D4281E"/>
    <w:rsid w:val="00D428AC"/>
    <w:rsid w:val="00D42B7B"/>
    <w:rsid w:val="00D42B97"/>
    <w:rsid w:val="00D42BA8"/>
    <w:rsid w:val="00D42C04"/>
    <w:rsid w:val="00D42ED2"/>
    <w:rsid w:val="00D43096"/>
    <w:rsid w:val="00D4327D"/>
    <w:rsid w:val="00D43B5E"/>
    <w:rsid w:val="00D43BC4"/>
    <w:rsid w:val="00D43D89"/>
    <w:rsid w:val="00D43DE4"/>
    <w:rsid w:val="00D43F83"/>
    <w:rsid w:val="00D44144"/>
    <w:rsid w:val="00D44402"/>
    <w:rsid w:val="00D445AF"/>
    <w:rsid w:val="00D44715"/>
    <w:rsid w:val="00D44AC4"/>
    <w:rsid w:val="00D44D6A"/>
    <w:rsid w:val="00D44D8E"/>
    <w:rsid w:val="00D44DEF"/>
    <w:rsid w:val="00D44E6F"/>
    <w:rsid w:val="00D44FC7"/>
    <w:rsid w:val="00D45001"/>
    <w:rsid w:val="00D45034"/>
    <w:rsid w:val="00D4519D"/>
    <w:rsid w:val="00D4583F"/>
    <w:rsid w:val="00D458E5"/>
    <w:rsid w:val="00D45A7A"/>
    <w:rsid w:val="00D45DA9"/>
    <w:rsid w:val="00D45DEB"/>
    <w:rsid w:val="00D4610D"/>
    <w:rsid w:val="00D463A2"/>
    <w:rsid w:val="00D46593"/>
    <w:rsid w:val="00D46852"/>
    <w:rsid w:val="00D4695B"/>
    <w:rsid w:val="00D469D9"/>
    <w:rsid w:val="00D46AB2"/>
    <w:rsid w:val="00D46C90"/>
    <w:rsid w:val="00D46D50"/>
    <w:rsid w:val="00D46ECA"/>
    <w:rsid w:val="00D46EEC"/>
    <w:rsid w:val="00D471ED"/>
    <w:rsid w:val="00D472D9"/>
    <w:rsid w:val="00D47331"/>
    <w:rsid w:val="00D477D3"/>
    <w:rsid w:val="00D47815"/>
    <w:rsid w:val="00D4799B"/>
    <w:rsid w:val="00D47A4F"/>
    <w:rsid w:val="00D47A54"/>
    <w:rsid w:val="00D47B69"/>
    <w:rsid w:val="00D47D2C"/>
    <w:rsid w:val="00D47D63"/>
    <w:rsid w:val="00D47EBB"/>
    <w:rsid w:val="00D500D3"/>
    <w:rsid w:val="00D500E5"/>
    <w:rsid w:val="00D5010C"/>
    <w:rsid w:val="00D501AA"/>
    <w:rsid w:val="00D501FA"/>
    <w:rsid w:val="00D50344"/>
    <w:rsid w:val="00D503A5"/>
    <w:rsid w:val="00D5050B"/>
    <w:rsid w:val="00D5069A"/>
    <w:rsid w:val="00D508C0"/>
    <w:rsid w:val="00D50AEE"/>
    <w:rsid w:val="00D50B2C"/>
    <w:rsid w:val="00D50C25"/>
    <w:rsid w:val="00D50C60"/>
    <w:rsid w:val="00D50E06"/>
    <w:rsid w:val="00D51160"/>
    <w:rsid w:val="00D511DE"/>
    <w:rsid w:val="00D51477"/>
    <w:rsid w:val="00D51647"/>
    <w:rsid w:val="00D516BD"/>
    <w:rsid w:val="00D518A7"/>
    <w:rsid w:val="00D51F0F"/>
    <w:rsid w:val="00D520C4"/>
    <w:rsid w:val="00D52283"/>
    <w:rsid w:val="00D5233A"/>
    <w:rsid w:val="00D52581"/>
    <w:rsid w:val="00D526F8"/>
    <w:rsid w:val="00D5276E"/>
    <w:rsid w:val="00D527C8"/>
    <w:rsid w:val="00D5287C"/>
    <w:rsid w:val="00D528D7"/>
    <w:rsid w:val="00D529DA"/>
    <w:rsid w:val="00D52B7E"/>
    <w:rsid w:val="00D52BBB"/>
    <w:rsid w:val="00D52C17"/>
    <w:rsid w:val="00D52C79"/>
    <w:rsid w:val="00D52D06"/>
    <w:rsid w:val="00D52E6A"/>
    <w:rsid w:val="00D5305D"/>
    <w:rsid w:val="00D531B2"/>
    <w:rsid w:val="00D53474"/>
    <w:rsid w:val="00D53509"/>
    <w:rsid w:val="00D53637"/>
    <w:rsid w:val="00D53692"/>
    <w:rsid w:val="00D536B9"/>
    <w:rsid w:val="00D5376F"/>
    <w:rsid w:val="00D5392D"/>
    <w:rsid w:val="00D53953"/>
    <w:rsid w:val="00D5396D"/>
    <w:rsid w:val="00D53BC0"/>
    <w:rsid w:val="00D53CE6"/>
    <w:rsid w:val="00D53F13"/>
    <w:rsid w:val="00D54587"/>
    <w:rsid w:val="00D547AB"/>
    <w:rsid w:val="00D54840"/>
    <w:rsid w:val="00D54B50"/>
    <w:rsid w:val="00D54F05"/>
    <w:rsid w:val="00D55094"/>
    <w:rsid w:val="00D552EE"/>
    <w:rsid w:val="00D554E1"/>
    <w:rsid w:val="00D5567E"/>
    <w:rsid w:val="00D55689"/>
    <w:rsid w:val="00D557F0"/>
    <w:rsid w:val="00D55928"/>
    <w:rsid w:val="00D55AF0"/>
    <w:rsid w:val="00D55C4A"/>
    <w:rsid w:val="00D55CD8"/>
    <w:rsid w:val="00D55CF8"/>
    <w:rsid w:val="00D55F01"/>
    <w:rsid w:val="00D55F0F"/>
    <w:rsid w:val="00D55F4C"/>
    <w:rsid w:val="00D5648E"/>
    <w:rsid w:val="00D5659C"/>
    <w:rsid w:val="00D565D4"/>
    <w:rsid w:val="00D567A6"/>
    <w:rsid w:val="00D56AFE"/>
    <w:rsid w:val="00D56B70"/>
    <w:rsid w:val="00D56EDF"/>
    <w:rsid w:val="00D56F15"/>
    <w:rsid w:val="00D570F3"/>
    <w:rsid w:val="00D5713D"/>
    <w:rsid w:val="00D57180"/>
    <w:rsid w:val="00D57276"/>
    <w:rsid w:val="00D57280"/>
    <w:rsid w:val="00D573EC"/>
    <w:rsid w:val="00D5755B"/>
    <w:rsid w:val="00D577B7"/>
    <w:rsid w:val="00D578F0"/>
    <w:rsid w:val="00D57AB1"/>
    <w:rsid w:val="00D57B11"/>
    <w:rsid w:val="00D57B52"/>
    <w:rsid w:val="00D57BB5"/>
    <w:rsid w:val="00D57BCE"/>
    <w:rsid w:val="00D57D93"/>
    <w:rsid w:val="00D57F16"/>
    <w:rsid w:val="00D57F24"/>
    <w:rsid w:val="00D60157"/>
    <w:rsid w:val="00D6029E"/>
    <w:rsid w:val="00D6035B"/>
    <w:rsid w:val="00D607BA"/>
    <w:rsid w:val="00D60805"/>
    <w:rsid w:val="00D60A87"/>
    <w:rsid w:val="00D61217"/>
    <w:rsid w:val="00D613F0"/>
    <w:rsid w:val="00D614B7"/>
    <w:rsid w:val="00D6173B"/>
    <w:rsid w:val="00D61981"/>
    <w:rsid w:val="00D619FD"/>
    <w:rsid w:val="00D6243F"/>
    <w:rsid w:val="00D62DB6"/>
    <w:rsid w:val="00D62E55"/>
    <w:rsid w:val="00D62F7C"/>
    <w:rsid w:val="00D62FF3"/>
    <w:rsid w:val="00D63447"/>
    <w:rsid w:val="00D6347A"/>
    <w:rsid w:val="00D6356D"/>
    <w:rsid w:val="00D635CE"/>
    <w:rsid w:val="00D63639"/>
    <w:rsid w:val="00D636C2"/>
    <w:rsid w:val="00D636D3"/>
    <w:rsid w:val="00D6388C"/>
    <w:rsid w:val="00D638BE"/>
    <w:rsid w:val="00D63934"/>
    <w:rsid w:val="00D63A82"/>
    <w:rsid w:val="00D63A87"/>
    <w:rsid w:val="00D63B76"/>
    <w:rsid w:val="00D63B98"/>
    <w:rsid w:val="00D63BB3"/>
    <w:rsid w:val="00D63C90"/>
    <w:rsid w:val="00D63E3F"/>
    <w:rsid w:val="00D63E85"/>
    <w:rsid w:val="00D64059"/>
    <w:rsid w:val="00D64213"/>
    <w:rsid w:val="00D6428D"/>
    <w:rsid w:val="00D6437F"/>
    <w:rsid w:val="00D644C2"/>
    <w:rsid w:val="00D644C7"/>
    <w:rsid w:val="00D64561"/>
    <w:rsid w:val="00D64667"/>
    <w:rsid w:val="00D64833"/>
    <w:rsid w:val="00D64886"/>
    <w:rsid w:val="00D64A56"/>
    <w:rsid w:val="00D651C0"/>
    <w:rsid w:val="00D6538C"/>
    <w:rsid w:val="00D653BE"/>
    <w:rsid w:val="00D65425"/>
    <w:rsid w:val="00D65434"/>
    <w:rsid w:val="00D654DD"/>
    <w:rsid w:val="00D654E3"/>
    <w:rsid w:val="00D6553D"/>
    <w:rsid w:val="00D655E5"/>
    <w:rsid w:val="00D65696"/>
    <w:rsid w:val="00D656B7"/>
    <w:rsid w:val="00D656EB"/>
    <w:rsid w:val="00D658BA"/>
    <w:rsid w:val="00D65D96"/>
    <w:rsid w:val="00D65F20"/>
    <w:rsid w:val="00D66181"/>
    <w:rsid w:val="00D6628D"/>
    <w:rsid w:val="00D66362"/>
    <w:rsid w:val="00D66524"/>
    <w:rsid w:val="00D66705"/>
    <w:rsid w:val="00D6686E"/>
    <w:rsid w:val="00D66BA4"/>
    <w:rsid w:val="00D66CFF"/>
    <w:rsid w:val="00D6706E"/>
    <w:rsid w:val="00D672C5"/>
    <w:rsid w:val="00D675F0"/>
    <w:rsid w:val="00D679FD"/>
    <w:rsid w:val="00D67AB5"/>
    <w:rsid w:val="00D67BB9"/>
    <w:rsid w:val="00D67FD0"/>
    <w:rsid w:val="00D70163"/>
    <w:rsid w:val="00D701E8"/>
    <w:rsid w:val="00D70222"/>
    <w:rsid w:val="00D703B9"/>
    <w:rsid w:val="00D703D8"/>
    <w:rsid w:val="00D707A9"/>
    <w:rsid w:val="00D708E9"/>
    <w:rsid w:val="00D70EE7"/>
    <w:rsid w:val="00D71026"/>
    <w:rsid w:val="00D71050"/>
    <w:rsid w:val="00D711CC"/>
    <w:rsid w:val="00D713B7"/>
    <w:rsid w:val="00D7149A"/>
    <w:rsid w:val="00D71528"/>
    <w:rsid w:val="00D715B2"/>
    <w:rsid w:val="00D716AA"/>
    <w:rsid w:val="00D71A9A"/>
    <w:rsid w:val="00D71CD8"/>
    <w:rsid w:val="00D720DF"/>
    <w:rsid w:val="00D721E0"/>
    <w:rsid w:val="00D7250F"/>
    <w:rsid w:val="00D72544"/>
    <w:rsid w:val="00D72A83"/>
    <w:rsid w:val="00D72BB0"/>
    <w:rsid w:val="00D72BF1"/>
    <w:rsid w:val="00D72CBF"/>
    <w:rsid w:val="00D72F4D"/>
    <w:rsid w:val="00D72FDC"/>
    <w:rsid w:val="00D730B0"/>
    <w:rsid w:val="00D732AE"/>
    <w:rsid w:val="00D73385"/>
    <w:rsid w:val="00D73652"/>
    <w:rsid w:val="00D73691"/>
    <w:rsid w:val="00D73744"/>
    <w:rsid w:val="00D73C16"/>
    <w:rsid w:val="00D73DC9"/>
    <w:rsid w:val="00D741B9"/>
    <w:rsid w:val="00D74771"/>
    <w:rsid w:val="00D7493F"/>
    <w:rsid w:val="00D749C1"/>
    <w:rsid w:val="00D74D67"/>
    <w:rsid w:val="00D74DA6"/>
    <w:rsid w:val="00D74DEC"/>
    <w:rsid w:val="00D74EA4"/>
    <w:rsid w:val="00D74F41"/>
    <w:rsid w:val="00D7506D"/>
    <w:rsid w:val="00D751A2"/>
    <w:rsid w:val="00D7563F"/>
    <w:rsid w:val="00D75641"/>
    <w:rsid w:val="00D758AC"/>
    <w:rsid w:val="00D758C7"/>
    <w:rsid w:val="00D75921"/>
    <w:rsid w:val="00D75A84"/>
    <w:rsid w:val="00D75B12"/>
    <w:rsid w:val="00D75B70"/>
    <w:rsid w:val="00D75FDC"/>
    <w:rsid w:val="00D76269"/>
    <w:rsid w:val="00D76372"/>
    <w:rsid w:val="00D76562"/>
    <w:rsid w:val="00D765A0"/>
    <w:rsid w:val="00D76684"/>
    <w:rsid w:val="00D766AA"/>
    <w:rsid w:val="00D7686A"/>
    <w:rsid w:val="00D76998"/>
    <w:rsid w:val="00D76AB5"/>
    <w:rsid w:val="00D76D11"/>
    <w:rsid w:val="00D76FC6"/>
    <w:rsid w:val="00D770D5"/>
    <w:rsid w:val="00D771FD"/>
    <w:rsid w:val="00D772CB"/>
    <w:rsid w:val="00D775B0"/>
    <w:rsid w:val="00D776E3"/>
    <w:rsid w:val="00D778D5"/>
    <w:rsid w:val="00D7796D"/>
    <w:rsid w:val="00D77A91"/>
    <w:rsid w:val="00D77B4F"/>
    <w:rsid w:val="00D77C17"/>
    <w:rsid w:val="00D77D33"/>
    <w:rsid w:val="00D77F46"/>
    <w:rsid w:val="00D77FDB"/>
    <w:rsid w:val="00D800F7"/>
    <w:rsid w:val="00D8014F"/>
    <w:rsid w:val="00D80381"/>
    <w:rsid w:val="00D805D2"/>
    <w:rsid w:val="00D80604"/>
    <w:rsid w:val="00D80855"/>
    <w:rsid w:val="00D808F4"/>
    <w:rsid w:val="00D80987"/>
    <w:rsid w:val="00D80B1A"/>
    <w:rsid w:val="00D80C06"/>
    <w:rsid w:val="00D80F8A"/>
    <w:rsid w:val="00D81047"/>
    <w:rsid w:val="00D8111F"/>
    <w:rsid w:val="00D8118C"/>
    <w:rsid w:val="00D81267"/>
    <w:rsid w:val="00D812C7"/>
    <w:rsid w:val="00D812DB"/>
    <w:rsid w:val="00D81341"/>
    <w:rsid w:val="00D8158D"/>
    <w:rsid w:val="00D816C6"/>
    <w:rsid w:val="00D8170F"/>
    <w:rsid w:val="00D81B18"/>
    <w:rsid w:val="00D82253"/>
    <w:rsid w:val="00D82666"/>
    <w:rsid w:val="00D8283C"/>
    <w:rsid w:val="00D82A8B"/>
    <w:rsid w:val="00D82A99"/>
    <w:rsid w:val="00D82E52"/>
    <w:rsid w:val="00D83021"/>
    <w:rsid w:val="00D831DB"/>
    <w:rsid w:val="00D8327F"/>
    <w:rsid w:val="00D83541"/>
    <w:rsid w:val="00D836EA"/>
    <w:rsid w:val="00D836F8"/>
    <w:rsid w:val="00D83768"/>
    <w:rsid w:val="00D8378C"/>
    <w:rsid w:val="00D83E83"/>
    <w:rsid w:val="00D8423C"/>
    <w:rsid w:val="00D8435E"/>
    <w:rsid w:val="00D84563"/>
    <w:rsid w:val="00D8466B"/>
    <w:rsid w:val="00D8487E"/>
    <w:rsid w:val="00D8488E"/>
    <w:rsid w:val="00D84B4D"/>
    <w:rsid w:val="00D84D05"/>
    <w:rsid w:val="00D84D74"/>
    <w:rsid w:val="00D84E87"/>
    <w:rsid w:val="00D84FF7"/>
    <w:rsid w:val="00D8501A"/>
    <w:rsid w:val="00D85089"/>
    <w:rsid w:val="00D85128"/>
    <w:rsid w:val="00D85562"/>
    <w:rsid w:val="00D8568F"/>
    <w:rsid w:val="00D856AF"/>
    <w:rsid w:val="00D85853"/>
    <w:rsid w:val="00D85EC4"/>
    <w:rsid w:val="00D85F1D"/>
    <w:rsid w:val="00D86281"/>
    <w:rsid w:val="00D86421"/>
    <w:rsid w:val="00D86468"/>
    <w:rsid w:val="00D865F5"/>
    <w:rsid w:val="00D866A4"/>
    <w:rsid w:val="00D86757"/>
    <w:rsid w:val="00D86A8C"/>
    <w:rsid w:val="00D86B7F"/>
    <w:rsid w:val="00D86BED"/>
    <w:rsid w:val="00D86C34"/>
    <w:rsid w:val="00D86DCA"/>
    <w:rsid w:val="00D86F9B"/>
    <w:rsid w:val="00D870ED"/>
    <w:rsid w:val="00D8719C"/>
    <w:rsid w:val="00D87236"/>
    <w:rsid w:val="00D873DC"/>
    <w:rsid w:val="00D87453"/>
    <w:rsid w:val="00D8794E"/>
    <w:rsid w:val="00D87C14"/>
    <w:rsid w:val="00D87FF0"/>
    <w:rsid w:val="00D900DB"/>
    <w:rsid w:val="00D901AD"/>
    <w:rsid w:val="00D903DE"/>
    <w:rsid w:val="00D906D9"/>
    <w:rsid w:val="00D908B8"/>
    <w:rsid w:val="00D90E77"/>
    <w:rsid w:val="00D90F3C"/>
    <w:rsid w:val="00D9113A"/>
    <w:rsid w:val="00D91355"/>
    <w:rsid w:val="00D91390"/>
    <w:rsid w:val="00D91540"/>
    <w:rsid w:val="00D91696"/>
    <w:rsid w:val="00D91A77"/>
    <w:rsid w:val="00D91A81"/>
    <w:rsid w:val="00D91B3E"/>
    <w:rsid w:val="00D91C9B"/>
    <w:rsid w:val="00D91F6E"/>
    <w:rsid w:val="00D91F70"/>
    <w:rsid w:val="00D92069"/>
    <w:rsid w:val="00D92148"/>
    <w:rsid w:val="00D9223B"/>
    <w:rsid w:val="00D922E4"/>
    <w:rsid w:val="00D9233D"/>
    <w:rsid w:val="00D923DB"/>
    <w:rsid w:val="00D923FB"/>
    <w:rsid w:val="00D9257D"/>
    <w:rsid w:val="00D9278B"/>
    <w:rsid w:val="00D927AC"/>
    <w:rsid w:val="00D92832"/>
    <w:rsid w:val="00D92A3A"/>
    <w:rsid w:val="00D92E5D"/>
    <w:rsid w:val="00D9311C"/>
    <w:rsid w:val="00D931D7"/>
    <w:rsid w:val="00D93256"/>
    <w:rsid w:val="00D9355C"/>
    <w:rsid w:val="00D939A2"/>
    <w:rsid w:val="00D93A16"/>
    <w:rsid w:val="00D93B28"/>
    <w:rsid w:val="00D93B89"/>
    <w:rsid w:val="00D93C1B"/>
    <w:rsid w:val="00D93CD5"/>
    <w:rsid w:val="00D93D19"/>
    <w:rsid w:val="00D93D55"/>
    <w:rsid w:val="00D93D92"/>
    <w:rsid w:val="00D93E03"/>
    <w:rsid w:val="00D93E19"/>
    <w:rsid w:val="00D94187"/>
    <w:rsid w:val="00D94406"/>
    <w:rsid w:val="00D945AB"/>
    <w:rsid w:val="00D9496D"/>
    <w:rsid w:val="00D94D38"/>
    <w:rsid w:val="00D94E49"/>
    <w:rsid w:val="00D9500A"/>
    <w:rsid w:val="00D9574C"/>
    <w:rsid w:val="00D95872"/>
    <w:rsid w:val="00D95A25"/>
    <w:rsid w:val="00D95A5D"/>
    <w:rsid w:val="00D95C95"/>
    <w:rsid w:val="00D96288"/>
    <w:rsid w:val="00D962E5"/>
    <w:rsid w:val="00D96356"/>
    <w:rsid w:val="00D96699"/>
    <w:rsid w:val="00D967AF"/>
    <w:rsid w:val="00D96DBC"/>
    <w:rsid w:val="00D96DCC"/>
    <w:rsid w:val="00D96DD3"/>
    <w:rsid w:val="00D96E5F"/>
    <w:rsid w:val="00D96ED8"/>
    <w:rsid w:val="00D96FF3"/>
    <w:rsid w:val="00D970CE"/>
    <w:rsid w:val="00D97252"/>
    <w:rsid w:val="00D9751B"/>
    <w:rsid w:val="00D975AB"/>
    <w:rsid w:val="00D977C5"/>
    <w:rsid w:val="00D97BEF"/>
    <w:rsid w:val="00D97CAF"/>
    <w:rsid w:val="00D97DC0"/>
    <w:rsid w:val="00D97F9A"/>
    <w:rsid w:val="00DA004C"/>
    <w:rsid w:val="00DA03F3"/>
    <w:rsid w:val="00DA05D8"/>
    <w:rsid w:val="00DA070A"/>
    <w:rsid w:val="00DA0768"/>
    <w:rsid w:val="00DA076C"/>
    <w:rsid w:val="00DA08A7"/>
    <w:rsid w:val="00DA0AA1"/>
    <w:rsid w:val="00DA0CA4"/>
    <w:rsid w:val="00DA0E91"/>
    <w:rsid w:val="00DA0FBC"/>
    <w:rsid w:val="00DA1398"/>
    <w:rsid w:val="00DA161A"/>
    <w:rsid w:val="00DA18A4"/>
    <w:rsid w:val="00DA1950"/>
    <w:rsid w:val="00DA1A0D"/>
    <w:rsid w:val="00DA1A2A"/>
    <w:rsid w:val="00DA1B62"/>
    <w:rsid w:val="00DA1CD0"/>
    <w:rsid w:val="00DA1CE0"/>
    <w:rsid w:val="00DA1F9D"/>
    <w:rsid w:val="00DA20A3"/>
    <w:rsid w:val="00DA2139"/>
    <w:rsid w:val="00DA2220"/>
    <w:rsid w:val="00DA22B6"/>
    <w:rsid w:val="00DA234F"/>
    <w:rsid w:val="00DA25F8"/>
    <w:rsid w:val="00DA2886"/>
    <w:rsid w:val="00DA2C18"/>
    <w:rsid w:val="00DA2C3A"/>
    <w:rsid w:val="00DA2F4F"/>
    <w:rsid w:val="00DA32A5"/>
    <w:rsid w:val="00DA3494"/>
    <w:rsid w:val="00DA3633"/>
    <w:rsid w:val="00DA37F9"/>
    <w:rsid w:val="00DA3A39"/>
    <w:rsid w:val="00DA3D19"/>
    <w:rsid w:val="00DA3E2F"/>
    <w:rsid w:val="00DA3EEE"/>
    <w:rsid w:val="00DA4039"/>
    <w:rsid w:val="00DA406C"/>
    <w:rsid w:val="00DA4258"/>
    <w:rsid w:val="00DA4375"/>
    <w:rsid w:val="00DA439D"/>
    <w:rsid w:val="00DA43A0"/>
    <w:rsid w:val="00DA45D3"/>
    <w:rsid w:val="00DA46CD"/>
    <w:rsid w:val="00DA475F"/>
    <w:rsid w:val="00DA4850"/>
    <w:rsid w:val="00DA4968"/>
    <w:rsid w:val="00DA4B07"/>
    <w:rsid w:val="00DA4B37"/>
    <w:rsid w:val="00DA4C70"/>
    <w:rsid w:val="00DA4F7F"/>
    <w:rsid w:val="00DA562F"/>
    <w:rsid w:val="00DA56D1"/>
    <w:rsid w:val="00DA5A94"/>
    <w:rsid w:val="00DA5B56"/>
    <w:rsid w:val="00DA5BD7"/>
    <w:rsid w:val="00DA5EF6"/>
    <w:rsid w:val="00DA6514"/>
    <w:rsid w:val="00DA6824"/>
    <w:rsid w:val="00DA6A04"/>
    <w:rsid w:val="00DA6A29"/>
    <w:rsid w:val="00DA6C16"/>
    <w:rsid w:val="00DA6CC9"/>
    <w:rsid w:val="00DA6F4F"/>
    <w:rsid w:val="00DA7191"/>
    <w:rsid w:val="00DA72E7"/>
    <w:rsid w:val="00DA73F4"/>
    <w:rsid w:val="00DA748B"/>
    <w:rsid w:val="00DA752A"/>
    <w:rsid w:val="00DA7597"/>
    <w:rsid w:val="00DA7634"/>
    <w:rsid w:val="00DA7727"/>
    <w:rsid w:val="00DA7863"/>
    <w:rsid w:val="00DA7953"/>
    <w:rsid w:val="00DA7A0F"/>
    <w:rsid w:val="00DA7A1A"/>
    <w:rsid w:val="00DA7A46"/>
    <w:rsid w:val="00DA7A60"/>
    <w:rsid w:val="00DA7C81"/>
    <w:rsid w:val="00DA7EFD"/>
    <w:rsid w:val="00DA7F1B"/>
    <w:rsid w:val="00DB001D"/>
    <w:rsid w:val="00DB012F"/>
    <w:rsid w:val="00DB031B"/>
    <w:rsid w:val="00DB0324"/>
    <w:rsid w:val="00DB04CC"/>
    <w:rsid w:val="00DB05B7"/>
    <w:rsid w:val="00DB05BD"/>
    <w:rsid w:val="00DB061A"/>
    <w:rsid w:val="00DB066C"/>
    <w:rsid w:val="00DB06F2"/>
    <w:rsid w:val="00DB0867"/>
    <w:rsid w:val="00DB0AFB"/>
    <w:rsid w:val="00DB0FB2"/>
    <w:rsid w:val="00DB1044"/>
    <w:rsid w:val="00DB107F"/>
    <w:rsid w:val="00DB1144"/>
    <w:rsid w:val="00DB14EB"/>
    <w:rsid w:val="00DB190B"/>
    <w:rsid w:val="00DB1B4A"/>
    <w:rsid w:val="00DB1C04"/>
    <w:rsid w:val="00DB1C73"/>
    <w:rsid w:val="00DB1CA0"/>
    <w:rsid w:val="00DB1D68"/>
    <w:rsid w:val="00DB1E32"/>
    <w:rsid w:val="00DB1F6E"/>
    <w:rsid w:val="00DB1FCF"/>
    <w:rsid w:val="00DB227A"/>
    <w:rsid w:val="00DB2355"/>
    <w:rsid w:val="00DB23AF"/>
    <w:rsid w:val="00DB2491"/>
    <w:rsid w:val="00DB255C"/>
    <w:rsid w:val="00DB2588"/>
    <w:rsid w:val="00DB2775"/>
    <w:rsid w:val="00DB28AC"/>
    <w:rsid w:val="00DB2914"/>
    <w:rsid w:val="00DB2C18"/>
    <w:rsid w:val="00DB2CF9"/>
    <w:rsid w:val="00DB2E7C"/>
    <w:rsid w:val="00DB316D"/>
    <w:rsid w:val="00DB32CB"/>
    <w:rsid w:val="00DB3336"/>
    <w:rsid w:val="00DB348C"/>
    <w:rsid w:val="00DB34FA"/>
    <w:rsid w:val="00DB3507"/>
    <w:rsid w:val="00DB35FF"/>
    <w:rsid w:val="00DB3617"/>
    <w:rsid w:val="00DB3651"/>
    <w:rsid w:val="00DB37B4"/>
    <w:rsid w:val="00DB38DC"/>
    <w:rsid w:val="00DB39E6"/>
    <w:rsid w:val="00DB3AF6"/>
    <w:rsid w:val="00DB3BB4"/>
    <w:rsid w:val="00DB3C71"/>
    <w:rsid w:val="00DB3DF4"/>
    <w:rsid w:val="00DB3EA6"/>
    <w:rsid w:val="00DB40E4"/>
    <w:rsid w:val="00DB4294"/>
    <w:rsid w:val="00DB433E"/>
    <w:rsid w:val="00DB43B7"/>
    <w:rsid w:val="00DB4403"/>
    <w:rsid w:val="00DB45AB"/>
    <w:rsid w:val="00DB4717"/>
    <w:rsid w:val="00DB4DD2"/>
    <w:rsid w:val="00DB4E45"/>
    <w:rsid w:val="00DB50AC"/>
    <w:rsid w:val="00DB51A8"/>
    <w:rsid w:val="00DB5415"/>
    <w:rsid w:val="00DB541B"/>
    <w:rsid w:val="00DB5620"/>
    <w:rsid w:val="00DB570E"/>
    <w:rsid w:val="00DB5777"/>
    <w:rsid w:val="00DB5889"/>
    <w:rsid w:val="00DB5B63"/>
    <w:rsid w:val="00DB5B8E"/>
    <w:rsid w:val="00DB5F01"/>
    <w:rsid w:val="00DB5F6C"/>
    <w:rsid w:val="00DB602C"/>
    <w:rsid w:val="00DB604C"/>
    <w:rsid w:val="00DB6241"/>
    <w:rsid w:val="00DB6294"/>
    <w:rsid w:val="00DB6354"/>
    <w:rsid w:val="00DB6429"/>
    <w:rsid w:val="00DB6622"/>
    <w:rsid w:val="00DB6699"/>
    <w:rsid w:val="00DB6906"/>
    <w:rsid w:val="00DB6ECF"/>
    <w:rsid w:val="00DB6F15"/>
    <w:rsid w:val="00DB74B3"/>
    <w:rsid w:val="00DB762B"/>
    <w:rsid w:val="00DB7640"/>
    <w:rsid w:val="00DB76F4"/>
    <w:rsid w:val="00DB7A2E"/>
    <w:rsid w:val="00DB7CF1"/>
    <w:rsid w:val="00DB7E39"/>
    <w:rsid w:val="00DB7ED7"/>
    <w:rsid w:val="00DB7FDD"/>
    <w:rsid w:val="00DC0015"/>
    <w:rsid w:val="00DC0226"/>
    <w:rsid w:val="00DC023A"/>
    <w:rsid w:val="00DC02D9"/>
    <w:rsid w:val="00DC07A1"/>
    <w:rsid w:val="00DC0B1C"/>
    <w:rsid w:val="00DC0BF7"/>
    <w:rsid w:val="00DC0BFE"/>
    <w:rsid w:val="00DC0C48"/>
    <w:rsid w:val="00DC0DB1"/>
    <w:rsid w:val="00DC0F02"/>
    <w:rsid w:val="00DC0F8D"/>
    <w:rsid w:val="00DC1325"/>
    <w:rsid w:val="00DC13CB"/>
    <w:rsid w:val="00DC1934"/>
    <w:rsid w:val="00DC1EAA"/>
    <w:rsid w:val="00DC1FBF"/>
    <w:rsid w:val="00DC2132"/>
    <w:rsid w:val="00DC2284"/>
    <w:rsid w:val="00DC2483"/>
    <w:rsid w:val="00DC24F1"/>
    <w:rsid w:val="00DC2724"/>
    <w:rsid w:val="00DC27D8"/>
    <w:rsid w:val="00DC2956"/>
    <w:rsid w:val="00DC2B6D"/>
    <w:rsid w:val="00DC2BE0"/>
    <w:rsid w:val="00DC2D04"/>
    <w:rsid w:val="00DC2DED"/>
    <w:rsid w:val="00DC2E98"/>
    <w:rsid w:val="00DC2EB4"/>
    <w:rsid w:val="00DC3057"/>
    <w:rsid w:val="00DC34F2"/>
    <w:rsid w:val="00DC3508"/>
    <w:rsid w:val="00DC35D4"/>
    <w:rsid w:val="00DC3718"/>
    <w:rsid w:val="00DC38AC"/>
    <w:rsid w:val="00DC38DA"/>
    <w:rsid w:val="00DC3914"/>
    <w:rsid w:val="00DC3B8B"/>
    <w:rsid w:val="00DC3CA4"/>
    <w:rsid w:val="00DC3DD8"/>
    <w:rsid w:val="00DC3E76"/>
    <w:rsid w:val="00DC40D2"/>
    <w:rsid w:val="00DC410B"/>
    <w:rsid w:val="00DC420E"/>
    <w:rsid w:val="00DC4304"/>
    <w:rsid w:val="00DC49CF"/>
    <w:rsid w:val="00DC49F5"/>
    <w:rsid w:val="00DC4FAF"/>
    <w:rsid w:val="00DC509A"/>
    <w:rsid w:val="00DC5201"/>
    <w:rsid w:val="00DC53B8"/>
    <w:rsid w:val="00DC54CC"/>
    <w:rsid w:val="00DC556C"/>
    <w:rsid w:val="00DC5AD1"/>
    <w:rsid w:val="00DC5B96"/>
    <w:rsid w:val="00DC5C0D"/>
    <w:rsid w:val="00DC5FC8"/>
    <w:rsid w:val="00DC6158"/>
    <w:rsid w:val="00DC693B"/>
    <w:rsid w:val="00DC6AFC"/>
    <w:rsid w:val="00DC6B99"/>
    <w:rsid w:val="00DC6C22"/>
    <w:rsid w:val="00DC7032"/>
    <w:rsid w:val="00DC72A4"/>
    <w:rsid w:val="00DC72D1"/>
    <w:rsid w:val="00DC73B5"/>
    <w:rsid w:val="00DC746E"/>
    <w:rsid w:val="00DC76EE"/>
    <w:rsid w:val="00DC7D95"/>
    <w:rsid w:val="00DD00A6"/>
    <w:rsid w:val="00DD01CA"/>
    <w:rsid w:val="00DD02F4"/>
    <w:rsid w:val="00DD043A"/>
    <w:rsid w:val="00DD04FA"/>
    <w:rsid w:val="00DD069E"/>
    <w:rsid w:val="00DD06D3"/>
    <w:rsid w:val="00DD0875"/>
    <w:rsid w:val="00DD1176"/>
    <w:rsid w:val="00DD133C"/>
    <w:rsid w:val="00DD152E"/>
    <w:rsid w:val="00DD1631"/>
    <w:rsid w:val="00DD1919"/>
    <w:rsid w:val="00DD1A7E"/>
    <w:rsid w:val="00DD1B4E"/>
    <w:rsid w:val="00DD1D23"/>
    <w:rsid w:val="00DD1F70"/>
    <w:rsid w:val="00DD238D"/>
    <w:rsid w:val="00DD245C"/>
    <w:rsid w:val="00DD2484"/>
    <w:rsid w:val="00DD295D"/>
    <w:rsid w:val="00DD2D9C"/>
    <w:rsid w:val="00DD2E0D"/>
    <w:rsid w:val="00DD2FD8"/>
    <w:rsid w:val="00DD304A"/>
    <w:rsid w:val="00DD33A2"/>
    <w:rsid w:val="00DD33C3"/>
    <w:rsid w:val="00DD3684"/>
    <w:rsid w:val="00DD3922"/>
    <w:rsid w:val="00DD399A"/>
    <w:rsid w:val="00DD3A13"/>
    <w:rsid w:val="00DD3A9E"/>
    <w:rsid w:val="00DD3BDC"/>
    <w:rsid w:val="00DD3CA5"/>
    <w:rsid w:val="00DD47AE"/>
    <w:rsid w:val="00DD498A"/>
    <w:rsid w:val="00DD4B13"/>
    <w:rsid w:val="00DD4BBA"/>
    <w:rsid w:val="00DD4CD3"/>
    <w:rsid w:val="00DD4D92"/>
    <w:rsid w:val="00DD4DB3"/>
    <w:rsid w:val="00DD5165"/>
    <w:rsid w:val="00DD5243"/>
    <w:rsid w:val="00DD52EF"/>
    <w:rsid w:val="00DD552F"/>
    <w:rsid w:val="00DD55D0"/>
    <w:rsid w:val="00DD56E0"/>
    <w:rsid w:val="00DD5880"/>
    <w:rsid w:val="00DD5A48"/>
    <w:rsid w:val="00DD5A72"/>
    <w:rsid w:val="00DD5A88"/>
    <w:rsid w:val="00DD5BF3"/>
    <w:rsid w:val="00DD6621"/>
    <w:rsid w:val="00DD6698"/>
    <w:rsid w:val="00DD6705"/>
    <w:rsid w:val="00DD68A6"/>
    <w:rsid w:val="00DD6B1E"/>
    <w:rsid w:val="00DD6D0B"/>
    <w:rsid w:val="00DD6D1F"/>
    <w:rsid w:val="00DD6E06"/>
    <w:rsid w:val="00DD6E9C"/>
    <w:rsid w:val="00DD7003"/>
    <w:rsid w:val="00DD742C"/>
    <w:rsid w:val="00DD757F"/>
    <w:rsid w:val="00DD75C0"/>
    <w:rsid w:val="00DD75EF"/>
    <w:rsid w:val="00DD762F"/>
    <w:rsid w:val="00DD76E2"/>
    <w:rsid w:val="00DD77E9"/>
    <w:rsid w:val="00DD77EB"/>
    <w:rsid w:val="00DD7A8D"/>
    <w:rsid w:val="00DD7C2D"/>
    <w:rsid w:val="00DD7CB3"/>
    <w:rsid w:val="00DD7D26"/>
    <w:rsid w:val="00DD7E9E"/>
    <w:rsid w:val="00DE03A0"/>
    <w:rsid w:val="00DE049B"/>
    <w:rsid w:val="00DE077F"/>
    <w:rsid w:val="00DE0B17"/>
    <w:rsid w:val="00DE0BD5"/>
    <w:rsid w:val="00DE0FC4"/>
    <w:rsid w:val="00DE103F"/>
    <w:rsid w:val="00DE11CF"/>
    <w:rsid w:val="00DE1255"/>
    <w:rsid w:val="00DE1376"/>
    <w:rsid w:val="00DE1395"/>
    <w:rsid w:val="00DE197D"/>
    <w:rsid w:val="00DE1C0E"/>
    <w:rsid w:val="00DE1C12"/>
    <w:rsid w:val="00DE1C86"/>
    <w:rsid w:val="00DE1CF4"/>
    <w:rsid w:val="00DE1E36"/>
    <w:rsid w:val="00DE1F78"/>
    <w:rsid w:val="00DE1FAF"/>
    <w:rsid w:val="00DE2193"/>
    <w:rsid w:val="00DE21B2"/>
    <w:rsid w:val="00DE228D"/>
    <w:rsid w:val="00DE2293"/>
    <w:rsid w:val="00DE2417"/>
    <w:rsid w:val="00DE246B"/>
    <w:rsid w:val="00DE2953"/>
    <w:rsid w:val="00DE29C3"/>
    <w:rsid w:val="00DE2B53"/>
    <w:rsid w:val="00DE2B69"/>
    <w:rsid w:val="00DE2C32"/>
    <w:rsid w:val="00DE2D56"/>
    <w:rsid w:val="00DE2DB1"/>
    <w:rsid w:val="00DE2E9D"/>
    <w:rsid w:val="00DE2F4A"/>
    <w:rsid w:val="00DE3123"/>
    <w:rsid w:val="00DE3237"/>
    <w:rsid w:val="00DE3440"/>
    <w:rsid w:val="00DE34C9"/>
    <w:rsid w:val="00DE36A9"/>
    <w:rsid w:val="00DE374E"/>
    <w:rsid w:val="00DE37AC"/>
    <w:rsid w:val="00DE37BE"/>
    <w:rsid w:val="00DE3A83"/>
    <w:rsid w:val="00DE3B4C"/>
    <w:rsid w:val="00DE3EB9"/>
    <w:rsid w:val="00DE4103"/>
    <w:rsid w:val="00DE41B7"/>
    <w:rsid w:val="00DE4210"/>
    <w:rsid w:val="00DE42F6"/>
    <w:rsid w:val="00DE44F9"/>
    <w:rsid w:val="00DE456F"/>
    <w:rsid w:val="00DE4578"/>
    <w:rsid w:val="00DE45BE"/>
    <w:rsid w:val="00DE4812"/>
    <w:rsid w:val="00DE4C5E"/>
    <w:rsid w:val="00DE4CD1"/>
    <w:rsid w:val="00DE4DA8"/>
    <w:rsid w:val="00DE4F27"/>
    <w:rsid w:val="00DE51B4"/>
    <w:rsid w:val="00DE5260"/>
    <w:rsid w:val="00DE5306"/>
    <w:rsid w:val="00DE5403"/>
    <w:rsid w:val="00DE5568"/>
    <w:rsid w:val="00DE55CB"/>
    <w:rsid w:val="00DE57C5"/>
    <w:rsid w:val="00DE58E6"/>
    <w:rsid w:val="00DE591A"/>
    <w:rsid w:val="00DE591E"/>
    <w:rsid w:val="00DE5D79"/>
    <w:rsid w:val="00DE5E6A"/>
    <w:rsid w:val="00DE5FD2"/>
    <w:rsid w:val="00DE62C5"/>
    <w:rsid w:val="00DE6767"/>
    <w:rsid w:val="00DE68A6"/>
    <w:rsid w:val="00DE6C9F"/>
    <w:rsid w:val="00DE6F78"/>
    <w:rsid w:val="00DE7097"/>
    <w:rsid w:val="00DE70FC"/>
    <w:rsid w:val="00DE729F"/>
    <w:rsid w:val="00DE73CE"/>
    <w:rsid w:val="00DE7982"/>
    <w:rsid w:val="00DE7B41"/>
    <w:rsid w:val="00DF005A"/>
    <w:rsid w:val="00DF010F"/>
    <w:rsid w:val="00DF0155"/>
    <w:rsid w:val="00DF02D4"/>
    <w:rsid w:val="00DF0412"/>
    <w:rsid w:val="00DF04EE"/>
    <w:rsid w:val="00DF0781"/>
    <w:rsid w:val="00DF08AE"/>
    <w:rsid w:val="00DF0A34"/>
    <w:rsid w:val="00DF0CEB"/>
    <w:rsid w:val="00DF0D8B"/>
    <w:rsid w:val="00DF0ED9"/>
    <w:rsid w:val="00DF131C"/>
    <w:rsid w:val="00DF1327"/>
    <w:rsid w:val="00DF1423"/>
    <w:rsid w:val="00DF159E"/>
    <w:rsid w:val="00DF1620"/>
    <w:rsid w:val="00DF1879"/>
    <w:rsid w:val="00DF198F"/>
    <w:rsid w:val="00DF1D54"/>
    <w:rsid w:val="00DF1E48"/>
    <w:rsid w:val="00DF1E89"/>
    <w:rsid w:val="00DF1F1E"/>
    <w:rsid w:val="00DF20CE"/>
    <w:rsid w:val="00DF22F2"/>
    <w:rsid w:val="00DF23BA"/>
    <w:rsid w:val="00DF2549"/>
    <w:rsid w:val="00DF26C0"/>
    <w:rsid w:val="00DF26FF"/>
    <w:rsid w:val="00DF2741"/>
    <w:rsid w:val="00DF2A53"/>
    <w:rsid w:val="00DF2BD1"/>
    <w:rsid w:val="00DF2BFF"/>
    <w:rsid w:val="00DF2F54"/>
    <w:rsid w:val="00DF3038"/>
    <w:rsid w:val="00DF3240"/>
    <w:rsid w:val="00DF32E7"/>
    <w:rsid w:val="00DF33DD"/>
    <w:rsid w:val="00DF3467"/>
    <w:rsid w:val="00DF34EF"/>
    <w:rsid w:val="00DF3743"/>
    <w:rsid w:val="00DF3757"/>
    <w:rsid w:val="00DF3BC3"/>
    <w:rsid w:val="00DF3D33"/>
    <w:rsid w:val="00DF3D62"/>
    <w:rsid w:val="00DF3DFE"/>
    <w:rsid w:val="00DF3E35"/>
    <w:rsid w:val="00DF3E7F"/>
    <w:rsid w:val="00DF4075"/>
    <w:rsid w:val="00DF40FE"/>
    <w:rsid w:val="00DF42E0"/>
    <w:rsid w:val="00DF441A"/>
    <w:rsid w:val="00DF460D"/>
    <w:rsid w:val="00DF4742"/>
    <w:rsid w:val="00DF4760"/>
    <w:rsid w:val="00DF4F6D"/>
    <w:rsid w:val="00DF5013"/>
    <w:rsid w:val="00DF5211"/>
    <w:rsid w:val="00DF53A0"/>
    <w:rsid w:val="00DF5B56"/>
    <w:rsid w:val="00DF5C63"/>
    <w:rsid w:val="00DF5D9F"/>
    <w:rsid w:val="00DF5E2F"/>
    <w:rsid w:val="00DF600E"/>
    <w:rsid w:val="00DF6076"/>
    <w:rsid w:val="00DF61EF"/>
    <w:rsid w:val="00DF620E"/>
    <w:rsid w:val="00DF621E"/>
    <w:rsid w:val="00DF625A"/>
    <w:rsid w:val="00DF6326"/>
    <w:rsid w:val="00DF651A"/>
    <w:rsid w:val="00DF66E4"/>
    <w:rsid w:val="00DF6B29"/>
    <w:rsid w:val="00DF6C13"/>
    <w:rsid w:val="00DF718E"/>
    <w:rsid w:val="00DF7249"/>
    <w:rsid w:val="00DF784C"/>
    <w:rsid w:val="00DF78E2"/>
    <w:rsid w:val="00DF7D3B"/>
    <w:rsid w:val="00DF7D84"/>
    <w:rsid w:val="00DF7E22"/>
    <w:rsid w:val="00DF7FC3"/>
    <w:rsid w:val="00E00282"/>
    <w:rsid w:val="00E00460"/>
    <w:rsid w:val="00E004BA"/>
    <w:rsid w:val="00E006E9"/>
    <w:rsid w:val="00E00844"/>
    <w:rsid w:val="00E008A7"/>
    <w:rsid w:val="00E00B7F"/>
    <w:rsid w:val="00E00C71"/>
    <w:rsid w:val="00E00C91"/>
    <w:rsid w:val="00E00D02"/>
    <w:rsid w:val="00E00EAA"/>
    <w:rsid w:val="00E00EAD"/>
    <w:rsid w:val="00E00FA1"/>
    <w:rsid w:val="00E01034"/>
    <w:rsid w:val="00E0103C"/>
    <w:rsid w:val="00E01761"/>
    <w:rsid w:val="00E017A2"/>
    <w:rsid w:val="00E018C4"/>
    <w:rsid w:val="00E01934"/>
    <w:rsid w:val="00E01C55"/>
    <w:rsid w:val="00E01D82"/>
    <w:rsid w:val="00E01ECD"/>
    <w:rsid w:val="00E0220F"/>
    <w:rsid w:val="00E02399"/>
    <w:rsid w:val="00E0240A"/>
    <w:rsid w:val="00E0252B"/>
    <w:rsid w:val="00E0274F"/>
    <w:rsid w:val="00E027FA"/>
    <w:rsid w:val="00E02814"/>
    <w:rsid w:val="00E0287A"/>
    <w:rsid w:val="00E0298F"/>
    <w:rsid w:val="00E029C0"/>
    <w:rsid w:val="00E02AF2"/>
    <w:rsid w:val="00E02B39"/>
    <w:rsid w:val="00E02D97"/>
    <w:rsid w:val="00E02FD4"/>
    <w:rsid w:val="00E0338D"/>
    <w:rsid w:val="00E0339C"/>
    <w:rsid w:val="00E0356E"/>
    <w:rsid w:val="00E035E0"/>
    <w:rsid w:val="00E036F3"/>
    <w:rsid w:val="00E038DC"/>
    <w:rsid w:val="00E03E3E"/>
    <w:rsid w:val="00E03ED5"/>
    <w:rsid w:val="00E03F68"/>
    <w:rsid w:val="00E03FDB"/>
    <w:rsid w:val="00E04119"/>
    <w:rsid w:val="00E0443B"/>
    <w:rsid w:val="00E0444E"/>
    <w:rsid w:val="00E04491"/>
    <w:rsid w:val="00E044AB"/>
    <w:rsid w:val="00E047E5"/>
    <w:rsid w:val="00E04AE7"/>
    <w:rsid w:val="00E04C96"/>
    <w:rsid w:val="00E04C97"/>
    <w:rsid w:val="00E04CC5"/>
    <w:rsid w:val="00E04EA7"/>
    <w:rsid w:val="00E04F41"/>
    <w:rsid w:val="00E05241"/>
    <w:rsid w:val="00E0536B"/>
    <w:rsid w:val="00E053DB"/>
    <w:rsid w:val="00E05508"/>
    <w:rsid w:val="00E056A6"/>
    <w:rsid w:val="00E059FA"/>
    <w:rsid w:val="00E05A10"/>
    <w:rsid w:val="00E05CE4"/>
    <w:rsid w:val="00E05E70"/>
    <w:rsid w:val="00E05F23"/>
    <w:rsid w:val="00E05FBA"/>
    <w:rsid w:val="00E0620F"/>
    <w:rsid w:val="00E0623D"/>
    <w:rsid w:val="00E06243"/>
    <w:rsid w:val="00E062B6"/>
    <w:rsid w:val="00E0632A"/>
    <w:rsid w:val="00E065DF"/>
    <w:rsid w:val="00E065E6"/>
    <w:rsid w:val="00E06853"/>
    <w:rsid w:val="00E068D6"/>
    <w:rsid w:val="00E068ED"/>
    <w:rsid w:val="00E069F6"/>
    <w:rsid w:val="00E06E3E"/>
    <w:rsid w:val="00E07012"/>
    <w:rsid w:val="00E07029"/>
    <w:rsid w:val="00E070E3"/>
    <w:rsid w:val="00E07169"/>
    <w:rsid w:val="00E071D5"/>
    <w:rsid w:val="00E0722D"/>
    <w:rsid w:val="00E07358"/>
    <w:rsid w:val="00E0736E"/>
    <w:rsid w:val="00E07828"/>
    <w:rsid w:val="00E0783F"/>
    <w:rsid w:val="00E0789D"/>
    <w:rsid w:val="00E07ABA"/>
    <w:rsid w:val="00E07AE1"/>
    <w:rsid w:val="00E07E77"/>
    <w:rsid w:val="00E07EC1"/>
    <w:rsid w:val="00E106E9"/>
    <w:rsid w:val="00E1089D"/>
    <w:rsid w:val="00E1099B"/>
    <w:rsid w:val="00E109C1"/>
    <w:rsid w:val="00E10CF4"/>
    <w:rsid w:val="00E10D3B"/>
    <w:rsid w:val="00E10F9C"/>
    <w:rsid w:val="00E1100C"/>
    <w:rsid w:val="00E1102E"/>
    <w:rsid w:val="00E1114D"/>
    <w:rsid w:val="00E1122F"/>
    <w:rsid w:val="00E11277"/>
    <w:rsid w:val="00E11282"/>
    <w:rsid w:val="00E1144B"/>
    <w:rsid w:val="00E11807"/>
    <w:rsid w:val="00E11863"/>
    <w:rsid w:val="00E118AF"/>
    <w:rsid w:val="00E11ACC"/>
    <w:rsid w:val="00E11BA4"/>
    <w:rsid w:val="00E11D0F"/>
    <w:rsid w:val="00E11DF4"/>
    <w:rsid w:val="00E11E44"/>
    <w:rsid w:val="00E11F12"/>
    <w:rsid w:val="00E12185"/>
    <w:rsid w:val="00E12378"/>
    <w:rsid w:val="00E12392"/>
    <w:rsid w:val="00E123D0"/>
    <w:rsid w:val="00E124AF"/>
    <w:rsid w:val="00E12583"/>
    <w:rsid w:val="00E12692"/>
    <w:rsid w:val="00E128FF"/>
    <w:rsid w:val="00E12AE2"/>
    <w:rsid w:val="00E12BB5"/>
    <w:rsid w:val="00E12BFF"/>
    <w:rsid w:val="00E12F0C"/>
    <w:rsid w:val="00E130A3"/>
    <w:rsid w:val="00E130AD"/>
    <w:rsid w:val="00E1358B"/>
    <w:rsid w:val="00E13601"/>
    <w:rsid w:val="00E136BF"/>
    <w:rsid w:val="00E136D4"/>
    <w:rsid w:val="00E13B2D"/>
    <w:rsid w:val="00E13C52"/>
    <w:rsid w:val="00E13F55"/>
    <w:rsid w:val="00E13FCA"/>
    <w:rsid w:val="00E14008"/>
    <w:rsid w:val="00E142D8"/>
    <w:rsid w:val="00E14868"/>
    <w:rsid w:val="00E14C11"/>
    <w:rsid w:val="00E14C57"/>
    <w:rsid w:val="00E14D0C"/>
    <w:rsid w:val="00E14E5F"/>
    <w:rsid w:val="00E15026"/>
    <w:rsid w:val="00E1507C"/>
    <w:rsid w:val="00E15391"/>
    <w:rsid w:val="00E1568D"/>
    <w:rsid w:val="00E156A6"/>
    <w:rsid w:val="00E157D3"/>
    <w:rsid w:val="00E15A4F"/>
    <w:rsid w:val="00E15D54"/>
    <w:rsid w:val="00E15E7A"/>
    <w:rsid w:val="00E15FCB"/>
    <w:rsid w:val="00E162A4"/>
    <w:rsid w:val="00E162D7"/>
    <w:rsid w:val="00E1631A"/>
    <w:rsid w:val="00E16569"/>
    <w:rsid w:val="00E16717"/>
    <w:rsid w:val="00E16869"/>
    <w:rsid w:val="00E16888"/>
    <w:rsid w:val="00E1688C"/>
    <w:rsid w:val="00E16BC2"/>
    <w:rsid w:val="00E16C1E"/>
    <w:rsid w:val="00E1712E"/>
    <w:rsid w:val="00E1725C"/>
    <w:rsid w:val="00E172C5"/>
    <w:rsid w:val="00E17493"/>
    <w:rsid w:val="00E17577"/>
    <w:rsid w:val="00E1762F"/>
    <w:rsid w:val="00E17843"/>
    <w:rsid w:val="00E17CFF"/>
    <w:rsid w:val="00E17DDA"/>
    <w:rsid w:val="00E17E8E"/>
    <w:rsid w:val="00E2006F"/>
    <w:rsid w:val="00E200CF"/>
    <w:rsid w:val="00E203F8"/>
    <w:rsid w:val="00E205CC"/>
    <w:rsid w:val="00E208AE"/>
    <w:rsid w:val="00E2091A"/>
    <w:rsid w:val="00E20955"/>
    <w:rsid w:val="00E20982"/>
    <w:rsid w:val="00E20995"/>
    <w:rsid w:val="00E20DCA"/>
    <w:rsid w:val="00E20E33"/>
    <w:rsid w:val="00E2110D"/>
    <w:rsid w:val="00E216C8"/>
    <w:rsid w:val="00E2174F"/>
    <w:rsid w:val="00E21877"/>
    <w:rsid w:val="00E219B4"/>
    <w:rsid w:val="00E21AD0"/>
    <w:rsid w:val="00E21F91"/>
    <w:rsid w:val="00E220C6"/>
    <w:rsid w:val="00E2230F"/>
    <w:rsid w:val="00E223B4"/>
    <w:rsid w:val="00E22608"/>
    <w:rsid w:val="00E2265E"/>
    <w:rsid w:val="00E22665"/>
    <w:rsid w:val="00E227AE"/>
    <w:rsid w:val="00E229E7"/>
    <w:rsid w:val="00E22A82"/>
    <w:rsid w:val="00E22E0D"/>
    <w:rsid w:val="00E22ED5"/>
    <w:rsid w:val="00E22F85"/>
    <w:rsid w:val="00E23185"/>
    <w:rsid w:val="00E233E7"/>
    <w:rsid w:val="00E23526"/>
    <w:rsid w:val="00E23675"/>
    <w:rsid w:val="00E23845"/>
    <w:rsid w:val="00E239FE"/>
    <w:rsid w:val="00E23CBD"/>
    <w:rsid w:val="00E23D1C"/>
    <w:rsid w:val="00E23D56"/>
    <w:rsid w:val="00E23E77"/>
    <w:rsid w:val="00E23F4E"/>
    <w:rsid w:val="00E2420F"/>
    <w:rsid w:val="00E24462"/>
    <w:rsid w:val="00E24469"/>
    <w:rsid w:val="00E24662"/>
    <w:rsid w:val="00E2469B"/>
    <w:rsid w:val="00E24799"/>
    <w:rsid w:val="00E2482D"/>
    <w:rsid w:val="00E2486C"/>
    <w:rsid w:val="00E24906"/>
    <w:rsid w:val="00E2490F"/>
    <w:rsid w:val="00E2494B"/>
    <w:rsid w:val="00E24AF1"/>
    <w:rsid w:val="00E24B28"/>
    <w:rsid w:val="00E24C10"/>
    <w:rsid w:val="00E24C6A"/>
    <w:rsid w:val="00E24CCF"/>
    <w:rsid w:val="00E24F35"/>
    <w:rsid w:val="00E24FB5"/>
    <w:rsid w:val="00E250E5"/>
    <w:rsid w:val="00E25103"/>
    <w:rsid w:val="00E25365"/>
    <w:rsid w:val="00E25421"/>
    <w:rsid w:val="00E25616"/>
    <w:rsid w:val="00E257BE"/>
    <w:rsid w:val="00E257D7"/>
    <w:rsid w:val="00E25801"/>
    <w:rsid w:val="00E2584D"/>
    <w:rsid w:val="00E25910"/>
    <w:rsid w:val="00E25980"/>
    <w:rsid w:val="00E25E05"/>
    <w:rsid w:val="00E25FF9"/>
    <w:rsid w:val="00E26028"/>
    <w:rsid w:val="00E260A4"/>
    <w:rsid w:val="00E260F0"/>
    <w:rsid w:val="00E26810"/>
    <w:rsid w:val="00E2682C"/>
    <w:rsid w:val="00E26910"/>
    <w:rsid w:val="00E269D9"/>
    <w:rsid w:val="00E26B68"/>
    <w:rsid w:val="00E26F6A"/>
    <w:rsid w:val="00E270CE"/>
    <w:rsid w:val="00E27410"/>
    <w:rsid w:val="00E2753E"/>
    <w:rsid w:val="00E276A9"/>
    <w:rsid w:val="00E276DB"/>
    <w:rsid w:val="00E27824"/>
    <w:rsid w:val="00E27933"/>
    <w:rsid w:val="00E27BB1"/>
    <w:rsid w:val="00E27CDF"/>
    <w:rsid w:val="00E30029"/>
    <w:rsid w:val="00E30037"/>
    <w:rsid w:val="00E30499"/>
    <w:rsid w:val="00E30553"/>
    <w:rsid w:val="00E30623"/>
    <w:rsid w:val="00E30875"/>
    <w:rsid w:val="00E30B51"/>
    <w:rsid w:val="00E30B8E"/>
    <w:rsid w:val="00E30C8B"/>
    <w:rsid w:val="00E30CA9"/>
    <w:rsid w:val="00E30CB9"/>
    <w:rsid w:val="00E30D4C"/>
    <w:rsid w:val="00E3102A"/>
    <w:rsid w:val="00E310AB"/>
    <w:rsid w:val="00E31116"/>
    <w:rsid w:val="00E31290"/>
    <w:rsid w:val="00E31767"/>
    <w:rsid w:val="00E31838"/>
    <w:rsid w:val="00E319F6"/>
    <w:rsid w:val="00E31BF4"/>
    <w:rsid w:val="00E31D0E"/>
    <w:rsid w:val="00E31DF9"/>
    <w:rsid w:val="00E320E8"/>
    <w:rsid w:val="00E32339"/>
    <w:rsid w:val="00E32462"/>
    <w:rsid w:val="00E324BB"/>
    <w:rsid w:val="00E324FC"/>
    <w:rsid w:val="00E32A7A"/>
    <w:rsid w:val="00E32BBD"/>
    <w:rsid w:val="00E32E12"/>
    <w:rsid w:val="00E32ECD"/>
    <w:rsid w:val="00E33702"/>
    <w:rsid w:val="00E338C4"/>
    <w:rsid w:val="00E339F0"/>
    <w:rsid w:val="00E33D9F"/>
    <w:rsid w:val="00E33F19"/>
    <w:rsid w:val="00E341F5"/>
    <w:rsid w:val="00E34287"/>
    <w:rsid w:val="00E34324"/>
    <w:rsid w:val="00E344CB"/>
    <w:rsid w:val="00E345EC"/>
    <w:rsid w:val="00E34796"/>
    <w:rsid w:val="00E347A0"/>
    <w:rsid w:val="00E34878"/>
    <w:rsid w:val="00E34884"/>
    <w:rsid w:val="00E34B1D"/>
    <w:rsid w:val="00E34CCE"/>
    <w:rsid w:val="00E34D8C"/>
    <w:rsid w:val="00E34F7D"/>
    <w:rsid w:val="00E35314"/>
    <w:rsid w:val="00E35427"/>
    <w:rsid w:val="00E35718"/>
    <w:rsid w:val="00E357B8"/>
    <w:rsid w:val="00E35CAB"/>
    <w:rsid w:val="00E35D21"/>
    <w:rsid w:val="00E35E41"/>
    <w:rsid w:val="00E35E8B"/>
    <w:rsid w:val="00E36280"/>
    <w:rsid w:val="00E36346"/>
    <w:rsid w:val="00E3665A"/>
    <w:rsid w:val="00E366A3"/>
    <w:rsid w:val="00E36824"/>
    <w:rsid w:val="00E36896"/>
    <w:rsid w:val="00E36CE6"/>
    <w:rsid w:val="00E36CE7"/>
    <w:rsid w:val="00E37017"/>
    <w:rsid w:val="00E3716B"/>
    <w:rsid w:val="00E372AF"/>
    <w:rsid w:val="00E373AC"/>
    <w:rsid w:val="00E37424"/>
    <w:rsid w:val="00E375C1"/>
    <w:rsid w:val="00E3760D"/>
    <w:rsid w:val="00E377E8"/>
    <w:rsid w:val="00E37821"/>
    <w:rsid w:val="00E37B7F"/>
    <w:rsid w:val="00E37C98"/>
    <w:rsid w:val="00E37E42"/>
    <w:rsid w:val="00E37E88"/>
    <w:rsid w:val="00E40283"/>
    <w:rsid w:val="00E40444"/>
    <w:rsid w:val="00E40986"/>
    <w:rsid w:val="00E4098E"/>
    <w:rsid w:val="00E40C56"/>
    <w:rsid w:val="00E40F22"/>
    <w:rsid w:val="00E41239"/>
    <w:rsid w:val="00E41252"/>
    <w:rsid w:val="00E415B1"/>
    <w:rsid w:val="00E416FC"/>
    <w:rsid w:val="00E41711"/>
    <w:rsid w:val="00E41B49"/>
    <w:rsid w:val="00E41C77"/>
    <w:rsid w:val="00E41CA3"/>
    <w:rsid w:val="00E41E0A"/>
    <w:rsid w:val="00E41FB9"/>
    <w:rsid w:val="00E42229"/>
    <w:rsid w:val="00E42733"/>
    <w:rsid w:val="00E427F0"/>
    <w:rsid w:val="00E42A53"/>
    <w:rsid w:val="00E42BE9"/>
    <w:rsid w:val="00E42C72"/>
    <w:rsid w:val="00E42E5C"/>
    <w:rsid w:val="00E42EDF"/>
    <w:rsid w:val="00E43055"/>
    <w:rsid w:val="00E430F7"/>
    <w:rsid w:val="00E4326A"/>
    <w:rsid w:val="00E43464"/>
    <w:rsid w:val="00E43542"/>
    <w:rsid w:val="00E436A9"/>
    <w:rsid w:val="00E4394A"/>
    <w:rsid w:val="00E439BC"/>
    <w:rsid w:val="00E43A9B"/>
    <w:rsid w:val="00E43AED"/>
    <w:rsid w:val="00E43B29"/>
    <w:rsid w:val="00E43BD5"/>
    <w:rsid w:val="00E43C11"/>
    <w:rsid w:val="00E43D44"/>
    <w:rsid w:val="00E43ECB"/>
    <w:rsid w:val="00E43F41"/>
    <w:rsid w:val="00E44270"/>
    <w:rsid w:val="00E44414"/>
    <w:rsid w:val="00E44472"/>
    <w:rsid w:val="00E4449B"/>
    <w:rsid w:val="00E444EB"/>
    <w:rsid w:val="00E44AD2"/>
    <w:rsid w:val="00E44C06"/>
    <w:rsid w:val="00E44CCA"/>
    <w:rsid w:val="00E451BE"/>
    <w:rsid w:val="00E45389"/>
    <w:rsid w:val="00E4564D"/>
    <w:rsid w:val="00E456B4"/>
    <w:rsid w:val="00E45BFA"/>
    <w:rsid w:val="00E45D80"/>
    <w:rsid w:val="00E45DA4"/>
    <w:rsid w:val="00E45EF9"/>
    <w:rsid w:val="00E45F0F"/>
    <w:rsid w:val="00E46181"/>
    <w:rsid w:val="00E461A8"/>
    <w:rsid w:val="00E46306"/>
    <w:rsid w:val="00E46370"/>
    <w:rsid w:val="00E463D3"/>
    <w:rsid w:val="00E46504"/>
    <w:rsid w:val="00E46674"/>
    <w:rsid w:val="00E46B65"/>
    <w:rsid w:val="00E46BF8"/>
    <w:rsid w:val="00E46F65"/>
    <w:rsid w:val="00E46FA7"/>
    <w:rsid w:val="00E4717E"/>
    <w:rsid w:val="00E471D4"/>
    <w:rsid w:val="00E4767B"/>
    <w:rsid w:val="00E477EE"/>
    <w:rsid w:val="00E47A69"/>
    <w:rsid w:val="00E47C85"/>
    <w:rsid w:val="00E501F9"/>
    <w:rsid w:val="00E50358"/>
    <w:rsid w:val="00E50A52"/>
    <w:rsid w:val="00E50AF8"/>
    <w:rsid w:val="00E50B87"/>
    <w:rsid w:val="00E50BA8"/>
    <w:rsid w:val="00E50BE7"/>
    <w:rsid w:val="00E50C35"/>
    <w:rsid w:val="00E50F84"/>
    <w:rsid w:val="00E512D6"/>
    <w:rsid w:val="00E512F2"/>
    <w:rsid w:val="00E51399"/>
    <w:rsid w:val="00E51472"/>
    <w:rsid w:val="00E51695"/>
    <w:rsid w:val="00E5177A"/>
    <w:rsid w:val="00E518D2"/>
    <w:rsid w:val="00E51919"/>
    <w:rsid w:val="00E519F6"/>
    <w:rsid w:val="00E51A7A"/>
    <w:rsid w:val="00E51AB6"/>
    <w:rsid w:val="00E51C97"/>
    <w:rsid w:val="00E51CB2"/>
    <w:rsid w:val="00E51E3A"/>
    <w:rsid w:val="00E51E60"/>
    <w:rsid w:val="00E51EAD"/>
    <w:rsid w:val="00E51F40"/>
    <w:rsid w:val="00E521A6"/>
    <w:rsid w:val="00E523E2"/>
    <w:rsid w:val="00E5247E"/>
    <w:rsid w:val="00E52AB5"/>
    <w:rsid w:val="00E52C36"/>
    <w:rsid w:val="00E52C78"/>
    <w:rsid w:val="00E52CDE"/>
    <w:rsid w:val="00E52CF0"/>
    <w:rsid w:val="00E532C7"/>
    <w:rsid w:val="00E5330C"/>
    <w:rsid w:val="00E534C6"/>
    <w:rsid w:val="00E538BB"/>
    <w:rsid w:val="00E53967"/>
    <w:rsid w:val="00E539C6"/>
    <w:rsid w:val="00E53B27"/>
    <w:rsid w:val="00E53BE5"/>
    <w:rsid w:val="00E53DA0"/>
    <w:rsid w:val="00E53F73"/>
    <w:rsid w:val="00E53FE2"/>
    <w:rsid w:val="00E5435C"/>
    <w:rsid w:val="00E54376"/>
    <w:rsid w:val="00E545F3"/>
    <w:rsid w:val="00E54694"/>
    <w:rsid w:val="00E546DA"/>
    <w:rsid w:val="00E54EF9"/>
    <w:rsid w:val="00E54FDA"/>
    <w:rsid w:val="00E553A0"/>
    <w:rsid w:val="00E553ED"/>
    <w:rsid w:val="00E5545A"/>
    <w:rsid w:val="00E5558E"/>
    <w:rsid w:val="00E55696"/>
    <w:rsid w:val="00E556F7"/>
    <w:rsid w:val="00E5578F"/>
    <w:rsid w:val="00E55D5A"/>
    <w:rsid w:val="00E55D97"/>
    <w:rsid w:val="00E55F9F"/>
    <w:rsid w:val="00E561DE"/>
    <w:rsid w:val="00E561E2"/>
    <w:rsid w:val="00E5626E"/>
    <w:rsid w:val="00E56347"/>
    <w:rsid w:val="00E56410"/>
    <w:rsid w:val="00E56490"/>
    <w:rsid w:val="00E564DD"/>
    <w:rsid w:val="00E5650C"/>
    <w:rsid w:val="00E568E6"/>
    <w:rsid w:val="00E56A61"/>
    <w:rsid w:val="00E56BEB"/>
    <w:rsid w:val="00E56DAC"/>
    <w:rsid w:val="00E56EA5"/>
    <w:rsid w:val="00E56EC2"/>
    <w:rsid w:val="00E57088"/>
    <w:rsid w:val="00E57128"/>
    <w:rsid w:val="00E571BB"/>
    <w:rsid w:val="00E5733A"/>
    <w:rsid w:val="00E57429"/>
    <w:rsid w:val="00E5755E"/>
    <w:rsid w:val="00E57616"/>
    <w:rsid w:val="00E577C9"/>
    <w:rsid w:val="00E57929"/>
    <w:rsid w:val="00E57BCB"/>
    <w:rsid w:val="00E57DAB"/>
    <w:rsid w:val="00E60147"/>
    <w:rsid w:val="00E603B9"/>
    <w:rsid w:val="00E60430"/>
    <w:rsid w:val="00E60546"/>
    <w:rsid w:val="00E6055A"/>
    <w:rsid w:val="00E60774"/>
    <w:rsid w:val="00E6086D"/>
    <w:rsid w:val="00E6092E"/>
    <w:rsid w:val="00E60A25"/>
    <w:rsid w:val="00E60A84"/>
    <w:rsid w:val="00E60B92"/>
    <w:rsid w:val="00E60C4B"/>
    <w:rsid w:val="00E60D41"/>
    <w:rsid w:val="00E60E59"/>
    <w:rsid w:val="00E612D0"/>
    <w:rsid w:val="00E61404"/>
    <w:rsid w:val="00E615CB"/>
    <w:rsid w:val="00E617DD"/>
    <w:rsid w:val="00E61818"/>
    <w:rsid w:val="00E61990"/>
    <w:rsid w:val="00E61B27"/>
    <w:rsid w:val="00E61F08"/>
    <w:rsid w:val="00E61F92"/>
    <w:rsid w:val="00E620F9"/>
    <w:rsid w:val="00E62311"/>
    <w:rsid w:val="00E6236B"/>
    <w:rsid w:val="00E62555"/>
    <w:rsid w:val="00E62740"/>
    <w:rsid w:val="00E627B0"/>
    <w:rsid w:val="00E627FD"/>
    <w:rsid w:val="00E62C15"/>
    <w:rsid w:val="00E62DFB"/>
    <w:rsid w:val="00E631AB"/>
    <w:rsid w:val="00E63760"/>
    <w:rsid w:val="00E637D7"/>
    <w:rsid w:val="00E6383D"/>
    <w:rsid w:val="00E638A3"/>
    <w:rsid w:val="00E63980"/>
    <w:rsid w:val="00E63E86"/>
    <w:rsid w:val="00E63FED"/>
    <w:rsid w:val="00E64207"/>
    <w:rsid w:val="00E6435E"/>
    <w:rsid w:val="00E643C6"/>
    <w:rsid w:val="00E64483"/>
    <w:rsid w:val="00E644BB"/>
    <w:rsid w:val="00E6478B"/>
    <w:rsid w:val="00E64B24"/>
    <w:rsid w:val="00E64D19"/>
    <w:rsid w:val="00E64D71"/>
    <w:rsid w:val="00E64D98"/>
    <w:rsid w:val="00E64DF4"/>
    <w:rsid w:val="00E64FDE"/>
    <w:rsid w:val="00E64FF7"/>
    <w:rsid w:val="00E65145"/>
    <w:rsid w:val="00E652D3"/>
    <w:rsid w:val="00E65370"/>
    <w:rsid w:val="00E6545A"/>
    <w:rsid w:val="00E6552F"/>
    <w:rsid w:val="00E655E8"/>
    <w:rsid w:val="00E65646"/>
    <w:rsid w:val="00E65650"/>
    <w:rsid w:val="00E6585A"/>
    <w:rsid w:val="00E660B7"/>
    <w:rsid w:val="00E6620A"/>
    <w:rsid w:val="00E6657E"/>
    <w:rsid w:val="00E665F9"/>
    <w:rsid w:val="00E666B9"/>
    <w:rsid w:val="00E6695B"/>
    <w:rsid w:val="00E6697E"/>
    <w:rsid w:val="00E66B0E"/>
    <w:rsid w:val="00E66F79"/>
    <w:rsid w:val="00E66FD7"/>
    <w:rsid w:val="00E670C0"/>
    <w:rsid w:val="00E67128"/>
    <w:rsid w:val="00E675E0"/>
    <w:rsid w:val="00E675F6"/>
    <w:rsid w:val="00E6778B"/>
    <w:rsid w:val="00E67A21"/>
    <w:rsid w:val="00E7069C"/>
    <w:rsid w:val="00E706CF"/>
    <w:rsid w:val="00E70957"/>
    <w:rsid w:val="00E70BF2"/>
    <w:rsid w:val="00E70D48"/>
    <w:rsid w:val="00E70ED0"/>
    <w:rsid w:val="00E714B0"/>
    <w:rsid w:val="00E715E1"/>
    <w:rsid w:val="00E719C5"/>
    <w:rsid w:val="00E71A20"/>
    <w:rsid w:val="00E71BA3"/>
    <w:rsid w:val="00E71C50"/>
    <w:rsid w:val="00E71DDF"/>
    <w:rsid w:val="00E7216F"/>
    <w:rsid w:val="00E7229E"/>
    <w:rsid w:val="00E725B3"/>
    <w:rsid w:val="00E72750"/>
    <w:rsid w:val="00E7296B"/>
    <w:rsid w:val="00E72A82"/>
    <w:rsid w:val="00E72AA8"/>
    <w:rsid w:val="00E72EF7"/>
    <w:rsid w:val="00E73434"/>
    <w:rsid w:val="00E735BC"/>
    <w:rsid w:val="00E739AE"/>
    <w:rsid w:val="00E73B44"/>
    <w:rsid w:val="00E73BE1"/>
    <w:rsid w:val="00E73C8A"/>
    <w:rsid w:val="00E742D4"/>
    <w:rsid w:val="00E742F5"/>
    <w:rsid w:val="00E74394"/>
    <w:rsid w:val="00E74435"/>
    <w:rsid w:val="00E7444B"/>
    <w:rsid w:val="00E745B2"/>
    <w:rsid w:val="00E74764"/>
    <w:rsid w:val="00E74860"/>
    <w:rsid w:val="00E748ED"/>
    <w:rsid w:val="00E74A0E"/>
    <w:rsid w:val="00E74A9E"/>
    <w:rsid w:val="00E74B21"/>
    <w:rsid w:val="00E74B2B"/>
    <w:rsid w:val="00E74B5D"/>
    <w:rsid w:val="00E74DAB"/>
    <w:rsid w:val="00E74E72"/>
    <w:rsid w:val="00E74F00"/>
    <w:rsid w:val="00E74F46"/>
    <w:rsid w:val="00E74F92"/>
    <w:rsid w:val="00E75236"/>
    <w:rsid w:val="00E75399"/>
    <w:rsid w:val="00E75539"/>
    <w:rsid w:val="00E7566E"/>
    <w:rsid w:val="00E75866"/>
    <w:rsid w:val="00E758AD"/>
    <w:rsid w:val="00E75AA6"/>
    <w:rsid w:val="00E75ABF"/>
    <w:rsid w:val="00E75C81"/>
    <w:rsid w:val="00E75D43"/>
    <w:rsid w:val="00E75DAD"/>
    <w:rsid w:val="00E75F53"/>
    <w:rsid w:val="00E75F75"/>
    <w:rsid w:val="00E75FBB"/>
    <w:rsid w:val="00E7617F"/>
    <w:rsid w:val="00E7637F"/>
    <w:rsid w:val="00E76430"/>
    <w:rsid w:val="00E765D4"/>
    <w:rsid w:val="00E7691E"/>
    <w:rsid w:val="00E76980"/>
    <w:rsid w:val="00E76A19"/>
    <w:rsid w:val="00E76A86"/>
    <w:rsid w:val="00E76B69"/>
    <w:rsid w:val="00E76D74"/>
    <w:rsid w:val="00E76DAC"/>
    <w:rsid w:val="00E76E17"/>
    <w:rsid w:val="00E76E57"/>
    <w:rsid w:val="00E770FB"/>
    <w:rsid w:val="00E77493"/>
    <w:rsid w:val="00E774A2"/>
    <w:rsid w:val="00E7751C"/>
    <w:rsid w:val="00E77702"/>
    <w:rsid w:val="00E77873"/>
    <w:rsid w:val="00E77A79"/>
    <w:rsid w:val="00E77C07"/>
    <w:rsid w:val="00E77D4E"/>
    <w:rsid w:val="00E77E67"/>
    <w:rsid w:val="00E77F37"/>
    <w:rsid w:val="00E80102"/>
    <w:rsid w:val="00E801BC"/>
    <w:rsid w:val="00E8064A"/>
    <w:rsid w:val="00E80898"/>
    <w:rsid w:val="00E80AF8"/>
    <w:rsid w:val="00E80FE6"/>
    <w:rsid w:val="00E81119"/>
    <w:rsid w:val="00E813EE"/>
    <w:rsid w:val="00E81585"/>
    <w:rsid w:val="00E8163A"/>
    <w:rsid w:val="00E816B3"/>
    <w:rsid w:val="00E81789"/>
    <w:rsid w:val="00E817E4"/>
    <w:rsid w:val="00E81A5C"/>
    <w:rsid w:val="00E81ADC"/>
    <w:rsid w:val="00E81B1A"/>
    <w:rsid w:val="00E8230C"/>
    <w:rsid w:val="00E8249D"/>
    <w:rsid w:val="00E82864"/>
    <w:rsid w:val="00E82880"/>
    <w:rsid w:val="00E82958"/>
    <w:rsid w:val="00E829CA"/>
    <w:rsid w:val="00E82A01"/>
    <w:rsid w:val="00E82A5E"/>
    <w:rsid w:val="00E82A85"/>
    <w:rsid w:val="00E82A8C"/>
    <w:rsid w:val="00E82B73"/>
    <w:rsid w:val="00E82E46"/>
    <w:rsid w:val="00E831E5"/>
    <w:rsid w:val="00E83247"/>
    <w:rsid w:val="00E834FC"/>
    <w:rsid w:val="00E83650"/>
    <w:rsid w:val="00E839E5"/>
    <w:rsid w:val="00E83D7F"/>
    <w:rsid w:val="00E8422A"/>
    <w:rsid w:val="00E84238"/>
    <w:rsid w:val="00E8479D"/>
    <w:rsid w:val="00E848C5"/>
    <w:rsid w:val="00E84B9A"/>
    <w:rsid w:val="00E84E06"/>
    <w:rsid w:val="00E8509A"/>
    <w:rsid w:val="00E8529E"/>
    <w:rsid w:val="00E853B6"/>
    <w:rsid w:val="00E85A5D"/>
    <w:rsid w:val="00E85EF5"/>
    <w:rsid w:val="00E85FB2"/>
    <w:rsid w:val="00E860BF"/>
    <w:rsid w:val="00E8633B"/>
    <w:rsid w:val="00E864A7"/>
    <w:rsid w:val="00E86B7B"/>
    <w:rsid w:val="00E86BF3"/>
    <w:rsid w:val="00E86C1B"/>
    <w:rsid w:val="00E86C6A"/>
    <w:rsid w:val="00E86DF4"/>
    <w:rsid w:val="00E86E31"/>
    <w:rsid w:val="00E87317"/>
    <w:rsid w:val="00E874B0"/>
    <w:rsid w:val="00E874FA"/>
    <w:rsid w:val="00E876A7"/>
    <w:rsid w:val="00E877B2"/>
    <w:rsid w:val="00E877F2"/>
    <w:rsid w:val="00E87908"/>
    <w:rsid w:val="00E87975"/>
    <w:rsid w:val="00E87B29"/>
    <w:rsid w:val="00E87E3D"/>
    <w:rsid w:val="00E87EE8"/>
    <w:rsid w:val="00E900B5"/>
    <w:rsid w:val="00E900F1"/>
    <w:rsid w:val="00E90457"/>
    <w:rsid w:val="00E90533"/>
    <w:rsid w:val="00E90685"/>
    <w:rsid w:val="00E907B5"/>
    <w:rsid w:val="00E90B49"/>
    <w:rsid w:val="00E90B9C"/>
    <w:rsid w:val="00E90D4C"/>
    <w:rsid w:val="00E91860"/>
    <w:rsid w:val="00E919B6"/>
    <w:rsid w:val="00E91C12"/>
    <w:rsid w:val="00E91E5B"/>
    <w:rsid w:val="00E92148"/>
    <w:rsid w:val="00E9220B"/>
    <w:rsid w:val="00E922FA"/>
    <w:rsid w:val="00E92395"/>
    <w:rsid w:val="00E9256D"/>
    <w:rsid w:val="00E9283C"/>
    <w:rsid w:val="00E92AC9"/>
    <w:rsid w:val="00E92B67"/>
    <w:rsid w:val="00E92B92"/>
    <w:rsid w:val="00E92C15"/>
    <w:rsid w:val="00E92F08"/>
    <w:rsid w:val="00E931DD"/>
    <w:rsid w:val="00E93275"/>
    <w:rsid w:val="00E932AE"/>
    <w:rsid w:val="00E93342"/>
    <w:rsid w:val="00E933CD"/>
    <w:rsid w:val="00E934D3"/>
    <w:rsid w:val="00E937A8"/>
    <w:rsid w:val="00E937DD"/>
    <w:rsid w:val="00E93D55"/>
    <w:rsid w:val="00E9431A"/>
    <w:rsid w:val="00E94549"/>
    <w:rsid w:val="00E94570"/>
    <w:rsid w:val="00E9460B"/>
    <w:rsid w:val="00E947A3"/>
    <w:rsid w:val="00E9480B"/>
    <w:rsid w:val="00E9498C"/>
    <w:rsid w:val="00E94B3E"/>
    <w:rsid w:val="00E94DD4"/>
    <w:rsid w:val="00E94E35"/>
    <w:rsid w:val="00E94E59"/>
    <w:rsid w:val="00E94F11"/>
    <w:rsid w:val="00E9505D"/>
    <w:rsid w:val="00E9521F"/>
    <w:rsid w:val="00E95472"/>
    <w:rsid w:val="00E954B7"/>
    <w:rsid w:val="00E95CEB"/>
    <w:rsid w:val="00E9601C"/>
    <w:rsid w:val="00E960E0"/>
    <w:rsid w:val="00E96270"/>
    <w:rsid w:val="00E9627C"/>
    <w:rsid w:val="00E96768"/>
    <w:rsid w:val="00E967B1"/>
    <w:rsid w:val="00E9691D"/>
    <w:rsid w:val="00E96AC6"/>
    <w:rsid w:val="00E96AEF"/>
    <w:rsid w:val="00E96B4B"/>
    <w:rsid w:val="00E96CCA"/>
    <w:rsid w:val="00E96E58"/>
    <w:rsid w:val="00E96FDB"/>
    <w:rsid w:val="00E976AC"/>
    <w:rsid w:val="00E9794E"/>
    <w:rsid w:val="00E979F7"/>
    <w:rsid w:val="00E97C3D"/>
    <w:rsid w:val="00E97CF8"/>
    <w:rsid w:val="00E97E43"/>
    <w:rsid w:val="00E97FA8"/>
    <w:rsid w:val="00EA0075"/>
    <w:rsid w:val="00EA00F9"/>
    <w:rsid w:val="00EA031F"/>
    <w:rsid w:val="00EA032A"/>
    <w:rsid w:val="00EA0598"/>
    <w:rsid w:val="00EA059C"/>
    <w:rsid w:val="00EA06A4"/>
    <w:rsid w:val="00EA074A"/>
    <w:rsid w:val="00EA0B5E"/>
    <w:rsid w:val="00EA0D29"/>
    <w:rsid w:val="00EA0D7C"/>
    <w:rsid w:val="00EA107B"/>
    <w:rsid w:val="00EA1186"/>
    <w:rsid w:val="00EA133B"/>
    <w:rsid w:val="00EA168C"/>
    <w:rsid w:val="00EA1902"/>
    <w:rsid w:val="00EA199B"/>
    <w:rsid w:val="00EA1AAF"/>
    <w:rsid w:val="00EA1ECF"/>
    <w:rsid w:val="00EA2270"/>
    <w:rsid w:val="00EA2328"/>
    <w:rsid w:val="00EA23F6"/>
    <w:rsid w:val="00EA2505"/>
    <w:rsid w:val="00EA26FE"/>
    <w:rsid w:val="00EA2A7D"/>
    <w:rsid w:val="00EA2A96"/>
    <w:rsid w:val="00EA2B7A"/>
    <w:rsid w:val="00EA2C7C"/>
    <w:rsid w:val="00EA2E80"/>
    <w:rsid w:val="00EA3286"/>
    <w:rsid w:val="00EA329C"/>
    <w:rsid w:val="00EA34D0"/>
    <w:rsid w:val="00EA3575"/>
    <w:rsid w:val="00EA374A"/>
    <w:rsid w:val="00EA3B94"/>
    <w:rsid w:val="00EA3CF7"/>
    <w:rsid w:val="00EA3ED8"/>
    <w:rsid w:val="00EA3F11"/>
    <w:rsid w:val="00EA40A6"/>
    <w:rsid w:val="00EA4232"/>
    <w:rsid w:val="00EA43AA"/>
    <w:rsid w:val="00EA43EE"/>
    <w:rsid w:val="00EA44D4"/>
    <w:rsid w:val="00EA45B6"/>
    <w:rsid w:val="00EA4645"/>
    <w:rsid w:val="00EA478E"/>
    <w:rsid w:val="00EA4D40"/>
    <w:rsid w:val="00EA4E56"/>
    <w:rsid w:val="00EA4F3D"/>
    <w:rsid w:val="00EA525D"/>
    <w:rsid w:val="00EA59C6"/>
    <w:rsid w:val="00EA5AC5"/>
    <w:rsid w:val="00EA5DA0"/>
    <w:rsid w:val="00EA5DC1"/>
    <w:rsid w:val="00EA634B"/>
    <w:rsid w:val="00EA63C3"/>
    <w:rsid w:val="00EA64A8"/>
    <w:rsid w:val="00EA6BA8"/>
    <w:rsid w:val="00EA6D62"/>
    <w:rsid w:val="00EA75DB"/>
    <w:rsid w:val="00EA75E0"/>
    <w:rsid w:val="00EA76E4"/>
    <w:rsid w:val="00EA76EE"/>
    <w:rsid w:val="00EA79D6"/>
    <w:rsid w:val="00EA79F1"/>
    <w:rsid w:val="00EA79F7"/>
    <w:rsid w:val="00EA7AD0"/>
    <w:rsid w:val="00EA7AEE"/>
    <w:rsid w:val="00EA7BAF"/>
    <w:rsid w:val="00EA7D8F"/>
    <w:rsid w:val="00EA7F09"/>
    <w:rsid w:val="00EA7F4C"/>
    <w:rsid w:val="00EB03F2"/>
    <w:rsid w:val="00EB08C2"/>
    <w:rsid w:val="00EB0AD8"/>
    <w:rsid w:val="00EB0BE2"/>
    <w:rsid w:val="00EB0C41"/>
    <w:rsid w:val="00EB0CF1"/>
    <w:rsid w:val="00EB0E5A"/>
    <w:rsid w:val="00EB0F7C"/>
    <w:rsid w:val="00EB1029"/>
    <w:rsid w:val="00EB106C"/>
    <w:rsid w:val="00EB1098"/>
    <w:rsid w:val="00EB10AC"/>
    <w:rsid w:val="00EB11C8"/>
    <w:rsid w:val="00EB13D5"/>
    <w:rsid w:val="00EB14BD"/>
    <w:rsid w:val="00EB196D"/>
    <w:rsid w:val="00EB196F"/>
    <w:rsid w:val="00EB1C84"/>
    <w:rsid w:val="00EB1CC0"/>
    <w:rsid w:val="00EB2084"/>
    <w:rsid w:val="00EB2100"/>
    <w:rsid w:val="00EB2240"/>
    <w:rsid w:val="00EB25CE"/>
    <w:rsid w:val="00EB2796"/>
    <w:rsid w:val="00EB27EA"/>
    <w:rsid w:val="00EB2A88"/>
    <w:rsid w:val="00EB2C06"/>
    <w:rsid w:val="00EB2C12"/>
    <w:rsid w:val="00EB2E97"/>
    <w:rsid w:val="00EB2EB1"/>
    <w:rsid w:val="00EB3295"/>
    <w:rsid w:val="00EB344E"/>
    <w:rsid w:val="00EB356D"/>
    <w:rsid w:val="00EB363B"/>
    <w:rsid w:val="00EB3897"/>
    <w:rsid w:val="00EB3C32"/>
    <w:rsid w:val="00EB3CE5"/>
    <w:rsid w:val="00EB3D01"/>
    <w:rsid w:val="00EB3D5C"/>
    <w:rsid w:val="00EB3F40"/>
    <w:rsid w:val="00EB41D7"/>
    <w:rsid w:val="00EB44B0"/>
    <w:rsid w:val="00EB4571"/>
    <w:rsid w:val="00EB462F"/>
    <w:rsid w:val="00EB46E2"/>
    <w:rsid w:val="00EB473D"/>
    <w:rsid w:val="00EB47C0"/>
    <w:rsid w:val="00EB4A21"/>
    <w:rsid w:val="00EB4A93"/>
    <w:rsid w:val="00EB4B54"/>
    <w:rsid w:val="00EB4C29"/>
    <w:rsid w:val="00EB4C2F"/>
    <w:rsid w:val="00EB506B"/>
    <w:rsid w:val="00EB50A1"/>
    <w:rsid w:val="00EB5648"/>
    <w:rsid w:val="00EB582A"/>
    <w:rsid w:val="00EB58BC"/>
    <w:rsid w:val="00EB5A97"/>
    <w:rsid w:val="00EB5C8A"/>
    <w:rsid w:val="00EB5DC3"/>
    <w:rsid w:val="00EB5E18"/>
    <w:rsid w:val="00EB603C"/>
    <w:rsid w:val="00EB60C8"/>
    <w:rsid w:val="00EB6109"/>
    <w:rsid w:val="00EB6212"/>
    <w:rsid w:val="00EB641F"/>
    <w:rsid w:val="00EB65B6"/>
    <w:rsid w:val="00EB66F6"/>
    <w:rsid w:val="00EB6750"/>
    <w:rsid w:val="00EB67A9"/>
    <w:rsid w:val="00EB67F4"/>
    <w:rsid w:val="00EB6889"/>
    <w:rsid w:val="00EB696F"/>
    <w:rsid w:val="00EB69A1"/>
    <w:rsid w:val="00EB6AB9"/>
    <w:rsid w:val="00EB6D31"/>
    <w:rsid w:val="00EB6E2D"/>
    <w:rsid w:val="00EB6ECC"/>
    <w:rsid w:val="00EB7235"/>
    <w:rsid w:val="00EB7437"/>
    <w:rsid w:val="00EB745E"/>
    <w:rsid w:val="00EB7517"/>
    <w:rsid w:val="00EB7604"/>
    <w:rsid w:val="00EB7678"/>
    <w:rsid w:val="00EB7835"/>
    <w:rsid w:val="00EB784E"/>
    <w:rsid w:val="00EB7982"/>
    <w:rsid w:val="00EB7A7B"/>
    <w:rsid w:val="00EB7A93"/>
    <w:rsid w:val="00EC0004"/>
    <w:rsid w:val="00EC0103"/>
    <w:rsid w:val="00EC02DD"/>
    <w:rsid w:val="00EC06CC"/>
    <w:rsid w:val="00EC0B17"/>
    <w:rsid w:val="00EC0DFD"/>
    <w:rsid w:val="00EC0FEF"/>
    <w:rsid w:val="00EC10A0"/>
    <w:rsid w:val="00EC1195"/>
    <w:rsid w:val="00EC11D1"/>
    <w:rsid w:val="00EC1383"/>
    <w:rsid w:val="00EC13D0"/>
    <w:rsid w:val="00EC1591"/>
    <w:rsid w:val="00EC16A5"/>
    <w:rsid w:val="00EC16C6"/>
    <w:rsid w:val="00EC16F1"/>
    <w:rsid w:val="00EC17C1"/>
    <w:rsid w:val="00EC19B9"/>
    <w:rsid w:val="00EC1A3D"/>
    <w:rsid w:val="00EC1BAC"/>
    <w:rsid w:val="00EC1C65"/>
    <w:rsid w:val="00EC1C8A"/>
    <w:rsid w:val="00EC1DC2"/>
    <w:rsid w:val="00EC1DE6"/>
    <w:rsid w:val="00EC1DFD"/>
    <w:rsid w:val="00EC20D8"/>
    <w:rsid w:val="00EC282D"/>
    <w:rsid w:val="00EC2840"/>
    <w:rsid w:val="00EC294E"/>
    <w:rsid w:val="00EC2AF9"/>
    <w:rsid w:val="00EC2B0D"/>
    <w:rsid w:val="00EC2B22"/>
    <w:rsid w:val="00EC2BBF"/>
    <w:rsid w:val="00EC318B"/>
    <w:rsid w:val="00EC3573"/>
    <w:rsid w:val="00EC3599"/>
    <w:rsid w:val="00EC3EBF"/>
    <w:rsid w:val="00EC3ED6"/>
    <w:rsid w:val="00EC4188"/>
    <w:rsid w:val="00EC419F"/>
    <w:rsid w:val="00EC468B"/>
    <w:rsid w:val="00EC4749"/>
    <w:rsid w:val="00EC48C5"/>
    <w:rsid w:val="00EC4C0B"/>
    <w:rsid w:val="00EC4E03"/>
    <w:rsid w:val="00EC4E80"/>
    <w:rsid w:val="00EC5054"/>
    <w:rsid w:val="00EC50A2"/>
    <w:rsid w:val="00EC518D"/>
    <w:rsid w:val="00EC52B8"/>
    <w:rsid w:val="00EC53AC"/>
    <w:rsid w:val="00EC540D"/>
    <w:rsid w:val="00EC54F8"/>
    <w:rsid w:val="00EC5791"/>
    <w:rsid w:val="00EC57C6"/>
    <w:rsid w:val="00EC5BA0"/>
    <w:rsid w:val="00EC5D37"/>
    <w:rsid w:val="00EC5EE6"/>
    <w:rsid w:val="00EC5FB8"/>
    <w:rsid w:val="00EC6105"/>
    <w:rsid w:val="00EC6130"/>
    <w:rsid w:val="00EC628D"/>
    <w:rsid w:val="00EC648E"/>
    <w:rsid w:val="00EC669B"/>
    <w:rsid w:val="00EC66B0"/>
    <w:rsid w:val="00EC6763"/>
    <w:rsid w:val="00EC6AEC"/>
    <w:rsid w:val="00EC6C28"/>
    <w:rsid w:val="00EC6D0E"/>
    <w:rsid w:val="00EC6D31"/>
    <w:rsid w:val="00EC6D60"/>
    <w:rsid w:val="00EC6DFD"/>
    <w:rsid w:val="00EC6EF3"/>
    <w:rsid w:val="00EC6FC8"/>
    <w:rsid w:val="00EC7048"/>
    <w:rsid w:val="00EC716B"/>
    <w:rsid w:val="00EC71CB"/>
    <w:rsid w:val="00EC71D1"/>
    <w:rsid w:val="00EC75D9"/>
    <w:rsid w:val="00EC7614"/>
    <w:rsid w:val="00EC765A"/>
    <w:rsid w:val="00EC769C"/>
    <w:rsid w:val="00EC76D2"/>
    <w:rsid w:val="00EC76F3"/>
    <w:rsid w:val="00EC7797"/>
    <w:rsid w:val="00EC78BC"/>
    <w:rsid w:val="00EC7988"/>
    <w:rsid w:val="00EC7D87"/>
    <w:rsid w:val="00EC7E17"/>
    <w:rsid w:val="00EC7F64"/>
    <w:rsid w:val="00ED01DE"/>
    <w:rsid w:val="00ED022E"/>
    <w:rsid w:val="00ED057B"/>
    <w:rsid w:val="00ED05D6"/>
    <w:rsid w:val="00ED060E"/>
    <w:rsid w:val="00ED0617"/>
    <w:rsid w:val="00ED099F"/>
    <w:rsid w:val="00ED0ABD"/>
    <w:rsid w:val="00ED0C6F"/>
    <w:rsid w:val="00ED0D88"/>
    <w:rsid w:val="00ED13D1"/>
    <w:rsid w:val="00ED17A8"/>
    <w:rsid w:val="00ED1AA8"/>
    <w:rsid w:val="00ED208B"/>
    <w:rsid w:val="00ED20A1"/>
    <w:rsid w:val="00ED221F"/>
    <w:rsid w:val="00ED2274"/>
    <w:rsid w:val="00ED233E"/>
    <w:rsid w:val="00ED27AC"/>
    <w:rsid w:val="00ED27C6"/>
    <w:rsid w:val="00ED29E6"/>
    <w:rsid w:val="00ED29F2"/>
    <w:rsid w:val="00ED2D3B"/>
    <w:rsid w:val="00ED2EE5"/>
    <w:rsid w:val="00ED2FB5"/>
    <w:rsid w:val="00ED2FCC"/>
    <w:rsid w:val="00ED3028"/>
    <w:rsid w:val="00ED3599"/>
    <w:rsid w:val="00ED35AB"/>
    <w:rsid w:val="00ED3679"/>
    <w:rsid w:val="00ED38C7"/>
    <w:rsid w:val="00ED3991"/>
    <w:rsid w:val="00ED3A81"/>
    <w:rsid w:val="00ED3AA1"/>
    <w:rsid w:val="00ED3C09"/>
    <w:rsid w:val="00ED3CA7"/>
    <w:rsid w:val="00ED3CD5"/>
    <w:rsid w:val="00ED3D05"/>
    <w:rsid w:val="00ED3F32"/>
    <w:rsid w:val="00ED3FEC"/>
    <w:rsid w:val="00ED48B2"/>
    <w:rsid w:val="00ED4967"/>
    <w:rsid w:val="00ED4BD8"/>
    <w:rsid w:val="00ED4BF1"/>
    <w:rsid w:val="00ED4C12"/>
    <w:rsid w:val="00ED4E12"/>
    <w:rsid w:val="00ED4FC7"/>
    <w:rsid w:val="00ED50C8"/>
    <w:rsid w:val="00ED50D8"/>
    <w:rsid w:val="00ED5138"/>
    <w:rsid w:val="00ED53B0"/>
    <w:rsid w:val="00ED5646"/>
    <w:rsid w:val="00ED56D1"/>
    <w:rsid w:val="00ED5BC0"/>
    <w:rsid w:val="00ED5FE3"/>
    <w:rsid w:val="00ED67CE"/>
    <w:rsid w:val="00ED687B"/>
    <w:rsid w:val="00ED692E"/>
    <w:rsid w:val="00ED6AD0"/>
    <w:rsid w:val="00ED6E59"/>
    <w:rsid w:val="00ED6EC8"/>
    <w:rsid w:val="00ED711E"/>
    <w:rsid w:val="00ED71C9"/>
    <w:rsid w:val="00ED7559"/>
    <w:rsid w:val="00ED7637"/>
    <w:rsid w:val="00ED7A84"/>
    <w:rsid w:val="00ED7E5D"/>
    <w:rsid w:val="00ED7FDE"/>
    <w:rsid w:val="00EE0004"/>
    <w:rsid w:val="00EE0031"/>
    <w:rsid w:val="00EE0279"/>
    <w:rsid w:val="00EE03D9"/>
    <w:rsid w:val="00EE0538"/>
    <w:rsid w:val="00EE05EC"/>
    <w:rsid w:val="00EE0625"/>
    <w:rsid w:val="00EE09DA"/>
    <w:rsid w:val="00EE0A2E"/>
    <w:rsid w:val="00EE0A4C"/>
    <w:rsid w:val="00EE0B6E"/>
    <w:rsid w:val="00EE0C1A"/>
    <w:rsid w:val="00EE0F57"/>
    <w:rsid w:val="00EE0F97"/>
    <w:rsid w:val="00EE1046"/>
    <w:rsid w:val="00EE14A6"/>
    <w:rsid w:val="00EE1A3D"/>
    <w:rsid w:val="00EE1A66"/>
    <w:rsid w:val="00EE1B07"/>
    <w:rsid w:val="00EE1B10"/>
    <w:rsid w:val="00EE1F65"/>
    <w:rsid w:val="00EE1FBE"/>
    <w:rsid w:val="00EE2371"/>
    <w:rsid w:val="00EE256F"/>
    <w:rsid w:val="00EE2642"/>
    <w:rsid w:val="00EE26C8"/>
    <w:rsid w:val="00EE28A4"/>
    <w:rsid w:val="00EE28CE"/>
    <w:rsid w:val="00EE28F4"/>
    <w:rsid w:val="00EE2D19"/>
    <w:rsid w:val="00EE2E3C"/>
    <w:rsid w:val="00EE32F7"/>
    <w:rsid w:val="00EE3422"/>
    <w:rsid w:val="00EE3600"/>
    <w:rsid w:val="00EE3728"/>
    <w:rsid w:val="00EE38B6"/>
    <w:rsid w:val="00EE395B"/>
    <w:rsid w:val="00EE3A1C"/>
    <w:rsid w:val="00EE3BD9"/>
    <w:rsid w:val="00EE3C95"/>
    <w:rsid w:val="00EE3E7B"/>
    <w:rsid w:val="00EE3E83"/>
    <w:rsid w:val="00EE4261"/>
    <w:rsid w:val="00EE43A4"/>
    <w:rsid w:val="00EE4493"/>
    <w:rsid w:val="00EE45C5"/>
    <w:rsid w:val="00EE464D"/>
    <w:rsid w:val="00EE470C"/>
    <w:rsid w:val="00EE494F"/>
    <w:rsid w:val="00EE49B6"/>
    <w:rsid w:val="00EE4ADF"/>
    <w:rsid w:val="00EE4B3E"/>
    <w:rsid w:val="00EE4E22"/>
    <w:rsid w:val="00EE4F48"/>
    <w:rsid w:val="00EE5377"/>
    <w:rsid w:val="00EE5831"/>
    <w:rsid w:val="00EE5A6B"/>
    <w:rsid w:val="00EE5B3C"/>
    <w:rsid w:val="00EE5F75"/>
    <w:rsid w:val="00EE63BE"/>
    <w:rsid w:val="00EE65F8"/>
    <w:rsid w:val="00EE6757"/>
    <w:rsid w:val="00EE6972"/>
    <w:rsid w:val="00EE6A2B"/>
    <w:rsid w:val="00EE6B04"/>
    <w:rsid w:val="00EE6B89"/>
    <w:rsid w:val="00EE6C16"/>
    <w:rsid w:val="00EE70E9"/>
    <w:rsid w:val="00EE712F"/>
    <w:rsid w:val="00EE73B5"/>
    <w:rsid w:val="00EE78F2"/>
    <w:rsid w:val="00EE79AF"/>
    <w:rsid w:val="00EE7FAA"/>
    <w:rsid w:val="00EF0024"/>
    <w:rsid w:val="00EF0243"/>
    <w:rsid w:val="00EF0276"/>
    <w:rsid w:val="00EF02AF"/>
    <w:rsid w:val="00EF03AD"/>
    <w:rsid w:val="00EF0492"/>
    <w:rsid w:val="00EF0513"/>
    <w:rsid w:val="00EF0799"/>
    <w:rsid w:val="00EF09CD"/>
    <w:rsid w:val="00EF0A3A"/>
    <w:rsid w:val="00EF0CF6"/>
    <w:rsid w:val="00EF0ED1"/>
    <w:rsid w:val="00EF0FC5"/>
    <w:rsid w:val="00EF10CC"/>
    <w:rsid w:val="00EF12C5"/>
    <w:rsid w:val="00EF1413"/>
    <w:rsid w:val="00EF15C4"/>
    <w:rsid w:val="00EF15F5"/>
    <w:rsid w:val="00EF177E"/>
    <w:rsid w:val="00EF17BC"/>
    <w:rsid w:val="00EF193D"/>
    <w:rsid w:val="00EF1A0C"/>
    <w:rsid w:val="00EF1B00"/>
    <w:rsid w:val="00EF1C75"/>
    <w:rsid w:val="00EF1EB2"/>
    <w:rsid w:val="00EF2006"/>
    <w:rsid w:val="00EF21AF"/>
    <w:rsid w:val="00EF21BE"/>
    <w:rsid w:val="00EF24F7"/>
    <w:rsid w:val="00EF2664"/>
    <w:rsid w:val="00EF2722"/>
    <w:rsid w:val="00EF2A35"/>
    <w:rsid w:val="00EF2A8E"/>
    <w:rsid w:val="00EF2B93"/>
    <w:rsid w:val="00EF2D78"/>
    <w:rsid w:val="00EF2DB3"/>
    <w:rsid w:val="00EF304C"/>
    <w:rsid w:val="00EF310F"/>
    <w:rsid w:val="00EF324A"/>
    <w:rsid w:val="00EF3296"/>
    <w:rsid w:val="00EF341A"/>
    <w:rsid w:val="00EF3584"/>
    <w:rsid w:val="00EF363D"/>
    <w:rsid w:val="00EF36B4"/>
    <w:rsid w:val="00EF37D9"/>
    <w:rsid w:val="00EF3850"/>
    <w:rsid w:val="00EF38C8"/>
    <w:rsid w:val="00EF3DEC"/>
    <w:rsid w:val="00EF40A5"/>
    <w:rsid w:val="00EF40BE"/>
    <w:rsid w:val="00EF416B"/>
    <w:rsid w:val="00EF41D3"/>
    <w:rsid w:val="00EF41E8"/>
    <w:rsid w:val="00EF4469"/>
    <w:rsid w:val="00EF4A28"/>
    <w:rsid w:val="00EF4AE4"/>
    <w:rsid w:val="00EF4B83"/>
    <w:rsid w:val="00EF5082"/>
    <w:rsid w:val="00EF5107"/>
    <w:rsid w:val="00EF559C"/>
    <w:rsid w:val="00EF5AD3"/>
    <w:rsid w:val="00EF5B0D"/>
    <w:rsid w:val="00EF5B55"/>
    <w:rsid w:val="00EF5CE4"/>
    <w:rsid w:val="00EF5E12"/>
    <w:rsid w:val="00EF5E9A"/>
    <w:rsid w:val="00EF5EEA"/>
    <w:rsid w:val="00EF625D"/>
    <w:rsid w:val="00EF6294"/>
    <w:rsid w:val="00EF629D"/>
    <w:rsid w:val="00EF6351"/>
    <w:rsid w:val="00EF63A8"/>
    <w:rsid w:val="00EF6601"/>
    <w:rsid w:val="00EF6805"/>
    <w:rsid w:val="00EF696D"/>
    <w:rsid w:val="00EF6AED"/>
    <w:rsid w:val="00EF6B84"/>
    <w:rsid w:val="00EF6C5B"/>
    <w:rsid w:val="00EF6D9B"/>
    <w:rsid w:val="00EF6EAE"/>
    <w:rsid w:val="00EF711F"/>
    <w:rsid w:val="00EF730B"/>
    <w:rsid w:val="00EF73E4"/>
    <w:rsid w:val="00EF768F"/>
    <w:rsid w:val="00EF78A0"/>
    <w:rsid w:val="00EF791B"/>
    <w:rsid w:val="00EF79A6"/>
    <w:rsid w:val="00EF7B41"/>
    <w:rsid w:val="00EF7BD7"/>
    <w:rsid w:val="00EF7CF2"/>
    <w:rsid w:val="00EF7D85"/>
    <w:rsid w:val="00EF7F1F"/>
    <w:rsid w:val="00EF7F31"/>
    <w:rsid w:val="00F001A1"/>
    <w:rsid w:val="00F00508"/>
    <w:rsid w:val="00F00784"/>
    <w:rsid w:val="00F00805"/>
    <w:rsid w:val="00F00AA6"/>
    <w:rsid w:val="00F00AEF"/>
    <w:rsid w:val="00F00B2E"/>
    <w:rsid w:val="00F00DD0"/>
    <w:rsid w:val="00F00EE0"/>
    <w:rsid w:val="00F0121A"/>
    <w:rsid w:val="00F012C9"/>
    <w:rsid w:val="00F01490"/>
    <w:rsid w:val="00F01592"/>
    <w:rsid w:val="00F0161D"/>
    <w:rsid w:val="00F01820"/>
    <w:rsid w:val="00F0193F"/>
    <w:rsid w:val="00F01A28"/>
    <w:rsid w:val="00F01A42"/>
    <w:rsid w:val="00F01C5B"/>
    <w:rsid w:val="00F01E52"/>
    <w:rsid w:val="00F01EDA"/>
    <w:rsid w:val="00F02473"/>
    <w:rsid w:val="00F0256E"/>
    <w:rsid w:val="00F025E6"/>
    <w:rsid w:val="00F02DAF"/>
    <w:rsid w:val="00F02DCB"/>
    <w:rsid w:val="00F02F73"/>
    <w:rsid w:val="00F0319D"/>
    <w:rsid w:val="00F037C3"/>
    <w:rsid w:val="00F0389E"/>
    <w:rsid w:val="00F03B08"/>
    <w:rsid w:val="00F04286"/>
    <w:rsid w:val="00F042DC"/>
    <w:rsid w:val="00F04309"/>
    <w:rsid w:val="00F043DE"/>
    <w:rsid w:val="00F04446"/>
    <w:rsid w:val="00F04458"/>
    <w:rsid w:val="00F0448B"/>
    <w:rsid w:val="00F0463B"/>
    <w:rsid w:val="00F0469A"/>
    <w:rsid w:val="00F046BD"/>
    <w:rsid w:val="00F04BF3"/>
    <w:rsid w:val="00F04D63"/>
    <w:rsid w:val="00F04E40"/>
    <w:rsid w:val="00F04E72"/>
    <w:rsid w:val="00F04EA2"/>
    <w:rsid w:val="00F0526B"/>
    <w:rsid w:val="00F053B2"/>
    <w:rsid w:val="00F05429"/>
    <w:rsid w:val="00F05626"/>
    <w:rsid w:val="00F056E1"/>
    <w:rsid w:val="00F0576E"/>
    <w:rsid w:val="00F057C2"/>
    <w:rsid w:val="00F0584D"/>
    <w:rsid w:val="00F05999"/>
    <w:rsid w:val="00F059AB"/>
    <w:rsid w:val="00F05B05"/>
    <w:rsid w:val="00F05D5E"/>
    <w:rsid w:val="00F05EC4"/>
    <w:rsid w:val="00F05F05"/>
    <w:rsid w:val="00F06322"/>
    <w:rsid w:val="00F06515"/>
    <w:rsid w:val="00F065F4"/>
    <w:rsid w:val="00F06868"/>
    <w:rsid w:val="00F06894"/>
    <w:rsid w:val="00F06906"/>
    <w:rsid w:val="00F06A1B"/>
    <w:rsid w:val="00F06B23"/>
    <w:rsid w:val="00F06C35"/>
    <w:rsid w:val="00F06CDE"/>
    <w:rsid w:val="00F06DDD"/>
    <w:rsid w:val="00F06FF4"/>
    <w:rsid w:val="00F07099"/>
    <w:rsid w:val="00F073F4"/>
    <w:rsid w:val="00F074FA"/>
    <w:rsid w:val="00F07603"/>
    <w:rsid w:val="00F07A90"/>
    <w:rsid w:val="00F07AA6"/>
    <w:rsid w:val="00F07AF5"/>
    <w:rsid w:val="00F07B46"/>
    <w:rsid w:val="00F07B75"/>
    <w:rsid w:val="00F07BB6"/>
    <w:rsid w:val="00F10066"/>
    <w:rsid w:val="00F10109"/>
    <w:rsid w:val="00F101C5"/>
    <w:rsid w:val="00F101F6"/>
    <w:rsid w:val="00F102A7"/>
    <w:rsid w:val="00F1055B"/>
    <w:rsid w:val="00F105C5"/>
    <w:rsid w:val="00F105EA"/>
    <w:rsid w:val="00F1068A"/>
    <w:rsid w:val="00F10721"/>
    <w:rsid w:val="00F107E1"/>
    <w:rsid w:val="00F10B8A"/>
    <w:rsid w:val="00F10F10"/>
    <w:rsid w:val="00F1106A"/>
    <w:rsid w:val="00F1109A"/>
    <w:rsid w:val="00F110AF"/>
    <w:rsid w:val="00F11117"/>
    <w:rsid w:val="00F11172"/>
    <w:rsid w:val="00F111B8"/>
    <w:rsid w:val="00F112B0"/>
    <w:rsid w:val="00F11304"/>
    <w:rsid w:val="00F11768"/>
    <w:rsid w:val="00F119F9"/>
    <w:rsid w:val="00F11D55"/>
    <w:rsid w:val="00F11DC7"/>
    <w:rsid w:val="00F11E50"/>
    <w:rsid w:val="00F11FA7"/>
    <w:rsid w:val="00F12380"/>
    <w:rsid w:val="00F1249A"/>
    <w:rsid w:val="00F1251E"/>
    <w:rsid w:val="00F12541"/>
    <w:rsid w:val="00F12AB3"/>
    <w:rsid w:val="00F12C14"/>
    <w:rsid w:val="00F1313B"/>
    <w:rsid w:val="00F13580"/>
    <w:rsid w:val="00F13586"/>
    <w:rsid w:val="00F1376D"/>
    <w:rsid w:val="00F13A54"/>
    <w:rsid w:val="00F13C63"/>
    <w:rsid w:val="00F13D2B"/>
    <w:rsid w:val="00F13E32"/>
    <w:rsid w:val="00F13E73"/>
    <w:rsid w:val="00F141CB"/>
    <w:rsid w:val="00F143EE"/>
    <w:rsid w:val="00F14435"/>
    <w:rsid w:val="00F14AAF"/>
    <w:rsid w:val="00F14AD8"/>
    <w:rsid w:val="00F14BA2"/>
    <w:rsid w:val="00F14C45"/>
    <w:rsid w:val="00F150EF"/>
    <w:rsid w:val="00F150F4"/>
    <w:rsid w:val="00F1510D"/>
    <w:rsid w:val="00F15233"/>
    <w:rsid w:val="00F15618"/>
    <w:rsid w:val="00F15950"/>
    <w:rsid w:val="00F15E91"/>
    <w:rsid w:val="00F15EC9"/>
    <w:rsid w:val="00F164D2"/>
    <w:rsid w:val="00F1653D"/>
    <w:rsid w:val="00F16654"/>
    <w:rsid w:val="00F16BE7"/>
    <w:rsid w:val="00F16CBE"/>
    <w:rsid w:val="00F16E72"/>
    <w:rsid w:val="00F16F98"/>
    <w:rsid w:val="00F17350"/>
    <w:rsid w:val="00F1735C"/>
    <w:rsid w:val="00F17473"/>
    <w:rsid w:val="00F178FF"/>
    <w:rsid w:val="00F1792A"/>
    <w:rsid w:val="00F17C97"/>
    <w:rsid w:val="00F17E02"/>
    <w:rsid w:val="00F17F93"/>
    <w:rsid w:val="00F20146"/>
    <w:rsid w:val="00F2038C"/>
    <w:rsid w:val="00F20479"/>
    <w:rsid w:val="00F204EA"/>
    <w:rsid w:val="00F2064C"/>
    <w:rsid w:val="00F20738"/>
    <w:rsid w:val="00F208F1"/>
    <w:rsid w:val="00F20A8C"/>
    <w:rsid w:val="00F20B53"/>
    <w:rsid w:val="00F20B5F"/>
    <w:rsid w:val="00F20C6C"/>
    <w:rsid w:val="00F20D6C"/>
    <w:rsid w:val="00F21056"/>
    <w:rsid w:val="00F211F9"/>
    <w:rsid w:val="00F21961"/>
    <w:rsid w:val="00F21A42"/>
    <w:rsid w:val="00F21BA6"/>
    <w:rsid w:val="00F21C71"/>
    <w:rsid w:val="00F21D12"/>
    <w:rsid w:val="00F21DC1"/>
    <w:rsid w:val="00F21FB3"/>
    <w:rsid w:val="00F22035"/>
    <w:rsid w:val="00F22461"/>
    <w:rsid w:val="00F2276D"/>
    <w:rsid w:val="00F2280B"/>
    <w:rsid w:val="00F2291C"/>
    <w:rsid w:val="00F22A18"/>
    <w:rsid w:val="00F22C19"/>
    <w:rsid w:val="00F22C2A"/>
    <w:rsid w:val="00F22D18"/>
    <w:rsid w:val="00F22E59"/>
    <w:rsid w:val="00F22FD6"/>
    <w:rsid w:val="00F2300F"/>
    <w:rsid w:val="00F23350"/>
    <w:rsid w:val="00F23434"/>
    <w:rsid w:val="00F234FF"/>
    <w:rsid w:val="00F235FB"/>
    <w:rsid w:val="00F23664"/>
    <w:rsid w:val="00F2367A"/>
    <w:rsid w:val="00F23880"/>
    <w:rsid w:val="00F23905"/>
    <w:rsid w:val="00F23C27"/>
    <w:rsid w:val="00F23DFB"/>
    <w:rsid w:val="00F23F3C"/>
    <w:rsid w:val="00F23FD2"/>
    <w:rsid w:val="00F24062"/>
    <w:rsid w:val="00F24450"/>
    <w:rsid w:val="00F244B1"/>
    <w:rsid w:val="00F244CB"/>
    <w:rsid w:val="00F24B0E"/>
    <w:rsid w:val="00F24B44"/>
    <w:rsid w:val="00F24D43"/>
    <w:rsid w:val="00F24F53"/>
    <w:rsid w:val="00F25070"/>
    <w:rsid w:val="00F2521E"/>
    <w:rsid w:val="00F25253"/>
    <w:rsid w:val="00F253E5"/>
    <w:rsid w:val="00F2564A"/>
    <w:rsid w:val="00F25704"/>
    <w:rsid w:val="00F25877"/>
    <w:rsid w:val="00F2599A"/>
    <w:rsid w:val="00F25B50"/>
    <w:rsid w:val="00F25C1C"/>
    <w:rsid w:val="00F25D28"/>
    <w:rsid w:val="00F25FC3"/>
    <w:rsid w:val="00F26025"/>
    <w:rsid w:val="00F26073"/>
    <w:rsid w:val="00F26137"/>
    <w:rsid w:val="00F26270"/>
    <w:rsid w:val="00F26385"/>
    <w:rsid w:val="00F266C0"/>
    <w:rsid w:val="00F266C7"/>
    <w:rsid w:val="00F2678A"/>
    <w:rsid w:val="00F267AE"/>
    <w:rsid w:val="00F2684D"/>
    <w:rsid w:val="00F26AA8"/>
    <w:rsid w:val="00F26AF2"/>
    <w:rsid w:val="00F26B6B"/>
    <w:rsid w:val="00F26F73"/>
    <w:rsid w:val="00F2700F"/>
    <w:rsid w:val="00F271FB"/>
    <w:rsid w:val="00F27288"/>
    <w:rsid w:val="00F2745F"/>
    <w:rsid w:val="00F27AED"/>
    <w:rsid w:val="00F27D48"/>
    <w:rsid w:val="00F30253"/>
    <w:rsid w:val="00F3026A"/>
    <w:rsid w:val="00F302F5"/>
    <w:rsid w:val="00F3039A"/>
    <w:rsid w:val="00F30488"/>
    <w:rsid w:val="00F30555"/>
    <w:rsid w:val="00F30770"/>
    <w:rsid w:val="00F307B3"/>
    <w:rsid w:val="00F30893"/>
    <w:rsid w:val="00F3089A"/>
    <w:rsid w:val="00F3094F"/>
    <w:rsid w:val="00F30A26"/>
    <w:rsid w:val="00F30A58"/>
    <w:rsid w:val="00F30A91"/>
    <w:rsid w:val="00F30BB4"/>
    <w:rsid w:val="00F30F8A"/>
    <w:rsid w:val="00F30FE3"/>
    <w:rsid w:val="00F31217"/>
    <w:rsid w:val="00F312B5"/>
    <w:rsid w:val="00F313C9"/>
    <w:rsid w:val="00F313D2"/>
    <w:rsid w:val="00F31419"/>
    <w:rsid w:val="00F316EF"/>
    <w:rsid w:val="00F3174C"/>
    <w:rsid w:val="00F31837"/>
    <w:rsid w:val="00F318C4"/>
    <w:rsid w:val="00F319F4"/>
    <w:rsid w:val="00F31AB5"/>
    <w:rsid w:val="00F31B1C"/>
    <w:rsid w:val="00F31CB9"/>
    <w:rsid w:val="00F31DD9"/>
    <w:rsid w:val="00F31E7F"/>
    <w:rsid w:val="00F31EC4"/>
    <w:rsid w:val="00F32554"/>
    <w:rsid w:val="00F326AA"/>
    <w:rsid w:val="00F327CC"/>
    <w:rsid w:val="00F327E2"/>
    <w:rsid w:val="00F32837"/>
    <w:rsid w:val="00F32931"/>
    <w:rsid w:val="00F32A89"/>
    <w:rsid w:val="00F32BBC"/>
    <w:rsid w:val="00F32CAB"/>
    <w:rsid w:val="00F32D82"/>
    <w:rsid w:val="00F32F13"/>
    <w:rsid w:val="00F32F51"/>
    <w:rsid w:val="00F330A9"/>
    <w:rsid w:val="00F33187"/>
    <w:rsid w:val="00F3329D"/>
    <w:rsid w:val="00F33460"/>
    <w:rsid w:val="00F3357F"/>
    <w:rsid w:val="00F33C29"/>
    <w:rsid w:val="00F33F9F"/>
    <w:rsid w:val="00F34042"/>
    <w:rsid w:val="00F340EE"/>
    <w:rsid w:val="00F3427F"/>
    <w:rsid w:val="00F34429"/>
    <w:rsid w:val="00F3463D"/>
    <w:rsid w:val="00F346F7"/>
    <w:rsid w:val="00F34D65"/>
    <w:rsid w:val="00F34FC3"/>
    <w:rsid w:val="00F3503C"/>
    <w:rsid w:val="00F35795"/>
    <w:rsid w:val="00F357BC"/>
    <w:rsid w:val="00F3586A"/>
    <w:rsid w:val="00F35870"/>
    <w:rsid w:val="00F358BC"/>
    <w:rsid w:val="00F3590C"/>
    <w:rsid w:val="00F35AA2"/>
    <w:rsid w:val="00F35B9F"/>
    <w:rsid w:val="00F35CFF"/>
    <w:rsid w:val="00F35EED"/>
    <w:rsid w:val="00F360A2"/>
    <w:rsid w:val="00F361D0"/>
    <w:rsid w:val="00F36436"/>
    <w:rsid w:val="00F3680D"/>
    <w:rsid w:val="00F368E6"/>
    <w:rsid w:val="00F369C2"/>
    <w:rsid w:val="00F36B12"/>
    <w:rsid w:val="00F36C87"/>
    <w:rsid w:val="00F36D55"/>
    <w:rsid w:val="00F36E5C"/>
    <w:rsid w:val="00F37196"/>
    <w:rsid w:val="00F37284"/>
    <w:rsid w:val="00F376F4"/>
    <w:rsid w:val="00F37AAC"/>
    <w:rsid w:val="00F37C04"/>
    <w:rsid w:val="00F37C41"/>
    <w:rsid w:val="00F37D6F"/>
    <w:rsid w:val="00F401C6"/>
    <w:rsid w:val="00F402EC"/>
    <w:rsid w:val="00F40328"/>
    <w:rsid w:val="00F40460"/>
    <w:rsid w:val="00F40485"/>
    <w:rsid w:val="00F4060C"/>
    <w:rsid w:val="00F4083D"/>
    <w:rsid w:val="00F40F8E"/>
    <w:rsid w:val="00F41575"/>
    <w:rsid w:val="00F4157F"/>
    <w:rsid w:val="00F4165C"/>
    <w:rsid w:val="00F41869"/>
    <w:rsid w:val="00F41A52"/>
    <w:rsid w:val="00F41D8B"/>
    <w:rsid w:val="00F41DBA"/>
    <w:rsid w:val="00F41E2A"/>
    <w:rsid w:val="00F420C8"/>
    <w:rsid w:val="00F4232C"/>
    <w:rsid w:val="00F42337"/>
    <w:rsid w:val="00F4256F"/>
    <w:rsid w:val="00F4267A"/>
    <w:rsid w:val="00F42680"/>
    <w:rsid w:val="00F426A6"/>
    <w:rsid w:val="00F427F0"/>
    <w:rsid w:val="00F42C4B"/>
    <w:rsid w:val="00F430D0"/>
    <w:rsid w:val="00F43209"/>
    <w:rsid w:val="00F4325B"/>
    <w:rsid w:val="00F432A1"/>
    <w:rsid w:val="00F4348E"/>
    <w:rsid w:val="00F4359B"/>
    <w:rsid w:val="00F43760"/>
    <w:rsid w:val="00F439C9"/>
    <w:rsid w:val="00F43DE0"/>
    <w:rsid w:val="00F43E22"/>
    <w:rsid w:val="00F43F26"/>
    <w:rsid w:val="00F44290"/>
    <w:rsid w:val="00F44339"/>
    <w:rsid w:val="00F4433B"/>
    <w:rsid w:val="00F44520"/>
    <w:rsid w:val="00F44A07"/>
    <w:rsid w:val="00F44D11"/>
    <w:rsid w:val="00F44EC9"/>
    <w:rsid w:val="00F45218"/>
    <w:rsid w:val="00F453A1"/>
    <w:rsid w:val="00F458AE"/>
    <w:rsid w:val="00F46404"/>
    <w:rsid w:val="00F4645C"/>
    <w:rsid w:val="00F4680B"/>
    <w:rsid w:val="00F468D3"/>
    <w:rsid w:val="00F46927"/>
    <w:rsid w:val="00F46D05"/>
    <w:rsid w:val="00F46E32"/>
    <w:rsid w:val="00F47062"/>
    <w:rsid w:val="00F4720F"/>
    <w:rsid w:val="00F47297"/>
    <w:rsid w:val="00F4755D"/>
    <w:rsid w:val="00F475F6"/>
    <w:rsid w:val="00F4771A"/>
    <w:rsid w:val="00F47756"/>
    <w:rsid w:val="00F478E5"/>
    <w:rsid w:val="00F47A48"/>
    <w:rsid w:val="00F47ECC"/>
    <w:rsid w:val="00F504F3"/>
    <w:rsid w:val="00F5068F"/>
    <w:rsid w:val="00F50999"/>
    <w:rsid w:val="00F50ADA"/>
    <w:rsid w:val="00F50D90"/>
    <w:rsid w:val="00F50EBF"/>
    <w:rsid w:val="00F51129"/>
    <w:rsid w:val="00F51302"/>
    <w:rsid w:val="00F51396"/>
    <w:rsid w:val="00F516DA"/>
    <w:rsid w:val="00F51AA5"/>
    <w:rsid w:val="00F51C6A"/>
    <w:rsid w:val="00F51C8A"/>
    <w:rsid w:val="00F51C92"/>
    <w:rsid w:val="00F51C95"/>
    <w:rsid w:val="00F51D13"/>
    <w:rsid w:val="00F52406"/>
    <w:rsid w:val="00F52CC5"/>
    <w:rsid w:val="00F52E09"/>
    <w:rsid w:val="00F530D5"/>
    <w:rsid w:val="00F53237"/>
    <w:rsid w:val="00F5385F"/>
    <w:rsid w:val="00F538BE"/>
    <w:rsid w:val="00F53C30"/>
    <w:rsid w:val="00F53CC4"/>
    <w:rsid w:val="00F543CC"/>
    <w:rsid w:val="00F54430"/>
    <w:rsid w:val="00F54498"/>
    <w:rsid w:val="00F54598"/>
    <w:rsid w:val="00F5467F"/>
    <w:rsid w:val="00F54745"/>
    <w:rsid w:val="00F54746"/>
    <w:rsid w:val="00F5493B"/>
    <w:rsid w:val="00F55075"/>
    <w:rsid w:val="00F55097"/>
    <w:rsid w:val="00F55854"/>
    <w:rsid w:val="00F55A50"/>
    <w:rsid w:val="00F55A5C"/>
    <w:rsid w:val="00F55A97"/>
    <w:rsid w:val="00F55CEC"/>
    <w:rsid w:val="00F5609A"/>
    <w:rsid w:val="00F5634E"/>
    <w:rsid w:val="00F56352"/>
    <w:rsid w:val="00F56515"/>
    <w:rsid w:val="00F5668C"/>
    <w:rsid w:val="00F56813"/>
    <w:rsid w:val="00F5686F"/>
    <w:rsid w:val="00F56A8C"/>
    <w:rsid w:val="00F56E4D"/>
    <w:rsid w:val="00F56E99"/>
    <w:rsid w:val="00F56FA4"/>
    <w:rsid w:val="00F56FAE"/>
    <w:rsid w:val="00F5702A"/>
    <w:rsid w:val="00F5749B"/>
    <w:rsid w:val="00F57536"/>
    <w:rsid w:val="00F5769F"/>
    <w:rsid w:val="00F57991"/>
    <w:rsid w:val="00F57A45"/>
    <w:rsid w:val="00F57BEC"/>
    <w:rsid w:val="00F57F4B"/>
    <w:rsid w:val="00F60038"/>
    <w:rsid w:val="00F600BC"/>
    <w:rsid w:val="00F60257"/>
    <w:rsid w:val="00F60524"/>
    <w:rsid w:val="00F60B8D"/>
    <w:rsid w:val="00F60CA1"/>
    <w:rsid w:val="00F60F15"/>
    <w:rsid w:val="00F614BD"/>
    <w:rsid w:val="00F61664"/>
    <w:rsid w:val="00F617FB"/>
    <w:rsid w:val="00F6180A"/>
    <w:rsid w:val="00F6186D"/>
    <w:rsid w:val="00F61C1D"/>
    <w:rsid w:val="00F61DEB"/>
    <w:rsid w:val="00F6208E"/>
    <w:rsid w:val="00F62191"/>
    <w:rsid w:val="00F62608"/>
    <w:rsid w:val="00F627EF"/>
    <w:rsid w:val="00F62980"/>
    <w:rsid w:val="00F62D3B"/>
    <w:rsid w:val="00F62D42"/>
    <w:rsid w:val="00F62DDB"/>
    <w:rsid w:val="00F62E02"/>
    <w:rsid w:val="00F62EDF"/>
    <w:rsid w:val="00F6311E"/>
    <w:rsid w:val="00F63515"/>
    <w:rsid w:val="00F63565"/>
    <w:rsid w:val="00F63612"/>
    <w:rsid w:val="00F636AC"/>
    <w:rsid w:val="00F637D3"/>
    <w:rsid w:val="00F637FC"/>
    <w:rsid w:val="00F6391A"/>
    <w:rsid w:val="00F63A73"/>
    <w:rsid w:val="00F63B8F"/>
    <w:rsid w:val="00F63C03"/>
    <w:rsid w:val="00F63DC4"/>
    <w:rsid w:val="00F63E28"/>
    <w:rsid w:val="00F63F59"/>
    <w:rsid w:val="00F64222"/>
    <w:rsid w:val="00F6422C"/>
    <w:rsid w:val="00F64584"/>
    <w:rsid w:val="00F64833"/>
    <w:rsid w:val="00F64A79"/>
    <w:rsid w:val="00F64B3B"/>
    <w:rsid w:val="00F64C10"/>
    <w:rsid w:val="00F64CD0"/>
    <w:rsid w:val="00F64E03"/>
    <w:rsid w:val="00F64FA9"/>
    <w:rsid w:val="00F6532D"/>
    <w:rsid w:val="00F6532E"/>
    <w:rsid w:val="00F6534F"/>
    <w:rsid w:val="00F65413"/>
    <w:rsid w:val="00F656A6"/>
    <w:rsid w:val="00F656E3"/>
    <w:rsid w:val="00F659B6"/>
    <w:rsid w:val="00F65A32"/>
    <w:rsid w:val="00F65CFF"/>
    <w:rsid w:val="00F65D99"/>
    <w:rsid w:val="00F66141"/>
    <w:rsid w:val="00F66298"/>
    <w:rsid w:val="00F663EB"/>
    <w:rsid w:val="00F66617"/>
    <w:rsid w:val="00F6687D"/>
    <w:rsid w:val="00F66971"/>
    <w:rsid w:val="00F66DA6"/>
    <w:rsid w:val="00F66FA6"/>
    <w:rsid w:val="00F67053"/>
    <w:rsid w:val="00F6713A"/>
    <w:rsid w:val="00F674ED"/>
    <w:rsid w:val="00F676B9"/>
    <w:rsid w:val="00F67A35"/>
    <w:rsid w:val="00F67AE3"/>
    <w:rsid w:val="00F67EF6"/>
    <w:rsid w:val="00F70110"/>
    <w:rsid w:val="00F7011F"/>
    <w:rsid w:val="00F7043C"/>
    <w:rsid w:val="00F70594"/>
    <w:rsid w:val="00F707C2"/>
    <w:rsid w:val="00F70919"/>
    <w:rsid w:val="00F70BEE"/>
    <w:rsid w:val="00F70C2C"/>
    <w:rsid w:val="00F70D69"/>
    <w:rsid w:val="00F70DA3"/>
    <w:rsid w:val="00F70DD8"/>
    <w:rsid w:val="00F70E8C"/>
    <w:rsid w:val="00F7111D"/>
    <w:rsid w:val="00F711DA"/>
    <w:rsid w:val="00F71439"/>
    <w:rsid w:val="00F7146D"/>
    <w:rsid w:val="00F718A1"/>
    <w:rsid w:val="00F71A2D"/>
    <w:rsid w:val="00F71B9E"/>
    <w:rsid w:val="00F71DA7"/>
    <w:rsid w:val="00F71E04"/>
    <w:rsid w:val="00F71E9A"/>
    <w:rsid w:val="00F721A0"/>
    <w:rsid w:val="00F7222C"/>
    <w:rsid w:val="00F72587"/>
    <w:rsid w:val="00F72656"/>
    <w:rsid w:val="00F72A80"/>
    <w:rsid w:val="00F72AD8"/>
    <w:rsid w:val="00F72B17"/>
    <w:rsid w:val="00F72BCB"/>
    <w:rsid w:val="00F72C93"/>
    <w:rsid w:val="00F72ECA"/>
    <w:rsid w:val="00F72F3D"/>
    <w:rsid w:val="00F72FFE"/>
    <w:rsid w:val="00F731F4"/>
    <w:rsid w:val="00F73279"/>
    <w:rsid w:val="00F732F8"/>
    <w:rsid w:val="00F7339E"/>
    <w:rsid w:val="00F733EB"/>
    <w:rsid w:val="00F733F7"/>
    <w:rsid w:val="00F734D4"/>
    <w:rsid w:val="00F7363F"/>
    <w:rsid w:val="00F73671"/>
    <w:rsid w:val="00F736F7"/>
    <w:rsid w:val="00F73AAB"/>
    <w:rsid w:val="00F73C1F"/>
    <w:rsid w:val="00F73C27"/>
    <w:rsid w:val="00F73C4D"/>
    <w:rsid w:val="00F74288"/>
    <w:rsid w:val="00F7459D"/>
    <w:rsid w:val="00F746B3"/>
    <w:rsid w:val="00F74A58"/>
    <w:rsid w:val="00F74B4B"/>
    <w:rsid w:val="00F74C3F"/>
    <w:rsid w:val="00F74CB4"/>
    <w:rsid w:val="00F74F23"/>
    <w:rsid w:val="00F753E3"/>
    <w:rsid w:val="00F754C2"/>
    <w:rsid w:val="00F75809"/>
    <w:rsid w:val="00F75843"/>
    <w:rsid w:val="00F75A5A"/>
    <w:rsid w:val="00F75ABD"/>
    <w:rsid w:val="00F75B9E"/>
    <w:rsid w:val="00F75CAA"/>
    <w:rsid w:val="00F75CAE"/>
    <w:rsid w:val="00F75DC1"/>
    <w:rsid w:val="00F75E8F"/>
    <w:rsid w:val="00F75F04"/>
    <w:rsid w:val="00F761E6"/>
    <w:rsid w:val="00F76531"/>
    <w:rsid w:val="00F76554"/>
    <w:rsid w:val="00F7676A"/>
    <w:rsid w:val="00F768EA"/>
    <w:rsid w:val="00F76A15"/>
    <w:rsid w:val="00F76B34"/>
    <w:rsid w:val="00F76C0D"/>
    <w:rsid w:val="00F77498"/>
    <w:rsid w:val="00F7756F"/>
    <w:rsid w:val="00F777F1"/>
    <w:rsid w:val="00F77C0B"/>
    <w:rsid w:val="00F77D3E"/>
    <w:rsid w:val="00F77E20"/>
    <w:rsid w:val="00F800B8"/>
    <w:rsid w:val="00F80131"/>
    <w:rsid w:val="00F8031E"/>
    <w:rsid w:val="00F80496"/>
    <w:rsid w:val="00F80662"/>
    <w:rsid w:val="00F80866"/>
    <w:rsid w:val="00F80893"/>
    <w:rsid w:val="00F80A88"/>
    <w:rsid w:val="00F80B4E"/>
    <w:rsid w:val="00F80F5A"/>
    <w:rsid w:val="00F80F6B"/>
    <w:rsid w:val="00F8129A"/>
    <w:rsid w:val="00F81350"/>
    <w:rsid w:val="00F81498"/>
    <w:rsid w:val="00F81636"/>
    <w:rsid w:val="00F816C1"/>
    <w:rsid w:val="00F816CA"/>
    <w:rsid w:val="00F816DE"/>
    <w:rsid w:val="00F81858"/>
    <w:rsid w:val="00F818F0"/>
    <w:rsid w:val="00F81BAD"/>
    <w:rsid w:val="00F81BB9"/>
    <w:rsid w:val="00F81C45"/>
    <w:rsid w:val="00F81DCC"/>
    <w:rsid w:val="00F81F72"/>
    <w:rsid w:val="00F823F5"/>
    <w:rsid w:val="00F824BE"/>
    <w:rsid w:val="00F82572"/>
    <w:rsid w:val="00F826A2"/>
    <w:rsid w:val="00F826C8"/>
    <w:rsid w:val="00F826F9"/>
    <w:rsid w:val="00F82BEB"/>
    <w:rsid w:val="00F82D98"/>
    <w:rsid w:val="00F82EE9"/>
    <w:rsid w:val="00F82EF8"/>
    <w:rsid w:val="00F83072"/>
    <w:rsid w:val="00F83213"/>
    <w:rsid w:val="00F83704"/>
    <w:rsid w:val="00F837A3"/>
    <w:rsid w:val="00F8386F"/>
    <w:rsid w:val="00F8399B"/>
    <w:rsid w:val="00F83B09"/>
    <w:rsid w:val="00F83B2A"/>
    <w:rsid w:val="00F83D29"/>
    <w:rsid w:val="00F83D92"/>
    <w:rsid w:val="00F83EB1"/>
    <w:rsid w:val="00F83EFF"/>
    <w:rsid w:val="00F83F1E"/>
    <w:rsid w:val="00F840E9"/>
    <w:rsid w:val="00F84207"/>
    <w:rsid w:val="00F84322"/>
    <w:rsid w:val="00F843B0"/>
    <w:rsid w:val="00F846FE"/>
    <w:rsid w:val="00F84788"/>
    <w:rsid w:val="00F848F9"/>
    <w:rsid w:val="00F84ABF"/>
    <w:rsid w:val="00F85588"/>
    <w:rsid w:val="00F85596"/>
    <w:rsid w:val="00F85721"/>
    <w:rsid w:val="00F8591E"/>
    <w:rsid w:val="00F8599D"/>
    <w:rsid w:val="00F85B10"/>
    <w:rsid w:val="00F85B1B"/>
    <w:rsid w:val="00F85D50"/>
    <w:rsid w:val="00F85EB7"/>
    <w:rsid w:val="00F85F5C"/>
    <w:rsid w:val="00F85F71"/>
    <w:rsid w:val="00F85FB3"/>
    <w:rsid w:val="00F86028"/>
    <w:rsid w:val="00F860DC"/>
    <w:rsid w:val="00F861FE"/>
    <w:rsid w:val="00F8626D"/>
    <w:rsid w:val="00F863A8"/>
    <w:rsid w:val="00F86519"/>
    <w:rsid w:val="00F86799"/>
    <w:rsid w:val="00F867E4"/>
    <w:rsid w:val="00F86882"/>
    <w:rsid w:val="00F86894"/>
    <w:rsid w:val="00F86903"/>
    <w:rsid w:val="00F86B66"/>
    <w:rsid w:val="00F86D0E"/>
    <w:rsid w:val="00F86E26"/>
    <w:rsid w:val="00F86F06"/>
    <w:rsid w:val="00F86F78"/>
    <w:rsid w:val="00F870D2"/>
    <w:rsid w:val="00F871D8"/>
    <w:rsid w:val="00F871E5"/>
    <w:rsid w:val="00F8728E"/>
    <w:rsid w:val="00F8754A"/>
    <w:rsid w:val="00F8761C"/>
    <w:rsid w:val="00F877FF"/>
    <w:rsid w:val="00F879DA"/>
    <w:rsid w:val="00F87CCC"/>
    <w:rsid w:val="00F8AD3E"/>
    <w:rsid w:val="00F901DE"/>
    <w:rsid w:val="00F902DB"/>
    <w:rsid w:val="00F90311"/>
    <w:rsid w:val="00F90370"/>
    <w:rsid w:val="00F905EB"/>
    <w:rsid w:val="00F906F1"/>
    <w:rsid w:val="00F90735"/>
    <w:rsid w:val="00F9078E"/>
    <w:rsid w:val="00F9079D"/>
    <w:rsid w:val="00F9081B"/>
    <w:rsid w:val="00F909CB"/>
    <w:rsid w:val="00F90B9C"/>
    <w:rsid w:val="00F90C49"/>
    <w:rsid w:val="00F90F24"/>
    <w:rsid w:val="00F91011"/>
    <w:rsid w:val="00F91460"/>
    <w:rsid w:val="00F91669"/>
    <w:rsid w:val="00F9170D"/>
    <w:rsid w:val="00F91799"/>
    <w:rsid w:val="00F91AD1"/>
    <w:rsid w:val="00F91C1C"/>
    <w:rsid w:val="00F91CF7"/>
    <w:rsid w:val="00F91F15"/>
    <w:rsid w:val="00F920C9"/>
    <w:rsid w:val="00F9227E"/>
    <w:rsid w:val="00F922A0"/>
    <w:rsid w:val="00F92480"/>
    <w:rsid w:val="00F926E2"/>
    <w:rsid w:val="00F92734"/>
    <w:rsid w:val="00F92750"/>
    <w:rsid w:val="00F92B15"/>
    <w:rsid w:val="00F92C24"/>
    <w:rsid w:val="00F92CE2"/>
    <w:rsid w:val="00F92E0A"/>
    <w:rsid w:val="00F930A3"/>
    <w:rsid w:val="00F9311B"/>
    <w:rsid w:val="00F932D3"/>
    <w:rsid w:val="00F9331E"/>
    <w:rsid w:val="00F93407"/>
    <w:rsid w:val="00F9351C"/>
    <w:rsid w:val="00F935A7"/>
    <w:rsid w:val="00F9367C"/>
    <w:rsid w:val="00F93686"/>
    <w:rsid w:val="00F9378F"/>
    <w:rsid w:val="00F93824"/>
    <w:rsid w:val="00F93900"/>
    <w:rsid w:val="00F93B52"/>
    <w:rsid w:val="00F93B64"/>
    <w:rsid w:val="00F93D18"/>
    <w:rsid w:val="00F93D7F"/>
    <w:rsid w:val="00F93D8D"/>
    <w:rsid w:val="00F93E67"/>
    <w:rsid w:val="00F93F0D"/>
    <w:rsid w:val="00F93F47"/>
    <w:rsid w:val="00F93FB8"/>
    <w:rsid w:val="00F94323"/>
    <w:rsid w:val="00F94368"/>
    <w:rsid w:val="00F94423"/>
    <w:rsid w:val="00F945EB"/>
    <w:rsid w:val="00F9472E"/>
    <w:rsid w:val="00F94807"/>
    <w:rsid w:val="00F9494C"/>
    <w:rsid w:val="00F94A0E"/>
    <w:rsid w:val="00F94C8B"/>
    <w:rsid w:val="00F94E31"/>
    <w:rsid w:val="00F94EC4"/>
    <w:rsid w:val="00F9530F"/>
    <w:rsid w:val="00F955A6"/>
    <w:rsid w:val="00F95839"/>
    <w:rsid w:val="00F958D7"/>
    <w:rsid w:val="00F95A03"/>
    <w:rsid w:val="00F960A4"/>
    <w:rsid w:val="00F962C0"/>
    <w:rsid w:val="00F962C6"/>
    <w:rsid w:val="00F96359"/>
    <w:rsid w:val="00F963E4"/>
    <w:rsid w:val="00F96496"/>
    <w:rsid w:val="00F96547"/>
    <w:rsid w:val="00F965D3"/>
    <w:rsid w:val="00F96658"/>
    <w:rsid w:val="00F968AE"/>
    <w:rsid w:val="00F96D1F"/>
    <w:rsid w:val="00F96E89"/>
    <w:rsid w:val="00F97086"/>
    <w:rsid w:val="00F971B0"/>
    <w:rsid w:val="00F97224"/>
    <w:rsid w:val="00F9733D"/>
    <w:rsid w:val="00F97691"/>
    <w:rsid w:val="00F9770C"/>
    <w:rsid w:val="00F978D8"/>
    <w:rsid w:val="00F97A31"/>
    <w:rsid w:val="00F97A46"/>
    <w:rsid w:val="00F97A61"/>
    <w:rsid w:val="00F97CB8"/>
    <w:rsid w:val="00F97D79"/>
    <w:rsid w:val="00F97DB6"/>
    <w:rsid w:val="00FA0063"/>
    <w:rsid w:val="00FA01C8"/>
    <w:rsid w:val="00FA0597"/>
    <w:rsid w:val="00FA05E9"/>
    <w:rsid w:val="00FA07AF"/>
    <w:rsid w:val="00FA0840"/>
    <w:rsid w:val="00FA0D58"/>
    <w:rsid w:val="00FA10D2"/>
    <w:rsid w:val="00FA12AD"/>
    <w:rsid w:val="00FA1591"/>
    <w:rsid w:val="00FA15C8"/>
    <w:rsid w:val="00FA1640"/>
    <w:rsid w:val="00FA1675"/>
    <w:rsid w:val="00FA1856"/>
    <w:rsid w:val="00FA1DAB"/>
    <w:rsid w:val="00FA1ECD"/>
    <w:rsid w:val="00FA21D5"/>
    <w:rsid w:val="00FA22D8"/>
    <w:rsid w:val="00FA25FA"/>
    <w:rsid w:val="00FA2A8A"/>
    <w:rsid w:val="00FA2C5D"/>
    <w:rsid w:val="00FA2D86"/>
    <w:rsid w:val="00FA2D91"/>
    <w:rsid w:val="00FA2EEB"/>
    <w:rsid w:val="00FA2FFC"/>
    <w:rsid w:val="00FA31B8"/>
    <w:rsid w:val="00FA31BC"/>
    <w:rsid w:val="00FA348C"/>
    <w:rsid w:val="00FA3515"/>
    <w:rsid w:val="00FA3741"/>
    <w:rsid w:val="00FA39D5"/>
    <w:rsid w:val="00FA3D87"/>
    <w:rsid w:val="00FA3EBD"/>
    <w:rsid w:val="00FA43EC"/>
    <w:rsid w:val="00FA44E0"/>
    <w:rsid w:val="00FA463F"/>
    <w:rsid w:val="00FA47C8"/>
    <w:rsid w:val="00FA4AED"/>
    <w:rsid w:val="00FA4BAD"/>
    <w:rsid w:val="00FA4C57"/>
    <w:rsid w:val="00FA4E01"/>
    <w:rsid w:val="00FA4EC8"/>
    <w:rsid w:val="00FA4EF7"/>
    <w:rsid w:val="00FA4F25"/>
    <w:rsid w:val="00FA515B"/>
    <w:rsid w:val="00FA5250"/>
    <w:rsid w:val="00FA52EA"/>
    <w:rsid w:val="00FA53D8"/>
    <w:rsid w:val="00FA5721"/>
    <w:rsid w:val="00FA5768"/>
    <w:rsid w:val="00FA5989"/>
    <w:rsid w:val="00FA5A4E"/>
    <w:rsid w:val="00FA60B7"/>
    <w:rsid w:val="00FA61D7"/>
    <w:rsid w:val="00FA6201"/>
    <w:rsid w:val="00FA645E"/>
    <w:rsid w:val="00FA666F"/>
    <w:rsid w:val="00FA6674"/>
    <w:rsid w:val="00FA6696"/>
    <w:rsid w:val="00FA676A"/>
    <w:rsid w:val="00FA6792"/>
    <w:rsid w:val="00FA679E"/>
    <w:rsid w:val="00FA68E6"/>
    <w:rsid w:val="00FA6961"/>
    <w:rsid w:val="00FA6A7C"/>
    <w:rsid w:val="00FA6AE2"/>
    <w:rsid w:val="00FA6AE3"/>
    <w:rsid w:val="00FA72EA"/>
    <w:rsid w:val="00FA76C0"/>
    <w:rsid w:val="00FA779C"/>
    <w:rsid w:val="00FA7A1B"/>
    <w:rsid w:val="00FA7D61"/>
    <w:rsid w:val="00FA7EB1"/>
    <w:rsid w:val="00FB0185"/>
    <w:rsid w:val="00FB0210"/>
    <w:rsid w:val="00FB027A"/>
    <w:rsid w:val="00FB027E"/>
    <w:rsid w:val="00FB03CD"/>
    <w:rsid w:val="00FB045F"/>
    <w:rsid w:val="00FB0A85"/>
    <w:rsid w:val="00FB0AD8"/>
    <w:rsid w:val="00FB0BA8"/>
    <w:rsid w:val="00FB0C38"/>
    <w:rsid w:val="00FB0CFC"/>
    <w:rsid w:val="00FB0E05"/>
    <w:rsid w:val="00FB12DE"/>
    <w:rsid w:val="00FB13B5"/>
    <w:rsid w:val="00FB166A"/>
    <w:rsid w:val="00FB16A9"/>
    <w:rsid w:val="00FB1822"/>
    <w:rsid w:val="00FB1941"/>
    <w:rsid w:val="00FB19AA"/>
    <w:rsid w:val="00FB1A3B"/>
    <w:rsid w:val="00FB1B66"/>
    <w:rsid w:val="00FB1FEE"/>
    <w:rsid w:val="00FB20E7"/>
    <w:rsid w:val="00FB2104"/>
    <w:rsid w:val="00FB2452"/>
    <w:rsid w:val="00FB24D9"/>
    <w:rsid w:val="00FB26BF"/>
    <w:rsid w:val="00FB289A"/>
    <w:rsid w:val="00FB2AC3"/>
    <w:rsid w:val="00FB2E17"/>
    <w:rsid w:val="00FB2E47"/>
    <w:rsid w:val="00FB3570"/>
    <w:rsid w:val="00FB359A"/>
    <w:rsid w:val="00FB363C"/>
    <w:rsid w:val="00FB3802"/>
    <w:rsid w:val="00FB39F1"/>
    <w:rsid w:val="00FB3D71"/>
    <w:rsid w:val="00FB3D94"/>
    <w:rsid w:val="00FB3E9C"/>
    <w:rsid w:val="00FB404B"/>
    <w:rsid w:val="00FB4337"/>
    <w:rsid w:val="00FB44CA"/>
    <w:rsid w:val="00FB45E7"/>
    <w:rsid w:val="00FB4769"/>
    <w:rsid w:val="00FB476C"/>
    <w:rsid w:val="00FB4966"/>
    <w:rsid w:val="00FB4A29"/>
    <w:rsid w:val="00FB4C1F"/>
    <w:rsid w:val="00FB4C99"/>
    <w:rsid w:val="00FB4D48"/>
    <w:rsid w:val="00FB4D6C"/>
    <w:rsid w:val="00FB4DBB"/>
    <w:rsid w:val="00FB4F00"/>
    <w:rsid w:val="00FB5249"/>
    <w:rsid w:val="00FB5526"/>
    <w:rsid w:val="00FB552F"/>
    <w:rsid w:val="00FB55CD"/>
    <w:rsid w:val="00FB5753"/>
    <w:rsid w:val="00FB586C"/>
    <w:rsid w:val="00FB58C0"/>
    <w:rsid w:val="00FB598A"/>
    <w:rsid w:val="00FB59C2"/>
    <w:rsid w:val="00FB5D4F"/>
    <w:rsid w:val="00FB5E1E"/>
    <w:rsid w:val="00FB5F97"/>
    <w:rsid w:val="00FB64FC"/>
    <w:rsid w:val="00FB66D5"/>
    <w:rsid w:val="00FB66E4"/>
    <w:rsid w:val="00FB6722"/>
    <w:rsid w:val="00FB6731"/>
    <w:rsid w:val="00FB68FB"/>
    <w:rsid w:val="00FB6C21"/>
    <w:rsid w:val="00FB6C5B"/>
    <w:rsid w:val="00FB6DAE"/>
    <w:rsid w:val="00FB6E61"/>
    <w:rsid w:val="00FB6E68"/>
    <w:rsid w:val="00FB7130"/>
    <w:rsid w:val="00FB7211"/>
    <w:rsid w:val="00FB7337"/>
    <w:rsid w:val="00FB748F"/>
    <w:rsid w:val="00FB74B9"/>
    <w:rsid w:val="00FB74D9"/>
    <w:rsid w:val="00FB7622"/>
    <w:rsid w:val="00FB792A"/>
    <w:rsid w:val="00FB79DA"/>
    <w:rsid w:val="00FB7A57"/>
    <w:rsid w:val="00FB7B0F"/>
    <w:rsid w:val="00FB7D3F"/>
    <w:rsid w:val="00FB7E30"/>
    <w:rsid w:val="00FC01C0"/>
    <w:rsid w:val="00FC023D"/>
    <w:rsid w:val="00FC0577"/>
    <w:rsid w:val="00FC0696"/>
    <w:rsid w:val="00FC09A9"/>
    <w:rsid w:val="00FC0BFA"/>
    <w:rsid w:val="00FC0F8F"/>
    <w:rsid w:val="00FC1090"/>
    <w:rsid w:val="00FC133C"/>
    <w:rsid w:val="00FC13AD"/>
    <w:rsid w:val="00FC13BC"/>
    <w:rsid w:val="00FC13E5"/>
    <w:rsid w:val="00FC1510"/>
    <w:rsid w:val="00FC1699"/>
    <w:rsid w:val="00FC1717"/>
    <w:rsid w:val="00FC1797"/>
    <w:rsid w:val="00FC195C"/>
    <w:rsid w:val="00FC1963"/>
    <w:rsid w:val="00FC1A06"/>
    <w:rsid w:val="00FC1B68"/>
    <w:rsid w:val="00FC1B86"/>
    <w:rsid w:val="00FC1D33"/>
    <w:rsid w:val="00FC1F1A"/>
    <w:rsid w:val="00FC1FFE"/>
    <w:rsid w:val="00FC2007"/>
    <w:rsid w:val="00FC20DE"/>
    <w:rsid w:val="00FC21E3"/>
    <w:rsid w:val="00FC244B"/>
    <w:rsid w:val="00FC28A1"/>
    <w:rsid w:val="00FC28B1"/>
    <w:rsid w:val="00FC2923"/>
    <w:rsid w:val="00FC2974"/>
    <w:rsid w:val="00FC29C0"/>
    <w:rsid w:val="00FC2B8F"/>
    <w:rsid w:val="00FC3086"/>
    <w:rsid w:val="00FC34E7"/>
    <w:rsid w:val="00FC3557"/>
    <w:rsid w:val="00FC36EE"/>
    <w:rsid w:val="00FC3865"/>
    <w:rsid w:val="00FC3A39"/>
    <w:rsid w:val="00FC3B89"/>
    <w:rsid w:val="00FC3BED"/>
    <w:rsid w:val="00FC423C"/>
    <w:rsid w:val="00FC43D1"/>
    <w:rsid w:val="00FC4448"/>
    <w:rsid w:val="00FC45A5"/>
    <w:rsid w:val="00FC46CA"/>
    <w:rsid w:val="00FC47EF"/>
    <w:rsid w:val="00FC48C5"/>
    <w:rsid w:val="00FC48E6"/>
    <w:rsid w:val="00FC48FD"/>
    <w:rsid w:val="00FC4933"/>
    <w:rsid w:val="00FC4A74"/>
    <w:rsid w:val="00FC4CF8"/>
    <w:rsid w:val="00FC5090"/>
    <w:rsid w:val="00FC5124"/>
    <w:rsid w:val="00FC5189"/>
    <w:rsid w:val="00FC51F1"/>
    <w:rsid w:val="00FC531B"/>
    <w:rsid w:val="00FC555E"/>
    <w:rsid w:val="00FC56E6"/>
    <w:rsid w:val="00FC5701"/>
    <w:rsid w:val="00FC5722"/>
    <w:rsid w:val="00FC5757"/>
    <w:rsid w:val="00FC5828"/>
    <w:rsid w:val="00FC59AD"/>
    <w:rsid w:val="00FC5F1F"/>
    <w:rsid w:val="00FC6083"/>
    <w:rsid w:val="00FC6138"/>
    <w:rsid w:val="00FC61B6"/>
    <w:rsid w:val="00FC63C6"/>
    <w:rsid w:val="00FC66A6"/>
    <w:rsid w:val="00FC6740"/>
    <w:rsid w:val="00FC6762"/>
    <w:rsid w:val="00FC6A2C"/>
    <w:rsid w:val="00FC7206"/>
    <w:rsid w:val="00FC7356"/>
    <w:rsid w:val="00FC751F"/>
    <w:rsid w:val="00FC7740"/>
    <w:rsid w:val="00FC7AF8"/>
    <w:rsid w:val="00FC7D7A"/>
    <w:rsid w:val="00FD00AA"/>
    <w:rsid w:val="00FD0147"/>
    <w:rsid w:val="00FD019D"/>
    <w:rsid w:val="00FD0423"/>
    <w:rsid w:val="00FD0455"/>
    <w:rsid w:val="00FD0542"/>
    <w:rsid w:val="00FD05BA"/>
    <w:rsid w:val="00FD07B3"/>
    <w:rsid w:val="00FD08D4"/>
    <w:rsid w:val="00FD0BFB"/>
    <w:rsid w:val="00FD0C68"/>
    <w:rsid w:val="00FD0CC2"/>
    <w:rsid w:val="00FD1065"/>
    <w:rsid w:val="00FD10E1"/>
    <w:rsid w:val="00FD10FE"/>
    <w:rsid w:val="00FD1271"/>
    <w:rsid w:val="00FD13F1"/>
    <w:rsid w:val="00FD1749"/>
    <w:rsid w:val="00FD1954"/>
    <w:rsid w:val="00FD19A1"/>
    <w:rsid w:val="00FD1A6D"/>
    <w:rsid w:val="00FD1C2B"/>
    <w:rsid w:val="00FD1C6D"/>
    <w:rsid w:val="00FD1FE0"/>
    <w:rsid w:val="00FD2050"/>
    <w:rsid w:val="00FD20F9"/>
    <w:rsid w:val="00FD2393"/>
    <w:rsid w:val="00FD2433"/>
    <w:rsid w:val="00FD244D"/>
    <w:rsid w:val="00FD244E"/>
    <w:rsid w:val="00FD2490"/>
    <w:rsid w:val="00FD24DE"/>
    <w:rsid w:val="00FD260F"/>
    <w:rsid w:val="00FD294E"/>
    <w:rsid w:val="00FD2E24"/>
    <w:rsid w:val="00FD2FC2"/>
    <w:rsid w:val="00FD3428"/>
    <w:rsid w:val="00FD356D"/>
    <w:rsid w:val="00FD3782"/>
    <w:rsid w:val="00FD3A64"/>
    <w:rsid w:val="00FD3C30"/>
    <w:rsid w:val="00FD3FC1"/>
    <w:rsid w:val="00FD3FDF"/>
    <w:rsid w:val="00FD45BD"/>
    <w:rsid w:val="00FD4C50"/>
    <w:rsid w:val="00FD4DBD"/>
    <w:rsid w:val="00FD4E2E"/>
    <w:rsid w:val="00FD4F96"/>
    <w:rsid w:val="00FD5026"/>
    <w:rsid w:val="00FD50D9"/>
    <w:rsid w:val="00FD51F3"/>
    <w:rsid w:val="00FD54A0"/>
    <w:rsid w:val="00FD5510"/>
    <w:rsid w:val="00FD5907"/>
    <w:rsid w:val="00FD592E"/>
    <w:rsid w:val="00FD68C9"/>
    <w:rsid w:val="00FD6973"/>
    <w:rsid w:val="00FD6A41"/>
    <w:rsid w:val="00FD6AEB"/>
    <w:rsid w:val="00FD6B8A"/>
    <w:rsid w:val="00FD6C12"/>
    <w:rsid w:val="00FD717A"/>
    <w:rsid w:val="00FD7374"/>
    <w:rsid w:val="00FD74B9"/>
    <w:rsid w:val="00FD7546"/>
    <w:rsid w:val="00FD76FD"/>
    <w:rsid w:val="00FD77BC"/>
    <w:rsid w:val="00FD795A"/>
    <w:rsid w:val="00FD79E4"/>
    <w:rsid w:val="00FD7B6E"/>
    <w:rsid w:val="00FD7C63"/>
    <w:rsid w:val="00FD7D90"/>
    <w:rsid w:val="00FD7DAB"/>
    <w:rsid w:val="00FD7E06"/>
    <w:rsid w:val="00FE0020"/>
    <w:rsid w:val="00FE0249"/>
    <w:rsid w:val="00FE030E"/>
    <w:rsid w:val="00FE032C"/>
    <w:rsid w:val="00FE03B6"/>
    <w:rsid w:val="00FE040A"/>
    <w:rsid w:val="00FE0471"/>
    <w:rsid w:val="00FE091F"/>
    <w:rsid w:val="00FE0956"/>
    <w:rsid w:val="00FE0A07"/>
    <w:rsid w:val="00FE0C45"/>
    <w:rsid w:val="00FE0C87"/>
    <w:rsid w:val="00FE0D40"/>
    <w:rsid w:val="00FE0DAB"/>
    <w:rsid w:val="00FE136C"/>
    <w:rsid w:val="00FE1393"/>
    <w:rsid w:val="00FE1406"/>
    <w:rsid w:val="00FE151E"/>
    <w:rsid w:val="00FE1539"/>
    <w:rsid w:val="00FE186F"/>
    <w:rsid w:val="00FE1873"/>
    <w:rsid w:val="00FE1A94"/>
    <w:rsid w:val="00FE1AC3"/>
    <w:rsid w:val="00FE1C86"/>
    <w:rsid w:val="00FE1EC3"/>
    <w:rsid w:val="00FE1FDF"/>
    <w:rsid w:val="00FE21B4"/>
    <w:rsid w:val="00FE2285"/>
    <w:rsid w:val="00FE23E4"/>
    <w:rsid w:val="00FE2459"/>
    <w:rsid w:val="00FE24FF"/>
    <w:rsid w:val="00FE253B"/>
    <w:rsid w:val="00FE25FC"/>
    <w:rsid w:val="00FE27FC"/>
    <w:rsid w:val="00FE2C17"/>
    <w:rsid w:val="00FE2CF0"/>
    <w:rsid w:val="00FE2E3F"/>
    <w:rsid w:val="00FE3191"/>
    <w:rsid w:val="00FE33AC"/>
    <w:rsid w:val="00FE33B4"/>
    <w:rsid w:val="00FE3471"/>
    <w:rsid w:val="00FE3496"/>
    <w:rsid w:val="00FE3693"/>
    <w:rsid w:val="00FE3782"/>
    <w:rsid w:val="00FE389F"/>
    <w:rsid w:val="00FE39C8"/>
    <w:rsid w:val="00FE3A19"/>
    <w:rsid w:val="00FE3E6C"/>
    <w:rsid w:val="00FE3FC1"/>
    <w:rsid w:val="00FE409D"/>
    <w:rsid w:val="00FE434D"/>
    <w:rsid w:val="00FE43C7"/>
    <w:rsid w:val="00FE47AE"/>
    <w:rsid w:val="00FE48E8"/>
    <w:rsid w:val="00FE4B98"/>
    <w:rsid w:val="00FE4D0B"/>
    <w:rsid w:val="00FE4DA3"/>
    <w:rsid w:val="00FE504C"/>
    <w:rsid w:val="00FE5131"/>
    <w:rsid w:val="00FE518B"/>
    <w:rsid w:val="00FE546F"/>
    <w:rsid w:val="00FE5AA5"/>
    <w:rsid w:val="00FE5B6C"/>
    <w:rsid w:val="00FE5C60"/>
    <w:rsid w:val="00FE5DC6"/>
    <w:rsid w:val="00FE5F69"/>
    <w:rsid w:val="00FE644F"/>
    <w:rsid w:val="00FE672C"/>
    <w:rsid w:val="00FE699F"/>
    <w:rsid w:val="00FE69B9"/>
    <w:rsid w:val="00FE6CA1"/>
    <w:rsid w:val="00FE6DFE"/>
    <w:rsid w:val="00FE6EA9"/>
    <w:rsid w:val="00FE7063"/>
    <w:rsid w:val="00FE70F8"/>
    <w:rsid w:val="00FE718C"/>
    <w:rsid w:val="00FE71D5"/>
    <w:rsid w:val="00FE736A"/>
    <w:rsid w:val="00FE7446"/>
    <w:rsid w:val="00FE7509"/>
    <w:rsid w:val="00FE7787"/>
    <w:rsid w:val="00FE7CA7"/>
    <w:rsid w:val="00FE7D9E"/>
    <w:rsid w:val="00FE7E05"/>
    <w:rsid w:val="00FE7E1D"/>
    <w:rsid w:val="00FE7E4E"/>
    <w:rsid w:val="00FE7FAF"/>
    <w:rsid w:val="00FF00EE"/>
    <w:rsid w:val="00FF00FF"/>
    <w:rsid w:val="00FF01D7"/>
    <w:rsid w:val="00FF02CF"/>
    <w:rsid w:val="00FF0402"/>
    <w:rsid w:val="00FF0406"/>
    <w:rsid w:val="00FF0478"/>
    <w:rsid w:val="00FF04B3"/>
    <w:rsid w:val="00FF050E"/>
    <w:rsid w:val="00FF0570"/>
    <w:rsid w:val="00FF072F"/>
    <w:rsid w:val="00FF0841"/>
    <w:rsid w:val="00FF096D"/>
    <w:rsid w:val="00FF09C7"/>
    <w:rsid w:val="00FF0A81"/>
    <w:rsid w:val="00FF0CC6"/>
    <w:rsid w:val="00FF0DA3"/>
    <w:rsid w:val="00FF0DF0"/>
    <w:rsid w:val="00FF1027"/>
    <w:rsid w:val="00FF12D3"/>
    <w:rsid w:val="00FF1589"/>
    <w:rsid w:val="00FF15AE"/>
    <w:rsid w:val="00FF15B5"/>
    <w:rsid w:val="00FF1793"/>
    <w:rsid w:val="00FF17AC"/>
    <w:rsid w:val="00FF1A4E"/>
    <w:rsid w:val="00FF1AE6"/>
    <w:rsid w:val="00FF1B90"/>
    <w:rsid w:val="00FF1B94"/>
    <w:rsid w:val="00FF1CBE"/>
    <w:rsid w:val="00FF1D48"/>
    <w:rsid w:val="00FF1F04"/>
    <w:rsid w:val="00FF20D7"/>
    <w:rsid w:val="00FF2320"/>
    <w:rsid w:val="00FF2323"/>
    <w:rsid w:val="00FF246E"/>
    <w:rsid w:val="00FF2647"/>
    <w:rsid w:val="00FF2B14"/>
    <w:rsid w:val="00FF2D85"/>
    <w:rsid w:val="00FF3384"/>
    <w:rsid w:val="00FF33F6"/>
    <w:rsid w:val="00FF33FC"/>
    <w:rsid w:val="00FF34CD"/>
    <w:rsid w:val="00FF35B8"/>
    <w:rsid w:val="00FF3733"/>
    <w:rsid w:val="00FF378A"/>
    <w:rsid w:val="00FF387B"/>
    <w:rsid w:val="00FF3A67"/>
    <w:rsid w:val="00FF3C0E"/>
    <w:rsid w:val="00FF3C28"/>
    <w:rsid w:val="00FF3ED1"/>
    <w:rsid w:val="00FF3FF2"/>
    <w:rsid w:val="00FF4113"/>
    <w:rsid w:val="00FF4613"/>
    <w:rsid w:val="00FF477B"/>
    <w:rsid w:val="00FF489E"/>
    <w:rsid w:val="00FF49CD"/>
    <w:rsid w:val="00FF4C91"/>
    <w:rsid w:val="00FF5169"/>
    <w:rsid w:val="00FF52B5"/>
    <w:rsid w:val="00FF534A"/>
    <w:rsid w:val="00FF5373"/>
    <w:rsid w:val="00FF55B1"/>
    <w:rsid w:val="00FF5698"/>
    <w:rsid w:val="00FF591A"/>
    <w:rsid w:val="00FF5937"/>
    <w:rsid w:val="00FF5B63"/>
    <w:rsid w:val="00FF5D1C"/>
    <w:rsid w:val="00FF6165"/>
    <w:rsid w:val="00FF6253"/>
    <w:rsid w:val="00FF62E8"/>
    <w:rsid w:val="00FF63E2"/>
    <w:rsid w:val="00FF6658"/>
    <w:rsid w:val="00FF6CCB"/>
    <w:rsid w:val="00FF6D46"/>
    <w:rsid w:val="00FF6E54"/>
    <w:rsid w:val="00FF72EB"/>
    <w:rsid w:val="00FF7462"/>
    <w:rsid w:val="00FF7707"/>
    <w:rsid w:val="00FF770B"/>
    <w:rsid w:val="00FF78A4"/>
    <w:rsid w:val="00FF78AA"/>
    <w:rsid w:val="00FF7925"/>
    <w:rsid w:val="00FF798E"/>
    <w:rsid w:val="00FF7CF5"/>
    <w:rsid w:val="00FF7F6A"/>
    <w:rsid w:val="01042E10"/>
    <w:rsid w:val="0216513E"/>
    <w:rsid w:val="026E6687"/>
    <w:rsid w:val="03D97A28"/>
    <w:rsid w:val="05171EA2"/>
    <w:rsid w:val="06840A04"/>
    <w:rsid w:val="09B8C5CE"/>
    <w:rsid w:val="0A01D38C"/>
    <w:rsid w:val="0A92C641"/>
    <w:rsid w:val="0ABB79E3"/>
    <w:rsid w:val="0AFDCD25"/>
    <w:rsid w:val="0B6A5623"/>
    <w:rsid w:val="0BBC2BBF"/>
    <w:rsid w:val="0CA3AE72"/>
    <w:rsid w:val="0D054165"/>
    <w:rsid w:val="0DE2B118"/>
    <w:rsid w:val="0EE0F1EB"/>
    <w:rsid w:val="0F9E9043"/>
    <w:rsid w:val="101742FE"/>
    <w:rsid w:val="11B43728"/>
    <w:rsid w:val="1272068E"/>
    <w:rsid w:val="12B6223B"/>
    <w:rsid w:val="130933DF"/>
    <w:rsid w:val="15CC6517"/>
    <w:rsid w:val="16E185F0"/>
    <w:rsid w:val="183E8569"/>
    <w:rsid w:val="1868BE8E"/>
    <w:rsid w:val="18B9C39F"/>
    <w:rsid w:val="1967FE89"/>
    <w:rsid w:val="19DF0BC2"/>
    <w:rsid w:val="1A10DA79"/>
    <w:rsid w:val="1A54F5BA"/>
    <w:rsid w:val="1A89B564"/>
    <w:rsid w:val="1A8F29B8"/>
    <w:rsid w:val="1BD1FC13"/>
    <w:rsid w:val="1D022393"/>
    <w:rsid w:val="232165D7"/>
    <w:rsid w:val="23B22024"/>
    <w:rsid w:val="246C3955"/>
    <w:rsid w:val="248CA951"/>
    <w:rsid w:val="24F50054"/>
    <w:rsid w:val="266D0360"/>
    <w:rsid w:val="29106C08"/>
    <w:rsid w:val="2A018A31"/>
    <w:rsid w:val="2A6DE07B"/>
    <w:rsid w:val="2A6F179F"/>
    <w:rsid w:val="2AC61D13"/>
    <w:rsid w:val="2B7E9E63"/>
    <w:rsid w:val="2C8CF271"/>
    <w:rsid w:val="2CFC9453"/>
    <w:rsid w:val="2CFE497E"/>
    <w:rsid w:val="2D816B9B"/>
    <w:rsid w:val="2DF02384"/>
    <w:rsid w:val="2F043296"/>
    <w:rsid w:val="2F5A618F"/>
    <w:rsid w:val="2FBDC51D"/>
    <w:rsid w:val="31BA9522"/>
    <w:rsid w:val="32082CDF"/>
    <w:rsid w:val="32768711"/>
    <w:rsid w:val="337B0ED4"/>
    <w:rsid w:val="3495AE98"/>
    <w:rsid w:val="350C03F4"/>
    <w:rsid w:val="35A2B5B6"/>
    <w:rsid w:val="35D7983C"/>
    <w:rsid w:val="364A8CB7"/>
    <w:rsid w:val="3688E351"/>
    <w:rsid w:val="36A782F0"/>
    <w:rsid w:val="370DF136"/>
    <w:rsid w:val="3910639B"/>
    <w:rsid w:val="396B101E"/>
    <w:rsid w:val="3A3C0F40"/>
    <w:rsid w:val="3B99A8AA"/>
    <w:rsid w:val="3CC2F9AB"/>
    <w:rsid w:val="3CE6ABB0"/>
    <w:rsid w:val="3D52ABD4"/>
    <w:rsid w:val="3D6310AE"/>
    <w:rsid w:val="3D8B0C52"/>
    <w:rsid w:val="3EEEC718"/>
    <w:rsid w:val="3F7E27C5"/>
    <w:rsid w:val="4175B754"/>
    <w:rsid w:val="4311F264"/>
    <w:rsid w:val="43FDBABE"/>
    <w:rsid w:val="45284F52"/>
    <w:rsid w:val="454A2750"/>
    <w:rsid w:val="456E2746"/>
    <w:rsid w:val="460D8C84"/>
    <w:rsid w:val="460FD027"/>
    <w:rsid w:val="466EDFFB"/>
    <w:rsid w:val="46DAC387"/>
    <w:rsid w:val="46F25864"/>
    <w:rsid w:val="471AC05B"/>
    <w:rsid w:val="477855AB"/>
    <w:rsid w:val="486E0ED7"/>
    <w:rsid w:val="4884882F"/>
    <w:rsid w:val="4917E216"/>
    <w:rsid w:val="4989216E"/>
    <w:rsid w:val="499A3D36"/>
    <w:rsid w:val="49BC46E6"/>
    <w:rsid w:val="4AFF69BB"/>
    <w:rsid w:val="4C3CA7B2"/>
    <w:rsid w:val="4CC0C230"/>
    <w:rsid w:val="4D594AD0"/>
    <w:rsid w:val="4E940D90"/>
    <w:rsid w:val="4FA0265A"/>
    <w:rsid w:val="4FDF3A95"/>
    <w:rsid w:val="50274945"/>
    <w:rsid w:val="5039D313"/>
    <w:rsid w:val="5074E797"/>
    <w:rsid w:val="510EE13F"/>
    <w:rsid w:val="512A003F"/>
    <w:rsid w:val="5166ABB2"/>
    <w:rsid w:val="517B0AF6"/>
    <w:rsid w:val="5280316E"/>
    <w:rsid w:val="52F809A0"/>
    <w:rsid w:val="53A7A6C3"/>
    <w:rsid w:val="55972A96"/>
    <w:rsid w:val="580FD90B"/>
    <w:rsid w:val="58353FC6"/>
    <w:rsid w:val="58B52759"/>
    <w:rsid w:val="590B4D12"/>
    <w:rsid w:val="59F70394"/>
    <w:rsid w:val="5A52EBA0"/>
    <w:rsid w:val="5B5760B0"/>
    <w:rsid w:val="5B788B4C"/>
    <w:rsid w:val="5C4240A1"/>
    <w:rsid w:val="5C5CB209"/>
    <w:rsid w:val="5D3C852E"/>
    <w:rsid w:val="5E6543A3"/>
    <w:rsid w:val="5F8F1EBD"/>
    <w:rsid w:val="5F941599"/>
    <w:rsid w:val="5FCD4BC8"/>
    <w:rsid w:val="6200FB23"/>
    <w:rsid w:val="62993DC3"/>
    <w:rsid w:val="63365415"/>
    <w:rsid w:val="63F84288"/>
    <w:rsid w:val="64A07FC3"/>
    <w:rsid w:val="6575DC19"/>
    <w:rsid w:val="66AFCFA2"/>
    <w:rsid w:val="67E3DE4D"/>
    <w:rsid w:val="6805A8FD"/>
    <w:rsid w:val="6917C66E"/>
    <w:rsid w:val="6A6ED702"/>
    <w:rsid w:val="6A9B12FB"/>
    <w:rsid w:val="6ABB9B06"/>
    <w:rsid w:val="6B23A496"/>
    <w:rsid w:val="6B31D7A2"/>
    <w:rsid w:val="6BDC8D3F"/>
    <w:rsid w:val="6C2A7269"/>
    <w:rsid w:val="6D757224"/>
    <w:rsid w:val="6D7F1EF3"/>
    <w:rsid w:val="6F763252"/>
    <w:rsid w:val="707E9E70"/>
    <w:rsid w:val="70BB0AB5"/>
    <w:rsid w:val="70F4095B"/>
    <w:rsid w:val="71F8D459"/>
    <w:rsid w:val="72F4C1A0"/>
    <w:rsid w:val="734B1071"/>
    <w:rsid w:val="7356EF7F"/>
    <w:rsid w:val="73B22ADA"/>
    <w:rsid w:val="746B55EB"/>
    <w:rsid w:val="75D948AC"/>
    <w:rsid w:val="7682B133"/>
    <w:rsid w:val="76DC0E6E"/>
    <w:rsid w:val="773B975C"/>
    <w:rsid w:val="78394C23"/>
    <w:rsid w:val="783E7480"/>
    <w:rsid w:val="78A9093C"/>
    <w:rsid w:val="7C826386"/>
    <w:rsid w:val="7CDCE40F"/>
    <w:rsid w:val="7D0C5AA1"/>
    <w:rsid w:val="7DF4C3A7"/>
    <w:rsid w:val="7ED300D2"/>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77"/>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1A2CF4"/>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314E77"/>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AC472E"/>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1A2CF4"/>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AC472E"/>
    <w:rPr>
      <w:rFonts w:ascii="Work Sans" w:hAnsi="Work Sans"/>
      <w:sz w:val="14"/>
      <w:szCs w:val="16"/>
    </w:rPr>
  </w:style>
  <w:style w:type="character" w:customStyle="1" w:styleId="Heading6Char">
    <w:name w:val="Heading 6 Char"/>
    <w:basedOn w:val="DefaultParagraphFont"/>
    <w:link w:val="Heading6"/>
    <w:uiPriority w:val="9"/>
    <w:rsid w:val="001A2CF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02332C"/>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qFormat/>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19728A"/>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 w:type="paragraph" w:customStyle="1" w:styleId="Heading65">
    <w:name w:val="Heading 6.5"/>
    <w:basedOn w:val="Normal"/>
    <w:qFormat/>
    <w:rsid w:val="00314E77"/>
    <w:rPr>
      <w:rFonts w:ascii="Work Sans" w:hAnsi="Work Sans"/>
      <w:b/>
      <w:color w:val="636466"/>
    </w:rPr>
  </w:style>
  <w:style w:type="character" w:customStyle="1" w:styleId="normaltextrun">
    <w:name w:val="normaltextrun"/>
    <w:basedOn w:val="DefaultParagraphFont"/>
    <w:rsid w:val="00E1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23">
      <w:bodyDiv w:val="1"/>
      <w:marLeft w:val="0"/>
      <w:marRight w:val="0"/>
      <w:marTop w:val="0"/>
      <w:marBottom w:val="0"/>
      <w:divBdr>
        <w:top w:val="none" w:sz="0" w:space="0" w:color="auto"/>
        <w:left w:val="none" w:sz="0" w:space="0" w:color="auto"/>
        <w:bottom w:val="none" w:sz="0" w:space="0" w:color="auto"/>
        <w:right w:val="none" w:sz="0" w:space="0" w:color="auto"/>
      </w:divBdr>
    </w:div>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26685649">
      <w:bodyDiv w:val="1"/>
      <w:marLeft w:val="0"/>
      <w:marRight w:val="0"/>
      <w:marTop w:val="0"/>
      <w:marBottom w:val="0"/>
      <w:divBdr>
        <w:top w:val="none" w:sz="0" w:space="0" w:color="auto"/>
        <w:left w:val="none" w:sz="0" w:space="0" w:color="auto"/>
        <w:bottom w:val="none" w:sz="0" w:space="0" w:color="auto"/>
        <w:right w:val="none" w:sz="0" w:space="0" w:color="auto"/>
      </w:divBdr>
    </w:div>
    <w:div w:id="31618162">
      <w:bodyDiv w:val="1"/>
      <w:marLeft w:val="0"/>
      <w:marRight w:val="0"/>
      <w:marTop w:val="0"/>
      <w:marBottom w:val="0"/>
      <w:divBdr>
        <w:top w:val="none" w:sz="0" w:space="0" w:color="auto"/>
        <w:left w:val="none" w:sz="0" w:space="0" w:color="auto"/>
        <w:bottom w:val="none" w:sz="0" w:space="0" w:color="auto"/>
        <w:right w:val="none" w:sz="0" w:space="0" w:color="auto"/>
      </w:divBdr>
    </w:div>
    <w:div w:id="37094951">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36845595">
      <w:bodyDiv w:val="1"/>
      <w:marLeft w:val="0"/>
      <w:marRight w:val="0"/>
      <w:marTop w:val="0"/>
      <w:marBottom w:val="0"/>
      <w:divBdr>
        <w:top w:val="none" w:sz="0" w:space="0" w:color="auto"/>
        <w:left w:val="none" w:sz="0" w:space="0" w:color="auto"/>
        <w:bottom w:val="none" w:sz="0" w:space="0" w:color="auto"/>
        <w:right w:val="none" w:sz="0" w:space="0" w:color="auto"/>
      </w:divBdr>
    </w:div>
    <w:div w:id="140585910">
      <w:bodyDiv w:val="1"/>
      <w:marLeft w:val="0"/>
      <w:marRight w:val="0"/>
      <w:marTop w:val="0"/>
      <w:marBottom w:val="0"/>
      <w:divBdr>
        <w:top w:val="none" w:sz="0" w:space="0" w:color="auto"/>
        <w:left w:val="none" w:sz="0" w:space="0" w:color="auto"/>
        <w:bottom w:val="none" w:sz="0" w:space="0" w:color="auto"/>
        <w:right w:val="none" w:sz="0" w:space="0" w:color="auto"/>
      </w:divBdr>
    </w:div>
    <w:div w:id="148601290">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62018343">
      <w:bodyDiv w:val="1"/>
      <w:marLeft w:val="0"/>
      <w:marRight w:val="0"/>
      <w:marTop w:val="0"/>
      <w:marBottom w:val="0"/>
      <w:divBdr>
        <w:top w:val="none" w:sz="0" w:space="0" w:color="auto"/>
        <w:left w:val="none" w:sz="0" w:space="0" w:color="auto"/>
        <w:bottom w:val="none" w:sz="0" w:space="0" w:color="auto"/>
        <w:right w:val="none" w:sz="0" w:space="0" w:color="auto"/>
      </w:divBdr>
    </w:div>
    <w:div w:id="176621850">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186992022">
      <w:bodyDiv w:val="1"/>
      <w:marLeft w:val="0"/>
      <w:marRight w:val="0"/>
      <w:marTop w:val="0"/>
      <w:marBottom w:val="0"/>
      <w:divBdr>
        <w:top w:val="none" w:sz="0" w:space="0" w:color="auto"/>
        <w:left w:val="none" w:sz="0" w:space="0" w:color="auto"/>
        <w:bottom w:val="none" w:sz="0" w:space="0" w:color="auto"/>
        <w:right w:val="none" w:sz="0" w:space="0" w:color="auto"/>
      </w:divBdr>
    </w:div>
    <w:div w:id="198906187">
      <w:bodyDiv w:val="1"/>
      <w:marLeft w:val="0"/>
      <w:marRight w:val="0"/>
      <w:marTop w:val="0"/>
      <w:marBottom w:val="0"/>
      <w:divBdr>
        <w:top w:val="none" w:sz="0" w:space="0" w:color="auto"/>
        <w:left w:val="none" w:sz="0" w:space="0" w:color="auto"/>
        <w:bottom w:val="none" w:sz="0" w:space="0" w:color="auto"/>
        <w:right w:val="none" w:sz="0" w:space="0" w:color="auto"/>
      </w:divBdr>
    </w:div>
    <w:div w:id="207571932">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528234">
      <w:bodyDiv w:val="1"/>
      <w:marLeft w:val="0"/>
      <w:marRight w:val="0"/>
      <w:marTop w:val="0"/>
      <w:marBottom w:val="0"/>
      <w:divBdr>
        <w:top w:val="none" w:sz="0" w:space="0" w:color="auto"/>
        <w:left w:val="none" w:sz="0" w:space="0" w:color="auto"/>
        <w:bottom w:val="none" w:sz="0" w:space="0" w:color="auto"/>
        <w:right w:val="none" w:sz="0" w:space="0" w:color="auto"/>
      </w:divBdr>
      <w:divsChild>
        <w:div w:id="411970977">
          <w:marLeft w:val="0"/>
          <w:marRight w:val="0"/>
          <w:marTop w:val="0"/>
          <w:marBottom w:val="0"/>
          <w:divBdr>
            <w:top w:val="none" w:sz="0" w:space="0" w:color="auto"/>
            <w:left w:val="none" w:sz="0" w:space="0" w:color="auto"/>
            <w:bottom w:val="none" w:sz="0" w:space="0" w:color="auto"/>
            <w:right w:val="none" w:sz="0" w:space="0" w:color="auto"/>
          </w:divBdr>
          <w:divsChild>
            <w:div w:id="602499197">
              <w:marLeft w:val="0"/>
              <w:marRight w:val="0"/>
              <w:marTop w:val="0"/>
              <w:marBottom w:val="0"/>
              <w:divBdr>
                <w:top w:val="none" w:sz="0" w:space="0" w:color="auto"/>
                <w:left w:val="none" w:sz="0" w:space="0" w:color="auto"/>
                <w:bottom w:val="none" w:sz="0" w:space="0" w:color="auto"/>
                <w:right w:val="none" w:sz="0" w:space="0" w:color="auto"/>
              </w:divBdr>
              <w:divsChild>
                <w:div w:id="1150630917">
                  <w:marLeft w:val="0"/>
                  <w:marRight w:val="0"/>
                  <w:marTop w:val="0"/>
                  <w:marBottom w:val="0"/>
                  <w:divBdr>
                    <w:top w:val="none" w:sz="0" w:space="0" w:color="auto"/>
                    <w:left w:val="none" w:sz="0" w:space="0" w:color="auto"/>
                    <w:bottom w:val="none" w:sz="0" w:space="0" w:color="auto"/>
                    <w:right w:val="none" w:sz="0" w:space="0" w:color="auto"/>
                  </w:divBdr>
                  <w:divsChild>
                    <w:div w:id="1664431136">
                      <w:marLeft w:val="0"/>
                      <w:marRight w:val="0"/>
                      <w:marTop w:val="100"/>
                      <w:marBottom w:val="100"/>
                      <w:divBdr>
                        <w:top w:val="none" w:sz="0" w:space="0" w:color="auto"/>
                        <w:left w:val="none" w:sz="0" w:space="0" w:color="auto"/>
                        <w:bottom w:val="none" w:sz="0" w:space="0" w:color="auto"/>
                        <w:right w:val="none" w:sz="0" w:space="0" w:color="auto"/>
                      </w:divBdr>
                      <w:divsChild>
                        <w:div w:id="1585187830">
                          <w:marLeft w:val="0"/>
                          <w:marRight w:val="0"/>
                          <w:marTop w:val="0"/>
                          <w:marBottom w:val="0"/>
                          <w:divBdr>
                            <w:top w:val="none" w:sz="0" w:space="0" w:color="auto"/>
                            <w:left w:val="none" w:sz="0" w:space="0" w:color="auto"/>
                            <w:bottom w:val="none" w:sz="0" w:space="0" w:color="auto"/>
                            <w:right w:val="none" w:sz="0" w:space="0" w:color="auto"/>
                          </w:divBdr>
                          <w:divsChild>
                            <w:div w:id="1433435537">
                              <w:marLeft w:val="0"/>
                              <w:marRight w:val="0"/>
                              <w:marTop w:val="0"/>
                              <w:marBottom w:val="0"/>
                              <w:divBdr>
                                <w:top w:val="single" w:sz="6" w:space="2" w:color="D1D1D1"/>
                                <w:left w:val="single" w:sz="6" w:space="0" w:color="D1D1D1"/>
                                <w:bottom w:val="single" w:sz="6" w:space="4" w:color="D1D1D1"/>
                                <w:right w:val="single" w:sz="6" w:space="0" w:color="D1D1D1"/>
                              </w:divBdr>
                              <w:divsChild>
                                <w:div w:id="863400236">
                                  <w:marLeft w:val="0"/>
                                  <w:marRight w:val="0"/>
                                  <w:marTop w:val="30"/>
                                  <w:marBottom w:val="0"/>
                                  <w:divBdr>
                                    <w:top w:val="none" w:sz="0" w:space="0" w:color="auto"/>
                                    <w:left w:val="none" w:sz="0" w:space="0" w:color="auto"/>
                                    <w:bottom w:val="none" w:sz="0" w:space="0" w:color="auto"/>
                                    <w:right w:val="none" w:sz="0" w:space="0" w:color="auto"/>
                                  </w:divBdr>
                                  <w:divsChild>
                                    <w:div w:id="14543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452237">
          <w:marLeft w:val="0"/>
          <w:marRight w:val="0"/>
          <w:marTop w:val="0"/>
          <w:marBottom w:val="0"/>
          <w:divBdr>
            <w:top w:val="none" w:sz="0" w:space="0" w:color="auto"/>
            <w:left w:val="none" w:sz="0" w:space="0" w:color="auto"/>
            <w:bottom w:val="none" w:sz="0" w:space="0" w:color="auto"/>
            <w:right w:val="none" w:sz="0" w:space="0" w:color="auto"/>
          </w:divBdr>
          <w:divsChild>
            <w:div w:id="2009668148">
              <w:marLeft w:val="0"/>
              <w:marRight w:val="0"/>
              <w:marTop w:val="0"/>
              <w:marBottom w:val="0"/>
              <w:divBdr>
                <w:top w:val="none" w:sz="0" w:space="0" w:color="auto"/>
                <w:left w:val="none" w:sz="0" w:space="0" w:color="auto"/>
                <w:bottom w:val="none" w:sz="0" w:space="0" w:color="auto"/>
                <w:right w:val="none" w:sz="0" w:space="0" w:color="auto"/>
              </w:divBdr>
              <w:divsChild>
                <w:div w:id="479739037">
                  <w:marLeft w:val="0"/>
                  <w:marRight w:val="0"/>
                  <w:marTop w:val="0"/>
                  <w:marBottom w:val="0"/>
                  <w:divBdr>
                    <w:top w:val="none" w:sz="0" w:space="0" w:color="auto"/>
                    <w:left w:val="none" w:sz="0" w:space="0" w:color="auto"/>
                    <w:bottom w:val="none" w:sz="0" w:space="0" w:color="auto"/>
                    <w:right w:val="none" w:sz="0" w:space="0" w:color="auto"/>
                  </w:divBdr>
                  <w:divsChild>
                    <w:div w:id="547227986">
                      <w:marLeft w:val="0"/>
                      <w:marRight w:val="0"/>
                      <w:marTop w:val="0"/>
                      <w:marBottom w:val="0"/>
                      <w:divBdr>
                        <w:top w:val="none" w:sz="0" w:space="0" w:color="auto"/>
                        <w:left w:val="none" w:sz="0" w:space="0" w:color="auto"/>
                        <w:bottom w:val="none" w:sz="0" w:space="0" w:color="auto"/>
                        <w:right w:val="none" w:sz="0" w:space="0" w:color="auto"/>
                      </w:divBdr>
                      <w:divsChild>
                        <w:div w:id="996880565">
                          <w:marLeft w:val="0"/>
                          <w:marRight w:val="0"/>
                          <w:marTop w:val="0"/>
                          <w:marBottom w:val="0"/>
                          <w:divBdr>
                            <w:top w:val="none" w:sz="0" w:space="0" w:color="auto"/>
                            <w:left w:val="none" w:sz="0" w:space="0" w:color="auto"/>
                            <w:bottom w:val="none" w:sz="0" w:space="0" w:color="auto"/>
                            <w:right w:val="none" w:sz="0" w:space="0" w:color="auto"/>
                          </w:divBdr>
                          <w:divsChild>
                            <w:div w:id="1140151190">
                              <w:marLeft w:val="0"/>
                              <w:marRight w:val="0"/>
                              <w:marTop w:val="0"/>
                              <w:marBottom w:val="0"/>
                              <w:divBdr>
                                <w:top w:val="none" w:sz="0" w:space="0" w:color="auto"/>
                                <w:left w:val="none" w:sz="0" w:space="0" w:color="auto"/>
                                <w:bottom w:val="none" w:sz="0" w:space="0" w:color="auto"/>
                                <w:right w:val="none" w:sz="0" w:space="0" w:color="auto"/>
                              </w:divBdr>
                              <w:divsChild>
                                <w:div w:id="1102604764">
                                  <w:marLeft w:val="0"/>
                                  <w:marRight w:val="0"/>
                                  <w:marTop w:val="0"/>
                                  <w:marBottom w:val="0"/>
                                  <w:divBdr>
                                    <w:top w:val="none" w:sz="0" w:space="0" w:color="auto"/>
                                    <w:left w:val="none" w:sz="0" w:space="0" w:color="auto"/>
                                    <w:bottom w:val="none" w:sz="0" w:space="0" w:color="auto"/>
                                    <w:right w:val="none" w:sz="0" w:space="0" w:color="auto"/>
                                  </w:divBdr>
                                  <w:divsChild>
                                    <w:div w:id="990257269">
                                      <w:marLeft w:val="0"/>
                                      <w:marRight w:val="0"/>
                                      <w:marTop w:val="0"/>
                                      <w:marBottom w:val="0"/>
                                      <w:divBdr>
                                        <w:top w:val="none" w:sz="0" w:space="0" w:color="auto"/>
                                        <w:left w:val="none" w:sz="0" w:space="0" w:color="auto"/>
                                        <w:bottom w:val="none" w:sz="0" w:space="0" w:color="auto"/>
                                        <w:right w:val="none" w:sz="0" w:space="0" w:color="auto"/>
                                      </w:divBdr>
                                      <w:divsChild>
                                        <w:div w:id="1052575753">
                                          <w:marLeft w:val="0"/>
                                          <w:marRight w:val="0"/>
                                          <w:marTop w:val="0"/>
                                          <w:marBottom w:val="0"/>
                                          <w:divBdr>
                                            <w:top w:val="none" w:sz="0" w:space="0" w:color="auto"/>
                                            <w:left w:val="none" w:sz="0" w:space="0" w:color="auto"/>
                                            <w:bottom w:val="none" w:sz="0" w:space="0" w:color="auto"/>
                                            <w:right w:val="none" w:sz="0" w:space="0" w:color="auto"/>
                                          </w:divBdr>
                                          <w:divsChild>
                                            <w:div w:id="1669750302">
                                              <w:marLeft w:val="0"/>
                                              <w:marRight w:val="0"/>
                                              <w:marTop w:val="0"/>
                                              <w:marBottom w:val="0"/>
                                              <w:divBdr>
                                                <w:top w:val="none" w:sz="0" w:space="0" w:color="auto"/>
                                                <w:left w:val="none" w:sz="0" w:space="0" w:color="auto"/>
                                                <w:bottom w:val="none" w:sz="0" w:space="0" w:color="auto"/>
                                                <w:right w:val="none" w:sz="0" w:space="0" w:color="auto"/>
                                              </w:divBdr>
                                              <w:divsChild>
                                                <w:div w:id="1114204977">
                                                  <w:marLeft w:val="0"/>
                                                  <w:marRight w:val="0"/>
                                                  <w:marTop w:val="0"/>
                                                  <w:marBottom w:val="0"/>
                                                  <w:divBdr>
                                                    <w:top w:val="none" w:sz="0" w:space="0" w:color="auto"/>
                                                    <w:left w:val="none" w:sz="0" w:space="0" w:color="auto"/>
                                                    <w:bottom w:val="none" w:sz="0" w:space="0" w:color="auto"/>
                                                    <w:right w:val="none" w:sz="0" w:space="0" w:color="auto"/>
                                                  </w:divBdr>
                                                  <w:divsChild>
                                                    <w:div w:id="1971209262">
                                                      <w:marLeft w:val="0"/>
                                                      <w:marRight w:val="0"/>
                                                      <w:marTop w:val="0"/>
                                                      <w:marBottom w:val="0"/>
                                                      <w:divBdr>
                                                        <w:top w:val="none" w:sz="0" w:space="0" w:color="auto"/>
                                                        <w:left w:val="none" w:sz="0" w:space="0" w:color="auto"/>
                                                        <w:bottom w:val="none" w:sz="0" w:space="0" w:color="auto"/>
                                                        <w:right w:val="none" w:sz="0" w:space="0" w:color="auto"/>
                                                      </w:divBdr>
                                                      <w:divsChild>
                                                        <w:div w:id="1974560548">
                                                          <w:marLeft w:val="0"/>
                                                          <w:marRight w:val="0"/>
                                                          <w:marTop w:val="0"/>
                                                          <w:marBottom w:val="0"/>
                                                          <w:divBdr>
                                                            <w:top w:val="none" w:sz="0" w:space="0" w:color="auto"/>
                                                            <w:left w:val="none" w:sz="0" w:space="0" w:color="auto"/>
                                                            <w:bottom w:val="none" w:sz="0" w:space="0" w:color="auto"/>
                                                            <w:right w:val="none" w:sz="0" w:space="0" w:color="auto"/>
                                                          </w:divBdr>
                                                          <w:divsChild>
                                                            <w:div w:id="202179207">
                                                              <w:marLeft w:val="0"/>
                                                              <w:marRight w:val="0"/>
                                                              <w:marTop w:val="0"/>
                                                              <w:marBottom w:val="0"/>
                                                              <w:divBdr>
                                                                <w:top w:val="none" w:sz="0" w:space="0" w:color="auto"/>
                                                                <w:left w:val="none" w:sz="0" w:space="0" w:color="auto"/>
                                                                <w:bottom w:val="none" w:sz="0" w:space="0" w:color="auto"/>
                                                                <w:right w:val="none" w:sz="0" w:space="0" w:color="auto"/>
                                                              </w:divBdr>
                                                              <w:divsChild>
                                                                <w:div w:id="1303466600">
                                                                  <w:marLeft w:val="0"/>
                                                                  <w:marRight w:val="0"/>
                                                                  <w:marTop w:val="0"/>
                                                                  <w:marBottom w:val="0"/>
                                                                  <w:divBdr>
                                                                    <w:top w:val="none" w:sz="0" w:space="0" w:color="auto"/>
                                                                    <w:left w:val="none" w:sz="0" w:space="0" w:color="auto"/>
                                                                    <w:bottom w:val="none" w:sz="0" w:space="0" w:color="auto"/>
                                                                    <w:right w:val="none" w:sz="0" w:space="0" w:color="auto"/>
                                                                  </w:divBdr>
                                                                  <w:divsChild>
                                                                    <w:div w:id="1754006210">
                                                                      <w:marLeft w:val="0"/>
                                                                      <w:marRight w:val="0"/>
                                                                      <w:marTop w:val="0"/>
                                                                      <w:marBottom w:val="0"/>
                                                                      <w:divBdr>
                                                                        <w:top w:val="none" w:sz="0" w:space="0" w:color="auto"/>
                                                                        <w:left w:val="none" w:sz="0" w:space="0" w:color="auto"/>
                                                                        <w:bottom w:val="none" w:sz="0" w:space="0" w:color="auto"/>
                                                                        <w:right w:val="none" w:sz="0" w:space="0" w:color="auto"/>
                                                                      </w:divBdr>
                                                                      <w:divsChild>
                                                                        <w:div w:id="1474787202">
                                                                          <w:marLeft w:val="0"/>
                                                                          <w:marRight w:val="0"/>
                                                                          <w:marTop w:val="0"/>
                                                                          <w:marBottom w:val="0"/>
                                                                          <w:divBdr>
                                                                            <w:top w:val="none" w:sz="0" w:space="0" w:color="auto"/>
                                                                            <w:left w:val="none" w:sz="0" w:space="0" w:color="auto"/>
                                                                            <w:bottom w:val="none" w:sz="0" w:space="0" w:color="auto"/>
                                                                            <w:right w:val="none" w:sz="0" w:space="0" w:color="auto"/>
                                                                          </w:divBdr>
                                                                          <w:divsChild>
                                                                            <w:div w:id="1768430326">
                                                                              <w:marLeft w:val="0"/>
                                                                              <w:marRight w:val="0"/>
                                                                              <w:marTop w:val="0"/>
                                                                              <w:marBottom w:val="0"/>
                                                                              <w:divBdr>
                                                                                <w:top w:val="none" w:sz="0" w:space="0" w:color="auto"/>
                                                                                <w:left w:val="none" w:sz="0" w:space="0" w:color="auto"/>
                                                                                <w:bottom w:val="none" w:sz="0" w:space="0" w:color="auto"/>
                                                                                <w:right w:val="none" w:sz="0" w:space="0" w:color="auto"/>
                                                                              </w:divBdr>
                                                                              <w:divsChild>
                                                                                <w:div w:id="281739403">
                                                                                  <w:marLeft w:val="0"/>
                                                                                  <w:marRight w:val="0"/>
                                                                                  <w:marTop w:val="0"/>
                                                                                  <w:marBottom w:val="0"/>
                                                                                  <w:divBdr>
                                                                                    <w:top w:val="none" w:sz="0" w:space="0" w:color="auto"/>
                                                                                    <w:left w:val="none" w:sz="0" w:space="0" w:color="auto"/>
                                                                                    <w:bottom w:val="none" w:sz="0" w:space="0" w:color="auto"/>
                                                                                    <w:right w:val="none" w:sz="0" w:space="0" w:color="auto"/>
                                                                                  </w:divBdr>
                                                                                  <w:divsChild>
                                                                                    <w:div w:id="1909922992">
                                                                                      <w:marLeft w:val="120"/>
                                                                                      <w:marRight w:val="0"/>
                                                                                      <w:marTop w:val="60"/>
                                                                                      <w:marBottom w:val="60"/>
                                                                                      <w:divBdr>
                                                                                        <w:top w:val="none" w:sz="0" w:space="0" w:color="auto"/>
                                                                                        <w:left w:val="none" w:sz="0" w:space="0" w:color="auto"/>
                                                                                        <w:bottom w:val="none" w:sz="0" w:space="0" w:color="auto"/>
                                                                                        <w:right w:val="none" w:sz="0" w:space="0" w:color="auto"/>
                                                                                      </w:divBdr>
                                                                                      <w:divsChild>
                                                                                        <w:div w:id="691228604">
                                                                                          <w:marLeft w:val="0"/>
                                                                                          <w:marRight w:val="0"/>
                                                                                          <w:marTop w:val="0"/>
                                                                                          <w:marBottom w:val="0"/>
                                                                                          <w:divBdr>
                                                                                            <w:top w:val="none" w:sz="0" w:space="0" w:color="auto"/>
                                                                                            <w:left w:val="none" w:sz="0" w:space="0" w:color="auto"/>
                                                                                            <w:bottom w:val="none" w:sz="0" w:space="0" w:color="auto"/>
                                                                                            <w:right w:val="none" w:sz="0" w:space="0" w:color="auto"/>
                                                                                          </w:divBdr>
                                                                                          <w:divsChild>
                                                                                            <w:div w:id="2088916048">
                                                                                              <w:marLeft w:val="0"/>
                                                                                              <w:marRight w:val="0"/>
                                                                                              <w:marTop w:val="0"/>
                                                                                              <w:marBottom w:val="0"/>
                                                                                              <w:divBdr>
                                                                                                <w:top w:val="none" w:sz="0" w:space="0" w:color="auto"/>
                                                                                                <w:left w:val="none" w:sz="0" w:space="0" w:color="auto"/>
                                                                                                <w:bottom w:val="none" w:sz="0" w:space="0" w:color="auto"/>
                                                                                                <w:right w:val="none" w:sz="0" w:space="0" w:color="auto"/>
                                                                                              </w:divBdr>
                                                                                              <w:divsChild>
                                                                                                <w:div w:id="1723015921">
                                                                                                  <w:marLeft w:val="0"/>
                                                                                                  <w:marRight w:val="0"/>
                                                                                                  <w:marTop w:val="0"/>
                                                                                                  <w:marBottom w:val="0"/>
                                                                                                  <w:divBdr>
                                                                                                    <w:top w:val="none" w:sz="0" w:space="0" w:color="auto"/>
                                                                                                    <w:left w:val="none" w:sz="0" w:space="0" w:color="auto"/>
                                                                                                    <w:bottom w:val="none" w:sz="0" w:space="0" w:color="auto"/>
                                                                                                    <w:right w:val="none" w:sz="0" w:space="0" w:color="auto"/>
                                                                                                  </w:divBdr>
                                                                                                  <w:divsChild>
                                                                                                    <w:div w:id="1879778055">
                                                                                                      <w:marLeft w:val="0"/>
                                                                                                      <w:marRight w:val="0"/>
                                                                                                      <w:marTop w:val="0"/>
                                                                                                      <w:marBottom w:val="0"/>
                                                                                                      <w:divBdr>
                                                                                                        <w:top w:val="none" w:sz="0" w:space="0" w:color="auto"/>
                                                                                                        <w:left w:val="none" w:sz="0" w:space="0" w:color="auto"/>
                                                                                                        <w:bottom w:val="none" w:sz="0" w:space="0" w:color="auto"/>
                                                                                                        <w:right w:val="none" w:sz="0" w:space="0" w:color="auto"/>
                                                                                                      </w:divBdr>
                                                                                                      <w:divsChild>
                                                                                                        <w:div w:id="19771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35715">
                                                                                          <w:marLeft w:val="0"/>
                                                                                          <w:marRight w:val="0"/>
                                                                                          <w:marTop w:val="0"/>
                                                                                          <w:marBottom w:val="0"/>
                                                                                          <w:divBdr>
                                                                                            <w:top w:val="none" w:sz="0" w:space="0" w:color="auto"/>
                                                                                            <w:left w:val="none" w:sz="0" w:space="0" w:color="auto"/>
                                                                                            <w:bottom w:val="none" w:sz="0" w:space="0" w:color="auto"/>
                                                                                            <w:right w:val="none" w:sz="0" w:space="0" w:color="auto"/>
                                                                                          </w:divBdr>
                                                                                          <w:divsChild>
                                                                                            <w:div w:id="1509752890">
                                                                                              <w:marLeft w:val="0"/>
                                                                                              <w:marRight w:val="0"/>
                                                                                              <w:marTop w:val="0"/>
                                                                                              <w:marBottom w:val="0"/>
                                                                                              <w:divBdr>
                                                                                                <w:top w:val="none" w:sz="0" w:space="0" w:color="auto"/>
                                                                                                <w:left w:val="none" w:sz="0" w:space="0" w:color="auto"/>
                                                                                                <w:bottom w:val="none" w:sz="0" w:space="0" w:color="auto"/>
                                                                                                <w:right w:val="none" w:sz="0" w:space="0" w:color="auto"/>
                                                                                              </w:divBdr>
                                                                                              <w:divsChild>
                                                                                                <w:div w:id="1112557702">
                                                                                                  <w:marLeft w:val="0"/>
                                                                                                  <w:marRight w:val="0"/>
                                                                                                  <w:marTop w:val="0"/>
                                                                                                  <w:marBottom w:val="0"/>
                                                                                                  <w:divBdr>
                                                                                                    <w:top w:val="none" w:sz="0" w:space="0" w:color="auto"/>
                                                                                                    <w:left w:val="none" w:sz="0" w:space="0" w:color="auto"/>
                                                                                                    <w:bottom w:val="none" w:sz="0" w:space="0" w:color="auto"/>
                                                                                                    <w:right w:val="none" w:sz="0" w:space="0" w:color="auto"/>
                                                                                                  </w:divBdr>
                                                                                                  <w:divsChild>
                                                                                                    <w:div w:id="1088890287">
                                                                                                      <w:marLeft w:val="0"/>
                                                                                                      <w:marRight w:val="0"/>
                                                                                                      <w:marTop w:val="0"/>
                                                                                                      <w:marBottom w:val="0"/>
                                                                                                      <w:divBdr>
                                                                                                        <w:top w:val="none" w:sz="0" w:space="0" w:color="auto"/>
                                                                                                        <w:left w:val="none" w:sz="0" w:space="0" w:color="auto"/>
                                                                                                        <w:bottom w:val="none" w:sz="0" w:space="0" w:color="auto"/>
                                                                                                        <w:right w:val="none" w:sz="0" w:space="0" w:color="auto"/>
                                                                                                      </w:divBdr>
                                                                                                      <w:divsChild>
                                                                                                        <w:div w:id="805783489">
                                                                                                          <w:marLeft w:val="0"/>
                                                                                                          <w:marRight w:val="0"/>
                                                                                                          <w:marTop w:val="0"/>
                                                                                                          <w:marBottom w:val="0"/>
                                                                                                          <w:divBdr>
                                                                                                            <w:top w:val="none" w:sz="0" w:space="0" w:color="auto"/>
                                                                                                            <w:left w:val="none" w:sz="0" w:space="0" w:color="auto"/>
                                                                                                            <w:bottom w:val="none" w:sz="0" w:space="0" w:color="auto"/>
                                                                                                            <w:right w:val="none" w:sz="0" w:space="0" w:color="auto"/>
                                                                                                          </w:divBdr>
                                                                                                          <w:divsChild>
                                                                                                            <w:div w:id="1061640847">
                                                                                                              <w:marLeft w:val="0"/>
                                                                                                              <w:marRight w:val="0"/>
                                                                                                              <w:marTop w:val="0"/>
                                                                                                              <w:marBottom w:val="0"/>
                                                                                                              <w:divBdr>
                                                                                                                <w:top w:val="none" w:sz="0" w:space="0" w:color="auto"/>
                                                                                                                <w:left w:val="none" w:sz="0" w:space="0" w:color="auto"/>
                                                                                                                <w:bottom w:val="none" w:sz="0" w:space="0" w:color="auto"/>
                                                                                                                <w:right w:val="none" w:sz="0" w:space="0" w:color="auto"/>
                                                                                                              </w:divBdr>
                                                                                                              <w:divsChild>
                                                                                                                <w:div w:id="336465115">
                                                                                                                  <w:marLeft w:val="0"/>
                                                                                                                  <w:marRight w:val="0"/>
                                                                                                                  <w:marTop w:val="0"/>
                                                                                                                  <w:marBottom w:val="0"/>
                                                                                                                  <w:divBdr>
                                                                                                                    <w:top w:val="none" w:sz="0" w:space="0" w:color="auto"/>
                                                                                                                    <w:left w:val="none" w:sz="0" w:space="0" w:color="auto"/>
                                                                                                                    <w:bottom w:val="none" w:sz="0" w:space="0" w:color="auto"/>
                                                                                                                    <w:right w:val="none" w:sz="0" w:space="0" w:color="auto"/>
                                                                                                                  </w:divBdr>
                                                                                                                  <w:divsChild>
                                                                                                                    <w:div w:id="1497917214">
                                                                                                                      <w:marLeft w:val="0"/>
                                                                                                                      <w:marRight w:val="0"/>
                                                                                                                      <w:marTop w:val="0"/>
                                                                                                                      <w:marBottom w:val="0"/>
                                                                                                                      <w:divBdr>
                                                                                                                        <w:top w:val="none" w:sz="0" w:space="0" w:color="auto"/>
                                                                                                                        <w:left w:val="none" w:sz="0" w:space="0" w:color="auto"/>
                                                                                                                        <w:bottom w:val="none" w:sz="0" w:space="0" w:color="auto"/>
                                                                                                                        <w:right w:val="none" w:sz="0" w:space="0" w:color="auto"/>
                                                                                                                      </w:divBdr>
                                                                                                                      <w:divsChild>
                                                                                                                        <w:div w:id="1220288300">
                                                                                                                          <w:marLeft w:val="0"/>
                                                                                                                          <w:marRight w:val="0"/>
                                                                                                                          <w:marTop w:val="0"/>
                                                                                                                          <w:marBottom w:val="0"/>
                                                                                                                          <w:divBdr>
                                                                                                                            <w:top w:val="none" w:sz="0" w:space="0" w:color="auto"/>
                                                                                                                            <w:left w:val="none" w:sz="0" w:space="0" w:color="auto"/>
                                                                                                                            <w:bottom w:val="none" w:sz="0" w:space="0" w:color="auto"/>
                                                                                                                            <w:right w:val="none" w:sz="0" w:space="0" w:color="auto"/>
                                                                                                                          </w:divBdr>
                                                                                                                          <w:divsChild>
                                                                                                                            <w:div w:id="64036141">
                                                                                                                              <w:marLeft w:val="0"/>
                                                                                                                              <w:marRight w:val="0"/>
                                                                                                                              <w:marTop w:val="0"/>
                                                                                                                              <w:marBottom w:val="0"/>
                                                                                                                              <w:divBdr>
                                                                                                                                <w:top w:val="none" w:sz="0" w:space="0" w:color="auto"/>
                                                                                                                                <w:left w:val="none" w:sz="0" w:space="0" w:color="auto"/>
                                                                                                                                <w:bottom w:val="none" w:sz="0" w:space="0" w:color="auto"/>
                                                                                                                                <w:right w:val="none" w:sz="0" w:space="0" w:color="auto"/>
                                                                                                                              </w:divBdr>
                                                                                                                              <w:divsChild>
                                                                                                                                <w:div w:id="176820181">
                                                                                                                                  <w:marLeft w:val="0"/>
                                                                                                                                  <w:marRight w:val="0"/>
                                                                                                                                  <w:marTop w:val="0"/>
                                                                                                                                  <w:marBottom w:val="0"/>
                                                                                                                                  <w:divBdr>
                                                                                                                                    <w:top w:val="none" w:sz="0" w:space="0" w:color="auto"/>
                                                                                                                                    <w:left w:val="none" w:sz="0" w:space="0" w:color="auto"/>
                                                                                                                                    <w:bottom w:val="none" w:sz="0" w:space="0" w:color="auto"/>
                                                                                                                                    <w:right w:val="none" w:sz="0" w:space="0" w:color="auto"/>
                                                                                                                                  </w:divBdr>
                                                                                                                                  <w:divsChild>
                                                                                                                                    <w:div w:id="788744237">
                                                                                                                                      <w:marLeft w:val="0"/>
                                                                                                                                      <w:marRight w:val="0"/>
                                                                                                                                      <w:marTop w:val="0"/>
                                                                                                                                      <w:marBottom w:val="0"/>
                                                                                                                                      <w:divBdr>
                                                                                                                                        <w:top w:val="none" w:sz="0" w:space="0" w:color="auto"/>
                                                                                                                                        <w:left w:val="none" w:sz="0" w:space="0" w:color="auto"/>
                                                                                                                                        <w:bottom w:val="none" w:sz="0" w:space="0" w:color="auto"/>
                                                                                                                                        <w:right w:val="none" w:sz="0" w:space="0" w:color="auto"/>
                                                                                                                                      </w:divBdr>
                                                                                                                                    </w:div>
                                                                                                                                  </w:divsChild>
                                                                                                                                </w:div>
                                                                                                                                <w:div w:id="384062793">
                                                                                                                                  <w:marLeft w:val="0"/>
                                                                                                                                  <w:marRight w:val="0"/>
                                                                                                                                  <w:marTop w:val="0"/>
                                                                                                                                  <w:marBottom w:val="0"/>
                                                                                                                                  <w:divBdr>
                                                                                                                                    <w:top w:val="none" w:sz="0" w:space="0" w:color="auto"/>
                                                                                                                                    <w:left w:val="none" w:sz="0" w:space="0" w:color="auto"/>
                                                                                                                                    <w:bottom w:val="none" w:sz="0" w:space="0" w:color="auto"/>
                                                                                                                                    <w:right w:val="none" w:sz="0" w:space="0" w:color="auto"/>
                                                                                                                                  </w:divBdr>
                                                                                                                                  <w:divsChild>
                                                                                                                                    <w:div w:id="56169157">
                                                                                                                                      <w:marLeft w:val="0"/>
                                                                                                                                      <w:marRight w:val="0"/>
                                                                                                                                      <w:marTop w:val="0"/>
                                                                                                                                      <w:marBottom w:val="0"/>
                                                                                                                                      <w:divBdr>
                                                                                                                                        <w:top w:val="none" w:sz="0" w:space="0" w:color="auto"/>
                                                                                                                                        <w:left w:val="none" w:sz="0" w:space="0" w:color="auto"/>
                                                                                                                                        <w:bottom w:val="none" w:sz="0" w:space="0" w:color="auto"/>
                                                                                                                                        <w:right w:val="none" w:sz="0" w:space="0" w:color="auto"/>
                                                                                                                                      </w:divBdr>
                                                                                                                                    </w:div>
                                                                                                                                  </w:divsChild>
                                                                                                                                </w:div>
                                                                                                                                <w:div w:id="928929541">
                                                                                                                                  <w:marLeft w:val="0"/>
                                                                                                                                  <w:marRight w:val="0"/>
                                                                                                                                  <w:marTop w:val="0"/>
                                                                                                                                  <w:marBottom w:val="0"/>
                                                                                                                                  <w:divBdr>
                                                                                                                                    <w:top w:val="none" w:sz="0" w:space="0" w:color="auto"/>
                                                                                                                                    <w:left w:val="none" w:sz="0" w:space="0" w:color="auto"/>
                                                                                                                                    <w:bottom w:val="none" w:sz="0" w:space="0" w:color="auto"/>
                                                                                                                                    <w:right w:val="none" w:sz="0" w:space="0" w:color="auto"/>
                                                                                                                                  </w:divBdr>
                                                                                                                                  <w:divsChild>
                                                                                                                                    <w:div w:id="19631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331732">
                                                                                          <w:marLeft w:val="0"/>
                                                                                          <w:marRight w:val="0"/>
                                                                                          <w:marTop w:val="0"/>
                                                                                          <w:marBottom w:val="0"/>
                                                                                          <w:divBdr>
                                                                                            <w:top w:val="none" w:sz="0" w:space="0" w:color="auto"/>
                                                                                            <w:left w:val="none" w:sz="0" w:space="0" w:color="auto"/>
                                                                                            <w:bottom w:val="none" w:sz="0" w:space="0" w:color="auto"/>
                                                                                            <w:right w:val="none" w:sz="0" w:space="0" w:color="auto"/>
                                                                                          </w:divBdr>
                                                                                          <w:divsChild>
                                                                                            <w:div w:id="457183251">
                                                                                              <w:marLeft w:val="0"/>
                                                                                              <w:marRight w:val="0"/>
                                                                                              <w:marTop w:val="0"/>
                                                                                              <w:marBottom w:val="0"/>
                                                                                              <w:divBdr>
                                                                                                <w:top w:val="none" w:sz="0" w:space="0" w:color="auto"/>
                                                                                                <w:left w:val="none" w:sz="0" w:space="0" w:color="auto"/>
                                                                                                <w:bottom w:val="none" w:sz="0" w:space="0" w:color="auto"/>
                                                                                                <w:right w:val="none" w:sz="0" w:space="0" w:color="auto"/>
                                                                                              </w:divBdr>
                                                                                              <w:divsChild>
                                                                                                <w:div w:id="1948654007">
                                                                                                  <w:marLeft w:val="0"/>
                                                                                                  <w:marRight w:val="0"/>
                                                                                                  <w:marTop w:val="0"/>
                                                                                                  <w:marBottom w:val="0"/>
                                                                                                  <w:divBdr>
                                                                                                    <w:top w:val="none" w:sz="0" w:space="0" w:color="auto"/>
                                                                                                    <w:left w:val="none" w:sz="0" w:space="0" w:color="auto"/>
                                                                                                    <w:bottom w:val="none" w:sz="0" w:space="0" w:color="auto"/>
                                                                                                    <w:right w:val="none" w:sz="0" w:space="0" w:color="auto"/>
                                                                                                  </w:divBdr>
                                                                                                  <w:divsChild>
                                                                                                    <w:div w:id="1983582522">
                                                                                                      <w:marLeft w:val="0"/>
                                                                                                      <w:marRight w:val="0"/>
                                                                                                      <w:marTop w:val="0"/>
                                                                                                      <w:marBottom w:val="0"/>
                                                                                                      <w:divBdr>
                                                                                                        <w:top w:val="none" w:sz="0" w:space="0" w:color="auto"/>
                                                                                                        <w:left w:val="none" w:sz="0" w:space="0" w:color="auto"/>
                                                                                                        <w:bottom w:val="none" w:sz="0" w:space="0" w:color="auto"/>
                                                                                                        <w:right w:val="none" w:sz="0" w:space="0" w:color="auto"/>
                                                                                                      </w:divBdr>
                                                                                                      <w:divsChild>
                                                                                                        <w:div w:id="1020157758">
                                                                                                          <w:marLeft w:val="0"/>
                                                                                                          <w:marRight w:val="0"/>
                                                                                                          <w:marTop w:val="0"/>
                                                                                                          <w:marBottom w:val="0"/>
                                                                                                          <w:divBdr>
                                                                                                            <w:top w:val="none" w:sz="0" w:space="0" w:color="auto"/>
                                                                                                            <w:left w:val="none" w:sz="0" w:space="0" w:color="auto"/>
                                                                                                            <w:bottom w:val="none" w:sz="0" w:space="0" w:color="auto"/>
                                                                                                            <w:right w:val="none" w:sz="0" w:space="0" w:color="auto"/>
                                                                                                          </w:divBdr>
                                                                                                        </w:div>
                                                                                                        <w:div w:id="1037585965">
                                                                                                          <w:marLeft w:val="0"/>
                                                                                                          <w:marRight w:val="0"/>
                                                                                                          <w:marTop w:val="0"/>
                                                                                                          <w:marBottom w:val="0"/>
                                                                                                          <w:divBdr>
                                                                                                            <w:top w:val="none" w:sz="0" w:space="0" w:color="auto"/>
                                                                                                            <w:left w:val="none" w:sz="0" w:space="0" w:color="auto"/>
                                                                                                            <w:bottom w:val="none" w:sz="0" w:space="0" w:color="auto"/>
                                                                                                            <w:right w:val="none" w:sz="0" w:space="0" w:color="auto"/>
                                                                                                          </w:divBdr>
                                                                                                          <w:divsChild>
                                                                                                            <w:div w:id="1494492231">
                                                                                                              <w:marLeft w:val="0"/>
                                                                                                              <w:marRight w:val="0"/>
                                                                                                              <w:marTop w:val="0"/>
                                                                                                              <w:marBottom w:val="0"/>
                                                                                                              <w:divBdr>
                                                                                                                <w:top w:val="none" w:sz="0" w:space="0" w:color="auto"/>
                                                                                                                <w:left w:val="none" w:sz="0" w:space="0" w:color="auto"/>
                                                                                                                <w:bottom w:val="none" w:sz="0" w:space="0" w:color="auto"/>
                                                                                                                <w:right w:val="none" w:sz="0" w:space="0" w:color="auto"/>
                                                                                                              </w:divBdr>
                                                                                                              <w:divsChild>
                                                                                                                <w:div w:id="2062705273">
                                                                                                                  <w:marLeft w:val="0"/>
                                                                                                                  <w:marRight w:val="0"/>
                                                                                                                  <w:marTop w:val="0"/>
                                                                                                                  <w:marBottom w:val="0"/>
                                                                                                                  <w:divBdr>
                                                                                                                    <w:top w:val="none" w:sz="0" w:space="0" w:color="auto"/>
                                                                                                                    <w:left w:val="none" w:sz="0" w:space="0" w:color="auto"/>
                                                                                                                    <w:bottom w:val="none" w:sz="0" w:space="0" w:color="auto"/>
                                                                                                                    <w:right w:val="none" w:sz="0" w:space="0" w:color="auto"/>
                                                                                                                  </w:divBdr>
                                                                                                                  <w:divsChild>
                                                                                                                    <w:div w:id="1979652888">
                                                                                                                      <w:marLeft w:val="0"/>
                                                                                                                      <w:marRight w:val="0"/>
                                                                                                                      <w:marTop w:val="0"/>
                                                                                                                      <w:marBottom w:val="0"/>
                                                                                                                      <w:divBdr>
                                                                                                                        <w:top w:val="none" w:sz="0" w:space="0" w:color="auto"/>
                                                                                                                        <w:left w:val="none" w:sz="0" w:space="0" w:color="auto"/>
                                                                                                                        <w:bottom w:val="none" w:sz="0" w:space="0" w:color="auto"/>
                                                                                                                        <w:right w:val="none" w:sz="0" w:space="0" w:color="auto"/>
                                                                                                                      </w:divBdr>
                                                                                                                      <w:divsChild>
                                                                                                                        <w:div w:id="1375881925">
                                                                                                                          <w:marLeft w:val="0"/>
                                                                                                                          <w:marRight w:val="0"/>
                                                                                                                          <w:marTop w:val="0"/>
                                                                                                                          <w:marBottom w:val="0"/>
                                                                                                                          <w:divBdr>
                                                                                                                            <w:top w:val="none" w:sz="0" w:space="0" w:color="auto"/>
                                                                                                                            <w:left w:val="none" w:sz="0" w:space="0" w:color="auto"/>
                                                                                                                            <w:bottom w:val="none" w:sz="0" w:space="0" w:color="auto"/>
                                                                                                                            <w:right w:val="none" w:sz="0" w:space="0" w:color="auto"/>
                                                                                                                          </w:divBdr>
                                                                                                                          <w:divsChild>
                                                                                                                            <w:div w:id="436676800">
                                                                                                                              <w:marLeft w:val="0"/>
                                                                                                                              <w:marRight w:val="0"/>
                                                                                                                              <w:marTop w:val="0"/>
                                                                                                                              <w:marBottom w:val="0"/>
                                                                                                                              <w:divBdr>
                                                                                                                                <w:top w:val="none" w:sz="0" w:space="0" w:color="auto"/>
                                                                                                                                <w:left w:val="none" w:sz="0" w:space="0" w:color="auto"/>
                                                                                                                                <w:bottom w:val="none" w:sz="0" w:space="0" w:color="auto"/>
                                                                                                                                <w:right w:val="none" w:sz="0" w:space="0" w:color="auto"/>
                                                                                                                              </w:divBdr>
                                                                                                                              <w:divsChild>
                                                                                                                                <w:div w:id="679548401">
                                                                                                                                  <w:marLeft w:val="0"/>
                                                                                                                                  <w:marRight w:val="0"/>
                                                                                                                                  <w:marTop w:val="0"/>
                                                                                                                                  <w:marBottom w:val="0"/>
                                                                                                                                  <w:divBdr>
                                                                                                                                    <w:top w:val="none" w:sz="0" w:space="0" w:color="auto"/>
                                                                                                                                    <w:left w:val="none" w:sz="0" w:space="0" w:color="auto"/>
                                                                                                                                    <w:bottom w:val="none" w:sz="0" w:space="0" w:color="auto"/>
                                                                                                                                    <w:right w:val="none" w:sz="0" w:space="0" w:color="auto"/>
                                                                                                                                  </w:divBdr>
                                                                                                                                  <w:divsChild>
                                                                                                                                    <w:div w:id="658925853">
                                                                                                                                      <w:marLeft w:val="0"/>
                                                                                                                                      <w:marRight w:val="0"/>
                                                                                                                                      <w:marTop w:val="0"/>
                                                                                                                                      <w:marBottom w:val="0"/>
                                                                                                                                      <w:divBdr>
                                                                                                                                        <w:top w:val="none" w:sz="0" w:space="0" w:color="auto"/>
                                                                                                                                        <w:left w:val="none" w:sz="0" w:space="0" w:color="auto"/>
                                                                                                                                        <w:bottom w:val="none" w:sz="0" w:space="0" w:color="auto"/>
                                                                                                                                        <w:right w:val="none" w:sz="0" w:space="0" w:color="auto"/>
                                                                                                                                      </w:divBdr>
                                                                                                                                    </w:div>
                                                                                                                                  </w:divsChild>
                                                                                                                                </w:div>
                                                                                                                                <w:div w:id="1220894774">
                                                                                                                                  <w:marLeft w:val="0"/>
                                                                                                                                  <w:marRight w:val="0"/>
                                                                                                                                  <w:marTop w:val="0"/>
                                                                                                                                  <w:marBottom w:val="0"/>
                                                                                                                                  <w:divBdr>
                                                                                                                                    <w:top w:val="none" w:sz="0" w:space="0" w:color="auto"/>
                                                                                                                                    <w:left w:val="none" w:sz="0" w:space="0" w:color="auto"/>
                                                                                                                                    <w:bottom w:val="none" w:sz="0" w:space="0" w:color="auto"/>
                                                                                                                                    <w:right w:val="none" w:sz="0" w:space="0" w:color="auto"/>
                                                                                                                                  </w:divBdr>
                                                                                                                                </w:div>
                                                                                                                                <w:div w:id="1333340448">
                                                                                                                                  <w:marLeft w:val="0"/>
                                                                                                                                  <w:marRight w:val="0"/>
                                                                                                                                  <w:marTop w:val="0"/>
                                                                                                                                  <w:marBottom w:val="0"/>
                                                                                                                                  <w:divBdr>
                                                                                                                                    <w:top w:val="none" w:sz="0" w:space="0" w:color="auto"/>
                                                                                                                                    <w:left w:val="none" w:sz="0" w:space="0" w:color="auto"/>
                                                                                                                                    <w:bottom w:val="none" w:sz="0" w:space="0" w:color="auto"/>
                                                                                                                                    <w:right w:val="none" w:sz="0" w:space="0" w:color="auto"/>
                                                                                                                                  </w:divBdr>
                                                                                                                                  <w:divsChild>
                                                                                                                                    <w:div w:id="15553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468743">
                                                                                          <w:marLeft w:val="0"/>
                                                                                          <w:marRight w:val="0"/>
                                                                                          <w:marTop w:val="0"/>
                                                                                          <w:marBottom w:val="0"/>
                                                                                          <w:divBdr>
                                                                                            <w:top w:val="none" w:sz="0" w:space="0" w:color="auto"/>
                                                                                            <w:left w:val="none" w:sz="0" w:space="0" w:color="auto"/>
                                                                                            <w:bottom w:val="none" w:sz="0" w:space="0" w:color="auto"/>
                                                                                            <w:right w:val="none" w:sz="0" w:space="0" w:color="auto"/>
                                                                                          </w:divBdr>
                                                                                          <w:divsChild>
                                                                                            <w:div w:id="132914900">
                                                                                              <w:marLeft w:val="0"/>
                                                                                              <w:marRight w:val="0"/>
                                                                                              <w:marTop w:val="0"/>
                                                                                              <w:marBottom w:val="0"/>
                                                                                              <w:divBdr>
                                                                                                <w:top w:val="none" w:sz="0" w:space="0" w:color="auto"/>
                                                                                                <w:left w:val="none" w:sz="0" w:space="0" w:color="auto"/>
                                                                                                <w:bottom w:val="none" w:sz="0" w:space="0" w:color="auto"/>
                                                                                                <w:right w:val="none" w:sz="0" w:space="0" w:color="auto"/>
                                                                                              </w:divBdr>
                                                                                              <w:divsChild>
                                                                                                <w:div w:id="957493665">
                                                                                                  <w:marLeft w:val="0"/>
                                                                                                  <w:marRight w:val="0"/>
                                                                                                  <w:marTop w:val="0"/>
                                                                                                  <w:marBottom w:val="0"/>
                                                                                                  <w:divBdr>
                                                                                                    <w:top w:val="none" w:sz="0" w:space="0" w:color="auto"/>
                                                                                                    <w:left w:val="none" w:sz="0" w:space="0" w:color="auto"/>
                                                                                                    <w:bottom w:val="none" w:sz="0" w:space="0" w:color="auto"/>
                                                                                                    <w:right w:val="none" w:sz="0" w:space="0" w:color="auto"/>
                                                                                                  </w:divBdr>
                                                                                                  <w:divsChild>
                                                                                                    <w:div w:id="701202125">
                                                                                                      <w:marLeft w:val="0"/>
                                                                                                      <w:marRight w:val="0"/>
                                                                                                      <w:marTop w:val="0"/>
                                                                                                      <w:marBottom w:val="0"/>
                                                                                                      <w:divBdr>
                                                                                                        <w:top w:val="none" w:sz="0" w:space="0" w:color="auto"/>
                                                                                                        <w:left w:val="none" w:sz="0" w:space="0" w:color="auto"/>
                                                                                                        <w:bottom w:val="none" w:sz="0" w:space="0" w:color="auto"/>
                                                                                                        <w:right w:val="none" w:sz="0" w:space="0" w:color="auto"/>
                                                                                                      </w:divBdr>
                                                                                                      <w:divsChild>
                                                                                                        <w:div w:id="523251611">
                                                                                                          <w:marLeft w:val="0"/>
                                                                                                          <w:marRight w:val="0"/>
                                                                                                          <w:marTop w:val="0"/>
                                                                                                          <w:marBottom w:val="0"/>
                                                                                                          <w:divBdr>
                                                                                                            <w:top w:val="none" w:sz="0" w:space="0" w:color="auto"/>
                                                                                                            <w:left w:val="none" w:sz="0" w:space="0" w:color="auto"/>
                                                                                                            <w:bottom w:val="none" w:sz="0" w:space="0" w:color="auto"/>
                                                                                                            <w:right w:val="none" w:sz="0" w:space="0" w:color="auto"/>
                                                                                                          </w:divBdr>
                                                                                                          <w:divsChild>
                                                                                                            <w:div w:id="924152380">
                                                                                                              <w:marLeft w:val="0"/>
                                                                                                              <w:marRight w:val="0"/>
                                                                                                              <w:marTop w:val="0"/>
                                                                                                              <w:marBottom w:val="0"/>
                                                                                                              <w:divBdr>
                                                                                                                <w:top w:val="none" w:sz="0" w:space="0" w:color="auto"/>
                                                                                                                <w:left w:val="none" w:sz="0" w:space="0" w:color="auto"/>
                                                                                                                <w:bottom w:val="none" w:sz="0" w:space="0" w:color="auto"/>
                                                                                                                <w:right w:val="none" w:sz="0" w:space="0" w:color="auto"/>
                                                                                                              </w:divBdr>
                                                                                                              <w:divsChild>
                                                                                                                <w:div w:id="2036038239">
                                                                                                                  <w:marLeft w:val="0"/>
                                                                                                                  <w:marRight w:val="0"/>
                                                                                                                  <w:marTop w:val="0"/>
                                                                                                                  <w:marBottom w:val="0"/>
                                                                                                                  <w:divBdr>
                                                                                                                    <w:top w:val="none" w:sz="0" w:space="0" w:color="auto"/>
                                                                                                                    <w:left w:val="none" w:sz="0" w:space="0" w:color="auto"/>
                                                                                                                    <w:bottom w:val="none" w:sz="0" w:space="0" w:color="auto"/>
                                                                                                                    <w:right w:val="none" w:sz="0" w:space="0" w:color="auto"/>
                                                                                                                  </w:divBdr>
                                                                                                                  <w:divsChild>
                                                                                                                    <w:div w:id="875848284">
                                                                                                                      <w:marLeft w:val="0"/>
                                                                                                                      <w:marRight w:val="0"/>
                                                                                                                      <w:marTop w:val="0"/>
                                                                                                                      <w:marBottom w:val="0"/>
                                                                                                                      <w:divBdr>
                                                                                                                        <w:top w:val="none" w:sz="0" w:space="0" w:color="auto"/>
                                                                                                                        <w:left w:val="none" w:sz="0" w:space="0" w:color="auto"/>
                                                                                                                        <w:bottom w:val="none" w:sz="0" w:space="0" w:color="auto"/>
                                                                                                                        <w:right w:val="none" w:sz="0" w:space="0" w:color="auto"/>
                                                                                                                      </w:divBdr>
                                                                                                                    </w:div>
                                                                                                                    <w:div w:id="1756441943">
                                                                                                                      <w:marLeft w:val="0"/>
                                                                                                                      <w:marRight w:val="0"/>
                                                                                                                      <w:marTop w:val="30"/>
                                                                                                                      <w:marBottom w:val="0"/>
                                                                                                                      <w:divBdr>
                                                                                                                        <w:top w:val="none" w:sz="0" w:space="0" w:color="auto"/>
                                                                                                                        <w:left w:val="none" w:sz="0" w:space="0" w:color="auto"/>
                                                                                                                        <w:bottom w:val="none" w:sz="0" w:space="0" w:color="auto"/>
                                                                                                                        <w:right w:val="none" w:sz="0" w:space="0" w:color="auto"/>
                                                                                                                      </w:divBdr>
                                                                                                                      <w:divsChild>
                                                                                                                        <w:div w:id="2614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9341">
                                                                                          <w:marLeft w:val="0"/>
                                                                                          <w:marRight w:val="0"/>
                                                                                          <w:marTop w:val="0"/>
                                                                                          <w:marBottom w:val="0"/>
                                                                                          <w:divBdr>
                                                                                            <w:top w:val="none" w:sz="0" w:space="0" w:color="auto"/>
                                                                                            <w:left w:val="none" w:sz="0" w:space="0" w:color="auto"/>
                                                                                            <w:bottom w:val="none" w:sz="0" w:space="0" w:color="auto"/>
                                                                                            <w:right w:val="none" w:sz="0" w:space="0" w:color="auto"/>
                                                                                          </w:divBdr>
                                                                                          <w:divsChild>
                                                                                            <w:div w:id="1651060408">
                                                                                              <w:marLeft w:val="0"/>
                                                                                              <w:marRight w:val="0"/>
                                                                                              <w:marTop w:val="0"/>
                                                                                              <w:marBottom w:val="0"/>
                                                                                              <w:divBdr>
                                                                                                <w:top w:val="none" w:sz="0" w:space="0" w:color="auto"/>
                                                                                                <w:left w:val="none" w:sz="0" w:space="0" w:color="auto"/>
                                                                                                <w:bottom w:val="none" w:sz="0" w:space="0" w:color="auto"/>
                                                                                                <w:right w:val="none" w:sz="0" w:space="0" w:color="auto"/>
                                                                                              </w:divBdr>
                                                                                              <w:divsChild>
                                                                                                <w:div w:id="509682670">
                                                                                                  <w:marLeft w:val="0"/>
                                                                                                  <w:marRight w:val="0"/>
                                                                                                  <w:marTop w:val="0"/>
                                                                                                  <w:marBottom w:val="0"/>
                                                                                                  <w:divBdr>
                                                                                                    <w:top w:val="none" w:sz="0" w:space="0" w:color="auto"/>
                                                                                                    <w:left w:val="none" w:sz="0" w:space="0" w:color="auto"/>
                                                                                                    <w:bottom w:val="none" w:sz="0" w:space="0" w:color="auto"/>
                                                                                                    <w:right w:val="none" w:sz="0" w:space="0" w:color="auto"/>
                                                                                                  </w:divBdr>
                                                                                                  <w:divsChild>
                                                                                                    <w:div w:id="764770914">
                                                                                                      <w:marLeft w:val="0"/>
                                                                                                      <w:marRight w:val="0"/>
                                                                                                      <w:marTop w:val="0"/>
                                                                                                      <w:marBottom w:val="0"/>
                                                                                                      <w:divBdr>
                                                                                                        <w:top w:val="none" w:sz="0" w:space="0" w:color="auto"/>
                                                                                                        <w:left w:val="none" w:sz="0" w:space="0" w:color="auto"/>
                                                                                                        <w:bottom w:val="none" w:sz="0" w:space="0" w:color="auto"/>
                                                                                                        <w:right w:val="none" w:sz="0" w:space="0" w:color="auto"/>
                                                                                                      </w:divBdr>
                                                                                                      <w:divsChild>
                                                                                                        <w:div w:id="245918368">
                                                                                                          <w:marLeft w:val="0"/>
                                                                                                          <w:marRight w:val="0"/>
                                                                                                          <w:marTop w:val="0"/>
                                                                                                          <w:marBottom w:val="0"/>
                                                                                                          <w:divBdr>
                                                                                                            <w:top w:val="none" w:sz="0" w:space="0" w:color="auto"/>
                                                                                                            <w:left w:val="none" w:sz="0" w:space="0" w:color="auto"/>
                                                                                                            <w:bottom w:val="none" w:sz="0" w:space="0" w:color="auto"/>
                                                                                                            <w:right w:val="none" w:sz="0" w:space="0" w:color="auto"/>
                                                                                                          </w:divBdr>
                                                                                                        </w:div>
                                                                                                        <w:div w:id="1465275832">
                                                                                                          <w:marLeft w:val="0"/>
                                                                                                          <w:marRight w:val="0"/>
                                                                                                          <w:marTop w:val="0"/>
                                                                                                          <w:marBottom w:val="0"/>
                                                                                                          <w:divBdr>
                                                                                                            <w:top w:val="none" w:sz="0" w:space="0" w:color="auto"/>
                                                                                                            <w:left w:val="none" w:sz="0" w:space="0" w:color="auto"/>
                                                                                                            <w:bottom w:val="none" w:sz="0" w:space="0" w:color="auto"/>
                                                                                                            <w:right w:val="none" w:sz="0" w:space="0" w:color="auto"/>
                                                                                                          </w:divBdr>
                                                                                                          <w:divsChild>
                                                                                                            <w:div w:id="1227106249">
                                                                                                              <w:marLeft w:val="0"/>
                                                                                                              <w:marRight w:val="0"/>
                                                                                                              <w:marTop w:val="0"/>
                                                                                                              <w:marBottom w:val="0"/>
                                                                                                              <w:divBdr>
                                                                                                                <w:top w:val="none" w:sz="0" w:space="0" w:color="auto"/>
                                                                                                                <w:left w:val="none" w:sz="0" w:space="0" w:color="auto"/>
                                                                                                                <w:bottom w:val="none" w:sz="0" w:space="0" w:color="auto"/>
                                                                                                                <w:right w:val="none" w:sz="0" w:space="0" w:color="auto"/>
                                                                                                              </w:divBdr>
                                                                                                              <w:divsChild>
                                                                                                                <w:div w:id="362101462">
                                                                                                                  <w:marLeft w:val="0"/>
                                                                                                                  <w:marRight w:val="0"/>
                                                                                                                  <w:marTop w:val="0"/>
                                                                                                                  <w:marBottom w:val="0"/>
                                                                                                                  <w:divBdr>
                                                                                                                    <w:top w:val="none" w:sz="0" w:space="0" w:color="auto"/>
                                                                                                                    <w:left w:val="none" w:sz="0" w:space="0" w:color="auto"/>
                                                                                                                    <w:bottom w:val="none" w:sz="0" w:space="0" w:color="auto"/>
                                                                                                                    <w:right w:val="none" w:sz="0" w:space="0" w:color="auto"/>
                                                                                                                  </w:divBdr>
                                                                                                                  <w:divsChild>
                                                                                                                    <w:div w:id="270473832">
                                                                                                                      <w:marLeft w:val="0"/>
                                                                                                                      <w:marRight w:val="0"/>
                                                                                                                      <w:marTop w:val="0"/>
                                                                                                                      <w:marBottom w:val="0"/>
                                                                                                                      <w:divBdr>
                                                                                                                        <w:top w:val="none" w:sz="0" w:space="0" w:color="auto"/>
                                                                                                                        <w:left w:val="none" w:sz="0" w:space="0" w:color="auto"/>
                                                                                                                        <w:bottom w:val="none" w:sz="0" w:space="0" w:color="auto"/>
                                                                                                                        <w:right w:val="none" w:sz="0" w:space="0" w:color="auto"/>
                                                                                                                      </w:divBdr>
                                                                                                                      <w:divsChild>
                                                                                                                        <w:div w:id="1590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03843">
                                                                                          <w:marLeft w:val="0"/>
                                                                                          <w:marRight w:val="0"/>
                                                                                          <w:marTop w:val="0"/>
                                                                                          <w:marBottom w:val="0"/>
                                                                                          <w:divBdr>
                                                                                            <w:top w:val="none" w:sz="0" w:space="0" w:color="auto"/>
                                                                                            <w:left w:val="none" w:sz="0" w:space="0" w:color="auto"/>
                                                                                            <w:bottom w:val="none" w:sz="0" w:space="0" w:color="auto"/>
                                                                                            <w:right w:val="none" w:sz="0" w:space="0" w:color="auto"/>
                                                                                          </w:divBdr>
                                                                                          <w:divsChild>
                                                                                            <w:div w:id="856163128">
                                                                                              <w:marLeft w:val="0"/>
                                                                                              <w:marRight w:val="0"/>
                                                                                              <w:marTop w:val="0"/>
                                                                                              <w:marBottom w:val="0"/>
                                                                                              <w:divBdr>
                                                                                                <w:top w:val="none" w:sz="0" w:space="0" w:color="auto"/>
                                                                                                <w:left w:val="none" w:sz="0" w:space="0" w:color="auto"/>
                                                                                                <w:bottom w:val="none" w:sz="0" w:space="0" w:color="auto"/>
                                                                                                <w:right w:val="none" w:sz="0" w:space="0" w:color="auto"/>
                                                                                              </w:divBdr>
                                                                                              <w:divsChild>
                                                                                                <w:div w:id="1815441000">
                                                                                                  <w:marLeft w:val="0"/>
                                                                                                  <w:marRight w:val="0"/>
                                                                                                  <w:marTop w:val="0"/>
                                                                                                  <w:marBottom w:val="0"/>
                                                                                                  <w:divBdr>
                                                                                                    <w:top w:val="none" w:sz="0" w:space="0" w:color="auto"/>
                                                                                                    <w:left w:val="none" w:sz="0" w:space="0" w:color="auto"/>
                                                                                                    <w:bottom w:val="none" w:sz="0" w:space="0" w:color="auto"/>
                                                                                                    <w:right w:val="none" w:sz="0" w:space="0" w:color="auto"/>
                                                                                                  </w:divBdr>
                                                                                                  <w:divsChild>
                                                                                                    <w:div w:id="1717774962">
                                                                                                      <w:marLeft w:val="0"/>
                                                                                                      <w:marRight w:val="0"/>
                                                                                                      <w:marTop w:val="0"/>
                                                                                                      <w:marBottom w:val="0"/>
                                                                                                      <w:divBdr>
                                                                                                        <w:top w:val="none" w:sz="0" w:space="0" w:color="auto"/>
                                                                                                        <w:left w:val="none" w:sz="0" w:space="0" w:color="auto"/>
                                                                                                        <w:bottom w:val="none" w:sz="0" w:space="0" w:color="auto"/>
                                                                                                        <w:right w:val="none" w:sz="0" w:space="0" w:color="auto"/>
                                                                                                      </w:divBdr>
                                                                                                      <w:divsChild>
                                                                                                        <w:div w:id="147063264">
                                                                                                          <w:marLeft w:val="0"/>
                                                                                                          <w:marRight w:val="0"/>
                                                                                                          <w:marTop w:val="0"/>
                                                                                                          <w:marBottom w:val="0"/>
                                                                                                          <w:divBdr>
                                                                                                            <w:top w:val="none" w:sz="0" w:space="0" w:color="auto"/>
                                                                                                            <w:left w:val="none" w:sz="0" w:space="0" w:color="auto"/>
                                                                                                            <w:bottom w:val="none" w:sz="0" w:space="0" w:color="auto"/>
                                                                                                            <w:right w:val="none" w:sz="0" w:space="0" w:color="auto"/>
                                                                                                          </w:divBdr>
                                                                                                        </w:div>
                                                                                                        <w:div w:id="1180507628">
                                                                                                          <w:marLeft w:val="0"/>
                                                                                                          <w:marRight w:val="0"/>
                                                                                                          <w:marTop w:val="0"/>
                                                                                                          <w:marBottom w:val="0"/>
                                                                                                          <w:divBdr>
                                                                                                            <w:top w:val="none" w:sz="0" w:space="0" w:color="auto"/>
                                                                                                            <w:left w:val="none" w:sz="0" w:space="0" w:color="auto"/>
                                                                                                            <w:bottom w:val="none" w:sz="0" w:space="0" w:color="auto"/>
                                                                                                            <w:right w:val="none" w:sz="0" w:space="0" w:color="auto"/>
                                                                                                          </w:divBdr>
                                                                                                          <w:divsChild>
                                                                                                            <w:div w:id="1004087404">
                                                                                                              <w:marLeft w:val="0"/>
                                                                                                              <w:marRight w:val="0"/>
                                                                                                              <w:marTop w:val="0"/>
                                                                                                              <w:marBottom w:val="0"/>
                                                                                                              <w:divBdr>
                                                                                                                <w:top w:val="none" w:sz="0" w:space="0" w:color="auto"/>
                                                                                                                <w:left w:val="none" w:sz="0" w:space="0" w:color="auto"/>
                                                                                                                <w:bottom w:val="none" w:sz="0" w:space="0" w:color="auto"/>
                                                                                                                <w:right w:val="none" w:sz="0" w:space="0" w:color="auto"/>
                                                                                                              </w:divBdr>
                                                                                                              <w:divsChild>
                                                                                                                <w:div w:id="907611068">
                                                                                                                  <w:marLeft w:val="0"/>
                                                                                                                  <w:marRight w:val="0"/>
                                                                                                                  <w:marTop w:val="0"/>
                                                                                                                  <w:marBottom w:val="0"/>
                                                                                                                  <w:divBdr>
                                                                                                                    <w:top w:val="none" w:sz="0" w:space="0" w:color="auto"/>
                                                                                                                    <w:left w:val="none" w:sz="0" w:space="0" w:color="auto"/>
                                                                                                                    <w:bottom w:val="none" w:sz="0" w:space="0" w:color="auto"/>
                                                                                                                    <w:right w:val="none" w:sz="0" w:space="0" w:color="auto"/>
                                                                                                                  </w:divBdr>
                                                                                                                  <w:divsChild>
                                                                                                                    <w:div w:id="895509736">
                                                                                                                      <w:marLeft w:val="0"/>
                                                                                                                      <w:marRight w:val="0"/>
                                                                                                                      <w:marTop w:val="0"/>
                                                                                                                      <w:marBottom w:val="0"/>
                                                                                                                      <w:divBdr>
                                                                                                                        <w:top w:val="none" w:sz="0" w:space="0" w:color="auto"/>
                                                                                                                        <w:left w:val="none" w:sz="0" w:space="0" w:color="auto"/>
                                                                                                                        <w:bottom w:val="none" w:sz="0" w:space="0" w:color="auto"/>
                                                                                                                        <w:right w:val="none" w:sz="0" w:space="0" w:color="auto"/>
                                                                                                                      </w:divBdr>
                                                                                                                      <w:divsChild>
                                                                                                                        <w:div w:id="1483347110">
                                                                                                                          <w:marLeft w:val="0"/>
                                                                                                                          <w:marRight w:val="0"/>
                                                                                                                          <w:marTop w:val="0"/>
                                                                                                                          <w:marBottom w:val="0"/>
                                                                                                                          <w:divBdr>
                                                                                                                            <w:top w:val="none" w:sz="0" w:space="0" w:color="auto"/>
                                                                                                                            <w:left w:val="none" w:sz="0" w:space="0" w:color="auto"/>
                                                                                                                            <w:bottom w:val="none" w:sz="0" w:space="0" w:color="auto"/>
                                                                                                                            <w:right w:val="none" w:sz="0" w:space="0" w:color="auto"/>
                                                                                                                          </w:divBdr>
                                                                                                                          <w:divsChild>
                                                                                                                            <w:div w:id="1840342869">
                                                                                                                              <w:marLeft w:val="0"/>
                                                                                                                              <w:marRight w:val="0"/>
                                                                                                                              <w:marTop w:val="0"/>
                                                                                                                              <w:marBottom w:val="0"/>
                                                                                                                              <w:divBdr>
                                                                                                                                <w:top w:val="none" w:sz="0" w:space="0" w:color="auto"/>
                                                                                                                                <w:left w:val="none" w:sz="0" w:space="0" w:color="auto"/>
                                                                                                                                <w:bottom w:val="none" w:sz="0" w:space="0" w:color="auto"/>
                                                                                                                                <w:right w:val="none" w:sz="0" w:space="0" w:color="auto"/>
                                                                                                                              </w:divBdr>
                                                                                                                              <w:divsChild>
                                                                                                                                <w:div w:id="85226395">
                                                                                                                                  <w:marLeft w:val="0"/>
                                                                                                                                  <w:marRight w:val="0"/>
                                                                                                                                  <w:marTop w:val="0"/>
                                                                                                                                  <w:marBottom w:val="0"/>
                                                                                                                                  <w:divBdr>
                                                                                                                                    <w:top w:val="none" w:sz="0" w:space="0" w:color="auto"/>
                                                                                                                                    <w:left w:val="none" w:sz="0" w:space="0" w:color="auto"/>
                                                                                                                                    <w:bottom w:val="none" w:sz="0" w:space="0" w:color="auto"/>
                                                                                                                                    <w:right w:val="none" w:sz="0" w:space="0" w:color="auto"/>
                                                                                                                                  </w:divBdr>
                                                                                                                                  <w:divsChild>
                                                                                                                                    <w:div w:id="2108503457">
                                                                                                                                      <w:marLeft w:val="0"/>
                                                                                                                                      <w:marRight w:val="0"/>
                                                                                                                                      <w:marTop w:val="0"/>
                                                                                                                                      <w:marBottom w:val="0"/>
                                                                                                                                      <w:divBdr>
                                                                                                                                        <w:top w:val="none" w:sz="0" w:space="0" w:color="auto"/>
                                                                                                                                        <w:left w:val="none" w:sz="0" w:space="0" w:color="auto"/>
                                                                                                                                        <w:bottom w:val="none" w:sz="0" w:space="0" w:color="auto"/>
                                                                                                                                        <w:right w:val="none" w:sz="0" w:space="0" w:color="auto"/>
                                                                                                                                      </w:divBdr>
                                                                                                                                    </w:div>
                                                                                                                                  </w:divsChild>
                                                                                                                                </w:div>
                                                                                                                                <w:div w:id="1008825121">
                                                                                                                                  <w:marLeft w:val="0"/>
                                                                                                                                  <w:marRight w:val="0"/>
                                                                                                                                  <w:marTop w:val="0"/>
                                                                                                                                  <w:marBottom w:val="0"/>
                                                                                                                                  <w:divBdr>
                                                                                                                                    <w:top w:val="none" w:sz="0" w:space="0" w:color="auto"/>
                                                                                                                                    <w:left w:val="none" w:sz="0" w:space="0" w:color="auto"/>
                                                                                                                                    <w:bottom w:val="none" w:sz="0" w:space="0" w:color="auto"/>
                                                                                                                                    <w:right w:val="none" w:sz="0" w:space="0" w:color="auto"/>
                                                                                                                                  </w:divBdr>
                                                                                                                                  <w:divsChild>
                                                                                                                                    <w:div w:id="613630515">
                                                                                                                                      <w:marLeft w:val="0"/>
                                                                                                                                      <w:marRight w:val="0"/>
                                                                                                                                      <w:marTop w:val="0"/>
                                                                                                                                      <w:marBottom w:val="0"/>
                                                                                                                                      <w:divBdr>
                                                                                                                                        <w:top w:val="none" w:sz="0" w:space="0" w:color="auto"/>
                                                                                                                                        <w:left w:val="none" w:sz="0" w:space="0" w:color="auto"/>
                                                                                                                                        <w:bottom w:val="none" w:sz="0" w:space="0" w:color="auto"/>
                                                                                                                                        <w:right w:val="none" w:sz="0" w:space="0" w:color="auto"/>
                                                                                                                                      </w:divBdr>
                                                                                                                                    </w:div>
                                                                                                                                  </w:divsChild>
                                                                                                                                </w:div>
                                                                                                                                <w:div w:id="1255095873">
                                                                                                                                  <w:marLeft w:val="0"/>
                                                                                                                                  <w:marRight w:val="0"/>
                                                                                                                                  <w:marTop w:val="0"/>
                                                                                                                                  <w:marBottom w:val="0"/>
                                                                                                                                  <w:divBdr>
                                                                                                                                    <w:top w:val="none" w:sz="0" w:space="0" w:color="auto"/>
                                                                                                                                    <w:left w:val="none" w:sz="0" w:space="0" w:color="auto"/>
                                                                                                                                    <w:bottom w:val="none" w:sz="0" w:space="0" w:color="auto"/>
                                                                                                                                    <w:right w:val="none" w:sz="0" w:space="0" w:color="auto"/>
                                                                                                                                  </w:divBdr>
                                                                                                                                  <w:divsChild>
                                                                                                                                    <w:div w:id="15637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4608653">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79991606">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3830417">
      <w:bodyDiv w:val="1"/>
      <w:marLeft w:val="0"/>
      <w:marRight w:val="0"/>
      <w:marTop w:val="0"/>
      <w:marBottom w:val="0"/>
      <w:divBdr>
        <w:top w:val="none" w:sz="0" w:space="0" w:color="auto"/>
        <w:left w:val="none" w:sz="0" w:space="0" w:color="auto"/>
        <w:bottom w:val="none" w:sz="0" w:space="0" w:color="auto"/>
        <w:right w:val="none" w:sz="0" w:space="0" w:color="auto"/>
      </w:divBdr>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13341434">
      <w:bodyDiv w:val="1"/>
      <w:marLeft w:val="0"/>
      <w:marRight w:val="0"/>
      <w:marTop w:val="0"/>
      <w:marBottom w:val="0"/>
      <w:divBdr>
        <w:top w:val="none" w:sz="0" w:space="0" w:color="auto"/>
        <w:left w:val="none" w:sz="0" w:space="0" w:color="auto"/>
        <w:bottom w:val="none" w:sz="0" w:space="0" w:color="auto"/>
        <w:right w:val="none" w:sz="0" w:space="0" w:color="auto"/>
      </w:divBdr>
    </w:div>
    <w:div w:id="325130967">
      <w:bodyDiv w:val="1"/>
      <w:marLeft w:val="0"/>
      <w:marRight w:val="0"/>
      <w:marTop w:val="0"/>
      <w:marBottom w:val="0"/>
      <w:divBdr>
        <w:top w:val="none" w:sz="0" w:space="0" w:color="auto"/>
        <w:left w:val="none" w:sz="0" w:space="0" w:color="auto"/>
        <w:bottom w:val="none" w:sz="0" w:space="0" w:color="auto"/>
        <w:right w:val="none" w:sz="0" w:space="0" w:color="auto"/>
      </w:divBdr>
    </w:div>
    <w:div w:id="325784603">
      <w:bodyDiv w:val="1"/>
      <w:marLeft w:val="0"/>
      <w:marRight w:val="0"/>
      <w:marTop w:val="0"/>
      <w:marBottom w:val="0"/>
      <w:divBdr>
        <w:top w:val="none" w:sz="0" w:space="0" w:color="auto"/>
        <w:left w:val="none" w:sz="0" w:space="0" w:color="auto"/>
        <w:bottom w:val="none" w:sz="0" w:space="0" w:color="auto"/>
        <w:right w:val="none" w:sz="0" w:space="0" w:color="auto"/>
      </w:divBdr>
    </w:div>
    <w:div w:id="327027121">
      <w:bodyDiv w:val="1"/>
      <w:marLeft w:val="0"/>
      <w:marRight w:val="0"/>
      <w:marTop w:val="0"/>
      <w:marBottom w:val="0"/>
      <w:divBdr>
        <w:top w:val="none" w:sz="0" w:space="0" w:color="auto"/>
        <w:left w:val="none" w:sz="0" w:space="0" w:color="auto"/>
        <w:bottom w:val="none" w:sz="0" w:space="0" w:color="auto"/>
        <w:right w:val="none" w:sz="0" w:space="0" w:color="auto"/>
      </w:divBdr>
    </w:div>
    <w:div w:id="353069924">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3819619">
      <w:bodyDiv w:val="1"/>
      <w:marLeft w:val="0"/>
      <w:marRight w:val="0"/>
      <w:marTop w:val="0"/>
      <w:marBottom w:val="0"/>
      <w:divBdr>
        <w:top w:val="none" w:sz="0" w:space="0" w:color="auto"/>
        <w:left w:val="none" w:sz="0" w:space="0" w:color="auto"/>
        <w:bottom w:val="none" w:sz="0" w:space="0" w:color="auto"/>
        <w:right w:val="none" w:sz="0" w:space="0" w:color="auto"/>
      </w:divBdr>
    </w:div>
    <w:div w:id="392118506">
      <w:bodyDiv w:val="1"/>
      <w:marLeft w:val="0"/>
      <w:marRight w:val="0"/>
      <w:marTop w:val="0"/>
      <w:marBottom w:val="0"/>
      <w:divBdr>
        <w:top w:val="none" w:sz="0" w:space="0" w:color="auto"/>
        <w:left w:val="none" w:sz="0" w:space="0" w:color="auto"/>
        <w:bottom w:val="none" w:sz="0" w:space="0" w:color="auto"/>
        <w:right w:val="none" w:sz="0" w:space="0" w:color="auto"/>
      </w:divBdr>
    </w:div>
    <w:div w:id="399837690">
      <w:bodyDiv w:val="1"/>
      <w:marLeft w:val="0"/>
      <w:marRight w:val="0"/>
      <w:marTop w:val="0"/>
      <w:marBottom w:val="0"/>
      <w:divBdr>
        <w:top w:val="none" w:sz="0" w:space="0" w:color="auto"/>
        <w:left w:val="none" w:sz="0" w:space="0" w:color="auto"/>
        <w:bottom w:val="none" w:sz="0" w:space="0" w:color="auto"/>
        <w:right w:val="none" w:sz="0" w:space="0" w:color="auto"/>
      </w:divBdr>
    </w:div>
    <w:div w:id="402412661">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20299657">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426733560">
      <w:bodyDiv w:val="1"/>
      <w:marLeft w:val="0"/>
      <w:marRight w:val="0"/>
      <w:marTop w:val="0"/>
      <w:marBottom w:val="0"/>
      <w:divBdr>
        <w:top w:val="none" w:sz="0" w:space="0" w:color="auto"/>
        <w:left w:val="none" w:sz="0" w:space="0" w:color="auto"/>
        <w:bottom w:val="none" w:sz="0" w:space="0" w:color="auto"/>
        <w:right w:val="none" w:sz="0" w:space="0" w:color="auto"/>
      </w:divBdr>
    </w:div>
    <w:div w:id="441609026">
      <w:bodyDiv w:val="1"/>
      <w:marLeft w:val="0"/>
      <w:marRight w:val="0"/>
      <w:marTop w:val="0"/>
      <w:marBottom w:val="0"/>
      <w:divBdr>
        <w:top w:val="none" w:sz="0" w:space="0" w:color="auto"/>
        <w:left w:val="none" w:sz="0" w:space="0" w:color="auto"/>
        <w:bottom w:val="none" w:sz="0" w:space="0" w:color="auto"/>
        <w:right w:val="none" w:sz="0" w:space="0" w:color="auto"/>
      </w:divBdr>
    </w:div>
    <w:div w:id="446704099">
      <w:bodyDiv w:val="1"/>
      <w:marLeft w:val="0"/>
      <w:marRight w:val="0"/>
      <w:marTop w:val="0"/>
      <w:marBottom w:val="0"/>
      <w:divBdr>
        <w:top w:val="none" w:sz="0" w:space="0" w:color="auto"/>
        <w:left w:val="none" w:sz="0" w:space="0" w:color="auto"/>
        <w:bottom w:val="none" w:sz="0" w:space="0" w:color="auto"/>
        <w:right w:val="none" w:sz="0" w:space="0" w:color="auto"/>
      </w:divBdr>
    </w:div>
    <w:div w:id="462388067">
      <w:bodyDiv w:val="1"/>
      <w:marLeft w:val="0"/>
      <w:marRight w:val="0"/>
      <w:marTop w:val="0"/>
      <w:marBottom w:val="0"/>
      <w:divBdr>
        <w:top w:val="none" w:sz="0" w:space="0" w:color="auto"/>
        <w:left w:val="none" w:sz="0" w:space="0" w:color="auto"/>
        <w:bottom w:val="none" w:sz="0" w:space="0" w:color="auto"/>
        <w:right w:val="none" w:sz="0" w:space="0" w:color="auto"/>
      </w:divBdr>
    </w:div>
    <w:div w:id="463036803">
      <w:bodyDiv w:val="1"/>
      <w:marLeft w:val="0"/>
      <w:marRight w:val="0"/>
      <w:marTop w:val="0"/>
      <w:marBottom w:val="0"/>
      <w:divBdr>
        <w:top w:val="none" w:sz="0" w:space="0" w:color="auto"/>
        <w:left w:val="none" w:sz="0" w:space="0" w:color="auto"/>
        <w:bottom w:val="none" w:sz="0" w:space="0" w:color="auto"/>
        <w:right w:val="none" w:sz="0" w:space="0" w:color="auto"/>
      </w:divBdr>
    </w:div>
    <w:div w:id="478807906">
      <w:bodyDiv w:val="1"/>
      <w:marLeft w:val="0"/>
      <w:marRight w:val="0"/>
      <w:marTop w:val="0"/>
      <w:marBottom w:val="0"/>
      <w:divBdr>
        <w:top w:val="none" w:sz="0" w:space="0" w:color="auto"/>
        <w:left w:val="none" w:sz="0" w:space="0" w:color="auto"/>
        <w:bottom w:val="none" w:sz="0" w:space="0" w:color="auto"/>
        <w:right w:val="none" w:sz="0" w:space="0" w:color="auto"/>
      </w:divBdr>
    </w:div>
    <w:div w:id="485047885">
      <w:bodyDiv w:val="1"/>
      <w:marLeft w:val="0"/>
      <w:marRight w:val="0"/>
      <w:marTop w:val="0"/>
      <w:marBottom w:val="0"/>
      <w:divBdr>
        <w:top w:val="none" w:sz="0" w:space="0" w:color="auto"/>
        <w:left w:val="none" w:sz="0" w:space="0" w:color="auto"/>
        <w:bottom w:val="none" w:sz="0" w:space="0" w:color="auto"/>
        <w:right w:val="none" w:sz="0" w:space="0" w:color="auto"/>
      </w:divBdr>
    </w:div>
    <w:div w:id="486633244">
      <w:bodyDiv w:val="1"/>
      <w:marLeft w:val="0"/>
      <w:marRight w:val="0"/>
      <w:marTop w:val="0"/>
      <w:marBottom w:val="0"/>
      <w:divBdr>
        <w:top w:val="none" w:sz="0" w:space="0" w:color="auto"/>
        <w:left w:val="none" w:sz="0" w:space="0" w:color="auto"/>
        <w:bottom w:val="none" w:sz="0" w:space="0" w:color="auto"/>
        <w:right w:val="none" w:sz="0" w:space="0" w:color="auto"/>
      </w:divBdr>
    </w:div>
    <w:div w:id="489517414">
      <w:bodyDiv w:val="1"/>
      <w:marLeft w:val="0"/>
      <w:marRight w:val="0"/>
      <w:marTop w:val="0"/>
      <w:marBottom w:val="0"/>
      <w:divBdr>
        <w:top w:val="none" w:sz="0" w:space="0" w:color="auto"/>
        <w:left w:val="none" w:sz="0" w:space="0" w:color="auto"/>
        <w:bottom w:val="none" w:sz="0" w:space="0" w:color="auto"/>
        <w:right w:val="none" w:sz="0" w:space="0" w:color="auto"/>
      </w:divBdr>
    </w:div>
    <w:div w:id="497573527">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0169902">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4562328">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599143805">
      <w:bodyDiv w:val="1"/>
      <w:marLeft w:val="0"/>
      <w:marRight w:val="0"/>
      <w:marTop w:val="0"/>
      <w:marBottom w:val="0"/>
      <w:divBdr>
        <w:top w:val="none" w:sz="0" w:space="0" w:color="auto"/>
        <w:left w:val="none" w:sz="0" w:space="0" w:color="auto"/>
        <w:bottom w:val="none" w:sz="0" w:space="0" w:color="auto"/>
        <w:right w:val="none" w:sz="0" w:space="0" w:color="auto"/>
      </w:divBdr>
    </w:div>
    <w:div w:id="607077838">
      <w:bodyDiv w:val="1"/>
      <w:marLeft w:val="0"/>
      <w:marRight w:val="0"/>
      <w:marTop w:val="0"/>
      <w:marBottom w:val="0"/>
      <w:divBdr>
        <w:top w:val="none" w:sz="0" w:space="0" w:color="auto"/>
        <w:left w:val="none" w:sz="0" w:space="0" w:color="auto"/>
        <w:bottom w:val="none" w:sz="0" w:space="0" w:color="auto"/>
        <w:right w:val="none" w:sz="0" w:space="0" w:color="auto"/>
      </w:divBdr>
    </w:div>
    <w:div w:id="609052534">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28516711">
      <w:bodyDiv w:val="1"/>
      <w:marLeft w:val="0"/>
      <w:marRight w:val="0"/>
      <w:marTop w:val="0"/>
      <w:marBottom w:val="0"/>
      <w:divBdr>
        <w:top w:val="none" w:sz="0" w:space="0" w:color="auto"/>
        <w:left w:val="none" w:sz="0" w:space="0" w:color="auto"/>
        <w:bottom w:val="none" w:sz="0" w:space="0" w:color="auto"/>
        <w:right w:val="none" w:sz="0" w:space="0" w:color="auto"/>
      </w:divBdr>
    </w:div>
    <w:div w:id="677007695">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9842906">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31004729">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789515567">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19931819">
      <w:bodyDiv w:val="1"/>
      <w:marLeft w:val="0"/>
      <w:marRight w:val="0"/>
      <w:marTop w:val="0"/>
      <w:marBottom w:val="0"/>
      <w:divBdr>
        <w:top w:val="none" w:sz="0" w:space="0" w:color="auto"/>
        <w:left w:val="none" w:sz="0" w:space="0" w:color="auto"/>
        <w:bottom w:val="none" w:sz="0" w:space="0" w:color="auto"/>
        <w:right w:val="none" w:sz="0" w:space="0" w:color="auto"/>
      </w:divBdr>
    </w:div>
    <w:div w:id="822353586">
      <w:bodyDiv w:val="1"/>
      <w:marLeft w:val="0"/>
      <w:marRight w:val="0"/>
      <w:marTop w:val="0"/>
      <w:marBottom w:val="0"/>
      <w:divBdr>
        <w:top w:val="none" w:sz="0" w:space="0" w:color="auto"/>
        <w:left w:val="none" w:sz="0" w:space="0" w:color="auto"/>
        <w:bottom w:val="none" w:sz="0" w:space="0" w:color="auto"/>
        <w:right w:val="none" w:sz="0" w:space="0" w:color="auto"/>
      </w:divBdr>
    </w:div>
    <w:div w:id="827938962">
      <w:bodyDiv w:val="1"/>
      <w:marLeft w:val="0"/>
      <w:marRight w:val="0"/>
      <w:marTop w:val="0"/>
      <w:marBottom w:val="0"/>
      <w:divBdr>
        <w:top w:val="none" w:sz="0" w:space="0" w:color="auto"/>
        <w:left w:val="none" w:sz="0" w:space="0" w:color="auto"/>
        <w:bottom w:val="none" w:sz="0" w:space="0" w:color="auto"/>
        <w:right w:val="none" w:sz="0" w:space="0" w:color="auto"/>
      </w:divBdr>
    </w:div>
    <w:div w:id="832333541">
      <w:bodyDiv w:val="1"/>
      <w:marLeft w:val="0"/>
      <w:marRight w:val="0"/>
      <w:marTop w:val="0"/>
      <w:marBottom w:val="0"/>
      <w:divBdr>
        <w:top w:val="none" w:sz="0" w:space="0" w:color="auto"/>
        <w:left w:val="none" w:sz="0" w:space="0" w:color="auto"/>
        <w:bottom w:val="none" w:sz="0" w:space="0" w:color="auto"/>
        <w:right w:val="none" w:sz="0" w:space="0" w:color="auto"/>
      </w:divBdr>
    </w:div>
    <w:div w:id="849221258">
      <w:bodyDiv w:val="1"/>
      <w:marLeft w:val="0"/>
      <w:marRight w:val="0"/>
      <w:marTop w:val="0"/>
      <w:marBottom w:val="0"/>
      <w:divBdr>
        <w:top w:val="none" w:sz="0" w:space="0" w:color="auto"/>
        <w:left w:val="none" w:sz="0" w:space="0" w:color="auto"/>
        <w:bottom w:val="none" w:sz="0" w:space="0" w:color="auto"/>
        <w:right w:val="none" w:sz="0" w:space="0" w:color="auto"/>
      </w:divBdr>
    </w:div>
    <w:div w:id="862549219">
      <w:bodyDiv w:val="1"/>
      <w:marLeft w:val="0"/>
      <w:marRight w:val="0"/>
      <w:marTop w:val="0"/>
      <w:marBottom w:val="0"/>
      <w:divBdr>
        <w:top w:val="none" w:sz="0" w:space="0" w:color="auto"/>
        <w:left w:val="none" w:sz="0" w:space="0" w:color="auto"/>
        <w:bottom w:val="none" w:sz="0" w:space="0" w:color="auto"/>
        <w:right w:val="none" w:sz="0" w:space="0" w:color="auto"/>
      </w:divBdr>
    </w:div>
    <w:div w:id="869151403">
      <w:bodyDiv w:val="1"/>
      <w:marLeft w:val="0"/>
      <w:marRight w:val="0"/>
      <w:marTop w:val="0"/>
      <w:marBottom w:val="0"/>
      <w:divBdr>
        <w:top w:val="none" w:sz="0" w:space="0" w:color="auto"/>
        <w:left w:val="none" w:sz="0" w:space="0" w:color="auto"/>
        <w:bottom w:val="none" w:sz="0" w:space="0" w:color="auto"/>
        <w:right w:val="none" w:sz="0" w:space="0" w:color="auto"/>
      </w:divBdr>
    </w:div>
    <w:div w:id="88807940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6864478">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02914989">
      <w:bodyDiv w:val="1"/>
      <w:marLeft w:val="0"/>
      <w:marRight w:val="0"/>
      <w:marTop w:val="0"/>
      <w:marBottom w:val="0"/>
      <w:divBdr>
        <w:top w:val="none" w:sz="0" w:space="0" w:color="auto"/>
        <w:left w:val="none" w:sz="0" w:space="0" w:color="auto"/>
        <w:bottom w:val="none" w:sz="0" w:space="0" w:color="auto"/>
        <w:right w:val="none" w:sz="0" w:space="0" w:color="auto"/>
      </w:divBdr>
    </w:div>
    <w:div w:id="964581383">
      <w:bodyDiv w:val="1"/>
      <w:marLeft w:val="0"/>
      <w:marRight w:val="0"/>
      <w:marTop w:val="0"/>
      <w:marBottom w:val="0"/>
      <w:divBdr>
        <w:top w:val="none" w:sz="0" w:space="0" w:color="auto"/>
        <w:left w:val="none" w:sz="0" w:space="0" w:color="auto"/>
        <w:bottom w:val="none" w:sz="0" w:space="0" w:color="auto"/>
        <w:right w:val="none" w:sz="0" w:space="0" w:color="auto"/>
      </w:divBdr>
    </w:div>
    <w:div w:id="970596323">
      <w:bodyDiv w:val="1"/>
      <w:marLeft w:val="0"/>
      <w:marRight w:val="0"/>
      <w:marTop w:val="0"/>
      <w:marBottom w:val="0"/>
      <w:divBdr>
        <w:top w:val="none" w:sz="0" w:space="0" w:color="auto"/>
        <w:left w:val="none" w:sz="0" w:space="0" w:color="auto"/>
        <w:bottom w:val="none" w:sz="0" w:space="0" w:color="auto"/>
        <w:right w:val="none" w:sz="0" w:space="0" w:color="auto"/>
      </w:divBdr>
    </w:div>
    <w:div w:id="986056070">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16032407">
      <w:bodyDiv w:val="1"/>
      <w:marLeft w:val="0"/>
      <w:marRight w:val="0"/>
      <w:marTop w:val="0"/>
      <w:marBottom w:val="0"/>
      <w:divBdr>
        <w:top w:val="none" w:sz="0" w:space="0" w:color="auto"/>
        <w:left w:val="none" w:sz="0" w:space="0" w:color="auto"/>
        <w:bottom w:val="none" w:sz="0" w:space="0" w:color="auto"/>
        <w:right w:val="none" w:sz="0" w:space="0" w:color="auto"/>
      </w:divBdr>
    </w:div>
    <w:div w:id="1033074716">
      <w:bodyDiv w:val="1"/>
      <w:marLeft w:val="0"/>
      <w:marRight w:val="0"/>
      <w:marTop w:val="0"/>
      <w:marBottom w:val="0"/>
      <w:divBdr>
        <w:top w:val="none" w:sz="0" w:space="0" w:color="auto"/>
        <w:left w:val="none" w:sz="0" w:space="0" w:color="auto"/>
        <w:bottom w:val="none" w:sz="0" w:space="0" w:color="auto"/>
        <w:right w:val="none" w:sz="0" w:space="0" w:color="auto"/>
      </w:divBdr>
    </w:div>
    <w:div w:id="1043410226">
      <w:bodyDiv w:val="1"/>
      <w:marLeft w:val="0"/>
      <w:marRight w:val="0"/>
      <w:marTop w:val="0"/>
      <w:marBottom w:val="0"/>
      <w:divBdr>
        <w:top w:val="none" w:sz="0" w:space="0" w:color="auto"/>
        <w:left w:val="none" w:sz="0" w:space="0" w:color="auto"/>
        <w:bottom w:val="none" w:sz="0" w:space="0" w:color="auto"/>
        <w:right w:val="none" w:sz="0" w:space="0" w:color="auto"/>
      </w:divBdr>
    </w:div>
    <w:div w:id="1046370718">
      <w:bodyDiv w:val="1"/>
      <w:marLeft w:val="0"/>
      <w:marRight w:val="0"/>
      <w:marTop w:val="0"/>
      <w:marBottom w:val="0"/>
      <w:divBdr>
        <w:top w:val="none" w:sz="0" w:space="0" w:color="auto"/>
        <w:left w:val="none" w:sz="0" w:space="0" w:color="auto"/>
        <w:bottom w:val="none" w:sz="0" w:space="0" w:color="auto"/>
        <w:right w:val="none" w:sz="0" w:space="0" w:color="auto"/>
      </w:divBdr>
    </w:div>
    <w:div w:id="1053505642">
      <w:bodyDiv w:val="1"/>
      <w:marLeft w:val="0"/>
      <w:marRight w:val="0"/>
      <w:marTop w:val="0"/>
      <w:marBottom w:val="0"/>
      <w:divBdr>
        <w:top w:val="none" w:sz="0" w:space="0" w:color="auto"/>
        <w:left w:val="none" w:sz="0" w:space="0" w:color="auto"/>
        <w:bottom w:val="none" w:sz="0" w:space="0" w:color="auto"/>
        <w:right w:val="none" w:sz="0" w:space="0" w:color="auto"/>
      </w:divBdr>
    </w:div>
    <w:div w:id="1066293725">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081753162">
      <w:bodyDiv w:val="1"/>
      <w:marLeft w:val="0"/>
      <w:marRight w:val="0"/>
      <w:marTop w:val="0"/>
      <w:marBottom w:val="0"/>
      <w:divBdr>
        <w:top w:val="none" w:sz="0" w:space="0" w:color="auto"/>
        <w:left w:val="none" w:sz="0" w:space="0" w:color="auto"/>
        <w:bottom w:val="none" w:sz="0" w:space="0" w:color="auto"/>
        <w:right w:val="none" w:sz="0" w:space="0" w:color="auto"/>
      </w:divBdr>
    </w:div>
    <w:div w:id="1086222801">
      <w:bodyDiv w:val="1"/>
      <w:marLeft w:val="0"/>
      <w:marRight w:val="0"/>
      <w:marTop w:val="0"/>
      <w:marBottom w:val="0"/>
      <w:divBdr>
        <w:top w:val="none" w:sz="0" w:space="0" w:color="auto"/>
        <w:left w:val="none" w:sz="0" w:space="0" w:color="auto"/>
        <w:bottom w:val="none" w:sz="0" w:space="0" w:color="auto"/>
        <w:right w:val="none" w:sz="0" w:space="0" w:color="auto"/>
      </w:divBdr>
    </w:div>
    <w:div w:id="1140071065">
      <w:bodyDiv w:val="1"/>
      <w:marLeft w:val="0"/>
      <w:marRight w:val="0"/>
      <w:marTop w:val="0"/>
      <w:marBottom w:val="0"/>
      <w:divBdr>
        <w:top w:val="none" w:sz="0" w:space="0" w:color="auto"/>
        <w:left w:val="none" w:sz="0" w:space="0" w:color="auto"/>
        <w:bottom w:val="none" w:sz="0" w:space="0" w:color="auto"/>
        <w:right w:val="none" w:sz="0" w:space="0" w:color="auto"/>
      </w:divBdr>
    </w:div>
    <w:div w:id="1150711743">
      <w:bodyDiv w:val="1"/>
      <w:marLeft w:val="0"/>
      <w:marRight w:val="0"/>
      <w:marTop w:val="0"/>
      <w:marBottom w:val="0"/>
      <w:divBdr>
        <w:top w:val="none" w:sz="0" w:space="0" w:color="auto"/>
        <w:left w:val="none" w:sz="0" w:space="0" w:color="auto"/>
        <w:bottom w:val="none" w:sz="0" w:space="0" w:color="auto"/>
        <w:right w:val="none" w:sz="0" w:space="0" w:color="auto"/>
      </w:divBdr>
    </w:div>
    <w:div w:id="1199930157">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17013415">
      <w:bodyDiv w:val="1"/>
      <w:marLeft w:val="0"/>
      <w:marRight w:val="0"/>
      <w:marTop w:val="0"/>
      <w:marBottom w:val="0"/>
      <w:divBdr>
        <w:top w:val="none" w:sz="0" w:space="0" w:color="auto"/>
        <w:left w:val="none" w:sz="0" w:space="0" w:color="auto"/>
        <w:bottom w:val="none" w:sz="0" w:space="0" w:color="auto"/>
        <w:right w:val="none" w:sz="0" w:space="0" w:color="auto"/>
      </w:divBdr>
      <w:divsChild>
        <w:div w:id="852765216">
          <w:marLeft w:val="0"/>
          <w:marRight w:val="0"/>
          <w:marTop w:val="0"/>
          <w:marBottom w:val="0"/>
          <w:divBdr>
            <w:top w:val="none" w:sz="0" w:space="0" w:color="auto"/>
            <w:left w:val="none" w:sz="0" w:space="0" w:color="auto"/>
            <w:bottom w:val="none" w:sz="0" w:space="0" w:color="auto"/>
            <w:right w:val="none" w:sz="0" w:space="0" w:color="auto"/>
          </w:divBdr>
          <w:divsChild>
            <w:div w:id="1620142839">
              <w:marLeft w:val="0"/>
              <w:marRight w:val="0"/>
              <w:marTop w:val="0"/>
              <w:marBottom w:val="0"/>
              <w:divBdr>
                <w:top w:val="none" w:sz="0" w:space="0" w:color="auto"/>
                <w:left w:val="none" w:sz="0" w:space="0" w:color="auto"/>
                <w:bottom w:val="none" w:sz="0" w:space="0" w:color="auto"/>
                <w:right w:val="none" w:sz="0" w:space="0" w:color="auto"/>
              </w:divBdr>
              <w:divsChild>
                <w:div w:id="217277977">
                  <w:marLeft w:val="0"/>
                  <w:marRight w:val="0"/>
                  <w:marTop w:val="0"/>
                  <w:marBottom w:val="0"/>
                  <w:divBdr>
                    <w:top w:val="none" w:sz="0" w:space="0" w:color="auto"/>
                    <w:left w:val="none" w:sz="0" w:space="0" w:color="auto"/>
                    <w:bottom w:val="none" w:sz="0" w:space="0" w:color="auto"/>
                    <w:right w:val="none" w:sz="0" w:space="0" w:color="auto"/>
                  </w:divBdr>
                  <w:divsChild>
                    <w:div w:id="1217861023">
                      <w:marLeft w:val="0"/>
                      <w:marRight w:val="0"/>
                      <w:marTop w:val="0"/>
                      <w:marBottom w:val="0"/>
                      <w:divBdr>
                        <w:top w:val="none" w:sz="0" w:space="0" w:color="auto"/>
                        <w:left w:val="none" w:sz="0" w:space="0" w:color="auto"/>
                        <w:bottom w:val="none" w:sz="0" w:space="0" w:color="auto"/>
                        <w:right w:val="none" w:sz="0" w:space="0" w:color="auto"/>
                      </w:divBdr>
                      <w:divsChild>
                        <w:div w:id="734549433">
                          <w:marLeft w:val="0"/>
                          <w:marRight w:val="0"/>
                          <w:marTop w:val="0"/>
                          <w:marBottom w:val="0"/>
                          <w:divBdr>
                            <w:top w:val="none" w:sz="0" w:space="0" w:color="auto"/>
                            <w:left w:val="none" w:sz="0" w:space="0" w:color="auto"/>
                            <w:bottom w:val="none" w:sz="0" w:space="0" w:color="auto"/>
                            <w:right w:val="none" w:sz="0" w:space="0" w:color="auto"/>
                          </w:divBdr>
                          <w:divsChild>
                            <w:div w:id="1976518986">
                              <w:marLeft w:val="0"/>
                              <w:marRight w:val="0"/>
                              <w:marTop w:val="0"/>
                              <w:marBottom w:val="0"/>
                              <w:divBdr>
                                <w:top w:val="none" w:sz="0" w:space="0" w:color="auto"/>
                                <w:left w:val="none" w:sz="0" w:space="0" w:color="auto"/>
                                <w:bottom w:val="none" w:sz="0" w:space="0" w:color="auto"/>
                                <w:right w:val="none" w:sz="0" w:space="0" w:color="auto"/>
                              </w:divBdr>
                              <w:divsChild>
                                <w:div w:id="1148672603">
                                  <w:marLeft w:val="0"/>
                                  <w:marRight w:val="0"/>
                                  <w:marTop w:val="0"/>
                                  <w:marBottom w:val="0"/>
                                  <w:divBdr>
                                    <w:top w:val="none" w:sz="0" w:space="0" w:color="auto"/>
                                    <w:left w:val="none" w:sz="0" w:space="0" w:color="auto"/>
                                    <w:bottom w:val="none" w:sz="0" w:space="0" w:color="auto"/>
                                    <w:right w:val="none" w:sz="0" w:space="0" w:color="auto"/>
                                  </w:divBdr>
                                  <w:divsChild>
                                    <w:div w:id="38668647">
                                      <w:marLeft w:val="0"/>
                                      <w:marRight w:val="0"/>
                                      <w:marTop w:val="0"/>
                                      <w:marBottom w:val="0"/>
                                      <w:divBdr>
                                        <w:top w:val="none" w:sz="0" w:space="0" w:color="auto"/>
                                        <w:left w:val="none" w:sz="0" w:space="0" w:color="auto"/>
                                        <w:bottom w:val="none" w:sz="0" w:space="0" w:color="auto"/>
                                        <w:right w:val="none" w:sz="0" w:space="0" w:color="auto"/>
                                      </w:divBdr>
                                      <w:divsChild>
                                        <w:div w:id="1812596917">
                                          <w:marLeft w:val="0"/>
                                          <w:marRight w:val="0"/>
                                          <w:marTop w:val="0"/>
                                          <w:marBottom w:val="0"/>
                                          <w:divBdr>
                                            <w:top w:val="none" w:sz="0" w:space="0" w:color="auto"/>
                                            <w:left w:val="none" w:sz="0" w:space="0" w:color="auto"/>
                                            <w:bottom w:val="none" w:sz="0" w:space="0" w:color="auto"/>
                                            <w:right w:val="none" w:sz="0" w:space="0" w:color="auto"/>
                                          </w:divBdr>
                                          <w:divsChild>
                                            <w:div w:id="1792093607">
                                              <w:marLeft w:val="0"/>
                                              <w:marRight w:val="0"/>
                                              <w:marTop w:val="0"/>
                                              <w:marBottom w:val="0"/>
                                              <w:divBdr>
                                                <w:top w:val="none" w:sz="0" w:space="0" w:color="auto"/>
                                                <w:left w:val="none" w:sz="0" w:space="0" w:color="auto"/>
                                                <w:bottom w:val="none" w:sz="0" w:space="0" w:color="auto"/>
                                                <w:right w:val="none" w:sz="0" w:space="0" w:color="auto"/>
                                              </w:divBdr>
                                              <w:divsChild>
                                                <w:div w:id="2006127910">
                                                  <w:marLeft w:val="0"/>
                                                  <w:marRight w:val="0"/>
                                                  <w:marTop w:val="0"/>
                                                  <w:marBottom w:val="0"/>
                                                  <w:divBdr>
                                                    <w:top w:val="none" w:sz="0" w:space="0" w:color="auto"/>
                                                    <w:left w:val="none" w:sz="0" w:space="0" w:color="auto"/>
                                                    <w:bottom w:val="none" w:sz="0" w:space="0" w:color="auto"/>
                                                    <w:right w:val="none" w:sz="0" w:space="0" w:color="auto"/>
                                                  </w:divBdr>
                                                  <w:divsChild>
                                                    <w:div w:id="204757115">
                                                      <w:marLeft w:val="0"/>
                                                      <w:marRight w:val="0"/>
                                                      <w:marTop w:val="0"/>
                                                      <w:marBottom w:val="0"/>
                                                      <w:divBdr>
                                                        <w:top w:val="none" w:sz="0" w:space="0" w:color="auto"/>
                                                        <w:left w:val="none" w:sz="0" w:space="0" w:color="auto"/>
                                                        <w:bottom w:val="none" w:sz="0" w:space="0" w:color="auto"/>
                                                        <w:right w:val="none" w:sz="0" w:space="0" w:color="auto"/>
                                                      </w:divBdr>
                                                      <w:divsChild>
                                                        <w:div w:id="1744718630">
                                                          <w:marLeft w:val="0"/>
                                                          <w:marRight w:val="0"/>
                                                          <w:marTop w:val="0"/>
                                                          <w:marBottom w:val="0"/>
                                                          <w:divBdr>
                                                            <w:top w:val="none" w:sz="0" w:space="0" w:color="auto"/>
                                                            <w:left w:val="none" w:sz="0" w:space="0" w:color="auto"/>
                                                            <w:bottom w:val="none" w:sz="0" w:space="0" w:color="auto"/>
                                                            <w:right w:val="none" w:sz="0" w:space="0" w:color="auto"/>
                                                          </w:divBdr>
                                                          <w:divsChild>
                                                            <w:div w:id="1120684697">
                                                              <w:marLeft w:val="0"/>
                                                              <w:marRight w:val="0"/>
                                                              <w:marTop w:val="0"/>
                                                              <w:marBottom w:val="0"/>
                                                              <w:divBdr>
                                                                <w:top w:val="none" w:sz="0" w:space="0" w:color="auto"/>
                                                                <w:left w:val="none" w:sz="0" w:space="0" w:color="auto"/>
                                                                <w:bottom w:val="none" w:sz="0" w:space="0" w:color="auto"/>
                                                                <w:right w:val="none" w:sz="0" w:space="0" w:color="auto"/>
                                                              </w:divBdr>
                                                              <w:divsChild>
                                                                <w:div w:id="1439980692">
                                                                  <w:marLeft w:val="0"/>
                                                                  <w:marRight w:val="0"/>
                                                                  <w:marTop w:val="0"/>
                                                                  <w:marBottom w:val="0"/>
                                                                  <w:divBdr>
                                                                    <w:top w:val="none" w:sz="0" w:space="0" w:color="auto"/>
                                                                    <w:left w:val="none" w:sz="0" w:space="0" w:color="auto"/>
                                                                    <w:bottom w:val="none" w:sz="0" w:space="0" w:color="auto"/>
                                                                    <w:right w:val="none" w:sz="0" w:space="0" w:color="auto"/>
                                                                  </w:divBdr>
                                                                  <w:divsChild>
                                                                    <w:div w:id="1159881190">
                                                                      <w:marLeft w:val="0"/>
                                                                      <w:marRight w:val="0"/>
                                                                      <w:marTop w:val="0"/>
                                                                      <w:marBottom w:val="0"/>
                                                                      <w:divBdr>
                                                                        <w:top w:val="none" w:sz="0" w:space="0" w:color="auto"/>
                                                                        <w:left w:val="none" w:sz="0" w:space="0" w:color="auto"/>
                                                                        <w:bottom w:val="none" w:sz="0" w:space="0" w:color="auto"/>
                                                                        <w:right w:val="none" w:sz="0" w:space="0" w:color="auto"/>
                                                                      </w:divBdr>
                                                                      <w:divsChild>
                                                                        <w:div w:id="1834952605">
                                                                          <w:marLeft w:val="0"/>
                                                                          <w:marRight w:val="0"/>
                                                                          <w:marTop w:val="0"/>
                                                                          <w:marBottom w:val="0"/>
                                                                          <w:divBdr>
                                                                            <w:top w:val="none" w:sz="0" w:space="0" w:color="auto"/>
                                                                            <w:left w:val="none" w:sz="0" w:space="0" w:color="auto"/>
                                                                            <w:bottom w:val="none" w:sz="0" w:space="0" w:color="auto"/>
                                                                            <w:right w:val="none" w:sz="0" w:space="0" w:color="auto"/>
                                                                          </w:divBdr>
                                                                          <w:divsChild>
                                                                            <w:div w:id="771821345">
                                                                              <w:marLeft w:val="0"/>
                                                                              <w:marRight w:val="0"/>
                                                                              <w:marTop w:val="0"/>
                                                                              <w:marBottom w:val="0"/>
                                                                              <w:divBdr>
                                                                                <w:top w:val="none" w:sz="0" w:space="0" w:color="auto"/>
                                                                                <w:left w:val="none" w:sz="0" w:space="0" w:color="auto"/>
                                                                                <w:bottom w:val="none" w:sz="0" w:space="0" w:color="auto"/>
                                                                                <w:right w:val="none" w:sz="0" w:space="0" w:color="auto"/>
                                                                              </w:divBdr>
                                                                              <w:divsChild>
                                                                                <w:div w:id="257641245">
                                                                                  <w:marLeft w:val="0"/>
                                                                                  <w:marRight w:val="0"/>
                                                                                  <w:marTop w:val="0"/>
                                                                                  <w:marBottom w:val="0"/>
                                                                                  <w:divBdr>
                                                                                    <w:top w:val="none" w:sz="0" w:space="0" w:color="auto"/>
                                                                                    <w:left w:val="none" w:sz="0" w:space="0" w:color="auto"/>
                                                                                    <w:bottom w:val="none" w:sz="0" w:space="0" w:color="auto"/>
                                                                                    <w:right w:val="none" w:sz="0" w:space="0" w:color="auto"/>
                                                                                  </w:divBdr>
                                                                                  <w:divsChild>
                                                                                    <w:div w:id="1487283593">
                                                                                      <w:marLeft w:val="120"/>
                                                                                      <w:marRight w:val="0"/>
                                                                                      <w:marTop w:val="60"/>
                                                                                      <w:marBottom w:val="60"/>
                                                                                      <w:divBdr>
                                                                                        <w:top w:val="none" w:sz="0" w:space="0" w:color="auto"/>
                                                                                        <w:left w:val="none" w:sz="0" w:space="0" w:color="auto"/>
                                                                                        <w:bottom w:val="none" w:sz="0" w:space="0" w:color="auto"/>
                                                                                        <w:right w:val="none" w:sz="0" w:space="0" w:color="auto"/>
                                                                                      </w:divBdr>
                                                                                      <w:divsChild>
                                                                                        <w:div w:id="326059278">
                                                                                          <w:marLeft w:val="0"/>
                                                                                          <w:marRight w:val="0"/>
                                                                                          <w:marTop w:val="0"/>
                                                                                          <w:marBottom w:val="0"/>
                                                                                          <w:divBdr>
                                                                                            <w:top w:val="none" w:sz="0" w:space="0" w:color="auto"/>
                                                                                            <w:left w:val="none" w:sz="0" w:space="0" w:color="auto"/>
                                                                                            <w:bottom w:val="none" w:sz="0" w:space="0" w:color="auto"/>
                                                                                            <w:right w:val="none" w:sz="0" w:space="0" w:color="auto"/>
                                                                                          </w:divBdr>
                                                                                          <w:divsChild>
                                                                                            <w:div w:id="1265764843">
                                                                                              <w:marLeft w:val="0"/>
                                                                                              <w:marRight w:val="0"/>
                                                                                              <w:marTop w:val="0"/>
                                                                                              <w:marBottom w:val="0"/>
                                                                                              <w:divBdr>
                                                                                                <w:top w:val="none" w:sz="0" w:space="0" w:color="auto"/>
                                                                                                <w:left w:val="none" w:sz="0" w:space="0" w:color="auto"/>
                                                                                                <w:bottom w:val="none" w:sz="0" w:space="0" w:color="auto"/>
                                                                                                <w:right w:val="none" w:sz="0" w:space="0" w:color="auto"/>
                                                                                              </w:divBdr>
                                                                                              <w:divsChild>
                                                                                                <w:div w:id="293946505">
                                                                                                  <w:marLeft w:val="0"/>
                                                                                                  <w:marRight w:val="0"/>
                                                                                                  <w:marTop w:val="0"/>
                                                                                                  <w:marBottom w:val="0"/>
                                                                                                  <w:divBdr>
                                                                                                    <w:top w:val="none" w:sz="0" w:space="0" w:color="auto"/>
                                                                                                    <w:left w:val="none" w:sz="0" w:space="0" w:color="auto"/>
                                                                                                    <w:bottom w:val="none" w:sz="0" w:space="0" w:color="auto"/>
                                                                                                    <w:right w:val="none" w:sz="0" w:space="0" w:color="auto"/>
                                                                                                  </w:divBdr>
                                                                                                  <w:divsChild>
                                                                                                    <w:div w:id="1028215427">
                                                                                                      <w:marLeft w:val="0"/>
                                                                                                      <w:marRight w:val="0"/>
                                                                                                      <w:marTop w:val="0"/>
                                                                                                      <w:marBottom w:val="0"/>
                                                                                                      <w:divBdr>
                                                                                                        <w:top w:val="none" w:sz="0" w:space="0" w:color="auto"/>
                                                                                                        <w:left w:val="none" w:sz="0" w:space="0" w:color="auto"/>
                                                                                                        <w:bottom w:val="none" w:sz="0" w:space="0" w:color="auto"/>
                                                                                                        <w:right w:val="none" w:sz="0" w:space="0" w:color="auto"/>
                                                                                                      </w:divBdr>
                                                                                                      <w:divsChild>
                                                                                                        <w:div w:id="900100202">
                                                                                                          <w:marLeft w:val="0"/>
                                                                                                          <w:marRight w:val="0"/>
                                                                                                          <w:marTop w:val="0"/>
                                                                                                          <w:marBottom w:val="0"/>
                                                                                                          <w:divBdr>
                                                                                                            <w:top w:val="none" w:sz="0" w:space="0" w:color="auto"/>
                                                                                                            <w:left w:val="none" w:sz="0" w:space="0" w:color="auto"/>
                                                                                                            <w:bottom w:val="none" w:sz="0" w:space="0" w:color="auto"/>
                                                                                                            <w:right w:val="none" w:sz="0" w:space="0" w:color="auto"/>
                                                                                                          </w:divBdr>
                                                                                                        </w:div>
                                                                                                        <w:div w:id="1804730796">
                                                                                                          <w:marLeft w:val="0"/>
                                                                                                          <w:marRight w:val="0"/>
                                                                                                          <w:marTop w:val="0"/>
                                                                                                          <w:marBottom w:val="0"/>
                                                                                                          <w:divBdr>
                                                                                                            <w:top w:val="none" w:sz="0" w:space="0" w:color="auto"/>
                                                                                                            <w:left w:val="none" w:sz="0" w:space="0" w:color="auto"/>
                                                                                                            <w:bottom w:val="none" w:sz="0" w:space="0" w:color="auto"/>
                                                                                                            <w:right w:val="none" w:sz="0" w:space="0" w:color="auto"/>
                                                                                                          </w:divBdr>
                                                                                                          <w:divsChild>
                                                                                                            <w:div w:id="619071773">
                                                                                                              <w:marLeft w:val="0"/>
                                                                                                              <w:marRight w:val="0"/>
                                                                                                              <w:marTop w:val="0"/>
                                                                                                              <w:marBottom w:val="0"/>
                                                                                                              <w:divBdr>
                                                                                                                <w:top w:val="none" w:sz="0" w:space="0" w:color="auto"/>
                                                                                                                <w:left w:val="none" w:sz="0" w:space="0" w:color="auto"/>
                                                                                                                <w:bottom w:val="none" w:sz="0" w:space="0" w:color="auto"/>
                                                                                                                <w:right w:val="none" w:sz="0" w:space="0" w:color="auto"/>
                                                                                                              </w:divBdr>
                                                                                                              <w:divsChild>
                                                                                                                <w:div w:id="81224815">
                                                                                                                  <w:marLeft w:val="0"/>
                                                                                                                  <w:marRight w:val="0"/>
                                                                                                                  <w:marTop w:val="0"/>
                                                                                                                  <w:marBottom w:val="0"/>
                                                                                                                  <w:divBdr>
                                                                                                                    <w:top w:val="none" w:sz="0" w:space="0" w:color="auto"/>
                                                                                                                    <w:left w:val="none" w:sz="0" w:space="0" w:color="auto"/>
                                                                                                                    <w:bottom w:val="none" w:sz="0" w:space="0" w:color="auto"/>
                                                                                                                    <w:right w:val="none" w:sz="0" w:space="0" w:color="auto"/>
                                                                                                                  </w:divBdr>
                                                                                                                  <w:divsChild>
                                                                                                                    <w:div w:id="436489698">
                                                                                                                      <w:marLeft w:val="0"/>
                                                                                                                      <w:marRight w:val="0"/>
                                                                                                                      <w:marTop w:val="0"/>
                                                                                                                      <w:marBottom w:val="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16012">
                                                                                          <w:marLeft w:val="0"/>
                                                                                          <w:marRight w:val="0"/>
                                                                                          <w:marTop w:val="0"/>
                                                                                          <w:marBottom w:val="0"/>
                                                                                          <w:divBdr>
                                                                                            <w:top w:val="none" w:sz="0" w:space="0" w:color="auto"/>
                                                                                            <w:left w:val="none" w:sz="0" w:space="0" w:color="auto"/>
                                                                                            <w:bottom w:val="none" w:sz="0" w:space="0" w:color="auto"/>
                                                                                            <w:right w:val="none" w:sz="0" w:space="0" w:color="auto"/>
                                                                                          </w:divBdr>
                                                                                          <w:divsChild>
                                                                                            <w:div w:id="1704600172">
                                                                                              <w:marLeft w:val="0"/>
                                                                                              <w:marRight w:val="0"/>
                                                                                              <w:marTop w:val="0"/>
                                                                                              <w:marBottom w:val="0"/>
                                                                                              <w:divBdr>
                                                                                                <w:top w:val="none" w:sz="0" w:space="0" w:color="auto"/>
                                                                                                <w:left w:val="none" w:sz="0" w:space="0" w:color="auto"/>
                                                                                                <w:bottom w:val="none" w:sz="0" w:space="0" w:color="auto"/>
                                                                                                <w:right w:val="none" w:sz="0" w:space="0" w:color="auto"/>
                                                                                              </w:divBdr>
                                                                                              <w:divsChild>
                                                                                                <w:div w:id="1161703597">
                                                                                                  <w:marLeft w:val="0"/>
                                                                                                  <w:marRight w:val="0"/>
                                                                                                  <w:marTop w:val="0"/>
                                                                                                  <w:marBottom w:val="0"/>
                                                                                                  <w:divBdr>
                                                                                                    <w:top w:val="none" w:sz="0" w:space="0" w:color="auto"/>
                                                                                                    <w:left w:val="none" w:sz="0" w:space="0" w:color="auto"/>
                                                                                                    <w:bottom w:val="none" w:sz="0" w:space="0" w:color="auto"/>
                                                                                                    <w:right w:val="none" w:sz="0" w:space="0" w:color="auto"/>
                                                                                                  </w:divBdr>
                                                                                                  <w:divsChild>
                                                                                                    <w:div w:id="650796247">
                                                                                                      <w:marLeft w:val="0"/>
                                                                                                      <w:marRight w:val="0"/>
                                                                                                      <w:marTop w:val="0"/>
                                                                                                      <w:marBottom w:val="0"/>
                                                                                                      <w:divBdr>
                                                                                                        <w:top w:val="none" w:sz="0" w:space="0" w:color="auto"/>
                                                                                                        <w:left w:val="none" w:sz="0" w:space="0" w:color="auto"/>
                                                                                                        <w:bottom w:val="none" w:sz="0" w:space="0" w:color="auto"/>
                                                                                                        <w:right w:val="none" w:sz="0" w:space="0" w:color="auto"/>
                                                                                                      </w:divBdr>
                                                                                                      <w:divsChild>
                                                                                                        <w:div w:id="67191557">
                                                                                                          <w:marLeft w:val="0"/>
                                                                                                          <w:marRight w:val="0"/>
                                                                                                          <w:marTop w:val="0"/>
                                                                                                          <w:marBottom w:val="0"/>
                                                                                                          <w:divBdr>
                                                                                                            <w:top w:val="none" w:sz="0" w:space="0" w:color="auto"/>
                                                                                                            <w:left w:val="none" w:sz="0" w:space="0" w:color="auto"/>
                                                                                                            <w:bottom w:val="none" w:sz="0" w:space="0" w:color="auto"/>
                                                                                                            <w:right w:val="none" w:sz="0" w:space="0" w:color="auto"/>
                                                                                                          </w:divBdr>
                                                                                                          <w:divsChild>
                                                                                                            <w:div w:id="1891576788">
                                                                                                              <w:marLeft w:val="0"/>
                                                                                                              <w:marRight w:val="0"/>
                                                                                                              <w:marTop w:val="0"/>
                                                                                                              <w:marBottom w:val="0"/>
                                                                                                              <w:divBdr>
                                                                                                                <w:top w:val="none" w:sz="0" w:space="0" w:color="auto"/>
                                                                                                                <w:left w:val="none" w:sz="0" w:space="0" w:color="auto"/>
                                                                                                                <w:bottom w:val="none" w:sz="0" w:space="0" w:color="auto"/>
                                                                                                                <w:right w:val="none" w:sz="0" w:space="0" w:color="auto"/>
                                                                                                              </w:divBdr>
                                                                                                              <w:divsChild>
                                                                                                                <w:div w:id="2146503864">
                                                                                                                  <w:marLeft w:val="0"/>
                                                                                                                  <w:marRight w:val="0"/>
                                                                                                                  <w:marTop w:val="0"/>
                                                                                                                  <w:marBottom w:val="0"/>
                                                                                                                  <w:divBdr>
                                                                                                                    <w:top w:val="none" w:sz="0" w:space="0" w:color="auto"/>
                                                                                                                    <w:left w:val="none" w:sz="0" w:space="0" w:color="auto"/>
                                                                                                                    <w:bottom w:val="none" w:sz="0" w:space="0" w:color="auto"/>
                                                                                                                    <w:right w:val="none" w:sz="0" w:space="0" w:color="auto"/>
                                                                                                                  </w:divBdr>
                                                                                                                  <w:divsChild>
                                                                                                                    <w:div w:id="1477645814">
                                                                                                                      <w:marLeft w:val="0"/>
                                                                                                                      <w:marRight w:val="0"/>
                                                                                                                      <w:marTop w:val="0"/>
                                                                                                                      <w:marBottom w:val="0"/>
                                                                                                                      <w:divBdr>
                                                                                                                        <w:top w:val="none" w:sz="0" w:space="0" w:color="auto"/>
                                                                                                                        <w:left w:val="none" w:sz="0" w:space="0" w:color="auto"/>
                                                                                                                        <w:bottom w:val="none" w:sz="0" w:space="0" w:color="auto"/>
                                                                                                                        <w:right w:val="none" w:sz="0" w:space="0" w:color="auto"/>
                                                                                                                      </w:divBdr>
                                                                                                                      <w:divsChild>
                                                                                                                        <w:div w:id="1393623993">
                                                                                                                          <w:marLeft w:val="0"/>
                                                                                                                          <w:marRight w:val="0"/>
                                                                                                                          <w:marTop w:val="0"/>
                                                                                                                          <w:marBottom w:val="0"/>
                                                                                                                          <w:divBdr>
                                                                                                                            <w:top w:val="none" w:sz="0" w:space="0" w:color="auto"/>
                                                                                                                            <w:left w:val="none" w:sz="0" w:space="0" w:color="auto"/>
                                                                                                                            <w:bottom w:val="none" w:sz="0" w:space="0" w:color="auto"/>
                                                                                                                            <w:right w:val="none" w:sz="0" w:space="0" w:color="auto"/>
                                                                                                                          </w:divBdr>
                                                                                                                          <w:divsChild>
                                                                                                                            <w:div w:id="204756717">
                                                                                                                              <w:marLeft w:val="0"/>
                                                                                                                              <w:marRight w:val="0"/>
                                                                                                                              <w:marTop w:val="0"/>
                                                                                                                              <w:marBottom w:val="0"/>
                                                                                                                              <w:divBdr>
                                                                                                                                <w:top w:val="none" w:sz="0" w:space="0" w:color="auto"/>
                                                                                                                                <w:left w:val="none" w:sz="0" w:space="0" w:color="auto"/>
                                                                                                                                <w:bottom w:val="none" w:sz="0" w:space="0" w:color="auto"/>
                                                                                                                                <w:right w:val="none" w:sz="0" w:space="0" w:color="auto"/>
                                                                                                                              </w:divBdr>
                                                                                                                              <w:divsChild>
                                                                                                                                <w:div w:id="212428691">
                                                                                                                                  <w:marLeft w:val="0"/>
                                                                                                                                  <w:marRight w:val="0"/>
                                                                                                                                  <w:marTop w:val="0"/>
                                                                                                                                  <w:marBottom w:val="0"/>
                                                                                                                                  <w:divBdr>
                                                                                                                                    <w:top w:val="none" w:sz="0" w:space="0" w:color="auto"/>
                                                                                                                                    <w:left w:val="none" w:sz="0" w:space="0" w:color="auto"/>
                                                                                                                                    <w:bottom w:val="none" w:sz="0" w:space="0" w:color="auto"/>
                                                                                                                                    <w:right w:val="none" w:sz="0" w:space="0" w:color="auto"/>
                                                                                                                                  </w:divBdr>
                                                                                                                                  <w:divsChild>
                                                                                                                                    <w:div w:id="1149635385">
                                                                                                                                      <w:marLeft w:val="0"/>
                                                                                                                                      <w:marRight w:val="0"/>
                                                                                                                                      <w:marTop w:val="0"/>
                                                                                                                                      <w:marBottom w:val="0"/>
                                                                                                                                      <w:divBdr>
                                                                                                                                        <w:top w:val="none" w:sz="0" w:space="0" w:color="auto"/>
                                                                                                                                        <w:left w:val="none" w:sz="0" w:space="0" w:color="auto"/>
                                                                                                                                        <w:bottom w:val="none" w:sz="0" w:space="0" w:color="auto"/>
                                                                                                                                        <w:right w:val="none" w:sz="0" w:space="0" w:color="auto"/>
                                                                                                                                      </w:divBdr>
                                                                                                                                    </w:div>
                                                                                                                                  </w:divsChild>
                                                                                                                                </w:div>
                                                                                                                                <w:div w:id="772821383">
                                                                                                                                  <w:marLeft w:val="0"/>
                                                                                                                                  <w:marRight w:val="0"/>
                                                                                                                                  <w:marTop w:val="0"/>
                                                                                                                                  <w:marBottom w:val="0"/>
                                                                                                                                  <w:divBdr>
                                                                                                                                    <w:top w:val="none" w:sz="0" w:space="0" w:color="auto"/>
                                                                                                                                    <w:left w:val="none" w:sz="0" w:space="0" w:color="auto"/>
                                                                                                                                    <w:bottom w:val="none" w:sz="0" w:space="0" w:color="auto"/>
                                                                                                                                    <w:right w:val="none" w:sz="0" w:space="0" w:color="auto"/>
                                                                                                                                  </w:divBdr>
                                                                                                                                  <w:divsChild>
                                                                                                                                    <w:div w:id="2032797270">
                                                                                                                                      <w:marLeft w:val="0"/>
                                                                                                                                      <w:marRight w:val="0"/>
                                                                                                                                      <w:marTop w:val="0"/>
                                                                                                                                      <w:marBottom w:val="0"/>
                                                                                                                                      <w:divBdr>
                                                                                                                                        <w:top w:val="none" w:sz="0" w:space="0" w:color="auto"/>
                                                                                                                                        <w:left w:val="none" w:sz="0" w:space="0" w:color="auto"/>
                                                                                                                                        <w:bottom w:val="none" w:sz="0" w:space="0" w:color="auto"/>
                                                                                                                                        <w:right w:val="none" w:sz="0" w:space="0" w:color="auto"/>
                                                                                                                                      </w:divBdr>
                                                                                                                                    </w:div>
                                                                                                                                  </w:divsChild>
                                                                                                                                </w:div>
                                                                                                                                <w:div w:id="2052681719">
                                                                                                                                  <w:marLeft w:val="0"/>
                                                                                                                                  <w:marRight w:val="0"/>
                                                                                                                                  <w:marTop w:val="0"/>
                                                                                                                                  <w:marBottom w:val="0"/>
                                                                                                                                  <w:divBdr>
                                                                                                                                    <w:top w:val="none" w:sz="0" w:space="0" w:color="auto"/>
                                                                                                                                    <w:left w:val="none" w:sz="0" w:space="0" w:color="auto"/>
                                                                                                                                    <w:bottom w:val="none" w:sz="0" w:space="0" w:color="auto"/>
                                                                                                                                    <w:right w:val="none" w:sz="0" w:space="0" w:color="auto"/>
                                                                                                                                  </w:divBdr>
                                                                                                                                  <w:divsChild>
                                                                                                                                    <w:div w:id="16907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1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268215">
                                                                                          <w:marLeft w:val="0"/>
                                                                                          <w:marRight w:val="0"/>
                                                                                          <w:marTop w:val="0"/>
                                                                                          <w:marBottom w:val="0"/>
                                                                                          <w:divBdr>
                                                                                            <w:top w:val="none" w:sz="0" w:space="0" w:color="auto"/>
                                                                                            <w:left w:val="none" w:sz="0" w:space="0" w:color="auto"/>
                                                                                            <w:bottom w:val="none" w:sz="0" w:space="0" w:color="auto"/>
                                                                                            <w:right w:val="none" w:sz="0" w:space="0" w:color="auto"/>
                                                                                          </w:divBdr>
                                                                                          <w:divsChild>
                                                                                            <w:div w:id="1342733725">
                                                                                              <w:marLeft w:val="0"/>
                                                                                              <w:marRight w:val="0"/>
                                                                                              <w:marTop w:val="0"/>
                                                                                              <w:marBottom w:val="0"/>
                                                                                              <w:divBdr>
                                                                                                <w:top w:val="none" w:sz="0" w:space="0" w:color="auto"/>
                                                                                                <w:left w:val="none" w:sz="0" w:space="0" w:color="auto"/>
                                                                                                <w:bottom w:val="none" w:sz="0" w:space="0" w:color="auto"/>
                                                                                                <w:right w:val="none" w:sz="0" w:space="0" w:color="auto"/>
                                                                                              </w:divBdr>
                                                                                              <w:divsChild>
                                                                                                <w:div w:id="1448741677">
                                                                                                  <w:marLeft w:val="0"/>
                                                                                                  <w:marRight w:val="0"/>
                                                                                                  <w:marTop w:val="0"/>
                                                                                                  <w:marBottom w:val="0"/>
                                                                                                  <w:divBdr>
                                                                                                    <w:top w:val="none" w:sz="0" w:space="0" w:color="auto"/>
                                                                                                    <w:left w:val="none" w:sz="0" w:space="0" w:color="auto"/>
                                                                                                    <w:bottom w:val="none" w:sz="0" w:space="0" w:color="auto"/>
                                                                                                    <w:right w:val="none" w:sz="0" w:space="0" w:color="auto"/>
                                                                                                  </w:divBdr>
                                                                                                  <w:divsChild>
                                                                                                    <w:div w:id="963392981">
                                                                                                      <w:marLeft w:val="0"/>
                                                                                                      <w:marRight w:val="0"/>
                                                                                                      <w:marTop w:val="0"/>
                                                                                                      <w:marBottom w:val="0"/>
                                                                                                      <w:divBdr>
                                                                                                        <w:top w:val="none" w:sz="0" w:space="0" w:color="auto"/>
                                                                                                        <w:left w:val="none" w:sz="0" w:space="0" w:color="auto"/>
                                                                                                        <w:bottom w:val="none" w:sz="0" w:space="0" w:color="auto"/>
                                                                                                        <w:right w:val="none" w:sz="0" w:space="0" w:color="auto"/>
                                                                                                      </w:divBdr>
                                                                                                      <w:divsChild>
                                                                                                        <w:div w:id="840973965">
                                                                                                          <w:marLeft w:val="0"/>
                                                                                                          <w:marRight w:val="0"/>
                                                                                                          <w:marTop w:val="0"/>
                                                                                                          <w:marBottom w:val="0"/>
                                                                                                          <w:divBdr>
                                                                                                            <w:top w:val="none" w:sz="0" w:space="0" w:color="auto"/>
                                                                                                            <w:left w:val="none" w:sz="0" w:space="0" w:color="auto"/>
                                                                                                            <w:bottom w:val="none" w:sz="0" w:space="0" w:color="auto"/>
                                                                                                            <w:right w:val="none" w:sz="0" w:space="0" w:color="auto"/>
                                                                                                          </w:divBdr>
                                                                                                        </w:div>
                                                                                                        <w:div w:id="1055205317">
                                                                                                          <w:marLeft w:val="0"/>
                                                                                                          <w:marRight w:val="0"/>
                                                                                                          <w:marTop w:val="0"/>
                                                                                                          <w:marBottom w:val="0"/>
                                                                                                          <w:divBdr>
                                                                                                            <w:top w:val="none" w:sz="0" w:space="0" w:color="auto"/>
                                                                                                            <w:left w:val="none" w:sz="0" w:space="0" w:color="auto"/>
                                                                                                            <w:bottom w:val="none" w:sz="0" w:space="0" w:color="auto"/>
                                                                                                            <w:right w:val="none" w:sz="0" w:space="0" w:color="auto"/>
                                                                                                          </w:divBdr>
                                                                                                          <w:divsChild>
                                                                                                            <w:div w:id="1711949767">
                                                                                                              <w:marLeft w:val="0"/>
                                                                                                              <w:marRight w:val="0"/>
                                                                                                              <w:marTop w:val="0"/>
                                                                                                              <w:marBottom w:val="0"/>
                                                                                                              <w:divBdr>
                                                                                                                <w:top w:val="none" w:sz="0" w:space="0" w:color="auto"/>
                                                                                                                <w:left w:val="none" w:sz="0" w:space="0" w:color="auto"/>
                                                                                                                <w:bottom w:val="none" w:sz="0" w:space="0" w:color="auto"/>
                                                                                                                <w:right w:val="none" w:sz="0" w:space="0" w:color="auto"/>
                                                                                                              </w:divBdr>
                                                                                                              <w:divsChild>
                                                                                                                <w:div w:id="777026117">
                                                                                                                  <w:marLeft w:val="0"/>
                                                                                                                  <w:marRight w:val="0"/>
                                                                                                                  <w:marTop w:val="0"/>
                                                                                                                  <w:marBottom w:val="0"/>
                                                                                                                  <w:divBdr>
                                                                                                                    <w:top w:val="none" w:sz="0" w:space="0" w:color="auto"/>
                                                                                                                    <w:left w:val="none" w:sz="0" w:space="0" w:color="auto"/>
                                                                                                                    <w:bottom w:val="none" w:sz="0" w:space="0" w:color="auto"/>
                                                                                                                    <w:right w:val="none" w:sz="0" w:space="0" w:color="auto"/>
                                                                                                                  </w:divBdr>
                                                                                                                  <w:divsChild>
                                                                                                                    <w:div w:id="973683337">
                                                                                                                      <w:marLeft w:val="0"/>
                                                                                                                      <w:marRight w:val="0"/>
                                                                                                                      <w:marTop w:val="0"/>
                                                                                                                      <w:marBottom w:val="0"/>
                                                                                                                      <w:divBdr>
                                                                                                                        <w:top w:val="none" w:sz="0" w:space="0" w:color="auto"/>
                                                                                                                        <w:left w:val="none" w:sz="0" w:space="0" w:color="auto"/>
                                                                                                                        <w:bottom w:val="none" w:sz="0" w:space="0" w:color="auto"/>
                                                                                                                        <w:right w:val="none" w:sz="0" w:space="0" w:color="auto"/>
                                                                                                                      </w:divBdr>
                                                                                                                      <w:divsChild>
                                                                                                                        <w:div w:id="487862540">
                                                                                                                          <w:marLeft w:val="0"/>
                                                                                                                          <w:marRight w:val="0"/>
                                                                                                                          <w:marTop w:val="0"/>
                                                                                                                          <w:marBottom w:val="0"/>
                                                                                                                          <w:divBdr>
                                                                                                                            <w:top w:val="none" w:sz="0" w:space="0" w:color="auto"/>
                                                                                                                            <w:left w:val="none" w:sz="0" w:space="0" w:color="auto"/>
                                                                                                                            <w:bottom w:val="none" w:sz="0" w:space="0" w:color="auto"/>
                                                                                                                            <w:right w:val="none" w:sz="0" w:space="0" w:color="auto"/>
                                                                                                                          </w:divBdr>
                                                                                                                          <w:divsChild>
                                                                                                                            <w:div w:id="893271652">
                                                                                                                              <w:marLeft w:val="0"/>
                                                                                                                              <w:marRight w:val="0"/>
                                                                                                                              <w:marTop w:val="0"/>
                                                                                                                              <w:marBottom w:val="0"/>
                                                                                                                              <w:divBdr>
                                                                                                                                <w:top w:val="none" w:sz="0" w:space="0" w:color="auto"/>
                                                                                                                                <w:left w:val="none" w:sz="0" w:space="0" w:color="auto"/>
                                                                                                                                <w:bottom w:val="none" w:sz="0" w:space="0" w:color="auto"/>
                                                                                                                                <w:right w:val="none" w:sz="0" w:space="0" w:color="auto"/>
                                                                                                                              </w:divBdr>
                                                                                                                              <w:divsChild>
                                                                                                                                <w:div w:id="213467305">
                                                                                                                                  <w:marLeft w:val="0"/>
                                                                                                                                  <w:marRight w:val="0"/>
                                                                                                                                  <w:marTop w:val="0"/>
                                                                                                                                  <w:marBottom w:val="0"/>
                                                                                                                                  <w:divBdr>
                                                                                                                                    <w:top w:val="none" w:sz="0" w:space="0" w:color="auto"/>
                                                                                                                                    <w:left w:val="none" w:sz="0" w:space="0" w:color="auto"/>
                                                                                                                                    <w:bottom w:val="none" w:sz="0" w:space="0" w:color="auto"/>
                                                                                                                                    <w:right w:val="none" w:sz="0" w:space="0" w:color="auto"/>
                                                                                                                                  </w:divBdr>
                                                                                                                                  <w:divsChild>
                                                                                                                                    <w:div w:id="1506358796">
                                                                                                                                      <w:marLeft w:val="0"/>
                                                                                                                                      <w:marRight w:val="0"/>
                                                                                                                                      <w:marTop w:val="0"/>
                                                                                                                                      <w:marBottom w:val="0"/>
                                                                                                                                      <w:divBdr>
                                                                                                                                        <w:top w:val="none" w:sz="0" w:space="0" w:color="auto"/>
                                                                                                                                        <w:left w:val="none" w:sz="0" w:space="0" w:color="auto"/>
                                                                                                                                        <w:bottom w:val="none" w:sz="0" w:space="0" w:color="auto"/>
                                                                                                                                        <w:right w:val="none" w:sz="0" w:space="0" w:color="auto"/>
                                                                                                                                      </w:divBdr>
                                                                                                                                    </w:div>
                                                                                                                                  </w:divsChild>
                                                                                                                                </w:div>
                                                                                                                                <w:div w:id="1807699951">
                                                                                                                                  <w:marLeft w:val="0"/>
                                                                                                                                  <w:marRight w:val="0"/>
                                                                                                                                  <w:marTop w:val="0"/>
                                                                                                                                  <w:marBottom w:val="0"/>
                                                                                                                                  <w:divBdr>
                                                                                                                                    <w:top w:val="none" w:sz="0" w:space="0" w:color="auto"/>
                                                                                                                                    <w:left w:val="none" w:sz="0" w:space="0" w:color="auto"/>
                                                                                                                                    <w:bottom w:val="none" w:sz="0" w:space="0" w:color="auto"/>
                                                                                                                                    <w:right w:val="none" w:sz="0" w:space="0" w:color="auto"/>
                                                                                                                                  </w:divBdr>
                                                                                                                                  <w:divsChild>
                                                                                                                                    <w:div w:id="818885585">
                                                                                                                                      <w:marLeft w:val="0"/>
                                                                                                                                      <w:marRight w:val="0"/>
                                                                                                                                      <w:marTop w:val="0"/>
                                                                                                                                      <w:marBottom w:val="0"/>
                                                                                                                                      <w:divBdr>
                                                                                                                                        <w:top w:val="none" w:sz="0" w:space="0" w:color="auto"/>
                                                                                                                                        <w:left w:val="none" w:sz="0" w:space="0" w:color="auto"/>
                                                                                                                                        <w:bottom w:val="none" w:sz="0" w:space="0" w:color="auto"/>
                                                                                                                                        <w:right w:val="none" w:sz="0" w:space="0" w:color="auto"/>
                                                                                                                                      </w:divBdr>
                                                                                                                                    </w:div>
                                                                                                                                  </w:divsChild>
                                                                                                                                </w:div>
                                                                                                                                <w:div w:id="2051221212">
                                                                                                                                  <w:marLeft w:val="0"/>
                                                                                                                                  <w:marRight w:val="0"/>
                                                                                                                                  <w:marTop w:val="0"/>
                                                                                                                                  <w:marBottom w:val="0"/>
                                                                                                                                  <w:divBdr>
                                                                                                                                    <w:top w:val="none" w:sz="0" w:space="0" w:color="auto"/>
                                                                                                                                    <w:left w:val="none" w:sz="0" w:space="0" w:color="auto"/>
                                                                                                                                    <w:bottom w:val="none" w:sz="0" w:space="0" w:color="auto"/>
                                                                                                                                    <w:right w:val="none" w:sz="0" w:space="0" w:color="auto"/>
                                                                                                                                  </w:divBdr>
                                                                                                                                  <w:divsChild>
                                                                                                                                    <w:div w:id="8292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730123">
                                                                                          <w:marLeft w:val="0"/>
                                                                                          <w:marRight w:val="0"/>
                                                                                          <w:marTop w:val="0"/>
                                                                                          <w:marBottom w:val="0"/>
                                                                                          <w:divBdr>
                                                                                            <w:top w:val="none" w:sz="0" w:space="0" w:color="auto"/>
                                                                                            <w:left w:val="none" w:sz="0" w:space="0" w:color="auto"/>
                                                                                            <w:bottom w:val="none" w:sz="0" w:space="0" w:color="auto"/>
                                                                                            <w:right w:val="none" w:sz="0" w:space="0" w:color="auto"/>
                                                                                          </w:divBdr>
                                                                                          <w:divsChild>
                                                                                            <w:div w:id="1355614076">
                                                                                              <w:marLeft w:val="0"/>
                                                                                              <w:marRight w:val="0"/>
                                                                                              <w:marTop w:val="0"/>
                                                                                              <w:marBottom w:val="0"/>
                                                                                              <w:divBdr>
                                                                                                <w:top w:val="none" w:sz="0" w:space="0" w:color="auto"/>
                                                                                                <w:left w:val="none" w:sz="0" w:space="0" w:color="auto"/>
                                                                                                <w:bottom w:val="none" w:sz="0" w:space="0" w:color="auto"/>
                                                                                                <w:right w:val="none" w:sz="0" w:space="0" w:color="auto"/>
                                                                                              </w:divBdr>
                                                                                              <w:divsChild>
                                                                                                <w:div w:id="1716730269">
                                                                                                  <w:marLeft w:val="0"/>
                                                                                                  <w:marRight w:val="0"/>
                                                                                                  <w:marTop w:val="0"/>
                                                                                                  <w:marBottom w:val="0"/>
                                                                                                  <w:divBdr>
                                                                                                    <w:top w:val="none" w:sz="0" w:space="0" w:color="auto"/>
                                                                                                    <w:left w:val="none" w:sz="0" w:space="0" w:color="auto"/>
                                                                                                    <w:bottom w:val="none" w:sz="0" w:space="0" w:color="auto"/>
                                                                                                    <w:right w:val="none" w:sz="0" w:space="0" w:color="auto"/>
                                                                                                  </w:divBdr>
                                                                                                  <w:divsChild>
                                                                                                    <w:div w:id="129133034">
                                                                                                      <w:marLeft w:val="0"/>
                                                                                                      <w:marRight w:val="0"/>
                                                                                                      <w:marTop w:val="0"/>
                                                                                                      <w:marBottom w:val="0"/>
                                                                                                      <w:divBdr>
                                                                                                        <w:top w:val="none" w:sz="0" w:space="0" w:color="auto"/>
                                                                                                        <w:left w:val="none" w:sz="0" w:space="0" w:color="auto"/>
                                                                                                        <w:bottom w:val="none" w:sz="0" w:space="0" w:color="auto"/>
                                                                                                        <w:right w:val="none" w:sz="0" w:space="0" w:color="auto"/>
                                                                                                      </w:divBdr>
                                                                                                      <w:divsChild>
                                                                                                        <w:div w:id="97457673">
                                                                                                          <w:marLeft w:val="0"/>
                                                                                                          <w:marRight w:val="0"/>
                                                                                                          <w:marTop w:val="0"/>
                                                                                                          <w:marBottom w:val="0"/>
                                                                                                          <w:divBdr>
                                                                                                            <w:top w:val="none" w:sz="0" w:space="0" w:color="auto"/>
                                                                                                            <w:left w:val="none" w:sz="0" w:space="0" w:color="auto"/>
                                                                                                            <w:bottom w:val="none" w:sz="0" w:space="0" w:color="auto"/>
                                                                                                            <w:right w:val="none" w:sz="0" w:space="0" w:color="auto"/>
                                                                                                          </w:divBdr>
                                                                                                          <w:divsChild>
                                                                                                            <w:div w:id="1176578761">
                                                                                                              <w:marLeft w:val="0"/>
                                                                                                              <w:marRight w:val="0"/>
                                                                                                              <w:marTop w:val="0"/>
                                                                                                              <w:marBottom w:val="0"/>
                                                                                                              <w:divBdr>
                                                                                                                <w:top w:val="none" w:sz="0" w:space="0" w:color="auto"/>
                                                                                                                <w:left w:val="none" w:sz="0" w:space="0" w:color="auto"/>
                                                                                                                <w:bottom w:val="none" w:sz="0" w:space="0" w:color="auto"/>
                                                                                                                <w:right w:val="none" w:sz="0" w:space="0" w:color="auto"/>
                                                                                                              </w:divBdr>
                                                                                                              <w:divsChild>
                                                                                                                <w:div w:id="215821937">
                                                                                                                  <w:marLeft w:val="0"/>
                                                                                                                  <w:marRight w:val="0"/>
                                                                                                                  <w:marTop w:val="0"/>
                                                                                                                  <w:marBottom w:val="0"/>
                                                                                                                  <w:divBdr>
                                                                                                                    <w:top w:val="none" w:sz="0" w:space="0" w:color="auto"/>
                                                                                                                    <w:left w:val="none" w:sz="0" w:space="0" w:color="auto"/>
                                                                                                                    <w:bottom w:val="none" w:sz="0" w:space="0" w:color="auto"/>
                                                                                                                    <w:right w:val="none" w:sz="0" w:space="0" w:color="auto"/>
                                                                                                                  </w:divBdr>
                                                                                                                  <w:divsChild>
                                                                                                                    <w:div w:id="1555120792">
                                                                                                                      <w:marLeft w:val="0"/>
                                                                                                                      <w:marRight w:val="0"/>
                                                                                                                      <w:marTop w:val="0"/>
                                                                                                                      <w:marBottom w:val="0"/>
                                                                                                                      <w:divBdr>
                                                                                                                        <w:top w:val="none" w:sz="0" w:space="0" w:color="auto"/>
                                                                                                                        <w:left w:val="none" w:sz="0" w:space="0" w:color="auto"/>
                                                                                                                        <w:bottom w:val="none" w:sz="0" w:space="0" w:color="auto"/>
                                                                                                                        <w:right w:val="none" w:sz="0" w:space="0" w:color="auto"/>
                                                                                                                      </w:divBdr>
                                                                                                                    </w:div>
                                                                                                                    <w:div w:id="1741706793">
                                                                                                                      <w:marLeft w:val="0"/>
                                                                                                                      <w:marRight w:val="0"/>
                                                                                                                      <w:marTop w:val="30"/>
                                                                                                                      <w:marBottom w:val="0"/>
                                                                                                                      <w:divBdr>
                                                                                                                        <w:top w:val="none" w:sz="0" w:space="0" w:color="auto"/>
                                                                                                                        <w:left w:val="none" w:sz="0" w:space="0" w:color="auto"/>
                                                                                                                        <w:bottom w:val="none" w:sz="0" w:space="0" w:color="auto"/>
                                                                                                                        <w:right w:val="none" w:sz="0" w:space="0" w:color="auto"/>
                                                                                                                      </w:divBdr>
                                                                                                                      <w:divsChild>
                                                                                                                        <w:div w:id="17783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0662">
                                                                                          <w:marLeft w:val="0"/>
                                                                                          <w:marRight w:val="0"/>
                                                                                          <w:marTop w:val="0"/>
                                                                                          <w:marBottom w:val="0"/>
                                                                                          <w:divBdr>
                                                                                            <w:top w:val="none" w:sz="0" w:space="0" w:color="auto"/>
                                                                                            <w:left w:val="none" w:sz="0" w:space="0" w:color="auto"/>
                                                                                            <w:bottom w:val="none" w:sz="0" w:space="0" w:color="auto"/>
                                                                                            <w:right w:val="none" w:sz="0" w:space="0" w:color="auto"/>
                                                                                          </w:divBdr>
                                                                                          <w:divsChild>
                                                                                            <w:div w:id="1213080376">
                                                                                              <w:marLeft w:val="0"/>
                                                                                              <w:marRight w:val="0"/>
                                                                                              <w:marTop w:val="0"/>
                                                                                              <w:marBottom w:val="0"/>
                                                                                              <w:divBdr>
                                                                                                <w:top w:val="none" w:sz="0" w:space="0" w:color="auto"/>
                                                                                                <w:left w:val="none" w:sz="0" w:space="0" w:color="auto"/>
                                                                                                <w:bottom w:val="none" w:sz="0" w:space="0" w:color="auto"/>
                                                                                                <w:right w:val="none" w:sz="0" w:space="0" w:color="auto"/>
                                                                                              </w:divBdr>
                                                                                              <w:divsChild>
                                                                                                <w:div w:id="1654139372">
                                                                                                  <w:marLeft w:val="0"/>
                                                                                                  <w:marRight w:val="0"/>
                                                                                                  <w:marTop w:val="0"/>
                                                                                                  <w:marBottom w:val="0"/>
                                                                                                  <w:divBdr>
                                                                                                    <w:top w:val="none" w:sz="0" w:space="0" w:color="auto"/>
                                                                                                    <w:left w:val="none" w:sz="0" w:space="0" w:color="auto"/>
                                                                                                    <w:bottom w:val="none" w:sz="0" w:space="0" w:color="auto"/>
                                                                                                    <w:right w:val="none" w:sz="0" w:space="0" w:color="auto"/>
                                                                                                  </w:divBdr>
                                                                                                  <w:divsChild>
                                                                                                    <w:div w:id="1440025486">
                                                                                                      <w:marLeft w:val="0"/>
                                                                                                      <w:marRight w:val="0"/>
                                                                                                      <w:marTop w:val="0"/>
                                                                                                      <w:marBottom w:val="0"/>
                                                                                                      <w:divBdr>
                                                                                                        <w:top w:val="none" w:sz="0" w:space="0" w:color="auto"/>
                                                                                                        <w:left w:val="none" w:sz="0" w:space="0" w:color="auto"/>
                                                                                                        <w:bottom w:val="none" w:sz="0" w:space="0" w:color="auto"/>
                                                                                                        <w:right w:val="none" w:sz="0" w:space="0" w:color="auto"/>
                                                                                                      </w:divBdr>
                                                                                                      <w:divsChild>
                                                                                                        <w:div w:id="21137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79892">
                                                                                          <w:marLeft w:val="0"/>
                                                                                          <w:marRight w:val="0"/>
                                                                                          <w:marTop w:val="0"/>
                                                                                          <w:marBottom w:val="0"/>
                                                                                          <w:divBdr>
                                                                                            <w:top w:val="none" w:sz="0" w:space="0" w:color="auto"/>
                                                                                            <w:left w:val="none" w:sz="0" w:space="0" w:color="auto"/>
                                                                                            <w:bottom w:val="none" w:sz="0" w:space="0" w:color="auto"/>
                                                                                            <w:right w:val="none" w:sz="0" w:space="0" w:color="auto"/>
                                                                                          </w:divBdr>
                                                                                          <w:divsChild>
                                                                                            <w:div w:id="2026125401">
                                                                                              <w:marLeft w:val="0"/>
                                                                                              <w:marRight w:val="0"/>
                                                                                              <w:marTop w:val="0"/>
                                                                                              <w:marBottom w:val="0"/>
                                                                                              <w:divBdr>
                                                                                                <w:top w:val="none" w:sz="0" w:space="0" w:color="auto"/>
                                                                                                <w:left w:val="none" w:sz="0" w:space="0" w:color="auto"/>
                                                                                                <w:bottom w:val="none" w:sz="0" w:space="0" w:color="auto"/>
                                                                                                <w:right w:val="none" w:sz="0" w:space="0" w:color="auto"/>
                                                                                              </w:divBdr>
                                                                                              <w:divsChild>
                                                                                                <w:div w:id="1473251508">
                                                                                                  <w:marLeft w:val="0"/>
                                                                                                  <w:marRight w:val="0"/>
                                                                                                  <w:marTop w:val="0"/>
                                                                                                  <w:marBottom w:val="0"/>
                                                                                                  <w:divBdr>
                                                                                                    <w:top w:val="none" w:sz="0" w:space="0" w:color="auto"/>
                                                                                                    <w:left w:val="none" w:sz="0" w:space="0" w:color="auto"/>
                                                                                                    <w:bottom w:val="none" w:sz="0" w:space="0" w:color="auto"/>
                                                                                                    <w:right w:val="none" w:sz="0" w:space="0" w:color="auto"/>
                                                                                                  </w:divBdr>
                                                                                                  <w:divsChild>
                                                                                                    <w:div w:id="1913419997">
                                                                                                      <w:marLeft w:val="0"/>
                                                                                                      <w:marRight w:val="0"/>
                                                                                                      <w:marTop w:val="0"/>
                                                                                                      <w:marBottom w:val="0"/>
                                                                                                      <w:divBdr>
                                                                                                        <w:top w:val="none" w:sz="0" w:space="0" w:color="auto"/>
                                                                                                        <w:left w:val="none" w:sz="0" w:space="0" w:color="auto"/>
                                                                                                        <w:bottom w:val="none" w:sz="0" w:space="0" w:color="auto"/>
                                                                                                        <w:right w:val="none" w:sz="0" w:space="0" w:color="auto"/>
                                                                                                      </w:divBdr>
                                                                                                      <w:divsChild>
                                                                                                        <w:div w:id="378238263">
                                                                                                          <w:marLeft w:val="0"/>
                                                                                                          <w:marRight w:val="0"/>
                                                                                                          <w:marTop w:val="0"/>
                                                                                                          <w:marBottom w:val="0"/>
                                                                                                          <w:divBdr>
                                                                                                            <w:top w:val="none" w:sz="0" w:space="0" w:color="auto"/>
                                                                                                            <w:left w:val="none" w:sz="0" w:space="0" w:color="auto"/>
                                                                                                            <w:bottom w:val="none" w:sz="0" w:space="0" w:color="auto"/>
                                                                                                            <w:right w:val="none" w:sz="0" w:space="0" w:color="auto"/>
                                                                                                          </w:divBdr>
                                                                                                        </w:div>
                                                                                                        <w:div w:id="549801413">
                                                                                                          <w:marLeft w:val="0"/>
                                                                                                          <w:marRight w:val="0"/>
                                                                                                          <w:marTop w:val="0"/>
                                                                                                          <w:marBottom w:val="0"/>
                                                                                                          <w:divBdr>
                                                                                                            <w:top w:val="none" w:sz="0" w:space="0" w:color="auto"/>
                                                                                                            <w:left w:val="none" w:sz="0" w:space="0" w:color="auto"/>
                                                                                                            <w:bottom w:val="none" w:sz="0" w:space="0" w:color="auto"/>
                                                                                                            <w:right w:val="none" w:sz="0" w:space="0" w:color="auto"/>
                                                                                                          </w:divBdr>
                                                                                                          <w:divsChild>
                                                                                                            <w:div w:id="1409300918">
                                                                                                              <w:marLeft w:val="0"/>
                                                                                                              <w:marRight w:val="0"/>
                                                                                                              <w:marTop w:val="0"/>
                                                                                                              <w:marBottom w:val="0"/>
                                                                                                              <w:divBdr>
                                                                                                                <w:top w:val="none" w:sz="0" w:space="0" w:color="auto"/>
                                                                                                                <w:left w:val="none" w:sz="0" w:space="0" w:color="auto"/>
                                                                                                                <w:bottom w:val="none" w:sz="0" w:space="0" w:color="auto"/>
                                                                                                                <w:right w:val="none" w:sz="0" w:space="0" w:color="auto"/>
                                                                                                              </w:divBdr>
                                                                                                              <w:divsChild>
                                                                                                                <w:div w:id="1954898703">
                                                                                                                  <w:marLeft w:val="0"/>
                                                                                                                  <w:marRight w:val="0"/>
                                                                                                                  <w:marTop w:val="0"/>
                                                                                                                  <w:marBottom w:val="0"/>
                                                                                                                  <w:divBdr>
                                                                                                                    <w:top w:val="none" w:sz="0" w:space="0" w:color="auto"/>
                                                                                                                    <w:left w:val="none" w:sz="0" w:space="0" w:color="auto"/>
                                                                                                                    <w:bottom w:val="none" w:sz="0" w:space="0" w:color="auto"/>
                                                                                                                    <w:right w:val="none" w:sz="0" w:space="0" w:color="auto"/>
                                                                                                                  </w:divBdr>
                                                                                                                  <w:divsChild>
                                                                                                                    <w:div w:id="1645507455">
                                                                                                                      <w:marLeft w:val="0"/>
                                                                                                                      <w:marRight w:val="0"/>
                                                                                                                      <w:marTop w:val="0"/>
                                                                                                                      <w:marBottom w:val="0"/>
                                                                                                                      <w:divBdr>
                                                                                                                        <w:top w:val="none" w:sz="0" w:space="0" w:color="auto"/>
                                                                                                                        <w:left w:val="none" w:sz="0" w:space="0" w:color="auto"/>
                                                                                                                        <w:bottom w:val="none" w:sz="0" w:space="0" w:color="auto"/>
                                                                                                                        <w:right w:val="none" w:sz="0" w:space="0" w:color="auto"/>
                                                                                                                      </w:divBdr>
                                                                                                                      <w:divsChild>
                                                                                                                        <w:div w:id="489174793">
                                                                                                                          <w:marLeft w:val="0"/>
                                                                                                                          <w:marRight w:val="0"/>
                                                                                                                          <w:marTop w:val="0"/>
                                                                                                                          <w:marBottom w:val="0"/>
                                                                                                                          <w:divBdr>
                                                                                                                            <w:top w:val="none" w:sz="0" w:space="0" w:color="auto"/>
                                                                                                                            <w:left w:val="none" w:sz="0" w:space="0" w:color="auto"/>
                                                                                                                            <w:bottom w:val="none" w:sz="0" w:space="0" w:color="auto"/>
                                                                                                                            <w:right w:val="none" w:sz="0" w:space="0" w:color="auto"/>
                                                                                                                          </w:divBdr>
                                                                                                                          <w:divsChild>
                                                                                                                            <w:div w:id="868571116">
                                                                                                                              <w:marLeft w:val="0"/>
                                                                                                                              <w:marRight w:val="0"/>
                                                                                                                              <w:marTop w:val="0"/>
                                                                                                                              <w:marBottom w:val="0"/>
                                                                                                                              <w:divBdr>
                                                                                                                                <w:top w:val="none" w:sz="0" w:space="0" w:color="auto"/>
                                                                                                                                <w:left w:val="none" w:sz="0" w:space="0" w:color="auto"/>
                                                                                                                                <w:bottom w:val="none" w:sz="0" w:space="0" w:color="auto"/>
                                                                                                                                <w:right w:val="none" w:sz="0" w:space="0" w:color="auto"/>
                                                                                                                              </w:divBdr>
                                                                                                                              <w:divsChild>
                                                                                                                                <w:div w:id="137232838">
                                                                                                                                  <w:marLeft w:val="0"/>
                                                                                                                                  <w:marRight w:val="0"/>
                                                                                                                                  <w:marTop w:val="0"/>
                                                                                                                                  <w:marBottom w:val="0"/>
                                                                                                                                  <w:divBdr>
                                                                                                                                    <w:top w:val="none" w:sz="0" w:space="0" w:color="auto"/>
                                                                                                                                    <w:left w:val="none" w:sz="0" w:space="0" w:color="auto"/>
                                                                                                                                    <w:bottom w:val="none" w:sz="0" w:space="0" w:color="auto"/>
                                                                                                                                    <w:right w:val="none" w:sz="0" w:space="0" w:color="auto"/>
                                                                                                                                  </w:divBdr>
                                                                                                                                  <w:divsChild>
                                                                                                                                    <w:div w:id="711537851">
                                                                                                                                      <w:marLeft w:val="0"/>
                                                                                                                                      <w:marRight w:val="0"/>
                                                                                                                                      <w:marTop w:val="0"/>
                                                                                                                                      <w:marBottom w:val="0"/>
                                                                                                                                      <w:divBdr>
                                                                                                                                        <w:top w:val="none" w:sz="0" w:space="0" w:color="auto"/>
                                                                                                                                        <w:left w:val="none" w:sz="0" w:space="0" w:color="auto"/>
                                                                                                                                        <w:bottom w:val="none" w:sz="0" w:space="0" w:color="auto"/>
                                                                                                                                        <w:right w:val="none" w:sz="0" w:space="0" w:color="auto"/>
                                                                                                                                      </w:divBdr>
                                                                                                                                    </w:div>
                                                                                                                                  </w:divsChild>
                                                                                                                                </w:div>
                                                                                                                                <w:div w:id="299192223">
                                                                                                                                  <w:marLeft w:val="0"/>
                                                                                                                                  <w:marRight w:val="0"/>
                                                                                                                                  <w:marTop w:val="0"/>
                                                                                                                                  <w:marBottom w:val="0"/>
                                                                                                                                  <w:divBdr>
                                                                                                                                    <w:top w:val="none" w:sz="0" w:space="0" w:color="auto"/>
                                                                                                                                    <w:left w:val="none" w:sz="0" w:space="0" w:color="auto"/>
                                                                                                                                    <w:bottom w:val="none" w:sz="0" w:space="0" w:color="auto"/>
                                                                                                                                    <w:right w:val="none" w:sz="0" w:space="0" w:color="auto"/>
                                                                                                                                  </w:divBdr>
                                                                                                                                  <w:divsChild>
                                                                                                                                    <w:div w:id="976714981">
                                                                                                                                      <w:marLeft w:val="0"/>
                                                                                                                                      <w:marRight w:val="0"/>
                                                                                                                                      <w:marTop w:val="0"/>
                                                                                                                                      <w:marBottom w:val="0"/>
                                                                                                                                      <w:divBdr>
                                                                                                                                        <w:top w:val="none" w:sz="0" w:space="0" w:color="auto"/>
                                                                                                                                        <w:left w:val="none" w:sz="0" w:space="0" w:color="auto"/>
                                                                                                                                        <w:bottom w:val="none" w:sz="0" w:space="0" w:color="auto"/>
                                                                                                                                        <w:right w:val="none" w:sz="0" w:space="0" w:color="auto"/>
                                                                                                                                      </w:divBdr>
                                                                                                                                    </w:div>
                                                                                                                                  </w:divsChild>
                                                                                                                                </w:div>
                                                                                                                                <w:div w:id="5736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698831">
          <w:marLeft w:val="0"/>
          <w:marRight w:val="0"/>
          <w:marTop w:val="0"/>
          <w:marBottom w:val="0"/>
          <w:divBdr>
            <w:top w:val="none" w:sz="0" w:space="0" w:color="auto"/>
            <w:left w:val="none" w:sz="0" w:space="0" w:color="auto"/>
            <w:bottom w:val="none" w:sz="0" w:space="0" w:color="auto"/>
            <w:right w:val="none" w:sz="0" w:space="0" w:color="auto"/>
          </w:divBdr>
          <w:divsChild>
            <w:div w:id="101147723">
              <w:marLeft w:val="0"/>
              <w:marRight w:val="0"/>
              <w:marTop w:val="0"/>
              <w:marBottom w:val="0"/>
              <w:divBdr>
                <w:top w:val="none" w:sz="0" w:space="0" w:color="auto"/>
                <w:left w:val="none" w:sz="0" w:space="0" w:color="auto"/>
                <w:bottom w:val="none" w:sz="0" w:space="0" w:color="auto"/>
                <w:right w:val="none" w:sz="0" w:space="0" w:color="auto"/>
              </w:divBdr>
              <w:divsChild>
                <w:div w:id="1632707243">
                  <w:marLeft w:val="0"/>
                  <w:marRight w:val="0"/>
                  <w:marTop w:val="0"/>
                  <w:marBottom w:val="0"/>
                  <w:divBdr>
                    <w:top w:val="none" w:sz="0" w:space="0" w:color="auto"/>
                    <w:left w:val="none" w:sz="0" w:space="0" w:color="auto"/>
                    <w:bottom w:val="none" w:sz="0" w:space="0" w:color="auto"/>
                    <w:right w:val="none" w:sz="0" w:space="0" w:color="auto"/>
                  </w:divBdr>
                  <w:divsChild>
                    <w:div w:id="719522209">
                      <w:marLeft w:val="0"/>
                      <w:marRight w:val="0"/>
                      <w:marTop w:val="100"/>
                      <w:marBottom w:val="100"/>
                      <w:divBdr>
                        <w:top w:val="none" w:sz="0" w:space="0" w:color="auto"/>
                        <w:left w:val="none" w:sz="0" w:space="0" w:color="auto"/>
                        <w:bottom w:val="none" w:sz="0" w:space="0" w:color="auto"/>
                        <w:right w:val="none" w:sz="0" w:space="0" w:color="auto"/>
                      </w:divBdr>
                      <w:divsChild>
                        <w:div w:id="1120344300">
                          <w:marLeft w:val="0"/>
                          <w:marRight w:val="0"/>
                          <w:marTop w:val="0"/>
                          <w:marBottom w:val="0"/>
                          <w:divBdr>
                            <w:top w:val="none" w:sz="0" w:space="0" w:color="auto"/>
                            <w:left w:val="none" w:sz="0" w:space="0" w:color="auto"/>
                            <w:bottom w:val="none" w:sz="0" w:space="0" w:color="auto"/>
                            <w:right w:val="none" w:sz="0" w:space="0" w:color="auto"/>
                          </w:divBdr>
                          <w:divsChild>
                            <w:div w:id="2092924415">
                              <w:marLeft w:val="0"/>
                              <w:marRight w:val="0"/>
                              <w:marTop w:val="0"/>
                              <w:marBottom w:val="0"/>
                              <w:divBdr>
                                <w:top w:val="single" w:sz="6" w:space="2" w:color="D1D1D1"/>
                                <w:left w:val="single" w:sz="6" w:space="0" w:color="D1D1D1"/>
                                <w:bottom w:val="single" w:sz="6" w:space="4" w:color="D1D1D1"/>
                                <w:right w:val="single" w:sz="6" w:space="0" w:color="D1D1D1"/>
                              </w:divBdr>
                              <w:divsChild>
                                <w:div w:id="1977641134">
                                  <w:marLeft w:val="0"/>
                                  <w:marRight w:val="0"/>
                                  <w:marTop w:val="30"/>
                                  <w:marBottom w:val="0"/>
                                  <w:divBdr>
                                    <w:top w:val="none" w:sz="0" w:space="0" w:color="auto"/>
                                    <w:left w:val="none" w:sz="0" w:space="0" w:color="auto"/>
                                    <w:bottom w:val="none" w:sz="0" w:space="0" w:color="auto"/>
                                    <w:right w:val="none" w:sz="0" w:space="0" w:color="auto"/>
                                  </w:divBdr>
                                  <w:divsChild>
                                    <w:div w:id="5681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4334899">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48151616">
      <w:bodyDiv w:val="1"/>
      <w:marLeft w:val="0"/>
      <w:marRight w:val="0"/>
      <w:marTop w:val="0"/>
      <w:marBottom w:val="0"/>
      <w:divBdr>
        <w:top w:val="none" w:sz="0" w:space="0" w:color="auto"/>
        <w:left w:val="none" w:sz="0" w:space="0" w:color="auto"/>
        <w:bottom w:val="none" w:sz="0" w:space="0" w:color="auto"/>
        <w:right w:val="none" w:sz="0" w:space="0" w:color="auto"/>
      </w:divBdr>
    </w:div>
    <w:div w:id="1254165452">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60479274">
      <w:bodyDiv w:val="1"/>
      <w:marLeft w:val="0"/>
      <w:marRight w:val="0"/>
      <w:marTop w:val="0"/>
      <w:marBottom w:val="0"/>
      <w:divBdr>
        <w:top w:val="none" w:sz="0" w:space="0" w:color="auto"/>
        <w:left w:val="none" w:sz="0" w:space="0" w:color="auto"/>
        <w:bottom w:val="none" w:sz="0" w:space="0" w:color="auto"/>
        <w:right w:val="none" w:sz="0" w:space="0" w:color="auto"/>
      </w:divBdr>
    </w:div>
    <w:div w:id="1272709728">
      <w:bodyDiv w:val="1"/>
      <w:marLeft w:val="0"/>
      <w:marRight w:val="0"/>
      <w:marTop w:val="0"/>
      <w:marBottom w:val="0"/>
      <w:divBdr>
        <w:top w:val="none" w:sz="0" w:space="0" w:color="auto"/>
        <w:left w:val="none" w:sz="0" w:space="0" w:color="auto"/>
        <w:bottom w:val="none" w:sz="0" w:space="0" w:color="auto"/>
        <w:right w:val="none" w:sz="0" w:space="0" w:color="auto"/>
      </w:divBdr>
    </w:div>
    <w:div w:id="1277445311">
      <w:bodyDiv w:val="1"/>
      <w:marLeft w:val="0"/>
      <w:marRight w:val="0"/>
      <w:marTop w:val="0"/>
      <w:marBottom w:val="0"/>
      <w:divBdr>
        <w:top w:val="none" w:sz="0" w:space="0" w:color="auto"/>
        <w:left w:val="none" w:sz="0" w:space="0" w:color="auto"/>
        <w:bottom w:val="none" w:sz="0" w:space="0" w:color="auto"/>
        <w:right w:val="none" w:sz="0" w:space="0" w:color="auto"/>
      </w:divBdr>
    </w:div>
    <w:div w:id="1283730565">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839413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290403872">
      <w:bodyDiv w:val="1"/>
      <w:marLeft w:val="0"/>
      <w:marRight w:val="0"/>
      <w:marTop w:val="0"/>
      <w:marBottom w:val="0"/>
      <w:divBdr>
        <w:top w:val="none" w:sz="0" w:space="0" w:color="auto"/>
        <w:left w:val="none" w:sz="0" w:space="0" w:color="auto"/>
        <w:bottom w:val="none" w:sz="0" w:space="0" w:color="auto"/>
        <w:right w:val="none" w:sz="0" w:space="0" w:color="auto"/>
      </w:divBdr>
    </w:div>
    <w:div w:id="1300960405">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12825805">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22346499">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5421627">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94542658">
      <w:bodyDiv w:val="1"/>
      <w:marLeft w:val="0"/>
      <w:marRight w:val="0"/>
      <w:marTop w:val="0"/>
      <w:marBottom w:val="0"/>
      <w:divBdr>
        <w:top w:val="none" w:sz="0" w:space="0" w:color="auto"/>
        <w:left w:val="none" w:sz="0" w:space="0" w:color="auto"/>
        <w:bottom w:val="none" w:sz="0" w:space="0" w:color="auto"/>
        <w:right w:val="none" w:sz="0" w:space="0" w:color="auto"/>
      </w:divBdr>
    </w:div>
    <w:div w:id="1406033382">
      <w:bodyDiv w:val="1"/>
      <w:marLeft w:val="0"/>
      <w:marRight w:val="0"/>
      <w:marTop w:val="0"/>
      <w:marBottom w:val="0"/>
      <w:divBdr>
        <w:top w:val="none" w:sz="0" w:space="0" w:color="auto"/>
        <w:left w:val="none" w:sz="0" w:space="0" w:color="auto"/>
        <w:bottom w:val="none" w:sz="0" w:space="0" w:color="auto"/>
        <w:right w:val="none" w:sz="0" w:space="0" w:color="auto"/>
      </w:divBdr>
    </w:div>
    <w:div w:id="1407604951">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11385289">
      <w:bodyDiv w:val="1"/>
      <w:marLeft w:val="0"/>
      <w:marRight w:val="0"/>
      <w:marTop w:val="0"/>
      <w:marBottom w:val="0"/>
      <w:divBdr>
        <w:top w:val="none" w:sz="0" w:space="0" w:color="auto"/>
        <w:left w:val="none" w:sz="0" w:space="0" w:color="auto"/>
        <w:bottom w:val="none" w:sz="0" w:space="0" w:color="auto"/>
        <w:right w:val="none" w:sz="0" w:space="0" w:color="auto"/>
      </w:divBdr>
    </w:div>
    <w:div w:id="1412505826">
      <w:bodyDiv w:val="1"/>
      <w:marLeft w:val="0"/>
      <w:marRight w:val="0"/>
      <w:marTop w:val="0"/>
      <w:marBottom w:val="0"/>
      <w:divBdr>
        <w:top w:val="none" w:sz="0" w:space="0" w:color="auto"/>
        <w:left w:val="none" w:sz="0" w:space="0" w:color="auto"/>
        <w:bottom w:val="none" w:sz="0" w:space="0" w:color="auto"/>
        <w:right w:val="none" w:sz="0" w:space="0" w:color="auto"/>
      </w:divBdr>
    </w:div>
    <w:div w:id="1414158735">
      <w:bodyDiv w:val="1"/>
      <w:marLeft w:val="0"/>
      <w:marRight w:val="0"/>
      <w:marTop w:val="0"/>
      <w:marBottom w:val="0"/>
      <w:divBdr>
        <w:top w:val="none" w:sz="0" w:space="0" w:color="auto"/>
        <w:left w:val="none" w:sz="0" w:space="0" w:color="auto"/>
        <w:bottom w:val="none" w:sz="0" w:space="0" w:color="auto"/>
        <w:right w:val="none" w:sz="0" w:space="0" w:color="auto"/>
      </w:divBdr>
    </w:div>
    <w:div w:id="1447038793">
      <w:bodyDiv w:val="1"/>
      <w:marLeft w:val="0"/>
      <w:marRight w:val="0"/>
      <w:marTop w:val="0"/>
      <w:marBottom w:val="0"/>
      <w:divBdr>
        <w:top w:val="none" w:sz="0" w:space="0" w:color="auto"/>
        <w:left w:val="none" w:sz="0" w:space="0" w:color="auto"/>
        <w:bottom w:val="none" w:sz="0" w:space="0" w:color="auto"/>
        <w:right w:val="none" w:sz="0" w:space="0" w:color="auto"/>
      </w:divBdr>
    </w:div>
    <w:div w:id="1447119147">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65470096">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78953772">
      <w:bodyDiv w:val="1"/>
      <w:marLeft w:val="0"/>
      <w:marRight w:val="0"/>
      <w:marTop w:val="0"/>
      <w:marBottom w:val="0"/>
      <w:divBdr>
        <w:top w:val="none" w:sz="0" w:space="0" w:color="auto"/>
        <w:left w:val="none" w:sz="0" w:space="0" w:color="auto"/>
        <w:bottom w:val="none" w:sz="0" w:space="0" w:color="auto"/>
        <w:right w:val="none" w:sz="0" w:space="0" w:color="auto"/>
      </w:divBdr>
    </w:div>
    <w:div w:id="1481651912">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08710839">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34150509">
      <w:bodyDiv w:val="1"/>
      <w:marLeft w:val="0"/>
      <w:marRight w:val="0"/>
      <w:marTop w:val="0"/>
      <w:marBottom w:val="0"/>
      <w:divBdr>
        <w:top w:val="none" w:sz="0" w:space="0" w:color="auto"/>
        <w:left w:val="none" w:sz="0" w:space="0" w:color="auto"/>
        <w:bottom w:val="none" w:sz="0" w:space="0" w:color="auto"/>
        <w:right w:val="none" w:sz="0" w:space="0" w:color="auto"/>
      </w:divBdr>
    </w:div>
    <w:div w:id="1541825108">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5817051">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580600465">
      <w:bodyDiv w:val="1"/>
      <w:marLeft w:val="0"/>
      <w:marRight w:val="0"/>
      <w:marTop w:val="0"/>
      <w:marBottom w:val="0"/>
      <w:divBdr>
        <w:top w:val="none" w:sz="0" w:space="0" w:color="auto"/>
        <w:left w:val="none" w:sz="0" w:space="0" w:color="auto"/>
        <w:bottom w:val="none" w:sz="0" w:space="0" w:color="auto"/>
        <w:right w:val="none" w:sz="0" w:space="0" w:color="auto"/>
      </w:divBdr>
    </w:div>
    <w:div w:id="1609311680">
      <w:bodyDiv w:val="1"/>
      <w:marLeft w:val="0"/>
      <w:marRight w:val="0"/>
      <w:marTop w:val="0"/>
      <w:marBottom w:val="0"/>
      <w:divBdr>
        <w:top w:val="none" w:sz="0" w:space="0" w:color="auto"/>
        <w:left w:val="none" w:sz="0" w:space="0" w:color="auto"/>
        <w:bottom w:val="none" w:sz="0" w:space="0" w:color="auto"/>
        <w:right w:val="none" w:sz="0" w:space="0" w:color="auto"/>
      </w:divBdr>
    </w:div>
    <w:div w:id="1626615460">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0863594">
      <w:bodyDiv w:val="1"/>
      <w:marLeft w:val="0"/>
      <w:marRight w:val="0"/>
      <w:marTop w:val="0"/>
      <w:marBottom w:val="0"/>
      <w:divBdr>
        <w:top w:val="none" w:sz="0" w:space="0" w:color="auto"/>
        <w:left w:val="none" w:sz="0" w:space="0" w:color="auto"/>
        <w:bottom w:val="none" w:sz="0" w:space="0" w:color="auto"/>
        <w:right w:val="none" w:sz="0" w:space="0" w:color="auto"/>
      </w:divBdr>
    </w:div>
    <w:div w:id="1672486561">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80423297">
      <w:bodyDiv w:val="1"/>
      <w:marLeft w:val="0"/>
      <w:marRight w:val="0"/>
      <w:marTop w:val="0"/>
      <w:marBottom w:val="0"/>
      <w:divBdr>
        <w:top w:val="none" w:sz="0" w:space="0" w:color="auto"/>
        <w:left w:val="none" w:sz="0" w:space="0" w:color="auto"/>
        <w:bottom w:val="none" w:sz="0" w:space="0" w:color="auto"/>
        <w:right w:val="none" w:sz="0" w:space="0" w:color="auto"/>
      </w:divBdr>
    </w:div>
    <w:div w:id="1694958801">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33850206">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59521645">
      <w:bodyDiv w:val="1"/>
      <w:marLeft w:val="0"/>
      <w:marRight w:val="0"/>
      <w:marTop w:val="0"/>
      <w:marBottom w:val="0"/>
      <w:divBdr>
        <w:top w:val="none" w:sz="0" w:space="0" w:color="auto"/>
        <w:left w:val="none" w:sz="0" w:space="0" w:color="auto"/>
        <w:bottom w:val="none" w:sz="0" w:space="0" w:color="auto"/>
        <w:right w:val="none" w:sz="0" w:space="0" w:color="auto"/>
      </w:divBdr>
    </w:div>
    <w:div w:id="1765229128">
      <w:bodyDiv w:val="1"/>
      <w:marLeft w:val="0"/>
      <w:marRight w:val="0"/>
      <w:marTop w:val="0"/>
      <w:marBottom w:val="0"/>
      <w:divBdr>
        <w:top w:val="none" w:sz="0" w:space="0" w:color="auto"/>
        <w:left w:val="none" w:sz="0" w:space="0" w:color="auto"/>
        <w:bottom w:val="none" w:sz="0" w:space="0" w:color="auto"/>
        <w:right w:val="none" w:sz="0" w:space="0" w:color="auto"/>
      </w:divBdr>
    </w:div>
    <w:div w:id="1777553269">
      <w:bodyDiv w:val="1"/>
      <w:marLeft w:val="0"/>
      <w:marRight w:val="0"/>
      <w:marTop w:val="0"/>
      <w:marBottom w:val="0"/>
      <w:divBdr>
        <w:top w:val="none" w:sz="0" w:space="0" w:color="auto"/>
        <w:left w:val="none" w:sz="0" w:space="0" w:color="auto"/>
        <w:bottom w:val="none" w:sz="0" w:space="0" w:color="auto"/>
        <w:right w:val="none" w:sz="0" w:space="0" w:color="auto"/>
      </w:divBdr>
    </w:div>
    <w:div w:id="1783721312">
      <w:bodyDiv w:val="1"/>
      <w:marLeft w:val="0"/>
      <w:marRight w:val="0"/>
      <w:marTop w:val="0"/>
      <w:marBottom w:val="0"/>
      <w:divBdr>
        <w:top w:val="none" w:sz="0" w:space="0" w:color="auto"/>
        <w:left w:val="none" w:sz="0" w:space="0" w:color="auto"/>
        <w:bottom w:val="none" w:sz="0" w:space="0" w:color="auto"/>
        <w:right w:val="none" w:sz="0" w:space="0" w:color="auto"/>
      </w:divBdr>
    </w:div>
    <w:div w:id="1786847755">
      <w:bodyDiv w:val="1"/>
      <w:marLeft w:val="0"/>
      <w:marRight w:val="0"/>
      <w:marTop w:val="0"/>
      <w:marBottom w:val="0"/>
      <w:divBdr>
        <w:top w:val="none" w:sz="0" w:space="0" w:color="auto"/>
        <w:left w:val="none" w:sz="0" w:space="0" w:color="auto"/>
        <w:bottom w:val="none" w:sz="0" w:space="0" w:color="auto"/>
        <w:right w:val="none" w:sz="0" w:space="0" w:color="auto"/>
      </w:divBdr>
    </w:div>
    <w:div w:id="1792282327">
      <w:bodyDiv w:val="1"/>
      <w:marLeft w:val="0"/>
      <w:marRight w:val="0"/>
      <w:marTop w:val="0"/>
      <w:marBottom w:val="0"/>
      <w:divBdr>
        <w:top w:val="none" w:sz="0" w:space="0" w:color="auto"/>
        <w:left w:val="none" w:sz="0" w:space="0" w:color="auto"/>
        <w:bottom w:val="none" w:sz="0" w:space="0" w:color="auto"/>
        <w:right w:val="none" w:sz="0" w:space="0" w:color="auto"/>
      </w:divBdr>
    </w:div>
    <w:div w:id="1799446651">
      <w:bodyDiv w:val="1"/>
      <w:marLeft w:val="0"/>
      <w:marRight w:val="0"/>
      <w:marTop w:val="0"/>
      <w:marBottom w:val="0"/>
      <w:divBdr>
        <w:top w:val="none" w:sz="0" w:space="0" w:color="auto"/>
        <w:left w:val="none" w:sz="0" w:space="0" w:color="auto"/>
        <w:bottom w:val="none" w:sz="0" w:space="0" w:color="auto"/>
        <w:right w:val="none" w:sz="0" w:space="0" w:color="auto"/>
      </w:divBdr>
    </w:div>
    <w:div w:id="1804155025">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46480308">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8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882130469">
      <w:bodyDiv w:val="1"/>
      <w:marLeft w:val="0"/>
      <w:marRight w:val="0"/>
      <w:marTop w:val="0"/>
      <w:marBottom w:val="0"/>
      <w:divBdr>
        <w:top w:val="none" w:sz="0" w:space="0" w:color="auto"/>
        <w:left w:val="none" w:sz="0" w:space="0" w:color="auto"/>
        <w:bottom w:val="none" w:sz="0" w:space="0" w:color="auto"/>
        <w:right w:val="none" w:sz="0" w:space="0" w:color="auto"/>
      </w:divBdr>
    </w:div>
    <w:div w:id="1892577517">
      <w:bodyDiv w:val="1"/>
      <w:marLeft w:val="0"/>
      <w:marRight w:val="0"/>
      <w:marTop w:val="0"/>
      <w:marBottom w:val="0"/>
      <w:divBdr>
        <w:top w:val="none" w:sz="0" w:space="0" w:color="auto"/>
        <w:left w:val="none" w:sz="0" w:space="0" w:color="auto"/>
        <w:bottom w:val="none" w:sz="0" w:space="0" w:color="auto"/>
        <w:right w:val="none" w:sz="0" w:space="0" w:color="auto"/>
      </w:divBdr>
    </w:div>
    <w:div w:id="1894341656">
      <w:bodyDiv w:val="1"/>
      <w:marLeft w:val="0"/>
      <w:marRight w:val="0"/>
      <w:marTop w:val="0"/>
      <w:marBottom w:val="0"/>
      <w:divBdr>
        <w:top w:val="none" w:sz="0" w:space="0" w:color="auto"/>
        <w:left w:val="none" w:sz="0" w:space="0" w:color="auto"/>
        <w:bottom w:val="none" w:sz="0" w:space="0" w:color="auto"/>
        <w:right w:val="none" w:sz="0" w:space="0" w:color="auto"/>
      </w:divBdr>
    </w:div>
    <w:div w:id="1905337489">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14926665">
      <w:bodyDiv w:val="1"/>
      <w:marLeft w:val="0"/>
      <w:marRight w:val="0"/>
      <w:marTop w:val="0"/>
      <w:marBottom w:val="0"/>
      <w:divBdr>
        <w:top w:val="none" w:sz="0" w:space="0" w:color="auto"/>
        <w:left w:val="none" w:sz="0" w:space="0" w:color="auto"/>
        <w:bottom w:val="none" w:sz="0" w:space="0" w:color="auto"/>
        <w:right w:val="none" w:sz="0" w:space="0" w:color="auto"/>
      </w:divBdr>
    </w:div>
    <w:div w:id="1921207640">
      <w:bodyDiv w:val="1"/>
      <w:marLeft w:val="0"/>
      <w:marRight w:val="0"/>
      <w:marTop w:val="0"/>
      <w:marBottom w:val="0"/>
      <w:divBdr>
        <w:top w:val="none" w:sz="0" w:space="0" w:color="auto"/>
        <w:left w:val="none" w:sz="0" w:space="0" w:color="auto"/>
        <w:bottom w:val="none" w:sz="0" w:space="0" w:color="auto"/>
        <w:right w:val="none" w:sz="0" w:space="0" w:color="auto"/>
      </w:divBdr>
    </w:div>
    <w:div w:id="1922828738">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557796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53902752">
      <w:bodyDiv w:val="1"/>
      <w:marLeft w:val="0"/>
      <w:marRight w:val="0"/>
      <w:marTop w:val="0"/>
      <w:marBottom w:val="0"/>
      <w:divBdr>
        <w:top w:val="none" w:sz="0" w:space="0" w:color="auto"/>
        <w:left w:val="none" w:sz="0" w:space="0" w:color="auto"/>
        <w:bottom w:val="none" w:sz="0" w:space="0" w:color="auto"/>
        <w:right w:val="none" w:sz="0" w:space="0" w:color="auto"/>
      </w:divBdr>
    </w:div>
    <w:div w:id="1970472188">
      <w:bodyDiv w:val="1"/>
      <w:marLeft w:val="0"/>
      <w:marRight w:val="0"/>
      <w:marTop w:val="0"/>
      <w:marBottom w:val="0"/>
      <w:divBdr>
        <w:top w:val="none" w:sz="0" w:space="0" w:color="auto"/>
        <w:left w:val="none" w:sz="0" w:space="0" w:color="auto"/>
        <w:bottom w:val="none" w:sz="0" w:space="0" w:color="auto"/>
        <w:right w:val="none" w:sz="0" w:space="0" w:color="auto"/>
      </w:divBdr>
    </w:div>
    <w:div w:id="1988515253">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1994680594">
      <w:bodyDiv w:val="1"/>
      <w:marLeft w:val="0"/>
      <w:marRight w:val="0"/>
      <w:marTop w:val="0"/>
      <w:marBottom w:val="0"/>
      <w:divBdr>
        <w:top w:val="none" w:sz="0" w:space="0" w:color="auto"/>
        <w:left w:val="none" w:sz="0" w:space="0" w:color="auto"/>
        <w:bottom w:val="none" w:sz="0" w:space="0" w:color="auto"/>
        <w:right w:val="none" w:sz="0" w:space="0" w:color="auto"/>
      </w:divBdr>
    </w:div>
    <w:div w:id="2000035802">
      <w:bodyDiv w:val="1"/>
      <w:marLeft w:val="0"/>
      <w:marRight w:val="0"/>
      <w:marTop w:val="0"/>
      <w:marBottom w:val="0"/>
      <w:divBdr>
        <w:top w:val="none" w:sz="0" w:space="0" w:color="auto"/>
        <w:left w:val="none" w:sz="0" w:space="0" w:color="auto"/>
        <w:bottom w:val="none" w:sz="0" w:space="0" w:color="auto"/>
        <w:right w:val="none" w:sz="0" w:space="0" w:color="auto"/>
      </w:divBdr>
    </w:div>
    <w:div w:id="2001889073">
      <w:bodyDiv w:val="1"/>
      <w:marLeft w:val="0"/>
      <w:marRight w:val="0"/>
      <w:marTop w:val="0"/>
      <w:marBottom w:val="0"/>
      <w:divBdr>
        <w:top w:val="none" w:sz="0" w:space="0" w:color="auto"/>
        <w:left w:val="none" w:sz="0" w:space="0" w:color="auto"/>
        <w:bottom w:val="none" w:sz="0" w:space="0" w:color="auto"/>
        <w:right w:val="none" w:sz="0" w:space="0" w:color="auto"/>
      </w:divBdr>
    </w:div>
    <w:div w:id="2002537745">
      <w:bodyDiv w:val="1"/>
      <w:marLeft w:val="0"/>
      <w:marRight w:val="0"/>
      <w:marTop w:val="0"/>
      <w:marBottom w:val="0"/>
      <w:divBdr>
        <w:top w:val="none" w:sz="0" w:space="0" w:color="auto"/>
        <w:left w:val="none" w:sz="0" w:space="0" w:color="auto"/>
        <w:bottom w:val="none" w:sz="0" w:space="0" w:color="auto"/>
        <w:right w:val="none" w:sz="0" w:space="0" w:color="auto"/>
      </w:divBdr>
    </w:div>
    <w:div w:id="2021465102">
      <w:bodyDiv w:val="1"/>
      <w:marLeft w:val="0"/>
      <w:marRight w:val="0"/>
      <w:marTop w:val="0"/>
      <w:marBottom w:val="0"/>
      <w:divBdr>
        <w:top w:val="none" w:sz="0" w:space="0" w:color="auto"/>
        <w:left w:val="none" w:sz="0" w:space="0" w:color="auto"/>
        <w:bottom w:val="none" w:sz="0" w:space="0" w:color="auto"/>
        <w:right w:val="none" w:sz="0" w:space="0" w:color="auto"/>
      </w:divBdr>
    </w:div>
    <w:div w:id="2029090059">
      <w:bodyDiv w:val="1"/>
      <w:marLeft w:val="0"/>
      <w:marRight w:val="0"/>
      <w:marTop w:val="0"/>
      <w:marBottom w:val="0"/>
      <w:divBdr>
        <w:top w:val="none" w:sz="0" w:space="0" w:color="auto"/>
        <w:left w:val="none" w:sz="0" w:space="0" w:color="auto"/>
        <w:bottom w:val="none" w:sz="0" w:space="0" w:color="auto"/>
        <w:right w:val="none" w:sz="0" w:space="0" w:color="auto"/>
      </w:divBdr>
    </w:div>
    <w:div w:id="2034961006">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54619605">
      <w:bodyDiv w:val="1"/>
      <w:marLeft w:val="0"/>
      <w:marRight w:val="0"/>
      <w:marTop w:val="0"/>
      <w:marBottom w:val="0"/>
      <w:divBdr>
        <w:top w:val="none" w:sz="0" w:space="0" w:color="auto"/>
        <w:left w:val="none" w:sz="0" w:space="0" w:color="auto"/>
        <w:bottom w:val="none" w:sz="0" w:space="0" w:color="auto"/>
        <w:right w:val="none" w:sz="0" w:space="0" w:color="auto"/>
      </w:divBdr>
    </w:div>
    <w:div w:id="2055696410">
      <w:bodyDiv w:val="1"/>
      <w:marLeft w:val="0"/>
      <w:marRight w:val="0"/>
      <w:marTop w:val="0"/>
      <w:marBottom w:val="0"/>
      <w:divBdr>
        <w:top w:val="none" w:sz="0" w:space="0" w:color="auto"/>
        <w:left w:val="none" w:sz="0" w:space="0" w:color="auto"/>
        <w:bottom w:val="none" w:sz="0" w:space="0" w:color="auto"/>
        <w:right w:val="none" w:sz="0" w:space="0" w:color="auto"/>
      </w:divBdr>
    </w:div>
    <w:div w:id="2080058345">
      <w:bodyDiv w:val="1"/>
      <w:marLeft w:val="0"/>
      <w:marRight w:val="0"/>
      <w:marTop w:val="0"/>
      <w:marBottom w:val="0"/>
      <w:divBdr>
        <w:top w:val="none" w:sz="0" w:space="0" w:color="auto"/>
        <w:left w:val="none" w:sz="0" w:space="0" w:color="auto"/>
        <w:bottom w:val="none" w:sz="0" w:space="0" w:color="auto"/>
        <w:right w:val="none" w:sz="0" w:space="0" w:color="auto"/>
      </w:divBdr>
    </w:div>
    <w:div w:id="2086683045">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00447848">
      <w:bodyDiv w:val="1"/>
      <w:marLeft w:val="0"/>
      <w:marRight w:val="0"/>
      <w:marTop w:val="0"/>
      <w:marBottom w:val="0"/>
      <w:divBdr>
        <w:top w:val="none" w:sz="0" w:space="0" w:color="auto"/>
        <w:left w:val="none" w:sz="0" w:space="0" w:color="auto"/>
        <w:bottom w:val="none" w:sz="0" w:space="0" w:color="auto"/>
        <w:right w:val="none" w:sz="0" w:space="0" w:color="auto"/>
      </w:divBdr>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hacpa.gov.au/sites/default/files/2022-08/national_efficient_cost_determination_2022-23.pdf" TargetMode="External"/><Relationship Id="rId17" Type="http://schemas.openxmlformats.org/officeDocument/2006/relationships/image" Target="media/image7.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ihacpa.gov.au/resources/tier-2-non-admitted-services-2021-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acpa.gov.au/sites/default/files/2022-08/National%20Efficient%20Price%20Determination%202022%E2%80%932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Hill, Jeremy</DisplayName>
        <AccountId>23</AccountId>
        <AccountType/>
      </UserInfo>
      <UserInfo>
        <DisplayName>Henriquez, Maria</DisplayName>
        <AccountId>43</AccountId>
        <AccountType/>
      </UserInfo>
      <UserInfo>
        <DisplayName>Curtain, Riley</DisplayName>
        <AccountId>31</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9D649A29-F7A1-4DDA-A291-815CC06F445A}"/>
</file>

<file path=customXml/itemProps3.xml><?xml version="1.0" encoding="utf-8"?>
<ds:datastoreItem xmlns:ds="http://schemas.openxmlformats.org/officeDocument/2006/customXml" ds:itemID="{FE62091E-1E01-42B0-B105-D2D40A5F7E03}"/>
</file>

<file path=customXml/itemProps4.xml><?xml version="1.0" encoding="utf-8"?>
<ds:datastoreItem xmlns:ds="http://schemas.openxmlformats.org/officeDocument/2006/customXml" ds:itemID="{3D1BB617-829F-4190-9C4C-377887A5D2AC}"/>
</file>

<file path=docProps/app.xml><?xml version="1.0" encoding="utf-8"?>
<Properties xmlns="http://schemas.openxmlformats.org/officeDocument/2006/extended-properties" xmlns:vt="http://schemas.openxmlformats.org/officeDocument/2006/docPropsVTypes">
  <Template>Normal.dotm</Template>
  <TotalTime>0</TotalTime>
  <Pages>26</Pages>
  <Words>7281</Words>
  <Characters>41508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48692</CharactersWithSpaces>
  <SharedDoc>false</SharedDoc>
  <HLinks>
    <vt:vector size="108" baseType="variant">
      <vt:variant>
        <vt:i4>4849691</vt:i4>
      </vt:variant>
      <vt:variant>
        <vt:i4>138</vt:i4>
      </vt:variant>
      <vt:variant>
        <vt:i4>0</vt:i4>
      </vt:variant>
      <vt:variant>
        <vt:i4>5</vt:i4>
      </vt:variant>
      <vt:variant>
        <vt:lpwstr>https://www.ihacpa.gov.au/resources/tier-2-non-admitted-services-2021-22</vt:lpwstr>
      </vt:variant>
      <vt:variant>
        <vt:lpwstr/>
      </vt:variant>
      <vt:variant>
        <vt:i4>6553712</vt:i4>
      </vt:variant>
      <vt:variant>
        <vt:i4>114</vt:i4>
      </vt:variant>
      <vt:variant>
        <vt:i4>0</vt:i4>
      </vt:variant>
      <vt:variant>
        <vt:i4>5</vt:i4>
      </vt:variant>
      <vt:variant>
        <vt:lpwstr>https://www.ihacpa.gov.au/sites/default/files/2024-05/nhcdc_public_sector_infographic_2021-22.pdf</vt:lpwstr>
      </vt:variant>
      <vt:variant>
        <vt:lpwstr/>
      </vt:variant>
      <vt:variant>
        <vt:i4>3670071</vt:i4>
      </vt:variant>
      <vt:variant>
        <vt:i4>111</vt:i4>
      </vt:variant>
      <vt:variant>
        <vt:i4>0</vt:i4>
      </vt:variant>
      <vt:variant>
        <vt:i4>5</vt:i4>
      </vt:variant>
      <vt:variant>
        <vt:lpwstr>https://www.ihacpa.gov.au/sites/default/files/2023-06/nhcdc_infographic_2020-21.pdf</vt:lpwstr>
      </vt:variant>
      <vt:variant>
        <vt:lpwstr/>
      </vt:variant>
      <vt:variant>
        <vt:i4>655366</vt:i4>
      </vt:variant>
      <vt:variant>
        <vt:i4>108</vt:i4>
      </vt:variant>
      <vt:variant>
        <vt:i4>0</vt:i4>
      </vt:variant>
      <vt:variant>
        <vt:i4>5</vt:i4>
      </vt:variant>
      <vt:variant>
        <vt:lpwstr>https://www.ihacpa.gov.au/sites/default/files/2022-08/NHCDC Round 24 infographic_0_0.pdf</vt:lpwstr>
      </vt:variant>
      <vt:variant>
        <vt:lpwstr/>
      </vt:variant>
      <vt:variant>
        <vt:i4>3342381</vt:i4>
      </vt:variant>
      <vt:variant>
        <vt:i4>105</vt:i4>
      </vt:variant>
      <vt:variant>
        <vt:i4>0</vt:i4>
      </vt:variant>
      <vt:variant>
        <vt:i4>5</vt:i4>
      </vt:variant>
      <vt:variant>
        <vt:lpwstr>https://www.ihacpa.gov.au/sites/default/files/2022-08/Round 23 NHCDC Infographic %E2%80%93 Overview.pdf</vt:lpwstr>
      </vt:variant>
      <vt:variant>
        <vt:lpwstr/>
      </vt:variant>
      <vt:variant>
        <vt:i4>8257592</vt:i4>
      </vt:variant>
      <vt:variant>
        <vt:i4>102</vt:i4>
      </vt:variant>
      <vt:variant>
        <vt:i4>0</vt:i4>
      </vt:variant>
      <vt:variant>
        <vt:i4>5</vt:i4>
      </vt:variant>
      <vt:variant>
        <vt:lpwstr>https://www.aihw.gov.au/reports-data/myhospitals/sectors/non-admitted-patients</vt:lpwstr>
      </vt:variant>
      <vt:variant>
        <vt:lpwstr/>
      </vt:variant>
      <vt:variant>
        <vt:i4>7929969</vt:i4>
      </vt:variant>
      <vt:variant>
        <vt:i4>99</vt:i4>
      </vt:variant>
      <vt:variant>
        <vt:i4>0</vt:i4>
      </vt:variant>
      <vt:variant>
        <vt:i4>5</vt:i4>
      </vt:variant>
      <vt:variant>
        <vt:lpwstr>https://www.aihw.gov.au/reports-data/myhospitals/content/latest-updates</vt:lpwstr>
      </vt:variant>
      <vt:variant>
        <vt:lpwstr/>
      </vt:variant>
      <vt:variant>
        <vt:i4>4915269</vt:i4>
      </vt:variant>
      <vt:variant>
        <vt:i4>75</vt:i4>
      </vt:variant>
      <vt:variant>
        <vt:i4>0</vt:i4>
      </vt:variant>
      <vt:variant>
        <vt:i4>5</vt:i4>
      </vt:variant>
      <vt:variant>
        <vt:lpwstr>https://www.aihw.gov.au/reports/primary-health-care/use-of-emergency-departments-lower-urgency-care/data</vt:lpwstr>
      </vt:variant>
      <vt:variant>
        <vt:lpwstr/>
      </vt:variant>
      <vt:variant>
        <vt:i4>4915269</vt:i4>
      </vt:variant>
      <vt:variant>
        <vt:i4>72</vt:i4>
      </vt:variant>
      <vt:variant>
        <vt:i4>0</vt:i4>
      </vt:variant>
      <vt:variant>
        <vt:i4>5</vt:i4>
      </vt:variant>
      <vt:variant>
        <vt:lpwstr>https://www.aihw.gov.au/reports/primary-health-care/use-of-emergency-departments-lower-urgency-care/data</vt:lpwstr>
      </vt:variant>
      <vt:variant>
        <vt:lpwstr/>
      </vt:variant>
      <vt:variant>
        <vt:i4>524288</vt:i4>
      </vt:variant>
      <vt:variant>
        <vt:i4>69</vt:i4>
      </vt:variant>
      <vt:variant>
        <vt:i4>0</vt:i4>
      </vt:variant>
      <vt:variant>
        <vt:i4>5</vt:i4>
      </vt:variant>
      <vt:variant>
        <vt:lpwstr>https://www.aihw.gov.au/reports/primary-health-care/use-of-ed-for-lower-urgency-care-2018-19/data</vt:lpwstr>
      </vt:variant>
      <vt:variant>
        <vt:lpwstr/>
      </vt:variant>
      <vt:variant>
        <vt:i4>3604516</vt:i4>
      </vt:variant>
      <vt:variant>
        <vt:i4>63</vt:i4>
      </vt:variant>
      <vt:variant>
        <vt:i4>0</vt:i4>
      </vt:variant>
      <vt:variant>
        <vt:i4>5</vt:i4>
      </vt:variant>
      <vt:variant>
        <vt:lpwstr>https://www.aihw.gov.au/reports-data/myhospitals/content/data-downloads?search=%7B%22SearchTerm%22:%22emergency%20department%20care%22,%22ShowRelatedTopics%22:false%7D&amp;page=3</vt:lpwstr>
      </vt:variant>
      <vt:variant>
        <vt:lpwstr/>
      </vt:variant>
      <vt:variant>
        <vt:i4>4915269</vt:i4>
      </vt:variant>
      <vt:variant>
        <vt:i4>60</vt:i4>
      </vt:variant>
      <vt:variant>
        <vt:i4>0</vt:i4>
      </vt:variant>
      <vt:variant>
        <vt:i4>5</vt:i4>
      </vt:variant>
      <vt:variant>
        <vt:lpwstr>https://www.aihw.gov.au/reports/primary-health-care/use-of-emergency-departments-lower-urgency-care/data</vt:lpwstr>
      </vt:variant>
      <vt:variant>
        <vt:lpwstr/>
      </vt:variant>
      <vt:variant>
        <vt:i4>1966093</vt:i4>
      </vt:variant>
      <vt:variant>
        <vt:i4>54</vt:i4>
      </vt:variant>
      <vt:variant>
        <vt:i4>0</vt:i4>
      </vt:variant>
      <vt:variant>
        <vt:i4>5</vt:i4>
      </vt:variant>
      <vt:variant>
        <vt:lpwstr>https://www.aihw.gov.au/reports/health-welfare-expenditure/health-expenditure-australia-2021-22/data</vt:lpwstr>
      </vt:variant>
      <vt:variant>
        <vt:lpwstr/>
      </vt:variant>
      <vt:variant>
        <vt:i4>8257658</vt:i4>
      </vt:variant>
      <vt:variant>
        <vt:i4>51</vt:i4>
      </vt:variant>
      <vt:variant>
        <vt:i4>0</vt:i4>
      </vt:variant>
      <vt:variant>
        <vt:i4>5</vt:i4>
      </vt:variant>
      <vt:variant>
        <vt:lpwstr>https://www.aihw.gov.au/reports-data/myhospitals/sectors/admitted-patients</vt:lpwstr>
      </vt:variant>
      <vt:variant>
        <vt:lpwstr/>
      </vt:variant>
      <vt:variant>
        <vt:i4>6160475</vt:i4>
      </vt:variant>
      <vt:variant>
        <vt:i4>48</vt:i4>
      </vt:variant>
      <vt:variant>
        <vt:i4>0</vt:i4>
      </vt:variant>
      <vt:variant>
        <vt:i4>5</vt:i4>
      </vt:variant>
      <vt:variant>
        <vt:lpwstr>https://view.officeapps.live.com/op/view.aspx?src=https%3A%2F%2Fwww.apra.gov.au%2Fsites%2Fdefault%2Ffiles%2F2023-07%2FPrivate%2520health%2520insurance%2520annual%2520coverage%2520survey%2520December%25202022%2520.xlsx&amp;wdOrigin=BROWSELINK</vt:lpwstr>
      </vt:variant>
      <vt:variant>
        <vt:lpwstr/>
      </vt:variant>
      <vt:variant>
        <vt:i4>8257658</vt:i4>
      </vt:variant>
      <vt:variant>
        <vt:i4>45</vt:i4>
      </vt:variant>
      <vt:variant>
        <vt:i4>0</vt:i4>
      </vt:variant>
      <vt:variant>
        <vt:i4>5</vt:i4>
      </vt:variant>
      <vt:variant>
        <vt:lpwstr>https://www.aihw.gov.au/reports-data/myhospitals/sectors/admitted-patients</vt:lpwstr>
      </vt:variant>
      <vt:variant>
        <vt:lpwstr/>
      </vt:variant>
      <vt:variant>
        <vt:i4>3014717</vt:i4>
      </vt:variant>
      <vt:variant>
        <vt:i4>33</vt:i4>
      </vt:variant>
      <vt:variant>
        <vt:i4>0</vt:i4>
      </vt:variant>
      <vt:variant>
        <vt:i4>5</vt:i4>
      </vt:variant>
      <vt:variant>
        <vt:lpwstr>https://www.ihacpa.gov.au/sites/default/files/2022-08/national_efficient_cost_determination_2022-23.pdf</vt:lpwstr>
      </vt:variant>
      <vt:variant>
        <vt:lpwstr/>
      </vt:variant>
      <vt:variant>
        <vt:i4>5308447</vt:i4>
      </vt:variant>
      <vt:variant>
        <vt:i4>30</vt:i4>
      </vt:variant>
      <vt:variant>
        <vt:i4>0</vt:i4>
      </vt:variant>
      <vt:variant>
        <vt:i4>5</vt:i4>
      </vt:variant>
      <vt:variant>
        <vt:lpwstr>https://www.ihacpa.gov.au/sites/default/files/2022-08/National Efficient Price Determination 2022%E2%80%9323.pdf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2025-02-18T22:30:00Z</dcterms:created>
  <dcterms:modified xsi:type="dcterms:W3CDTF">2025-02-18T22:30:00Z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2025-02-18T22:31:02Z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21053514-8f54-4c0c-bfa9-7318e94153c6</vt:lpwstr>
  </property>
  <property fmtid="{D5CDD505-2E9C-101B-9397-08002B2CF9AE}" pid="8" name="MSIP_Label_4f932d64-9ab1-4d9b-81d2-a3a8b82dd47d_ContentBits">
    <vt:lpwstr>0</vt:lpwstr>
  </property>
  <property fmtid="{D5CDD505-2E9C-101B-9397-08002B2CF9AE}" pid="9" name="MSIP_Label_6e3dc468-5731-4ec9-b671-cf2147a52e3a_SetDate">
    <vt:lpwstr>2024-08-01T05:02:30Z</vt:lpwstr>
  </property>
  <property fmtid="{D5CDD505-2E9C-101B-9397-08002B2CF9AE}" pid="10" name="MSIP_Label_6e3dc468-5731-4ec9-b671-cf2147a52e3a_ActionId">
    <vt:lpwstr>4c16d945-d01c-4f53-bc37-586da9b872de</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ClassificationContentMarkingHeaderFontProps">
    <vt:lpwstr>#ff0000,12,Calibri</vt:lpwstr>
  </property>
  <property fmtid="{D5CDD505-2E9C-101B-9397-08002B2CF9AE}" pid="16" name="MSIP_Label_6e3dc468-5731-4ec9-b671-cf2147a52e3a_ContentBits">
    <vt:lpwstr>3</vt:lpwstr>
  </property>
  <property fmtid="{D5CDD505-2E9C-101B-9397-08002B2CF9AE}" pid="17" name="_ExtendedDescription">
    <vt:lpwstr/>
  </property>
  <property fmtid="{D5CDD505-2E9C-101B-9397-08002B2CF9AE}" pid="18" name="_ColorTag">
    <vt:lpwstr/>
  </property>
  <property fmtid="{D5CDD505-2E9C-101B-9397-08002B2CF9AE}" pid="19" name="ClassificationContentMarkingFooterShapeIds">
    <vt:lpwstr>9,a,c</vt:lpwstr>
  </property>
  <property fmtid="{D5CDD505-2E9C-101B-9397-08002B2CF9AE}" pid="20" name="xd_Signature">
    <vt:bool>false</vt:bool>
  </property>
  <property fmtid="{D5CDD505-2E9C-101B-9397-08002B2CF9AE}" pid="21" name="GUID">
    <vt:lpwstr>3ac14e33-569d-4492-9f5e-cf3511fbf3d5</vt:lpwstr>
  </property>
  <property fmtid="{D5CDD505-2E9C-101B-9397-08002B2CF9AE}" pid="22" name="ClassificationContentMarkingHeaderShapeIds">
    <vt:lpwstr>6,7,8</vt:lpwstr>
  </property>
  <property fmtid="{D5CDD505-2E9C-101B-9397-08002B2CF9AE}" pid="23" name="MSIP_Label_6e3dc468-5731-4ec9-b671-cf2147a52e3a_Name">
    <vt:lpwstr>Official</vt:lpwstr>
  </property>
  <property fmtid="{D5CDD505-2E9C-101B-9397-08002B2CF9AE}" pid="24" name="ClassificationContentMarkingFooterFontProps">
    <vt:lpwstr>#ff0000,12,Calibri</vt:lpwstr>
  </property>
  <property fmtid="{D5CDD505-2E9C-101B-9397-08002B2CF9AE}" pid="25" name="_Emoji">
    <vt:lpwstr/>
  </property>
  <property fmtid="{D5CDD505-2E9C-101B-9397-08002B2CF9AE}" pid="26" name="MSIP_Label_6e3dc468-5731-4ec9-b671-cf2147a52e3a_Enabled">
    <vt:lpwstr>true</vt:lpwstr>
  </property>
  <property fmtid="{D5CDD505-2E9C-101B-9397-08002B2CF9AE}" pid="27" name="TriggerFlowInfo">
    <vt:lpwstr/>
  </property>
  <property fmtid="{D5CDD505-2E9C-101B-9397-08002B2CF9AE}" pid="28" name="ClassificationContentMarkingFooterText">
    <vt:lpwstr>OFFICIAL</vt:lpwstr>
  </property>
  <property fmtid="{D5CDD505-2E9C-101B-9397-08002B2CF9AE}" pid="29" name="MSIP_Label_6e3dc468-5731-4ec9-b671-cf2147a52e3a_SiteId">
    <vt:lpwstr>214f1646-2021-47cc-8397-e3d3a7ba7d9d</vt:lpwstr>
  </property>
  <property fmtid="{D5CDD505-2E9C-101B-9397-08002B2CF9AE}" pid="30" name="Order">
    <vt:r8>86000600</vt:r8>
  </property>
  <property fmtid="{D5CDD505-2E9C-101B-9397-08002B2CF9AE}" pid="31" name="MSIP_Label_6e3dc468-5731-4ec9-b671-cf2147a52e3a_Method">
    <vt:lpwstr>Privileged</vt:lpwstr>
  </property>
  <property fmtid="{D5CDD505-2E9C-101B-9397-08002B2CF9AE}" pid="32" name="ClassificationContentMarkingHeaderText">
    <vt:lpwstr>OFFICIAL</vt:lpwstr>
  </property>
  <property fmtid="{D5CDD505-2E9C-101B-9397-08002B2CF9AE}" pid="33" name="MediaServiceImageTags">
    <vt:lpwstr/>
  </property>
  <property fmtid="{D5CDD505-2E9C-101B-9397-08002B2CF9AE}" pid="34" name="xd_ProgID">
    <vt:lpwstr/>
  </property>
</Properties>
</file>