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370AD097" w:rsidR="001918E9" w:rsidRPr="00D35F0A" w:rsidRDefault="007B775D" w:rsidP="003C160F">
      <w:pPr>
        <w:pStyle w:val="Heading1"/>
        <w:spacing w:before="0" w:after="160"/>
      </w:pPr>
      <w:bookmarkStart w:id="0" w:name="_Toc133236145"/>
      <w:bookmarkStart w:id="1" w:name="_Toc133236171"/>
      <w:bookmarkStart w:id="2" w:name="_Toc164798165"/>
      <w:r>
        <w:t>Adjusted budget</w:t>
      </w:r>
    </w:p>
    <w:p w14:paraId="0FAD9C1D" w14:textId="77777777" w:rsidR="001918E9" w:rsidRPr="00D35F0A" w:rsidRDefault="001918E9" w:rsidP="008676BA">
      <w:pPr>
        <w:pStyle w:val="Heading2"/>
        <w:spacing w:before="200" w:after="0"/>
      </w:pPr>
      <w:r w:rsidRPr="00D35F0A">
        <w:t>Overview</w:t>
      </w:r>
      <w:bookmarkEnd w:id="0"/>
      <w:bookmarkEnd w:id="1"/>
      <w:bookmarkEnd w:id="2"/>
    </w:p>
    <w:p w14:paraId="2E36E4AD" w14:textId="1632E357" w:rsidR="006F7E12" w:rsidRDefault="006F7E12" w:rsidP="008676BA">
      <w:pPr>
        <w:pStyle w:val="CGC2025ParaNumbers"/>
        <w:spacing w:before="0"/>
      </w:pPr>
      <w:r>
        <w:t xml:space="preserve">The adjusted budget is a </w:t>
      </w:r>
      <w:r w:rsidRPr="005673CD">
        <w:t>comprehensive</w:t>
      </w:r>
      <w:r>
        <w:t xml:space="preserve"> representation of state and territory (state) yearly budgets, broken down into the Commission’s category and component structure.</w:t>
      </w:r>
      <w:r w:rsidR="00290A1A">
        <w:t xml:space="preserve"> </w:t>
      </w:r>
      <w:r>
        <w:t>It provides a comparable and consistent representation of revenues, expenses and investments across the states.</w:t>
      </w:r>
      <w:r w:rsidR="003079AD">
        <w:t xml:space="preserve"> </w:t>
      </w:r>
      <w:r w:rsidR="00A82AD0">
        <w:t xml:space="preserve">This provides </w:t>
      </w:r>
      <w:r>
        <w:t xml:space="preserve">a basis to identify what a state’s </w:t>
      </w:r>
      <w:r w:rsidR="007722EE">
        <w:t xml:space="preserve">revenue or </w:t>
      </w:r>
      <w:r w:rsidR="0056351C">
        <w:t>expenditure</w:t>
      </w:r>
      <w:r>
        <w:t xml:space="preserve"> may look like under average policy</w:t>
      </w:r>
      <w:r w:rsidR="00A82AD0">
        <w:t xml:space="preserve"> as part of the Commission’s assessment of </w:t>
      </w:r>
      <w:r w:rsidR="00CE4443">
        <w:t>GST needs.</w:t>
      </w:r>
    </w:p>
    <w:p w14:paraId="0315285E" w14:textId="77777777" w:rsidR="00A60B88" w:rsidRPr="00B871F0" w:rsidRDefault="00A60B88" w:rsidP="003D037B">
      <w:pPr>
        <w:pStyle w:val="Heading3"/>
        <w:spacing w:before="120" w:after="0"/>
      </w:pPr>
      <w:bookmarkStart w:id="3" w:name="_Toc147416160"/>
      <w:r>
        <w:t>Scope</w:t>
      </w:r>
      <w:bookmarkEnd w:id="3"/>
      <w:r w:rsidRPr="00B871F0">
        <w:t xml:space="preserve"> </w:t>
      </w:r>
    </w:p>
    <w:p w14:paraId="5DBA5FDC" w14:textId="29B175F5" w:rsidR="00A60B88" w:rsidRDefault="00A60B88" w:rsidP="003D037B">
      <w:pPr>
        <w:pStyle w:val="CGC2025ParaNumbers"/>
        <w:spacing w:before="0"/>
      </w:pPr>
      <w:r w:rsidRPr="00C61B8E">
        <w:t>The</w:t>
      </w:r>
      <w:r w:rsidDel="00F413E4">
        <w:t xml:space="preserve"> </w:t>
      </w:r>
      <w:r w:rsidRPr="00C61B8E">
        <w:t>adjusted budget</w:t>
      </w:r>
      <w:r w:rsidRPr="00403F14">
        <w:t xml:space="preserve"> covers all state</w:t>
      </w:r>
      <w:r>
        <w:t>-</w:t>
      </w:r>
      <w:r w:rsidRPr="00403F14">
        <w:t xml:space="preserve">level financial transactions recorded in the </w:t>
      </w:r>
      <w:r>
        <w:t xml:space="preserve">operating statement </w:t>
      </w:r>
      <w:r w:rsidR="005B70EB">
        <w:t>of ABS</w:t>
      </w:r>
      <w:r>
        <w:t xml:space="preserve"> </w:t>
      </w:r>
      <w:r w:rsidRPr="00403F14">
        <w:t>Government Finance Statistics</w:t>
      </w:r>
      <w:r w:rsidR="00A9259C">
        <w:t xml:space="preserve"> data</w:t>
      </w:r>
      <w:r>
        <w:t>.</w:t>
      </w:r>
      <w:r w:rsidRPr="00403F14">
        <w:t xml:space="preserve"> </w:t>
      </w:r>
      <w:r>
        <w:t xml:space="preserve">It includes activities of </w:t>
      </w:r>
      <w:r w:rsidRPr="00403F14">
        <w:t xml:space="preserve">the </w:t>
      </w:r>
      <w:r>
        <w:t>g</w:t>
      </w:r>
      <w:r w:rsidRPr="00403F14">
        <w:t xml:space="preserve">eneral </w:t>
      </w:r>
      <w:r>
        <w:t>g</w:t>
      </w:r>
      <w:r w:rsidRPr="00403F14">
        <w:t>overnment sector</w:t>
      </w:r>
      <w:r w:rsidR="007722EE">
        <w:t>,</w:t>
      </w:r>
      <w:r>
        <w:t xml:space="preserve"> as well as p</w:t>
      </w:r>
      <w:r w:rsidRPr="00403F14">
        <w:t xml:space="preserve">ublic </w:t>
      </w:r>
      <w:r>
        <w:t>n</w:t>
      </w:r>
      <w:r w:rsidRPr="00403F14">
        <w:t>on-</w:t>
      </w:r>
      <w:r>
        <w:t>f</w:t>
      </w:r>
      <w:r w:rsidRPr="00403F14">
        <w:t xml:space="preserve">inancial </w:t>
      </w:r>
      <w:r>
        <w:t>c</w:t>
      </w:r>
      <w:r w:rsidRPr="00403F14">
        <w:t>orporations that provide social housing and urban transport services</w:t>
      </w:r>
      <w:r>
        <w:t>.</w:t>
      </w:r>
      <w:r>
        <w:rPr>
          <w:rStyle w:val="FootnoteReference"/>
        </w:rPr>
        <w:footnoteReference w:id="2"/>
      </w:r>
      <w:r w:rsidRPr="00C40DCA">
        <w:t xml:space="preserve"> A consolidation of </w:t>
      </w:r>
      <w:r>
        <w:t>both the general government and public non-financial corporation sectors</w:t>
      </w:r>
      <w:r w:rsidRPr="00C40DCA">
        <w:t xml:space="preserve"> </w:t>
      </w:r>
      <w:r>
        <w:t>forms</w:t>
      </w:r>
      <w:r w:rsidRPr="00C40DCA">
        <w:t xml:space="preserve"> the state sector for the purpose of assessing </w:t>
      </w:r>
      <w:r w:rsidR="00CB3404">
        <w:t xml:space="preserve">states’ </w:t>
      </w:r>
      <w:r w:rsidRPr="00C40DCA">
        <w:t>GST needs.</w:t>
      </w:r>
    </w:p>
    <w:p w14:paraId="51FC603A" w14:textId="2220DE6E" w:rsidR="00A60B88" w:rsidRDefault="00A60B88" w:rsidP="00954824">
      <w:pPr>
        <w:pStyle w:val="CGC2025ParaNumbers"/>
        <w:spacing w:before="80"/>
      </w:pPr>
      <w:r>
        <w:t>The types of financial transactions included in the adjusted budget are</w:t>
      </w:r>
      <w:r w:rsidR="00CF7EDA">
        <w:t>:</w:t>
      </w:r>
    </w:p>
    <w:p w14:paraId="5A0471BA" w14:textId="6A109F9B" w:rsidR="00A60B88" w:rsidRPr="00AB782B" w:rsidRDefault="00A60B88" w:rsidP="00766B3C">
      <w:pPr>
        <w:pStyle w:val="CGC2025Bullet1"/>
        <w:spacing w:before="100"/>
      </w:pPr>
      <w:r w:rsidRPr="004A29E2">
        <w:t>revenues</w:t>
      </w:r>
      <w:r w:rsidRPr="00C95B0C">
        <w:t xml:space="preserve"> </w:t>
      </w:r>
      <w:r w:rsidR="000435A8" w:rsidRPr="007A6466">
        <w:rPr>
          <w:bCs/>
        </w:rPr>
        <w:t>—</w:t>
      </w:r>
      <w:r w:rsidR="000435A8">
        <w:t xml:space="preserve"> </w:t>
      </w:r>
      <w:r w:rsidRPr="00C95B0C">
        <w:t xml:space="preserve">including </w:t>
      </w:r>
      <w:r w:rsidRPr="008B6327">
        <w:t>taxation</w:t>
      </w:r>
      <w:r w:rsidRPr="00C95B0C">
        <w:t xml:space="preserve">, fees and charges, GST, Commonwealth </w:t>
      </w:r>
      <w:r w:rsidRPr="00AB782B">
        <w:t>payments and other revenue</w:t>
      </w:r>
    </w:p>
    <w:p w14:paraId="778BD28B" w14:textId="77C39E23" w:rsidR="00A60B88" w:rsidRDefault="00A60B88" w:rsidP="00C95924">
      <w:pPr>
        <w:pStyle w:val="CGC2025Bullet1"/>
        <w:spacing w:before="80"/>
      </w:pPr>
      <w:r w:rsidRPr="004A29E2">
        <w:t>expenses</w:t>
      </w:r>
      <w:r w:rsidRPr="00AF42DB">
        <w:rPr>
          <w:b/>
          <w:bCs/>
        </w:rPr>
        <w:t xml:space="preserve"> </w:t>
      </w:r>
      <w:r w:rsidR="000435A8" w:rsidRPr="007A6466">
        <w:rPr>
          <w:bCs/>
        </w:rPr>
        <w:t>—</w:t>
      </w:r>
      <w:r w:rsidR="000435A8">
        <w:rPr>
          <w:bCs/>
        </w:rPr>
        <w:t xml:space="preserve"> </w:t>
      </w:r>
      <w:r>
        <w:t>including wages, non-wage expenses, interest and transfers</w:t>
      </w:r>
    </w:p>
    <w:p w14:paraId="4A1926DE" w14:textId="1095AB4C" w:rsidR="00A60B88" w:rsidRDefault="00A60B88" w:rsidP="00C95924">
      <w:pPr>
        <w:pStyle w:val="CGC2025Bullet1"/>
        <w:spacing w:before="80"/>
      </w:pPr>
      <w:r w:rsidRPr="004A29E2">
        <w:t>investment</w:t>
      </w:r>
      <w:r w:rsidRPr="005E2E5D">
        <w:t xml:space="preserve"> </w:t>
      </w:r>
      <w:r w:rsidR="000435A8" w:rsidRPr="007A6466">
        <w:rPr>
          <w:bCs/>
        </w:rPr>
        <w:t>—</w:t>
      </w:r>
      <w:r w:rsidR="000435A8">
        <w:rPr>
          <w:bCs/>
        </w:rPr>
        <w:t xml:space="preserve"> </w:t>
      </w:r>
      <w:r>
        <w:t>including transactions in non-financial assets and depreciation</w:t>
      </w:r>
      <w:r>
        <w:rPr>
          <w:rStyle w:val="FootnoteReference"/>
        </w:rPr>
        <w:footnoteReference w:id="3"/>
      </w:r>
    </w:p>
    <w:p w14:paraId="41F4DC9A" w14:textId="072636A2" w:rsidR="00A60B88" w:rsidRDefault="00A60B88" w:rsidP="00C95924">
      <w:pPr>
        <w:pStyle w:val="CGC2025Bullet1"/>
        <w:spacing w:before="80"/>
      </w:pPr>
      <w:r w:rsidRPr="004A29E2">
        <w:t>net borrowing or lending</w:t>
      </w:r>
      <w:r>
        <w:t xml:space="preserve"> </w:t>
      </w:r>
      <w:r w:rsidR="000435A8" w:rsidRPr="007A6466">
        <w:rPr>
          <w:bCs/>
        </w:rPr>
        <w:t>—</w:t>
      </w:r>
      <w:r w:rsidR="000435A8">
        <w:rPr>
          <w:bCs/>
        </w:rPr>
        <w:t xml:space="preserve"> </w:t>
      </w:r>
      <w:r>
        <w:t>including equity acquisitions and disposals, concessional loans, borrowing and other financing transactions.</w:t>
      </w:r>
    </w:p>
    <w:p w14:paraId="69BFE47F" w14:textId="1F386ACD" w:rsidR="00A60B88" w:rsidRDefault="005A73D1" w:rsidP="00954824">
      <w:pPr>
        <w:pStyle w:val="CGC2025ParaNumbers"/>
        <w:spacing w:before="80"/>
      </w:pPr>
      <w:r>
        <w:t xml:space="preserve">While </w:t>
      </w:r>
      <w:r w:rsidR="00094D6E">
        <w:t>t</w:t>
      </w:r>
      <w:r w:rsidR="00A60B88">
        <w:t xml:space="preserve">he adjusted budget does not generally include local government transactions, </w:t>
      </w:r>
      <w:r w:rsidR="00877F3F">
        <w:t>state</w:t>
      </w:r>
      <w:r w:rsidR="00D11799">
        <w:t>-level</w:t>
      </w:r>
      <w:r w:rsidR="00877F3F">
        <w:t xml:space="preserve"> </w:t>
      </w:r>
      <w:r w:rsidR="00A60B88">
        <w:t xml:space="preserve">Government Finance Statistics data </w:t>
      </w:r>
      <w:r w:rsidR="00A60B88" w:rsidRPr="004F23C5">
        <w:t>include ACT municipal transactions</w:t>
      </w:r>
      <w:r w:rsidR="00A60B88" w:rsidRPr="004F23C5" w:rsidDel="00822184">
        <w:t xml:space="preserve">. </w:t>
      </w:r>
      <w:r w:rsidR="00D90932">
        <w:t>T</w:t>
      </w:r>
      <w:r w:rsidR="00A60B88">
        <w:t>he Commission treats</w:t>
      </w:r>
      <w:r w:rsidR="008E1EBE">
        <w:t xml:space="preserve"> the</w:t>
      </w:r>
      <w:r w:rsidR="00A60B88">
        <w:t xml:space="preserve"> ACT</w:t>
      </w:r>
      <w:r w:rsidR="009533DA">
        <w:t>’s</w:t>
      </w:r>
      <w:r w:rsidR="008B1FEE">
        <w:t xml:space="preserve"> muni</w:t>
      </w:r>
      <w:r w:rsidR="006D75BB">
        <w:t>cipal</w:t>
      </w:r>
      <w:r w:rsidR="00A60B88">
        <w:t xml:space="preserve"> rate revenue as other </w:t>
      </w:r>
      <w:r w:rsidR="005A0324">
        <w:t>revenue,</w:t>
      </w:r>
      <w:r w:rsidR="000F6337">
        <w:t xml:space="preserve"> and </w:t>
      </w:r>
      <w:r w:rsidR="00532A3D">
        <w:t xml:space="preserve">a </w:t>
      </w:r>
      <w:r w:rsidR="00BF3D96">
        <w:t>portion of</w:t>
      </w:r>
      <w:r w:rsidR="000F6337">
        <w:t xml:space="preserve"> </w:t>
      </w:r>
      <w:r w:rsidR="00A32101">
        <w:t>ACT</w:t>
      </w:r>
      <w:r w:rsidR="004B311A">
        <w:t>’</w:t>
      </w:r>
      <w:r w:rsidR="00A32101">
        <w:t xml:space="preserve">s </w:t>
      </w:r>
      <w:r w:rsidR="000F6337">
        <w:t>municipal expenses</w:t>
      </w:r>
      <w:r w:rsidR="0080243F">
        <w:t xml:space="preserve"> </w:t>
      </w:r>
      <w:r w:rsidR="00532A3D">
        <w:t xml:space="preserve">are </w:t>
      </w:r>
      <w:r w:rsidR="00CD5D09">
        <w:t xml:space="preserve">likely </w:t>
      </w:r>
      <w:r w:rsidR="00532A3D">
        <w:t>captured in the</w:t>
      </w:r>
      <w:r w:rsidR="0080243F">
        <w:t xml:space="preserve"> </w:t>
      </w:r>
      <w:r w:rsidR="001253D9">
        <w:t>other expenses</w:t>
      </w:r>
      <w:r w:rsidR="00532A3D">
        <w:t xml:space="preserve"> category</w:t>
      </w:r>
      <w:r w:rsidR="001253D9">
        <w:t xml:space="preserve">. </w:t>
      </w:r>
      <w:r w:rsidR="00BF3D96">
        <w:t>T</w:t>
      </w:r>
      <w:r w:rsidR="008127E0">
        <w:t>he</w:t>
      </w:r>
      <w:r w:rsidR="00E25041">
        <w:t>se</w:t>
      </w:r>
      <w:r w:rsidR="008127E0">
        <w:t xml:space="preserve"> are</w:t>
      </w:r>
      <w:r w:rsidR="00A60B88">
        <w:t xml:space="preserve"> assessed equal per capita and </w:t>
      </w:r>
      <w:r w:rsidR="00B866AB">
        <w:t>have little</w:t>
      </w:r>
      <w:r w:rsidR="00A60B88">
        <w:t xml:space="preserve"> </w:t>
      </w:r>
      <w:r w:rsidR="00B866AB">
        <w:t xml:space="preserve">or no </w:t>
      </w:r>
      <w:r w:rsidR="004078C9">
        <w:t>e</w:t>
      </w:r>
      <w:r w:rsidR="00A60B88">
        <w:t xml:space="preserve">ffect </w:t>
      </w:r>
      <w:r w:rsidR="004078C9">
        <w:t xml:space="preserve">on </w:t>
      </w:r>
      <w:r w:rsidR="00A60B88">
        <w:t>state fiscal capacities</w:t>
      </w:r>
      <w:r w:rsidR="00DE55AF">
        <w:t>.</w:t>
      </w:r>
      <w:r w:rsidR="00B866AB">
        <w:rPr>
          <w:rStyle w:val="FootnoteReference"/>
        </w:rPr>
        <w:footnoteReference w:id="4"/>
      </w:r>
      <w:r w:rsidR="00A67849">
        <w:t xml:space="preserve"> </w:t>
      </w:r>
      <w:r w:rsidR="00A32101" w:rsidRPr="00196609">
        <w:t xml:space="preserve">The remaining expenses are </w:t>
      </w:r>
      <w:r w:rsidR="00AF7842">
        <w:t xml:space="preserve">likely </w:t>
      </w:r>
      <w:r w:rsidR="00A32101" w:rsidRPr="00196609">
        <w:t>captured in the re</w:t>
      </w:r>
      <w:r w:rsidR="00875503" w:rsidRPr="00196609">
        <w:t xml:space="preserve">levant expense </w:t>
      </w:r>
      <w:proofErr w:type="gramStart"/>
      <w:r w:rsidR="00875503" w:rsidRPr="00196609">
        <w:t>categor</w:t>
      </w:r>
      <w:r w:rsidR="00AF7842">
        <w:t>ies</w:t>
      </w:r>
      <w:r w:rsidR="008A2325">
        <w:t>,</w:t>
      </w:r>
      <w:proofErr w:type="gramEnd"/>
      <w:r w:rsidR="008A2325">
        <w:t xml:space="preserve"> however, the</w:t>
      </w:r>
      <w:r w:rsidR="00CE09E2">
        <w:t xml:space="preserve"> </w:t>
      </w:r>
      <w:r w:rsidR="008A2325">
        <w:t xml:space="preserve">amounts are </w:t>
      </w:r>
      <w:r w:rsidR="00DB34A5">
        <w:t>estimated</w:t>
      </w:r>
      <w:r w:rsidR="008A2325">
        <w:t xml:space="preserve"> to be small</w:t>
      </w:r>
      <w:r w:rsidR="00875503" w:rsidRPr="00196609">
        <w:t>.</w:t>
      </w:r>
      <w:r w:rsidR="00875503">
        <w:t xml:space="preserve"> </w:t>
      </w:r>
      <w:r w:rsidR="00BF3D96">
        <w:t xml:space="preserve">Because </w:t>
      </w:r>
      <w:r w:rsidR="008A5E95">
        <w:t>the</w:t>
      </w:r>
      <w:r w:rsidR="0082598E">
        <w:t xml:space="preserve"> </w:t>
      </w:r>
      <w:r w:rsidR="008A5E95">
        <w:t>inclusion of</w:t>
      </w:r>
      <w:r w:rsidR="003F2073">
        <w:t xml:space="preserve"> the</w:t>
      </w:r>
      <w:r w:rsidR="008A5E95">
        <w:t xml:space="preserve"> ACT</w:t>
      </w:r>
      <w:r w:rsidR="0028025F">
        <w:t>’</w:t>
      </w:r>
      <w:r w:rsidR="008A5E95">
        <w:t>s municipal</w:t>
      </w:r>
      <w:r w:rsidR="00A60B88">
        <w:t xml:space="preserve"> transactions ha</w:t>
      </w:r>
      <w:r w:rsidR="005F708B">
        <w:t>s</w:t>
      </w:r>
      <w:r w:rsidR="00A60B88">
        <w:t xml:space="preserve"> </w:t>
      </w:r>
      <w:r w:rsidR="00BF3D96">
        <w:t>little</w:t>
      </w:r>
      <w:r w:rsidR="00A60B88">
        <w:t xml:space="preserve"> effect on assessed GST</w:t>
      </w:r>
      <w:r w:rsidR="00EF3A75">
        <w:t> </w:t>
      </w:r>
      <w:r w:rsidR="00A60B88">
        <w:t>needs</w:t>
      </w:r>
      <w:r w:rsidR="0022296C">
        <w:t xml:space="preserve">, </w:t>
      </w:r>
      <w:r w:rsidR="00224F0D">
        <w:t>they</w:t>
      </w:r>
      <w:r w:rsidR="00A60B88">
        <w:t xml:space="preserve"> have been left in the data for simplicity</w:t>
      </w:r>
      <w:r w:rsidR="005E1F90">
        <w:t>.</w:t>
      </w:r>
      <w:r w:rsidR="00103774">
        <w:t xml:space="preserve"> </w:t>
      </w:r>
    </w:p>
    <w:p w14:paraId="307EF34A" w14:textId="6DA4F322" w:rsidR="00DE0A1C" w:rsidRDefault="00DE0A1C" w:rsidP="009B5A21">
      <w:pPr>
        <w:pStyle w:val="Heading2"/>
        <w:spacing w:before="120" w:after="120"/>
      </w:pPr>
      <w:bookmarkStart w:id="5" w:name="_Toc147416161"/>
      <w:r>
        <w:lastRenderedPageBreak/>
        <w:t>Structure</w:t>
      </w:r>
      <w:bookmarkEnd w:id="5"/>
      <w:r w:rsidR="0047403C">
        <w:t xml:space="preserve"> </w:t>
      </w:r>
    </w:p>
    <w:p w14:paraId="114836AD" w14:textId="43C6898F" w:rsidR="00DE0A1C" w:rsidRDefault="007A4DBE" w:rsidP="00E720FA">
      <w:pPr>
        <w:pStyle w:val="CGC2025ParaNumbers"/>
        <w:spacing w:before="0" w:line="300" w:lineRule="atLeast"/>
      </w:pPr>
      <w:r>
        <w:t>Table 1</w:t>
      </w:r>
      <w:r w:rsidR="00DE0A1C">
        <w:t xml:space="preserve"> shows the structure of the adjusted budget. It is driven by the requirements of the category and component assessments.</w:t>
      </w:r>
    </w:p>
    <w:p w14:paraId="036D7761" w14:textId="0658A9DA" w:rsidR="00DE0A1C" w:rsidRPr="004C6846" w:rsidRDefault="69BD0348" w:rsidP="009B5A21">
      <w:pPr>
        <w:pStyle w:val="CGC2025Caption"/>
        <w:keepNext/>
        <w:keepLines/>
        <w:tabs>
          <w:tab w:val="left" w:pos="1418"/>
        </w:tabs>
        <w:spacing w:after="80"/>
        <w:rPr>
          <w:color w:val="FF0000"/>
          <w:lang w:eastAsia="en-AU"/>
        </w:rPr>
      </w:pPr>
      <w:bookmarkStart w:id="6" w:name="_Ref144128782"/>
      <w:r>
        <w:t xml:space="preserve">Table </w:t>
      </w:r>
      <w:r w:rsidR="00DE0A1C">
        <w:fldChar w:fldCharType="begin"/>
      </w:r>
      <w:r w:rsidR="00DE0A1C">
        <w:instrText>SEQ Table \* ARABIC</w:instrText>
      </w:r>
      <w:r w:rsidR="00DE0A1C">
        <w:fldChar w:fldCharType="separate"/>
      </w:r>
      <w:r w:rsidRPr="4CAD2A99">
        <w:rPr>
          <w:noProof/>
        </w:rPr>
        <w:t>1</w:t>
      </w:r>
      <w:r w:rsidR="00DE0A1C">
        <w:fldChar w:fldCharType="end"/>
      </w:r>
      <w:bookmarkEnd w:id="6"/>
      <w:r w:rsidR="00DE0A1C">
        <w:tab/>
      </w:r>
      <w:r w:rsidR="071DF020">
        <w:t xml:space="preserve">Structure of the </w:t>
      </w:r>
      <w:r w:rsidR="071DF020" w:rsidRPr="4CAD2A99">
        <w:rPr>
          <w:lang w:eastAsia="en-AU"/>
        </w:rPr>
        <w:t>a</w:t>
      </w:r>
      <w:r w:rsidRPr="4CAD2A99">
        <w:rPr>
          <w:lang w:eastAsia="en-AU"/>
        </w:rPr>
        <w:t>djusted budget, 202</w:t>
      </w:r>
      <w:r w:rsidR="46C68D38" w:rsidRPr="4CAD2A99">
        <w:rPr>
          <w:lang w:eastAsia="en-AU"/>
        </w:rPr>
        <w:t>2</w:t>
      </w:r>
      <w:r w:rsidR="3B17BF18" w:rsidRPr="4CAD2A99">
        <w:rPr>
          <w:lang w:eastAsia="en-AU"/>
        </w:rPr>
        <w:t>–</w:t>
      </w:r>
      <w:r w:rsidR="46C68D38" w:rsidRPr="4CAD2A99">
        <w:rPr>
          <w:lang w:eastAsia="en-AU"/>
        </w:rPr>
        <w:t>23</w:t>
      </w:r>
    </w:p>
    <w:tbl>
      <w:tblPr>
        <w:tblW w:w="8942" w:type="dxa"/>
        <w:tblLook w:val="04A0" w:firstRow="1" w:lastRow="0" w:firstColumn="1" w:lastColumn="0" w:noHBand="0" w:noVBand="1"/>
      </w:tblPr>
      <w:tblGrid>
        <w:gridCol w:w="6751"/>
        <w:gridCol w:w="2191"/>
      </w:tblGrid>
      <w:tr w:rsidR="005E5492" w:rsidRPr="005E5492" w14:paraId="60E375B7" w14:textId="77777777" w:rsidTr="005B0A15">
        <w:trPr>
          <w:trHeight w:val="284"/>
        </w:trPr>
        <w:tc>
          <w:tcPr>
            <w:tcW w:w="7100" w:type="dxa"/>
            <w:tcBorders>
              <w:top w:val="nil"/>
              <w:left w:val="nil"/>
              <w:bottom w:val="nil"/>
              <w:right w:val="nil"/>
            </w:tcBorders>
            <w:shd w:val="clear" w:color="000000" w:fill="006991"/>
            <w:vAlign w:val="center"/>
            <w:hideMark/>
          </w:tcPr>
          <w:p w14:paraId="74A5935A"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FFFFFF"/>
                <w:sz w:val="16"/>
                <w:szCs w:val="16"/>
                <w:lang w:eastAsia="en-AU"/>
              </w:rPr>
            </w:pPr>
            <w:r w:rsidRPr="005E5492">
              <w:rPr>
                <w:rFonts w:ascii="Open Sans Semibold" w:eastAsia="Times New Roman" w:hAnsi="Open Sans Semibold" w:cs="Open Sans Semibold"/>
                <w:color w:val="FFFFFF"/>
                <w:sz w:val="16"/>
                <w:szCs w:val="16"/>
                <w:lang w:eastAsia="en-AU"/>
              </w:rPr>
              <w:t>Categories / Items</w:t>
            </w:r>
          </w:p>
        </w:tc>
        <w:tc>
          <w:tcPr>
            <w:tcW w:w="2280" w:type="dxa"/>
            <w:tcBorders>
              <w:top w:val="nil"/>
              <w:left w:val="nil"/>
              <w:bottom w:val="nil"/>
              <w:right w:val="nil"/>
            </w:tcBorders>
            <w:shd w:val="clear" w:color="000000" w:fill="006991"/>
            <w:vAlign w:val="center"/>
            <w:hideMark/>
          </w:tcPr>
          <w:p w14:paraId="0F12D78A"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5492">
              <w:rPr>
                <w:rFonts w:ascii="Open Sans Semibold" w:eastAsia="Times New Roman" w:hAnsi="Open Sans Semibold" w:cs="Open Sans Semibold"/>
                <w:color w:val="FFFFFF"/>
                <w:sz w:val="16"/>
                <w:szCs w:val="16"/>
                <w:lang w:eastAsia="en-AU"/>
              </w:rPr>
              <w:t>Total 2022-23</w:t>
            </w:r>
          </w:p>
        </w:tc>
      </w:tr>
      <w:tr w:rsidR="005E5492" w:rsidRPr="005E5492" w14:paraId="491FB7FE" w14:textId="77777777" w:rsidTr="00CD0B5E">
        <w:trPr>
          <w:trHeight w:val="306"/>
        </w:trPr>
        <w:tc>
          <w:tcPr>
            <w:tcW w:w="7100" w:type="dxa"/>
            <w:tcBorders>
              <w:top w:val="single" w:sz="4" w:space="0" w:color="ADD6EA"/>
              <w:left w:val="nil"/>
              <w:bottom w:val="nil"/>
              <w:right w:val="nil"/>
            </w:tcBorders>
            <w:shd w:val="clear" w:color="000000" w:fill="B6D5E4"/>
            <w:vAlign w:val="bottom"/>
            <w:hideMark/>
          </w:tcPr>
          <w:p w14:paraId="1127CA3F"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 </w:t>
            </w:r>
          </w:p>
        </w:tc>
        <w:tc>
          <w:tcPr>
            <w:tcW w:w="2280" w:type="dxa"/>
            <w:tcBorders>
              <w:top w:val="single" w:sz="4" w:space="0" w:color="ADD6EA"/>
              <w:left w:val="nil"/>
              <w:bottom w:val="nil"/>
              <w:right w:val="nil"/>
            </w:tcBorders>
            <w:shd w:val="clear" w:color="000000" w:fill="B6D5E4"/>
            <w:vAlign w:val="bottom"/>
            <w:hideMark/>
          </w:tcPr>
          <w:p w14:paraId="3E86816B"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$m</w:t>
            </w:r>
          </w:p>
        </w:tc>
      </w:tr>
      <w:tr w:rsidR="005E5492" w:rsidRPr="005E5492" w14:paraId="48DFE545"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60E2681C"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GST revenue</w:t>
            </w:r>
          </w:p>
        </w:tc>
        <w:tc>
          <w:tcPr>
            <w:tcW w:w="2280" w:type="dxa"/>
            <w:tcBorders>
              <w:top w:val="single" w:sz="4" w:space="0" w:color="ADD6EA"/>
              <w:left w:val="nil"/>
              <w:bottom w:val="nil"/>
              <w:right w:val="nil"/>
            </w:tcBorders>
            <w:shd w:val="clear" w:color="000000" w:fill="FFFFFF"/>
            <w:vAlign w:val="bottom"/>
            <w:hideMark/>
          </w:tcPr>
          <w:p w14:paraId="68C0D608"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81,994</w:t>
            </w:r>
          </w:p>
        </w:tc>
      </w:tr>
      <w:tr w:rsidR="005E5492" w:rsidRPr="005E5492" w14:paraId="37E5511C"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506B6547"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Commonwealth payments</w:t>
            </w:r>
          </w:p>
        </w:tc>
        <w:tc>
          <w:tcPr>
            <w:tcW w:w="2280" w:type="dxa"/>
            <w:tcBorders>
              <w:top w:val="single" w:sz="4" w:space="0" w:color="ADD6EA"/>
              <w:left w:val="nil"/>
              <w:bottom w:val="nil"/>
              <w:right w:val="nil"/>
            </w:tcBorders>
            <w:shd w:val="clear" w:color="000000" w:fill="FFFFFF"/>
            <w:vAlign w:val="bottom"/>
            <w:hideMark/>
          </w:tcPr>
          <w:p w14:paraId="43192D22"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55,834</w:t>
            </w:r>
          </w:p>
        </w:tc>
      </w:tr>
      <w:tr w:rsidR="005E5492" w:rsidRPr="005E5492" w14:paraId="5A55BB93"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73657E41"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State own-source revenue (a)</w:t>
            </w:r>
          </w:p>
        </w:tc>
        <w:tc>
          <w:tcPr>
            <w:tcW w:w="2280" w:type="dxa"/>
            <w:tcBorders>
              <w:top w:val="single" w:sz="4" w:space="0" w:color="ADD6EA"/>
              <w:left w:val="nil"/>
              <w:bottom w:val="nil"/>
              <w:right w:val="nil"/>
            </w:tcBorders>
            <w:shd w:val="clear" w:color="000000" w:fill="FFFFFF"/>
            <w:vAlign w:val="bottom"/>
            <w:hideMark/>
          </w:tcPr>
          <w:p w14:paraId="17A970B6"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062B7C3D"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609DEDB"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Payroll tax</w:t>
            </w:r>
          </w:p>
        </w:tc>
        <w:tc>
          <w:tcPr>
            <w:tcW w:w="2280" w:type="dxa"/>
            <w:tcBorders>
              <w:top w:val="single" w:sz="4" w:space="0" w:color="ADD6EA"/>
              <w:left w:val="nil"/>
              <w:bottom w:val="nil"/>
              <w:right w:val="nil"/>
            </w:tcBorders>
            <w:shd w:val="clear" w:color="000000" w:fill="FFFFFF"/>
            <w:vAlign w:val="bottom"/>
            <w:hideMark/>
          </w:tcPr>
          <w:p w14:paraId="63B732FA"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34,066</w:t>
            </w:r>
          </w:p>
        </w:tc>
      </w:tr>
      <w:tr w:rsidR="005E5492" w:rsidRPr="005E5492" w14:paraId="37683D29"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4D49D45A"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Land tax</w:t>
            </w:r>
          </w:p>
        </w:tc>
        <w:tc>
          <w:tcPr>
            <w:tcW w:w="2280" w:type="dxa"/>
            <w:tcBorders>
              <w:top w:val="single" w:sz="4" w:space="0" w:color="ADD6EA"/>
              <w:left w:val="nil"/>
              <w:bottom w:val="nil"/>
              <w:right w:val="nil"/>
            </w:tcBorders>
            <w:shd w:val="clear" w:color="000000" w:fill="FFFFFF"/>
            <w:vAlign w:val="bottom"/>
            <w:hideMark/>
          </w:tcPr>
          <w:p w14:paraId="24645045"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14,754</w:t>
            </w:r>
          </w:p>
        </w:tc>
      </w:tr>
      <w:tr w:rsidR="005E5492" w:rsidRPr="005E5492" w14:paraId="183C15FF"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34FF1C6C"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Stamp duty on conveyances</w:t>
            </w:r>
          </w:p>
        </w:tc>
        <w:tc>
          <w:tcPr>
            <w:tcW w:w="2280" w:type="dxa"/>
            <w:tcBorders>
              <w:top w:val="single" w:sz="4" w:space="0" w:color="ADD6EA"/>
              <w:left w:val="nil"/>
              <w:bottom w:val="nil"/>
              <w:right w:val="nil"/>
            </w:tcBorders>
            <w:shd w:val="clear" w:color="000000" w:fill="FFFFFF"/>
            <w:vAlign w:val="bottom"/>
            <w:hideMark/>
          </w:tcPr>
          <w:p w14:paraId="39F21C7F"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27,507</w:t>
            </w:r>
          </w:p>
        </w:tc>
      </w:tr>
      <w:tr w:rsidR="005E5492" w:rsidRPr="005E5492" w14:paraId="5838572E"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542493A7"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Insurance tax</w:t>
            </w:r>
          </w:p>
        </w:tc>
        <w:tc>
          <w:tcPr>
            <w:tcW w:w="2280" w:type="dxa"/>
            <w:tcBorders>
              <w:top w:val="single" w:sz="4" w:space="0" w:color="ADD6EA"/>
              <w:left w:val="nil"/>
              <w:bottom w:val="nil"/>
              <w:right w:val="nil"/>
            </w:tcBorders>
            <w:shd w:val="clear" w:color="000000" w:fill="FFFFFF"/>
            <w:vAlign w:val="bottom"/>
            <w:hideMark/>
          </w:tcPr>
          <w:p w14:paraId="1A415A77"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7,321</w:t>
            </w:r>
          </w:p>
        </w:tc>
      </w:tr>
      <w:tr w:rsidR="005E5492" w:rsidRPr="005E5492" w14:paraId="4199D630"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04755249"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Motor taxes</w:t>
            </w:r>
          </w:p>
        </w:tc>
        <w:tc>
          <w:tcPr>
            <w:tcW w:w="2280" w:type="dxa"/>
            <w:tcBorders>
              <w:top w:val="single" w:sz="4" w:space="0" w:color="ADD6EA"/>
              <w:left w:val="nil"/>
              <w:bottom w:val="nil"/>
              <w:right w:val="nil"/>
            </w:tcBorders>
            <w:shd w:val="clear" w:color="000000" w:fill="FFFFFF"/>
            <w:vAlign w:val="bottom"/>
            <w:hideMark/>
          </w:tcPr>
          <w:p w14:paraId="23E27471"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13,923</w:t>
            </w:r>
          </w:p>
        </w:tc>
      </w:tr>
      <w:tr w:rsidR="005E5492" w:rsidRPr="005E5492" w14:paraId="67DA0E9D"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45BABFB0"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Mining revenue</w:t>
            </w:r>
          </w:p>
        </w:tc>
        <w:tc>
          <w:tcPr>
            <w:tcW w:w="2280" w:type="dxa"/>
            <w:tcBorders>
              <w:top w:val="single" w:sz="4" w:space="0" w:color="ADD6EA"/>
              <w:left w:val="nil"/>
              <w:bottom w:val="nil"/>
              <w:right w:val="nil"/>
            </w:tcBorders>
            <w:shd w:val="clear" w:color="000000" w:fill="FFFFFF"/>
            <w:vAlign w:val="bottom"/>
            <w:hideMark/>
          </w:tcPr>
          <w:p w14:paraId="28588B05"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36,342</w:t>
            </w:r>
          </w:p>
        </w:tc>
      </w:tr>
      <w:tr w:rsidR="005E5492" w:rsidRPr="005E5492" w14:paraId="3938FBB6"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336F8809"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Other revenue</w:t>
            </w:r>
          </w:p>
        </w:tc>
        <w:tc>
          <w:tcPr>
            <w:tcW w:w="2280" w:type="dxa"/>
            <w:tcBorders>
              <w:top w:val="single" w:sz="4" w:space="0" w:color="ADD6EA"/>
              <w:left w:val="nil"/>
              <w:bottom w:val="nil"/>
              <w:right w:val="nil"/>
            </w:tcBorders>
            <w:shd w:val="clear" w:color="000000" w:fill="FFFFFF"/>
            <w:vAlign w:val="bottom"/>
            <w:hideMark/>
          </w:tcPr>
          <w:p w14:paraId="58C2836E"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47,685</w:t>
            </w:r>
          </w:p>
        </w:tc>
      </w:tr>
      <w:tr w:rsidR="005E5492" w:rsidRPr="005E5492" w14:paraId="46935BF4" w14:textId="77777777" w:rsidTr="00CD0B5E">
        <w:trPr>
          <w:trHeight w:val="306"/>
        </w:trPr>
        <w:tc>
          <w:tcPr>
            <w:tcW w:w="7100" w:type="dxa"/>
            <w:tcBorders>
              <w:top w:val="single" w:sz="4" w:space="0" w:color="ADD6EA"/>
              <w:left w:val="nil"/>
              <w:bottom w:val="nil"/>
              <w:right w:val="nil"/>
            </w:tcBorders>
            <w:shd w:val="clear" w:color="000000" w:fill="D6E7F0"/>
            <w:vAlign w:val="bottom"/>
            <w:hideMark/>
          </w:tcPr>
          <w:p w14:paraId="5A1D4C68" w14:textId="77777777" w:rsidR="005E5492" w:rsidRPr="005E5492" w:rsidRDefault="005E5492" w:rsidP="005E5492">
            <w:pPr>
              <w:tabs>
                <w:tab w:val="clear" w:pos="567"/>
              </w:tabs>
              <w:spacing w:before="0" w:line="240" w:lineRule="auto"/>
              <w:ind w:firstLineChars="100" w:firstLine="160"/>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Total state own-source revenue</w:t>
            </w:r>
          </w:p>
        </w:tc>
        <w:tc>
          <w:tcPr>
            <w:tcW w:w="2280" w:type="dxa"/>
            <w:tcBorders>
              <w:top w:val="single" w:sz="4" w:space="0" w:color="ADD6EA"/>
              <w:left w:val="nil"/>
              <w:bottom w:val="nil"/>
              <w:right w:val="nil"/>
            </w:tcBorders>
            <w:shd w:val="clear" w:color="000000" w:fill="D6E7F0"/>
            <w:vAlign w:val="bottom"/>
            <w:hideMark/>
          </w:tcPr>
          <w:p w14:paraId="31092313"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181,597</w:t>
            </w:r>
          </w:p>
        </w:tc>
      </w:tr>
      <w:tr w:rsidR="005E5492" w:rsidRPr="005E5492" w14:paraId="126B1701" w14:textId="77777777" w:rsidTr="00CD0B5E">
        <w:trPr>
          <w:trHeight w:val="306"/>
        </w:trPr>
        <w:tc>
          <w:tcPr>
            <w:tcW w:w="7100" w:type="dxa"/>
            <w:tcBorders>
              <w:top w:val="single" w:sz="4" w:space="0" w:color="ADD6EA"/>
              <w:left w:val="nil"/>
              <w:bottom w:val="nil"/>
              <w:right w:val="nil"/>
            </w:tcBorders>
            <w:shd w:val="clear" w:color="000000" w:fill="D6E7F0"/>
            <w:vAlign w:val="bottom"/>
            <w:hideMark/>
          </w:tcPr>
          <w:p w14:paraId="1E3B877E"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Total revenue</w:t>
            </w:r>
          </w:p>
        </w:tc>
        <w:tc>
          <w:tcPr>
            <w:tcW w:w="2280" w:type="dxa"/>
            <w:tcBorders>
              <w:top w:val="single" w:sz="4" w:space="0" w:color="ADD6EA"/>
              <w:left w:val="nil"/>
              <w:bottom w:val="nil"/>
              <w:right w:val="nil"/>
            </w:tcBorders>
            <w:shd w:val="clear" w:color="000000" w:fill="D6E7F0"/>
            <w:vAlign w:val="bottom"/>
            <w:hideMark/>
          </w:tcPr>
          <w:p w14:paraId="6CC9BD2B"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319,425</w:t>
            </w:r>
          </w:p>
        </w:tc>
      </w:tr>
      <w:tr w:rsidR="005E5492" w:rsidRPr="005E5492" w14:paraId="36EE9F62"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315E48EC"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Less</w:t>
            </w:r>
          </w:p>
        </w:tc>
        <w:tc>
          <w:tcPr>
            <w:tcW w:w="2280" w:type="dxa"/>
            <w:tcBorders>
              <w:top w:val="single" w:sz="4" w:space="0" w:color="ADD6EA"/>
              <w:left w:val="nil"/>
              <w:bottom w:val="nil"/>
              <w:right w:val="nil"/>
            </w:tcBorders>
            <w:shd w:val="clear" w:color="000000" w:fill="FFFFFF"/>
            <w:vAlign w:val="bottom"/>
            <w:hideMark/>
          </w:tcPr>
          <w:p w14:paraId="09204B1F"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0C90CF0D"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7B653223"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 xml:space="preserve">Operating expenses </w:t>
            </w:r>
          </w:p>
        </w:tc>
        <w:tc>
          <w:tcPr>
            <w:tcW w:w="2280" w:type="dxa"/>
            <w:tcBorders>
              <w:top w:val="single" w:sz="4" w:space="0" w:color="ADD6EA"/>
              <w:left w:val="nil"/>
              <w:bottom w:val="nil"/>
              <w:right w:val="nil"/>
            </w:tcBorders>
            <w:shd w:val="clear" w:color="000000" w:fill="FFFFFF"/>
            <w:vAlign w:val="bottom"/>
            <w:hideMark/>
          </w:tcPr>
          <w:p w14:paraId="74416A1D"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5171B38D"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A63EA95"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Schools (b)</w:t>
            </w:r>
          </w:p>
        </w:tc>
        <w:tc>
          <w:tcPr>
            <w:tcW w:w="2280" w:type="dxa"/>
            <w:tcBorders>
              <w:top w:val="single" w:sz="4" w:space="0" w:color="ADD6EA"/>
              <w:left w:val="nil"/>
              <w:bottom w:val="nil"/>
              <w:right w:val="nil"/>
            </w:tcBorders>
            <w:shd w:val="clear" w:color="000000" w:fill="FFFFFF"/>
            <w:vAlign w:val="bottom"/>
            <w:hideMark/>
          </w:tcPr>
          <w:p w14:paraId="562B2D32"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54,031</w:t>
            </w:r>
          </w:p>
        </w:tc>
      </w:tr>
      <w:tr w:rsidR="005E5492" w:rsidRPr="005E5492" w14:paraId="1FA41F84"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120200A4"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Post-secondary education (b)</w:t>
            </w:r>
          </w:p>
        </w:tc>
        <w:tc>
          <w:tcPr>
            <w:tcW w:w="2280" w:type="dxa"/>
            <w:tcBorders>
              <w:top w:val="single" w:sz="4" w:space="0" w:color="ADD6EA"/>
              <w:left w:val="nil"/>
              <w:bottom w:val="nil"/>
              <w:right w:val="nil"/>
            </w:tcBorders>
            <w:shd w:val="clear" w:color="000000" w:fill="FFFFFF"/>
            <w:vAlign w:val="bottom"/>
            <w:hideMark/>
          </w:tcPr>
          <w:p w14:paraId="71DF53F0"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7,654</w:t>
            </w:r>
          </w:p>
        </w:tc>
      </w:tr>
      <w:tr w:rsidR="005E5492" w:rsidRPr="005E5492" w14:paraId="76917A86"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7659D235"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Health (b)</w:t>
            </w:r>
          </w:p>
        </w:tc>
        <w:tc>
          <w:tcPr>
            <w:tcW w:w="2280" w:type="dxa"/>
            <w:tcBorders>
              <w:top w:val="single" w:sz="4" w:space="0" w:color="ADD6EA"/>
              <w:left w:val="nil"/>
              <w:bottom w:val="nil"/>
              <w:right w:val="nil"/>
            </w:tcBorders>
            <w:shd w:val="clear" w:color="000000" w:fill="FFFFFF"/>
            <w:vAlign w:val="bottom"/>
            <w:hideMark/>
          </w:tcPr>
          <w:p w14:paraId="6EE2317D"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94,650</w:t>
            </w:r>
          </w:p>
        </w:tc>
      </w:tr>
      <w:tr w:rsidR="005E5492" w:rsidRPr="005E5492" w14:paraId="5164F24F"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46165918"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Housing (b) (c)</w:t>
            </w:r>
          </w:p>
        </w:tc>
        <w:tc>
          <w:tcPr>
            <w:tcW w:w="2280" w:type="dxa"/>
            <w:tcBorders>
              <w:top w:val="single" w:sz="4" w:space="0" w:color="ADD6EA"/>
              <w:left w:val="nil"/>
              <w:bottom w:val="nil"/>
              <w:right w:val="nil"/>
            </w:tcBorders>
            <w:shd w:val="clear" w:color="000000" w:fill="FFFFFF"/>
            <w:vAlign w:val="bottom"/>
            <w:hideMark/>
          </w:tcPr>
          <w:p w14:paraId="6264D5A4"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2,832</w:t>
            </w:r>
          </w:p>
        </w:tc>
      </w:tr>
      <w:tr w:rsidR="005E5492" w:rsidRPr="005E5492" w14:paraId="0063ECD2"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8B09299"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Welfare</w:t>
            </w:r>
          </w:p>
        </w:tc>
        <w:tc>
          <w:tcPr>
            <w:tcW w:w="2280" w:type="dxa"/>
            <w:tcBorders>
              <w:top w:val="single" w:sz="4" w:space="0" w:color="ADD6EA"/>
              <w:left w:val="nil"/>
              <w:bottom w:val="nil"/>
              <w:right w:val="nil"/>
            </w:tcBorders>
            <w:shd w:val="clear" w:color="000000" w:fill="FFFFFF"/>
            <w:vAlign w:val="bottom"/>
            <w:hideMark/>
          </w:tcPr>
          <w:p w14:paraId="18F4BF84"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26,374</w:t>
            </w:r>
          </w:p>
        </w:tc>
      </w:tr>
      <w:tr w:rsidR="005E5492" w:rsidRPr="005E5492" w14:paraId="53CCB90C"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1480DACE"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Services to communities</w:t>
            </w:r>
          </w:p>
        </w:tc>
        <w:tc>
          <w:tcPr>
            <w:tcW w:w="2280" w:type="dxa"/>
            <w:tcBorders>
              <w:top w:val="single" w:sz="4" w:space="0" w:color="ADD6EA"/>
              <w:left w:val="nil"/>
              <w:bottom w:val="nil"/>
              <w:right w:val="nil"/>
            </w:tcBorders>
            <w:shd w:val="clear" w:color="000000" w:fill="FFFFFF"/>
            <w:vAlign w:val="bottom"/>
            <w:hideMark/>
          </w:tcPr>
          <w:p w14:paraId="2E56D240"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14,314</w:t>
            </w:r>
          </w:p>
        </w:tc>
      </w:tr>
      <w:tr w:rsidR="005E5492" w:rsidRPr="005E5492" w14:paraId="54FDEC12"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6FE3DE91"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Justice</w:t>
            </w:r>
          </w:p>
        </w:tc>
        <w:tc>
          <w:tcPr>
            <w:tcW w:w="2280" w:type="dxa"/>
            <w:tcBorders>
              <w:top w:val="single" w:sz="4" w:space="0" w:color="ADD6EA"/>
              <w:left w:val="nil"/>
              <w:bottom w:val="nil"/>
              <w:right w:val="nil"/>
            </w:tcBorders>
            <w:shd w:val="clear" w:color="000000" w:fill="FFFFFF"/>
            <w:vAlign w:val="bottom"/>
            <w:hideMark/>
          </w:tcPr>
          <w:p w14:paraId="13DE5F62"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27,270</w:t>
            </w:r>
          </w:p>
        </w:tc>
      </w:tr>
      <w:tr w:rsidR="005E5492" w:rsidRPr="005E5492" w14:paraId="75376A36"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C565498"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Roads</w:t>
            </w:r>
          </w:p>
        </w:tc>
        <w:tc>
          <w:tcPr>
            <w:tcW w:w="2280" w:type="dxa"/>
            <w:tcBorders>
              <w:top w:val="single" w:sz="4" w:space="0" w:color="ADD6EA"/>
              <w:left w:val="nil"/>
              <w:bottom w:val="nil"/>
              <w:right w:val="nil"/>
            </w:tcBorders>
            <w:shd w:val="clear" w:color="000000" w:fill="FFFFFF"/>
            <w:vAlign w:val="bottom"/>
            <w:hideMark/>
          </w:tcPr>
          <w:p w14:paraId="06F80DD5"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11,391</w:t>
            </w:r>
          </w:p>
        </w:tc>
      </w:tr>
      <w:tr w:rsidR="005E5492" w:rsidRPr="005E5492" w14:paraId="3271AC6D"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69F27E8B"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Transport (b) (c)</w:t>
            </w:r>
          </w:p>
        </w:tc>
        <w:tc>
          <w:tcPr>
            <w:tcW w:w="2280" w:type="dxa"/>
            <w:tcBorders>
              <w:top w:val="single" w:sz="4" w:space="0" w:color="ADD6EA"/>
              <w:left w:val="nil"/>
              <w:bottom w:val="nil"/>
              <w:right w:val="nil"/>
            </w:tcBorders>
            <w:shd w:val="clear" w:color="000000" w:fill="FFFFFF"/>
            <w:vAlign w:val="bottom"/>
            <w:hideMark/>
          </w:tcPr>
          <w:p w14:paraId="16ED8E1D"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17,599</w:t>
            </w:r>
          </w:p>
        </w:tc>
      </w:tr>
      <w:tr w:rsidR="005E5492" w:rsidRPr="005E5492" w14:paraId="0FE049D9"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4DF0ACC9"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Services to industry (b)</w:t>
            </w:r>
          </w:p>
        </w:tc>
        <w:tc>
          <w:tcPr>
            <w:tcW w:w="2280" w:type="dxa"/>
            <w:tcBorders>
              <w:top w:val="single" w:sz="4" w:space="0" w:color="ADD6EA"/>
              <w:left w:val="nil"/>
              <w:bottom w:val="nil"/>
              <w:right w:val="nil"/>
            </w:tcBorders>
            <w:shd w:val="clear" w:color="000000" w:fill="FFFFFF"/>
            <w:vAlign w:val="bottom"/>
            <w:hideMark/>
          </w:tcPr>
          <w:p w14:paraId="25217709"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11,624</w:t>
            </w:r>
          </w:p>
        </w:tc>
      </w:tr>
      <w:tr w:rsidR="005E5492" w:rsidRPr="005E5492" w14:paraId="5061A002"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A7DB870" w14:textId="77777777" w:rsidR="005E5492" w:rsidRPr="005E5492" w:rsidRDefault="005E5492" w:rsidP="005E5492">
            <w:pPr>
              <w:tabs>
                <w:tab w:val="clear" w:pos="567"/>
              </w:tabs>
              <w:spacing w:before="0" w:line="240" w:lineRule="auto"/>
              <w:ind w:firstLineChars="100" w:firstLine="160"/>
              <w:rPr>
                <w:rFonts w:eastAsia="Times New Roman" w:cs="Open Sans Light"/>
                <w:color w:val="000000"/>
                <w:sz w:val="16"/>
                <w:szCs w:val="16"/>
                <w:lang w:eastAsia="en-AU"/>
              </w:rPr>
            </w:pPr>
            <w:r w:rsidRPr="005E5492">
              <w:rPr>
                <w:rFonts w:eastAsia="Times New Roman" w:cs="Open Sans Light"/>
                <w:color w:val="000000"/>
                <w:sz w:val="16"/>
                <w:szCs w:val="16"/>
                <w:lang w:eastAsia="en-AU"/>
              </w:rPr>
              <w:t>Other expenses (b)</w:t>
            </w:r>
          </w:p>
        </w:tc>
        <w:tc>
          <w:tcPr>
            <w:tcW w:w="2280" w:type="dxa"/>
            <w:tcBorders>
              <w:top w:val="single" w:sz="4" w:space="0" w:color="ADD6EA"/>
              <w:left w:val="nil"/>
              <w:bottom w:val="nil"/>
              <w:right w:val="nil"/>
            </w:tcBorders>
            <w:shd w:val="clear" w:color="000000" w:fill="FFFFFF"/>
            <w:vAlign w:val="bottom"/>
            <w:hideMark/>
          </w:tcPr>
          <w:p w14:paraId="341979C7"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40,917</w:t>
            </w:r>
          </w:p>
        </w:tc>
      </w:tr>
      <w:tr w:rsidR="005E5492" w:rsidRPr="005E5492" w14:paraId="63853E39" w14:textId="77777777" w:rsidTr="00CD0B5E">
        <w:trPr>
          <w:trHeight w:val="306"/>
        </w:trPr>
        <w:tc>
          <w:tcPr>
            <w:tcW w:w="7100" w:type="dxa"/>
            <w:tcBorders>
              <w:top w:val="single" w:sz="4" w:space="0" w:color="ADD6EA"/>
              <w:left w:val="nil"/>
              <w:bottom w:val="nil"/>
              <w:right w:val="nil"/>
            </w:tcBorders>
            <w:shd w:val="clear" w:color="000000" w:fill="D6E7F0"/>
            <w:vAlign w:val="bottom"/>
            <w:hideMark/>
          </w:tcPr>
          <w:p w14:paraId="4C4448F6"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Total expenses</w:t>
            </w:r>
          </w:p>
        </w:tc>
        <w:tc>
          <w:tcPr>
            <w:tcW w:w="2280" w:type="dxa"/>
            <w:tcBorders>
              <w:top w:val="single" w:sz="4" w:space="0" w:color="ADD6EA"/>
              <w:left w:val="nil"/>
              <w:bottom w:val="nil"/>
              <w:right w:val="nil"/>
            </w:tcBorders>
            <w:shd w:val="clear" w:color="000000" w:fill="D6E7F0"/>
            <w:vAlign w:val="bottom"/>
            <w:hideMark/>
          </w:tcPr>
          <w:p w14:paraId="72AFF635"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308,656</w:t>
            </w:r>
          </w:p>
        </w:tc>
      </w:tr>
      <w:tr w:rsidR="005E5492" w:rsidRPr="005E5492" w14:paraId="5F008C23"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09B0EB00"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Equals</w:t>
            </w:r>
          </w:p>
        </w:tc>
        <w:tc>
          <w:tcPr>
            <w:tcW w:w="2280" w:type="dxa"/>
            <w:tcBorders>
              <w:top w:val="single" w:sz="4" w:space="0" w:color="ADD6EA"/>
              <w:left w:val="nil"/>
              <w:bottom w:val="nil"/>
              <w:right w:val="nil"/>
            </w:tcBorders>
            <w:shd w:val="clear" w:color="000000" w:fill="FFFFFF"/>
            <w:vAlign w:val="bottom"/>
            <w:hideMark/>
          </w:tcPr>
          <w:p w14:paraId="63340DC1"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6BF17A0D" w14:textId="77777777" w:rsidTr="00CD0B5E">
        <w:trPr>
          <w:trHeight w:val="306"/>
        </w:trPr>
        <w:tc>
          <w:tcPr>
            <w:tcW w:w="7100" w:type="dxa"/>
            <w:tcBorders>
              <w:top w:val="single" w:sz="4" w:space="0" w:color="ADD6EA"/>
              <w:left w:val="nil"/>
              <w:bottom w:val="nil"/>
              <w:right w:val="nil"/>
            </w:tcBorders>
            <w:shd w:val="clear" w:color="000000" w:fill="D6E7F0"/>
            <w:vAlign w:val="bottom"/>
            <w:hideMark/>
          </w:tcPr>
          <w:p w14:paraId="330D118D"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Operating balance</w:t>
            </w:r>
          </w:p>
        </w:tc>
        <w:tc>
          <w:tcPr>
            <w:tcW w:w="2280" w:type="dxa"/>
            <w:tcBorders>
              <w:top w:val="single" w:sz="4" w:space="0" w:color="ADD6EA"/>
              <w:left w:val="nil"/>
              <w:bottom w:val="nil"/>
              <w:right w:val="nil"/>
            </w:tcBorders>
            <w:shd w:val="clear" w:color="000000" w:fill="D6E7F0"/>
            <w:vAlign w:val="bottom"/>
            <w:hideMark/>
          </w:tcPr>
          <w:p w14:paraId="17672B36"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10,768</w:t>
            </w:r>
          </w:p>
        </w:tc>
      </w:tr>
      <w:tr w:rsidR="005E5492" w:rsidRPr="005E5492" w14:paraId="5D10A921"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29E430D9"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Less</w:t>
            </w:r>
          </w:p>
        </w:tc>
        <w:tc>
          <w:tcPr>
            <w:tcW w:w="2280" w:type="dxa"/>
            <w:tcBorders>
              <w:top w:val="single" w:sz="4" w:space="0" w:color="ADD6EA"/>
              <w:left w:val="nil"/>
              <w:bottom w:val="nil"/>
              <w:right w:val="nil"/>
            </w:tcBorders>
            <w:shd w:val="clear" w:color="000000" w:fill="FFFFFF"/>
            <w:vAlign w:val="bottom"/>
            <w:hideMark/>
          </w:tcPr>
          <w:p w14:paraId="3232AC81"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09F69CDC"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63352FC7"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Investment (Gross)</w:t>
            </w:r>
          </w:p>
        </w:tc>
        <w:tc>
          <w:tcPr>
            <w:tcW w:w="2280" w:type="dxa"/>
            <w:tcBorders>
              <w:top w:val="single" w:sz="4" w:space="0" w:color="ADD6EA"/>
              <w:left w:val="nil"/>
              <w:bottom w:val="nil"/>
              <w:right w:val="nil"/>
            </w:tcBorders>
            <w:shd w:val="clear" w:color="000000" w:fill="FFFFFF"/>
            <w:vAlign w:val="bottom"/>
            <w:hideMark/>
          </w:tcPr>
          <w:p w14:paraId="0A76C880"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59,159</w:t>
            </w:r>
          </w:p>
        </w:tc>
      </w:tr>
      <w:tr w:rsidR="005E5492" w:rsidRPr="005E5492" w14:paraId="53F63094" w14:textId="77777777" w:rsidTr="00CD0B5E">
        <w:trPr>
          <w:trHeight w:val="306"/>
        </w:trPr>
        <w:tc>
          <w:tcPr>
            <w:tcW w:w="7100" w:type="dxa"/>
            <w:tcBorders>
              <w:top w:val="single" w:sz="4" w:space="0" w:color="ADD6EA"/>
              <w:left w:val="nil"/>
              <w:bottom w:val="nil"/>
              <w:right w:val="nil"/>
            </w:tcBorders>
            <w:shd w:val="clear" w:color="000000" w:fill="FFFFFF"/>
            <w:vAlign w:val="bottom"/>
            <w:hideMark/>
          </w:tcPr>
          <w:p w14:paraId="54EC6CE7" w14:textId="77777777" w:rsidR="005E5492" w:rsidRPr="005E5492" w:rsidRDefault="005E5492" w:rsidP="005E5492">
            <w:pPr>
              <w:tabs>
                <w:tab w:val="clear" w:pos="567"/>
              </w:tabs>
              <w:spacing w:before="0" w:line="240" w:lineRule="auto"/>
              <w:rPr>
                <w:rFonts w:eastAsia="Times New Roman" w:cs="Open Sans Light"/>
                <w:color w:val="000000"/>
                <w:sz w:val="16"/>
                <w:szCs w:val="16"/>
                <w:lang w:eastAsia="en-AU"/>
              </w:rPr>
            </w:pPr>
            <w:r w:rsidRPr="005E5492">
              <w:rPr>
                <w:rFonts w:eastAsia="Times New Roman" w:cs="Open Sans Light"/>
                <w:color w:val="000000"/>
                <w:sz w:val="16"/>
                <w:szCs w:val="16"/>
                <w:lang w:eastAsia="en-AU"/>
              </w:rPr>
              <w:t>Equals</w:t>
            </w:r>
          </w:p>
        </w:tc>
        <w:tc>
          <w:tcPr>
            <w:tcW w:w="2280" w:type="dxa"/>
            <w:tcBorders>
              <w:top w:val="single" w:sz="4" w:space="0" w:color="ADD6EA"/>
              <w:left w:val="nil"/>
              <w:bottom w:val="nil"/>
              <w:right w:val="nil"/>
            </w:tcBorders>
            <w:shd w:val="clear" w:color="000000" w:fill="FFFFFF"/>
            <w:vAlign w:val="bottom"/>
            <w:hideMark/>
          </w:tcPr>
          <w:p w14:paraId="0D1AB09D" w14:textId="77777777" w:rsidR="005E5492" w:rsidRPr="005E5492" w:rsidRDefault="005E5492" w:rsidP="005E5492">
            <w:pPr>
              <w:tabs>
                <w:tab w:val="clear" w:pos="567"/>
              </w:tabs>
              <w:spacing w:before="0" w:line="240" w:lineRule="auto"/>
              <w:jc w:val="right"/>
              <w:rPr>
                <w:rFonts w:eastAsia="Times New Roman" w:cs="Open Sans Light"/>
                <w:color w:val="000000"/>
                <w:sz w:val="16"/>
                <w:szCs w:val="16"/>
                <w:lang w:eastAsia="en-AU"/>
              </w:rPr>
            </w:pPr>
            <w:r w:rsidRPr="005E5492">
              <w:rPr>
                <w:rFonts w:eastAsia="Times New Roman" w:cs="Open Sans Light"/>
                <w:color w:val="000000"/>
                <w:sz w:val="16"/>
                <w:szCs w:val="16"/>
                <w:lang w:eastAsia="en-AU"/>
              </w:rPr>
              <w:t> </w:t>
            </w:r>
          </w:p>
        </w:tc>
      </w:tr>
      <w:tr w:rsidR="005E5492" w:rsidRPr="005E5492" w14:paraId="0450C896" w14:textId="77777777" w:rsidTr="00CD0B5E">
        <w:trPr>
          <w:trHeight w:val="306"/>
        </w:trPr>
        <w:tc>
          <w:tcPr>
            <w:tcW w:w="7100" w:type="dxa"/>
            <w:tcBorders>
              <w:top w:val="single" w:sz="4" w:space="0" w:color="ADD6EA"/>
              <w:left w:val="nil"/>
              <w:bottom w:val="single" w:sz="4" w:space="0" w:color="ADD6EA"/>
              <w:right w:val="nil"/>
            </w:tcBorders>
            <w:shd w:val="clear" w:color="000000" w:fill="D6E7F0"/>
            <w:vAlign w:val="bottom"/>
            <w:hideMark/>
          </w:tcPr>
          <w:p w14:paraId="26B28ACA" w14:textId="77777777" w:rsidR="005E5492" w:rsidRPr="005E5492" w:rsidRDefault="005E5492" w:rsidP="005E5492">
            <w:pPr>
              <w:tabs>
                <w:tab w:val="clear" w:pos="567"/>
              </w:tabs>
              <w:spacing w:before="0" w:line="240" w:lineRule="auto"/>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Net borrowing (d)</w:t>
            </w:r>
          </w:p>
        </w:tc>
        <w:tc>
          <w:tcPr>
            <w:tcW w:w="2280" w:type="dxa"/>
            <w:tcBorders>
              <w:top w:val="single" w:sz="4" w:space="0" w:color="ADD6EA"/>
              <w:left w:val="nil"/>
              <w:bottom w:val="single" w:sz="4" w:space="0" w:color="ADD6EA"/>
              <w:right w:val="nil"/>
            </w:tcBorders>
            <w:shd w:val="clear" w:color="000000" w:fill="D6E7F0"/>
            <w:vAlign w:val="bottom"/>
            <w:hideMark/>
          </w:tcPr>
          <w:p w14:paraId="2A8325E0" w14:textId="77777777" w:rsidR="005E5492" w:rsidRPr="005E5492" w:rsidRDefault="005E5492" w:rsidP="005E549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E5492">
              <w:rPr>
                <w:rFonts w:ascii="Open Sans Semibold" w:eastAsia="Times New Roman" w:hAnsi="Open Sans Semibold" w:cs="Open Sans Semibold"/>
                <w:color w:val="000000"/>
                <w:sz w:val="16"/>
                <w:szCs w:val="16"/>
                <w:lang w:eastAsia="en-AU"/>
              </w:rPr>
              <w:t>-48,391</w:t>
            </w:r>
          </w:p>
        </w:tc>
      </w:tr>
    </w:tbl>
    <w:p w14:paraId="7B7146D2" w14:textId="44F2A44E" w:rsidR="00354AE3" w:rsidRPr="00354AE3" w:rsidRDefault="00354AE3" w:rsidP="009B5A21">
      <w:pPr>
        <w:pStyle w:val="CGC2025TableNote"/>
      </w:pPr>
      <w:r w:rsidRPr="00354AE3">
        <w:t>(a)</w:t>
      </w:r>
      <w:r w:rsidR="008545F4">
        <w:tab/>
      </w:r>
      <w:r w:rsidR="008545F4">
        <w:tab/>
      </w:r>
      <w:r w:rsidRPr="00354AE3">
        <w:t>Amounts for the ACT include municipal transactions.</w:t>
      </w:r>
    </w:p>
    <w:p w14:paraId="43B6D58F" w14:textId="3E0A02E3" w:rsidR="00354AE3" w:rsidRPr="00354AE3" w:rsidRDefault="00354AE3" w:rsidP="009B5A21">
      <w:pPr>
        <w:pStyle w:val="CGC2025TableNote"/>
      </w:pPr>
      <w:r w:rsidRPr="00354AE3">
        <w:t>(b)</w:t>
      </w:r>
      <w:r w:rsidR="008545F4">
        <w:tab/>
      </w:r>
      <w:r w:rsidR="008545F4">
        <w:tab/>
      </w:r>
      <w:r w:rsidRPr="00354AE3">
        <w:t>User charges are subtracted from expenses for these categories.</w:t>
      </w:r>
    </w:p>
    <w:p w14:paraId="582B9EBF" w14:textId="2A0C1434" w:rsidR="00354AE3" w:rsidRPr="00354AE3" w:rsidRDefault="00354AE3" w:rsidP="009B5A21">
      <w:pPr>
        <w:pStyle w:val="CGC2025TableNote"/>
        <w:ind w:left="567" w:right="20" w:hanging="454"/>
      </w:pPr>
      <w:r w:rsidRPr="00354AE3">
        <w:t>(c)</w:t>
      </w:r>
      <w:r w:rsidR="008545F4">
        <w:tab/>
      </w:r>
      <w:r w:rsidRPr="00354AE3">
        <w:t>Housing and urban transport include the consolidated transactions of general government and public non-financial corporation sectors.</w:t>
      </w:r>
    </w:p>
    <w:p w14:paraId="7F621630" w14:textId="64CA6ED6" w:rsidR="007C6D1B" w:rsidRDefault="00354AE3" w:rsidP="009B5A21">
      <w:pPr>
        <w:pStyle w:val="CGC2025TableNote"/>
        <w:ind w:left="567" w:hanging="454"/>
      </w:pPr>
      <w:r w:rsidRPr="00354AE3">
        <w:t xml:space="preserve">(d) </w:t>
      </w:r>
      <w:r w:rsidR="008545F4">
        <w:tab/>
      </w:r>
      <w:r w:rsidRPr="00354AE3">
        <w:t>Consistent with ABS G</w:t>
      </w:r>
      <w:r w:rsidR="00503F20">
        <w:t xml:space="preserve">overnment </w:t>
      </w:r>
      <w:r w:rsidRPr="00354AE3">
        <w:t>F</w:t>
      </w:r>
      <w:r w:rsidR="00503F20">
        <w:t xml:space="preserve">inance </w:t>
      </w:r>
      <w:r w:rsidRPr="00354AE3">
        <w:t>S</w:t>
      </w:r>
      <w:r w:rsidR="00503F20">
        <w:t>tatistics</w:t>
      </w:r>
      <w:r w:rsidRPr="00354AE3">
        <w:t>, net borrowing is recorded as a negative number, while net lending is a positive number. It is calculated as a residual or balancing item in the adjusted budget.</w:t>
      </w:r>
    </w:p>
    <w:p w14:paraId="44108C33" w14:textId="61C93779" w:rsidR="00D71CD8" w:rsidRPr="00075917" w:rsidRDefault="00D71CD8" w:rsidP="004C6846">
      <w:pPr>
        <w:pStyle w:val="Heading2"/>
        <w:keepNext/>
        <w:keepLines/>
      </w:pPr>
      <w:r w:rsidRPr="00075917">
        <w:lastRenderedPageBreak/>
        <w:t>Data</w:t>
      </w:r>
    </w:p>
    <w:p w14:paraId="220ADF68" w14:textId="77777777" w:rsidR="00527DC7" w:rsidRDefault="00527DC7" w:rsidP="004C6846">
      <w:pPr>
        <w:pStyle w:val="Heading3"/>
        <w:keepNext/>
        <w:keepLines/>
      </w:pPr>
      <w:bookmarkStart w:id="7" w:name="_Toc147416162"/>
      <w:r>
        <w:t>Data used in the adjusted budget</w:t>
      </w:r>
      <w:bookmarkEnd w:id="7"/>
    </w:p>
    <w:p w14:paraId="16296523" w14:textId="77777777" w:rsidR="00527DC7" w:rsidRDefault="00527DC7" w:rsidP="00527DC7">
      <w:pPr>
        <w:pStyle w:val="CGC2025ParaNumbers"/>
        <w:keepNext/>
        <w:keepLines/>
      </w:pPr>
      <w:r>
        <w:t>The Commission requires 5 years of data to produce relativities in an annual update. This includes data for the 3 assessment years (year 1 to year 3) and the 2 years prior to year 1 (year minus 1 and year 0).</w:t>
      </w:r>
      <w:r>
        <w:rPr>
          <w:rStyle w:val="FootnoteReference"/>
        </w:rPr>
        <w:footnoteReference w:id="5"/>
      </w:r>
    </w:p>
    <w:p w14:paraId="4D19A6B6" w14:textId="4A56855E" w:rsidR="00527DC7" w:rsidRDefault="00527DC7" w:rsidP="00527DC7">
      <w:pPr>
        <w:pStyle w:val="CGC2025ParaNumbers"/>
      </w:pPr>
      <w:r>
        <w:t xml:space="preserve">The Commission uses </w:t>
      </w:r>
      <w:r w:rsidR="009550E5">
        <w:t xml:space="preserve">final </w:t>
      </w:r>
      <w:r>
        <w:t xml:space="preserve">Government Finance Statistics data from the ABS for year minus 1 to year 2, and </w:t>
      </w:r>
      <w:r w:rsidR="00770EFC">
        <w:t>preliminary</w:t>
      </w:r>
      <w:r w:rsidR="00A64C87">
        <w:t xml:space="preserve"> </w:t>
      </w:r>
      <w:r w:rsidR="004646CB">
        <w:t xml:space="preserve">ABS </w:t>
      </w:r>
      <w:r>
        <w:t>Government Finance Statistics data for year</w:t>
      </w:r>
      <w:r w:rsidR="00BB5D7B">
        <w:t> </w:t>
      </w:r>
      <w:r>
        <w:t xml:space="preserve">3.  </w:t>
      </w:r>
    </w:p>
    <w:p w14:paraId="6C1D7A64" w14:textId="09AE285E" w:rsidR="00527DC7" w:rsidRDefault="00DF583A" w:rsidP="00527DC7">
      <w:pPr>
        <w:pStyle w:val="CGC2025ParaNumbers"/>
      </w:pPr>
      <w:r>
        <w:t xml:space="preserve">Preliminary </w:t>
      </w:r>
      <w:r w:rsidR="00A64C87">
        <w:t xml:space="preserve">ABS </w:t>
      </w:r>
      <w:r w:rsidR="00527DC7">
        <w:t>data are used for year</w:t>
      </w:r>
      <w:r w:rsidR="00640BB0">
        <w:t xml:space="preserve"> 3</w:t>
      </w:r>
      <w:r w:rsidR="00527DC7">
        <w:t xml:space="preserve"> because the </w:t>
      </w:r>
      <w:r w:rsidR="00AC7383">
        <w:t xml:space="preserve">final </w:t>
      </w:r>
      <w:r w:rsidR="00527DC7">
        <w:t xml:space="preserve">ABS Government Finance Statistics data are </w:t>
      </w:r>
      <w:r w:rsidR="00527DC7" w:rsidDel="00BE75B1">
        <w:t xml:space="preserve">not </w:t>
      </w:r>
      <w:r w:rsidR="00527DC7">
        <w:t>available in time for the annual update.</w:t>
      </w:r>
      <w:r w:rsidR="00527DC7">
        <w:rPr>
          <w:rStyle w:val="FootnoteReference"/>
        </w:rPr>
        <w:footnoteReference w:id="6"/>
      </w:r>
      <w:r w:rsidR="00527DC7">
        <w:t xml:space="preserve"> </w:t>
      </w:r>
      <w:r w:rsidR="00010A07">
        <w:t xml:space="preserve">If the </w:t>
      </w:r>
      <w:r w:rsidR="00185E79">
        <w:t>preliminary A</w:t>
      </w:r>
      <w:r w:rsidR="00941491">
        <w:t>BS</w:t>
      </w:r>
      <w:r w:rsidR="00185E79">
        <w:t xml:space="preserve"> data are not </w:t>
      </w:r>
      <w:r w:rsidR="00DD7815">
        <w:t>av</w:t>
      </w:r>
      <w:r w:rsidR="000B3488">
        <w:t xml:space="preserve">ailable in </w:t>
      </w:r>
      <w:r w:rsidR="00450361">
        <w:t xml:space="preserve">the </w:t>
      </w:r>
      <w:r w:rsidR="000B3488">
        <w:t>time</w:t>
      </w:r>
      <w:r w:rsidR="00A92C29">
        <w:t xml:space="preserve"> frame required</w:t>
      </w:r>
      <w:r w:rsidR="007A2C64">
        <w:t xml:space="preserve">, Government Finance Statistics data </w:t>
      </w:r>
      <w:r w:rsidR="00A902F7">
        <w:t xml:space="preserve">obtained </w:t>
      </w:r>
      <w:r w:rsidR="0052147A">
        <w:t xml:space="preserve">directly </w:t>
      </w:r>
      <w:r w:rsidR="007A2C64">
        <w:t>from state</w:t>
      </w:r>
      <w:r w:rsidR="00A902F7">
        <w:t>s</w:t>
      </w:r>
      <w:r w:rsidR="007A2C64">
        <w:t xml:space="preserve"> </w:t>
      </w:r>
      <w:r w:rsidR="005520DD">
        <w:t>are</w:t>
      </w:r>
      <w:r w:rsidR="007A2C64">
        <w:t xml:space="preserve"> u</w:t>
      </w:r>
      <w:r w:rsidR="00B53570">
        <w:t>sed instead.</w:t>
      </w:r>
      <w:r w:rsidR="00A92C29">
        <w:t xml:space="preserve"> </w:t>
      </w:r>
      <w:r w:rsidR="00AC7383">
        <w:t xml:space="preserve">Final </w:t>
      </w:r>
      <w:r w:rsidR="00527DC7">
        <w:t xml:space="preserve">ABS data are subsequently used to replace the </w:t>
      </w:r>
      <w:r w:rsidR="007D2010">
        <w:t>preliminary ABS</w:t>
      </w:r>
      <w:r w:rsidR="00527DC7">
        <w:t xml:space="preserve"> data in the following update. </w:t>
      </w:r>
    </w:p>
    <w:p w14:paraId="41ED4C35" w14:textId="18B91DF7" w:rsidR="00527DC7" w:rsidRDefault="00527DC7" w:rsidP="00527DC7">
      <w:pPr>
        <w:pStyle w:val="CGC2025ParaNumbers"/>
      </w:pPr>
      <w:r>
        <w:t>Where the Commission needs to make an adjustment</w:t>
      </w:r>
      <w:r w:rsidDel="0016208D">
        <w:t xml:space="preserve"> </w:t>
      </w:r>
      <w:r>
        <w:t xml:space="preserve">to either </w:t>
      </w:r>
      <w:r w:rsidR="0042553A">
        <w:t>final</w:t>
      </w:r>
      <w:r w:rsidR="004646CB">
        <w:t xml:space="preserve"> or</w:t>
      </w:r>
      <w:r w:rsidR="0042553A">
        <w:t xml:space="preserve"> </w:t>
      </w:r>
      <w:r w:rsidR="004646CB">
        <w:t xml:space="preserve">preliminary ABS </w:t>
      </w:r>
      <w:r>
        <w:t xml:space="preserve">Government Finance Statistics data, the relevant data are requested from the ABS or states. </w:t>
      </w:r>
    </w:p>
    <w:p w14:paraId="47916D16" w14:textId="58096CD5" w:rsidR="00527DC7" w:rsidRDefault="00527DC7" w:rsidP="00527DC7">
      <w:pPr>
        <w:pStyle w:val="CGC2025ParaNumbers"/>
      </w:pPr>
      <w:r>
        <w:t xml:space="preserve">The adjusted budget data sources for </w:t>
      </w:r>
      <w:r w:rsidR="003323F4">
        <w:t>202</w:t>
      </w:r>
      <w:r w:rsidR="006E1F99">
        <w:t>5 Review</w:t>
      </w:r>
      <w:r w:rsidR="0032442F">
        <w:t xml:space="preserve"> and </w:t>
      </w:r>
      <w:r w:rsidR="003323F4">
        <w:t>202</w:t>
      </w:r>
      <w:r w:rsidR="006E1F99">
        <w:t>6</w:t>
      </w:r>
      <w:r w:rsidR="003323F4">
        <w:t xml:space="preserve"> </w:t>
      </w:r>
      <w:r w:rsidR="006E1F99">
        <w:t>U</w:t>
      </w:r>
      <w:r w:rsidR="0032442F">
        <w:t xml:space="preserve">pdate are shown </w:t>
      </w:r>
      <w:r>
        <w:t xml:space="preserve">in </w:t>
      </w:r>
      <w:r w:rsidR="00947E67">
        <w:t xml:space="preserve">Figure </w:t>
      </w:r>
      <w:r w:rsidR="00BF2A99">
        <w:t>1</w:t>
      </w:r>
      <w:r w:rsidR="006B5F36">
        <w:fldChar w:fldCharType="begin"/>
      </w:r>
      <w:r w:rsidR="006B5F36">
        <w:instrText xml:space="preserve"> REF _Ref144816601 \h </w:instrText>
      </w:r>
      <w:r w:rsidR="00000000">
        <w:fldChar w:fldCharType="separate"/>
      </w:r>
      <w:r w:rsidR="006B5F36">
        <w:fldChar w:fldCharType="end"/>
      </w:r>
      <w:r>
        <w:t xml:space="preserve">. </w:t>
      </w:r>
    </w:p>
    <w:p w14:paraId="02F84A6A" w14:textId="268220B3" w:rsidR="001534CB" w:rsidRDefault="00527DC7" w:rsidP="008B37D8">
      <w:pPr>
        <w:pStyle w:val="CGC2025Caption"/>
      </w:pPr>
      <w:bookmarkStart w:id="8" w:name="_Ref144816601"/>
      <w:r>
        <w:t xml:space="preserve">Figure </w:t>
      </w:r>
      <w:bookmarkEnd w:id="8"/>
      <w:r w:rsidR="00BF2A99">
        <w:t>1</w:t>
      </w:r>
      <w:r>
        <w:tab/>
      </w:r>
      <w:r w:rsidR="00C6379D">
        <w:t>Data used in each year of the a</w:t>
      </w:r>
      <w:r>
        <w:t>djusted budget</w:t>
      </w:r>
      <w:r w:rsidR="002342B8">
        <w:t xml:space="preserve"> </w:t>
      </w:r>
    </w:p>
    <w:p w14:paraId="19AF54DA" w14:textId="79A15BDB" w:rsidR="00686711" w:rsidRDefault="00686711" w:rsidP="002561C5">
      <w:pPr>
        <w:pStyle w:val="CGC2025Caption"/>
        <w:tabs>
          <w:tab w:val="left" w:pos="1134"/>
        </w:tabs>
        <w:ind w:left="567"/>
      </w:pPr>
      <w:r>
        <w:rPr>
          <w:noProof/>
        </w:rPr>
        <w:drawing>
          <wp:inline distT="0" distB="0" distL="0" distR="0" wp14:anchorId="22BAF081" wp14:editId="5EE05297">
            <wp:extent cx="5436055" cy="2258695"/>
            <wp:effectExtent l="0" t="0" r="0" b="8255"/>
            <wp:docPr id="1507429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880" cy="2273580"/>
                    </a:xfrm>
                    <a:prstGeom prst="rect">
                      <a:avLst/>
                    </a:prstGeom>
                    <a:noFill/>
                  </pic:spPr>
                </pic:pic>
              </a:graphicData>
            </a:graphic>
          </wp:inline>
        </w:drawing>
      </w:r>
    </w:p>
    <w:p w14:paraId="65D02BF8" w14:textId="28EE4D37" w:rsidR="00482A69" w:rsidRDefault="00482A69" w:rsidP="008B37D8">
      <w:pPr>
        <w:pStyle w:val="CGC2025TableNote"/>
      </w:pPr>
      <w:r>
        <w:t>Note:</w:t>
      </w:r>
      <w:r>
        <w:tab/>
      </w:r>
      <w:r>
        <w:tab/>
        <w:t>*</w:t>
      </w:r>
      <w:r w:rsidR="0028165A">
        <w:t xml:space="preserve">If preliminary ABS data </w:t>
      </w:r>
      <w:r w:rsidR="00C420EC">
        <w:t>are</w:t>
      </w:r>
      <w:r w:rsidR="0028165A">
        <w:t xml:space="preserve"> not available</w:t>
      </w:r>
      <w:r w:rsidR="00B229C1">
        <w:t xml:space="preserve"> in the time frame re</w:t>
      </w:r>
      <w:r w:rsidR="00010E22">
        <w:t xml:space="preserve">quired, state </w:t>
      </w:r>
      <w:r w:rsidR="007D709F">
        <w:t xml:space="preserve">provided data </w:t>
      </w:r>
      <w:r w:rsidR="00A63DC5">
        <w:t>are</w:t>
      </w:r>
      <w:r w:rsidR="007D709F">
        <w:t xml:space="preserve"> used instead. </w:t>
      </w:r>
    </w:p>
    <w:p w14:paraId="75300F4A" w14:textId="77777777" w:rsidR="00527DC7" w:rsidRDefault="00527DC7" w:rsidP="00AE17A0">
      <w:pPr>
        <w:pStyle w:val="Heading4"/>
      </w:pPr>
      <w:r>
        <w:lastRenderedPageBreak/>
        <w:t>Government Finance Statistics data</w:t>
      </w:r>
    </w:p>
    <w:p w14:paraId="4FC76ED0" w14:textId="55D026F4" w:rsidR="00527DC7" w:rsidRPr="00CE723C" w:rsidRDefault="00527DC7" w:rsidP="00F372E4">
      <w:pPr>
        <w:pStyle w:val="CGC2025ParaNumbers"/>
        <w:keepNext/>
        <w:keepLines/>
      </w:pPr>
      <w:r w:rsidRPr="00CE723C">
        <w:t xml:space="preserve">The </w:t>
      </w:r>
      <w:r>
        <w:t>Commission uses</w:t>
      </w:r>
      <w:r w:rsidRPr="00CE723C">
        <w:t xml:space="preserve"> </w:t>
      </w:r>
      <w:r w:rsidR="007545B0">
        <w:t xml:space="preserve">ABS </w:t>
      </w:r>
      <w:r w:rsidRPr="00CE723C">
        <w:t xml:space="preserve">Government Finance Statistics data for the </w:t>
      </w:r>
      <w:r w:rsidR="007545B0">
        <w:t xml:space="preserve">state </w:t>
      </w:r>
      <w:r>
        <w:t>g</w:t>
      </w:r>
      <w:r w:rsidRPr="00CE723C">
        <w:t xml:space="preserve">eneral </w:t>
      </w:r>
      <w:r>
        <w:t>g</w:t>
      </w:r>
      <w:r w:rsidRPr="00CE723C">
        <w:t xml:space="preserve">overnment sector and housing and urban transport </w:t>
      </w:r>
      <w:r w:rsidRPr="005013CA">
        <w:t>public non-financial corporations</w:t>
      </w:r>
      <w:r w:rsidRPr="00CE723C">
        <w:t>.</w:t>
      </w:r>
    </w:p>
    <w:p w14:paraId="30F2EED1" w14:textId="77777777" w:rsidR="00527DC7" w:rsidRDefault="00527DC7" w:rsidP="00F372E4">
      <w:pPr>
        <w:pStyle w:val="CGC2025Bullet1"/>
        <w:ind w:left="927" w:hanging="360"/>
      </w:pPr>
      <w:r>
        <w:t>G</w:t>
      </w:r>
      <w:r w:rsidRPr="00CE723C">
        <w:t xml:space="preserve">eneral </w:t>
      </w:r>
      <w:r>
        <w:t>g</w:t>
      </w:r>
      <w:r w:rsidRPr="00CE723C">
        <w:t xml:space="preserve">overnment sector data </w:t>
      </w:r>
      <w:r>
        <w:t>include</w:t>
      </w:r>
      <w:r w:rsidRPr="00CE723C">
        <w:t xml:space="preserve"> all government units and non</w:t>
      </w:r>
      <w:r w:rsidRPr="00CE723C">
        <w:noBreakHyphen/>
        <w:t xml:space="preserve">profit institutions controlled by government. </w:t>
      </w:r>
    </w:p>
    <w:p w14:paraId="72C085D0" w14:textId="2A3343B4" w:rsidR="00527DC7" w:rsidRPr="00CE723C" w:rsidRDefault="00527DC7" w:rsidP="00F372E4">
      <w:pPr>
        <w:pStyle w:val="CGC2025Bullet1"/>
        <w:ind w:left="927" w:hanging="360"/>
      </w:pPr>
      <w:r w:rsidRPr="005013CA">
        <w:t xml:space="preserve">Public non-financial </w:t>
      </w:r>
      <w:proofErr w:type="gramStart"/>
      <w:r w:rsidRPr="005013CA">
        <w:t>corporations</w:t>
      </w:r>
      <w:proofErr w:type="gramEnd"/>
      <w:r>
        <w:t xml:space="preserve"> data include urban transport</w:t>
      </w:r>
      <w:r w:rsidRPr="00CE723C">
        <w:t xml:space="preserve"> and </w:t>
      </w:r>
      <w:r>
        <w:t>housing</w:t>
      </w:r>
      <w:r w:rsidRPr="00CE723C">
        <w:t xml:space="preserve"> government-controlled corporations and quasi</w:t>
      </w:r>
      <w:r w:rsidRPr="00CE723C">
        <w:noBreakHyphen/>
        <w:t>corporations mainly engaged in the production of market goods and/or non</w:t>
      </w:r>
      <w:r w:rsidRPr="00CE723C">
        <w:noBreakHyphen/>
        <w:t>financial services.</w:t>
      </w:r>
      <w:r w:rsidRPr="00B1401E">
        <w:rPr>
          <w:szCs w:val="24"/>
          <w:vertAlign w:val="superscript"/>
        </w:rPr>
        <w:footnoteReference w:id="7"/>
      </w:r>
      <w:r w:rsidRPr="00CE723C">
        <w:t xml:space="preserve"> </w:t>
      </w:r>
    </w:p>
    <w:p w14:paraId="7F24FA9E" w14:textId="2C6A0932" w:rsidR="00527DC7" w:rsidRDefault="005E0AAC" w:rsidP="00527DC7">
      <w:pPr>
        <w:pStyle w:val="CGC2025ParaNumbers"/>
      </w:pPr>
      <w:r>
        <w:t>Table 2</w:t>
      </w:r>
      <w:r w:rsidR="00527DC7">
        <w:t xml:space="preserve"> provides a summary of the data used in the 202</w:t>
      </w:r>
      <w:r w:rsidR="000D4FEC">
        <w:t>5</w:t>
      </w:r>
      <w:r w:rsidR="00527DC7">
        <w:t xml:space="preserve"> Review adjusted budget compilation process.</w:t>
      </w:r>
    </w:p>
    <w:p w14:paraId="7D0A1B3B" w14:textId="437CE276" w:rsidR="00527DC7" w:rsidRDefault="00527DC7" w:rsidP="008B37D8">
      <w:pPr>
        <w:pStyle w:val="CGC2025Caption"/>
        <w:ind w:left="1418" w:hanging="1418"/>
      </w:pPr>
      <w:bookmarkStart w:id="9" w:name="_Ref144819692"/>
      <w:r>
        <w:t xml:space="preserve">Table </w:t>
      </w:r>
      <w:r>
        <w:fldChar w:fldCharType="begin"/>
      </w:r>
      <w:r>
        <w:instrText>SEQ Table \* ARABIC</w:instrText>
      </w:r>
      <w:r>
        <w:fldChar w:fldCharType="separate"/>
      </w:r>
      <w:r>
        <w:rPr>
          <w:noProof/>
        </w:rPr>
        <w:t>2</w:t>
      </w:r>
      <w:r>
        <w:fldChar w:fldCharType="end"/>
      </w:r>
      <w:bookmarkEnd w:id="9"/>
      <w:r w:rsidR="00B104EA">
        <w:tab/>
      </w:r>
      <w:r w:rsidR="00C9603E">
        <w:t>D</w:t>
      </w:r>
      <w:r>
        <w:t xml:space="preserve">ata used in the adjusted budget </w:t>
      </w:r>
    </w:p>
    <w:tbl>
      <w:tblPr>
        <w:tblW w:w="8931" w:type="dxa"/>
        <w:tblLook w:val="04A0" w:firstRow="1" w:lastRow="0" w:firstColumn="1" w:lastColumn="0" w:noHBand="0" w:noVBand="1"/>
      </w:tblPr>
      <w:tblGrid>
        <w:gridCol w:w="1276"/>
        <w:gridCol w:w="1843"/>
        <w:gridCol w:w="3685"/>
        <w:gridCol w:w="2127"/>
      </w:tblGrid>
      <w:tr w:rsidR="008E6154" w:rsidRPr="00231700" w14:paraId="234CABF6" w14:textId="77777777" w:rsidTr="00FE47A4">
        <w:trPr>
          <w:trHeight w:val="480"/>
        </w:trPr>
        <w:tc>
          <w:tcPr>
            <w:tcW w:w="1276" w:type="dxa"/>
            <w:tcBorders>
              <w:top w:val="nil"/>
              <w:left w:val="nil"/>
              <w:bottom w:val="nil"/>
              <w:right w:val="nil"/>
            </w:tcBorders>
            <w:shd w:val="clear" w:color="000000" w:fill="006991"/>
            <w:vAlign w:val="center"/>
            <w:hideMark/>
          </w:tcPr>
          <w:p w14:paraId="6D50F4A9" w14:textId="77777777" w:rsidR="008E6154" w:rsidRPr="00231700" w:rsidRDefault="008E6154">
            <w:pPr>
              <w:tabs>
                <w:tab w:val="clear" w:pos="567"/>
              </w:tabs>
              <w:spacing w:before="0" w:line="240" w:lineRule="auto"/>
              <w:rPr>
                <w:rFonts w:ascii="Open Sans Semibold" w:eastAsia="Times New Roman" w:hAnsi="Open Sans Semibold" w:cs="Open Sans Semibold"/>
                <w:color w:val="FFFFFF"/>
                <w:sz w:val="16"/>
                <w:szCs w:val="16"/>
                <w:lang w:eastAsia="en-AU"/>
              </w:rPr>
            </w:pPr>
            <w:r w:rsidRPr="00B32348">
              <w:rPr>
                <w:rFonts w:ascii="Open Sans Semibold" w:eastAsia="Times New Roman" w:hAnsi="Open Sans Semibold" w:cs="Open Sans Semibold"/>
                <w:color w:val="FFFFFF"/>
                <w:sz w:val="16"/>
                <w:szCs w:val="16"/>
                <w:lang w:eastAsia="en-AU"/>
              </w:rPr>
              <w:t>Data source</w:t>
            </w:r>
          </w:p>
        </w:tc>
        <w:tc>
          <w:tcPr>
            <w:tcW w:w="1843" w:type="dxa"/>
            <w:tcBorders>
              <w:top w:val="nil"/>
              <w:left w:val="nil"/>
              <w:bottom w:val="nil"/>
              <w:right w:val="nil"/>
            </w:tcBorders>
            <w:shd w:val="clear" w:color="000000" w:fill="006991"/>
            <w:vAlign w:val="center"/>
            <w:hideMark/>
          </w:tcPr>
          <w:p w14:paraId="55C6EEE7" w14:textId="77777777" w:rsidR="008E6154" w:rsidRPr="00231700" w:rsidRDefault="008E6154">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Data description</w:t>
            </w:r>
          </w:p>
        </w:tc>
        <w:tc>
          <w:tcPr>
            <w:tcW w:w="3685" w:type="dxa"/>
            <w:tcBorders>
              <w:top w:val="nil"/>
              <w:left w:val="nil"/>
              <w:bottom w:val="nil"/>
              <w:right w:val="nil"/>
            </w:tcBorders>
            <w:shd w:val="clear" w:color="000000" w:fill="006991"/>
            <w:vAlign w:val="center"/>
          </w:tcPr>
          <w:p w14:paraId="4BC80955" w14:textId="77777777" w:rsidR="008E6154" w:rsidRDefault="008E6154">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How data are used</w:t>
            </w:r>
          </w:p>
        </w:tc>
        <w:tc>
          <w:tcPr>
            <w:tcW w:w="2127" w:type="dxa"/>
            <w:tcBorders>
              <w:top w:val="nil"/>
              <w:left w:val="nil"/>
              <w:bottom w:val="nil"/>
              <w:right w:val="nil"/>
            </w:tcBorders>
            <w:shd w:val="clear" w:color="000000" w:fill="006991"/>
            <w:vAlign w:val="center"/>
            <w:hideMark/>
          </w:tcPr>
          <w:p w14:paraId="541ACD8E" w14:textId="77777777" w:rsidR="008E6154" w:rsidRPr="00231700" w:rsidRDefault="008E6154">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How data are obtained</w:t>
            </w:r>
          </w:p>
        </w:tc>
      </w:tr>
      <w:tr w:rsidR="008E6154" w:rsidRPr="00A1519C" w14:paraId="735F5108" w14:textId="77777777" w:rsidTr="00FE47A4">
        <w:trPr>
          <w:trHeight w:val="469"/>
        </w:trPr>
        <w:tc>
          <w:tcPr>
            <w:tcW w:w="1276" w:type="dxa"/>
            <w:tcBorders>
              <w:left w:val="nil"/>
              <w:bottom w:val="single" w:sz="4" w:space="0" w:color="ADD6EA"/>
              <w:right w:val="nil"/>
            </w:tcBorders>
            <w:shd w:val="clear" w:color="auto" w:fill="auto"/>
            <w:vAlign w:val="center"/>
            <w:hideMark/>
          </w:tcPr>
          <w:p w14:paraId="4F6DBB02"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ABS</w:t>
            </w:r>
          </w:p>
        </w:tc>
        <w:tc>
          <w:tcPr>
            <w:tcW w:w="1843" w:type="dxa"/>
            <w:tcBorders>
              <w:left w:val="nil"/>
              <w:bottom w:val="single" w:sz="4" w:space="0" w:color="ADD6EA"/>
              <w:right w:val="nil"/>
            </w:tcBorders>
            <w:shd w:val="clear" w:color="auto" w:fill="auto"/>
            <w:noWrap/>
            <w:vAlign w:val="center"/>
            <w:hideMark/>
          </w:tcPr>
          <w:p w14:paraId="3FAC0FDF"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GG and PNFC</w:t>
            </w:r>
            <w:r>
              <w:rPr>
                <w:rFonts w:cs="Open Sans Light"/>
                <w:sz w:val="16"/>
                <w:szCs w:val="16"/>
              </w:rPr>
              <w:t xml:space="preserve"> final</w:t>
            </w:r>
            <w:r w:rsidRPr="00A1519C">
              <w:rPr>
                <w:rFonts w:cs="Open Sans Light"/>
                <w:sz w:val="16"/>
                <w:szCs w:val="16"/>
              </w:rPr>
              <w:t xml:space="preserve"> GFS data (</w:t>
            </w:r>
            <w:r>
              <w:rPr>
                <w:rFonts w:cs="Open Sans Light"/>
                <w:sz w:val="16"/>
                <w:szCs w:val="16"/>
              </w:rPr>
              <w:t>y</w:t>
            </w:r>
            <w:r w:rsidRPr="00A1519C">
              <w:rPr>
                <w:rFonts w:cs="Open Sans Light"/>
                <w:sz w:val="16"/>
                <w:szCs w:val="16"/>
              </w:rPr>
              <w:t>ears minus 1 to 2)</w:t>
            </w:r>
          </w:p>
          <w:p w14:paraId="46E9B72D" w14:textId="77777777" w:rsidR="008E6154" w:rsidRPr="00A1519C" w:rsidRDefault="008E6154">
            <w:pPr>
              <w:tabs>
                <w:tab w:val="clear" w:pos="567"/>
              </w:tabs>
              <w:spacing w:before="0" w:line="240" w:lineRule="auto"/>
              <w:rPr>
                <w:rFonts w:cs="Open Sans Light"/>
                <w:sz w:val="16"/>
                <w:szCs w:val="16"/>
              </w:rPr>
            </w:pPr>
          </w:p>
        </w:tc>
        <w:tc>
          <w:tcPr>
            <w:tcW w:w="3685" w:type="dxa"/>
            <w:tcBorders>
              <w:left w:val="nil"/>
              <w:bottom w:val="nil"/>
              <w:right w:val="nil"/>
            </w:tcBorders>
            <w:vAlign w:val="center"/>
          </w:tcPr>
          <w:p w14:paraId="0F251909"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To compile years 1 and 2 of adjusted budget. Years minus 1 to 0 are used for the investment assessment and analysis of change</w:t>
            </w:r>
            <w:r>
              <w:rPr>
                <w:rFonts w:cs="Open Sans Light"/>
                <w:sz w:val="16"/>
                <w:szCs w:val="16"/>
              </w:rPr>
              <w:t>.</w:t>
            </w:r>
            <w:r w:rsidRPr="00A1519C">
              <w:rPr>
                <w:rFonts w:cs="Open Sans Light"/>
                <w:sz w:val="16"/>
                <w:szCs w:val="16"/>
              </w:rPr>
              <w:t xml:space="preserve"> </w:t>
            </w:r>
          </w:p>
        </w:tc>
        <w:tc>
          <w:tcPr>
            <w:tcW w:w="2127" w:type="dxa"/>
            <w:tcBorders>
              <w:left w:val="nil"/>
              <w:bottom w:val="nil"/>
              <w:right w:val="nil"/>
            </w:tcBorders>
            <w:shd w:val="clear" w:color="auto" w:fill="auto"/>
            <w:vAlign w:val="center"/>
            <w:hideMark/>
          </w:tcPr>
          <w:p w14:paraId="1D3E2006" w14:textId="77777777" w:rsidR="008E6154" w:rsidRPr="00A1519C" w:rsidRDefault="008E6154">
            <w:pPr>
              <w:tabs>
                <w:tab w:val="clear" w:pos="567"/>
              </w:tabs>
              <w:spacing w:before="0" w:line="240" w:lineRule="auto"/>
              <w:rPr>
                <w:rFonts w:eastAsia="Times New Roman" w:cs="Open Sans Light"/>
                <w:color w:val="000000"/>
                <w:sz w:val="16"/>
                <w:szCs w:val="16"/>
                <w:lang w:eastAsia="en-AU"/>
              </w:rPr>
            </w:pPr>
            <w:r w:rsidRPr="00A1519C">
              <w:rPr>
                <w:rFonts w:cs="Open Sans Light"/>
                <w:sz w:val="16"/>
                <w:szCs w:val="16"/>
              </w:rPr>
              <w:t>Data request</w:t>
            </w:r>
          </w:p>
        </w:tc>
      </w:tr>
      <w:tr w:rsidR="008E6154" w:rsidRPr="00A1519C" w14:paraId="364BA07E" w14:textId="77777777" w:rsidTr="00EA7AD3">
        <w:trPr>
          <w:trHeight w:val="469"/>
        </w:trPr>
        <w:tc>
          <w:tcPr>
            <w:tcW w:w="1276" w:type="dxa"/>
            <w:tcBorders>
              <w:top w:val="nil"/>
              <w:left w:val="nil"/>
              <w:bottom w:val="single" w:sz="4" w:space="0" w:color="ADD6EA"/>
              <w:right w:val="nil"/>
            </w:tcBorders>
            <w:shd w:val="clear" w:color="auto" w:fill="auto"/>
            <w:vAlign w:val="center"/>
          </w:tcPr>
          <w:p w14:paraId="2AB48B5B"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ABS</w:t>
            </w:r>
          </w:p>
        </w:tc>
        <w:tc>
          <w:tcPr>
            <w:tcW w:w="1843" w:type="dxa"/>
            <w:tcBorders>
              <w:top w:val="nil"/>
              <w:left w:val="nil"/>
              <w:bottom w:val="single" w:sz="4" w:space="0" w:color="ADD6EA"/>
              <w:right w:val="nil"/>
            </w:tcBorders>
            <w:shd w:val="clear" w:color="auto" w:fill="auto"/>
            <w:noWrap/>
            <w:vAlign w:val="center"/>
          </w:tcPr>
          <w:p w14:paraId="6B52E7D1"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 xml:space="preserve">AASB16 (Leases) data </w:t>
            </w:r>
          </w:p>
        </w:tc>
        <w:tc>
          <w:tcPr>
            <w:tcW w:w="3685" w:type="dxa"/>
            <w:tcBorders>
              <w:top w:val="single" w:sz="4" w:space="0" w:color="ADD6EA"/>
              <w:left w:val="nil"/>
              <w:bottom w:val="single" w:sz="4" w:space="0" w:color="ADD6EA"/>
              <w:right w:val="nil"/>
            </w:tcBorders>
            <w:vAlign w:val="center"/>
          </w:tcPr>
          <w:p w14:paraId="66941AE2"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For an adjustment to ABS data</w:t>
            </w:r>
            <w:r>
              <w:rPr>
                <w:rFonts w:cs="Open Sans Light"/>
                <w:sz w:val="16"/>
                <w:szCs w:val="16"/>
              </w:rPr>
              <w:t>.</w:t>
            </w:r>
          </w:p>
        </w:tc>
        <w:tc>
          <w:tcPr>
            <w:tcW w:w="2127" w:type="dxa"/>
            <w:tcBorders>
              <w:top w:val="single" w:sz="4" w:space="0" w:color="ADD6EA"/>
              <w:left w:val="nil"/>
              <w:bottom w:val="single" w:sz="4" w:space="0" w:color="ADD6EA"/>
              <w:right w:val="nil"/>
            </w:tcBorders>
            <w:shd w:val="clear" w:color="auto" w:fill="auto"/>
            <w:vAlign w:val="center"/>
          </w:tcPr>
          <w:p w14:paraId="5AD847E9"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Data request</w:t>
            </w:r>
          </w:p>
        </w:tc>
      </w:tr>
      <w:tr w:rsidR="008E6154" w:rsidRPr="00EA7AD3" w14:paraId="53A445A4" w14:textId="77777777" w:rsidTr="00EA7AD3">
        <w:trPr>
          <w:trHeight w:val="732"/>
        </w:trPr>
        <w:tc>
          <w:tcPr>
            <w:tcW w:w="1276" w:type="dxa"/>
            <w:tcBorders>
              <w:top w:val="single" w:sz="4" w:space="0" w:color="ADD6EA"/>
              <w:left w:val="nil"/>
              <w:bottom w:val="single" w:sz="4" w:space="0" w:color="ADD6EA"/>
              <w:right w:val="nil"/>
            </w:tcBorders>
            <w:shd w:val="clear" w:color="auto" w:fill="auto"/>
            <w:vAlign w:val="center"/>
          </w:tcPr>
          <w:p w14:paraId="0E58DC5D"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ABS</w:t>
            </w:r>
          </w:p>
        </w:tc>
        <w:tc>
          <w:tcPr>
            <w:tcW w:w="1843" w:type="dxa"/>
            <w:tcBorders>
              <w:top w:val="single" w:sz="4" w:space="0" w:color="ADD6EA"/>
              <w:left w:val="nil"/>
              <w:bottom w:val="single" w:sz="4" w:space="0" w:color="ADD6EA"/>
              <w:right w:val="nil"/>
            </w:tcBorders>
            <w:shd w:val="clear" w:color="auto" w:fill="auto"/>
            <w:noWrap/>
            <w:vAlign w:val="center"/>
          </w:tcPr>
          <w:p w14:paraId="020AA66B"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Preliminary year 3 GG and PNFC GFS data</w:t>
            </w:r>
          </w:p>
        </w:tc>
        <w:tc>
          <w:tcPr>
            <w:tcW w:w="3685" w:type="dxa"/>
            <w:tcBorders>
              <w:top w:val="single" w:sz="4" w:space="0" w:color="ADD6EA"/>
              <w:left w:val="nil"/>
              <w:bottom w:val="single" w:sz="4" w:space="0" w:color="ADD6EA"/>
              <w:right w:val="nil"/>
            </w:tcBorders>
            <w:vAlign w:val="center"/>
          </w:tcPr>
          <w:p w14:paraId="6D9F070C"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To compile year 3 of the adjusted budget and for various adjustments</w:t>
            </w:r>
            <w:r>
              <w:rPr>
                <w:rFonts w:cs="Open Sans Light"/>
                <w:sz w:val="16"/>
                <w:szCs w:val="16"/>
              </w:rPr>
              <w:t>.</w:t>
            </w:r>
          </w:p>
        </w:tc>
        <w:tc>
          <w:tcPr>
            <w:tcW w:w="2127" w:type="dxa"/>
            <w:tcBorders>
              <w:top w:val="single" w:sz="4" w:space="0" w:color="ADD6EA"/>
              <w:left w:val="nil"/>
              <w:bottom w:val="single" w:sz="4" w:space="0" w:color="ADD6EA"/>
              <w:right w:val="nil"/>
            </w:tcBorders>
            <w:shd w:val="clear" w:color="auto" w:fill="auto"/>
            <w:vAlign w:val="center"/>
          </w:tcPr>
          <w:p w14:paraId="08DE4FB3"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Data compiled by the ABS and forwarded to the Commission by states</w:t>
            </w:r>
          </w:p>
        </w:tc>
      </w:tr>
      <w:tr w:rsidR="008E6154" w:rsidRPr="00EA7AD3" w14:paraId="0E0A0405" w14:textId="77777777" w:rsidTr="00EA7AD3">
        <w:trPr>
          <w:trHeight w:val="469"/>
        </w:trPr>
        <w:tc>
          <w:tcPr>
            <w:tcW w:w="1276" w:type="dxa"/>
            <w:tcBorders>
              <w:top w:val="single" w:sz="4" w:space="0" w:color="ADD6EA"/>
              <w:left w:val="nil"/>
              <w:bottom w:val="single" w:sz="4" w:space="0" w:color="ADD6EA"/>
              <w:right w:val="nil"/>
            </w:tcBorders>
            <w:shd w:val="clear" w:color="auto" w:fill="auto"/>
            <w:vAlign w:val="center"/>
          </w:tcPr>
          <w:p w14:paraId="60108695"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 xml:space="preserve">States </w:t>
            </w:r>
          </w:p>
        </w:tc>
        <w:tc>
          <w:tcPr>
            <w:tcW w:w="1843" w:type="dxa"/>
            <w:tcBorders>
              <w:top w:val="single" w:sz="4" w:space="0" w:color="ADD6EA"/>
              <w:left w:val="nil"/>
              <w:bottom w:val="single" w:sz="4" w:space="0" w:color="ADD6EA"/>
              <w:right w:val="nil"/>
            </w:tcBorders>
            <w:shd w:val="clear" w:color="auto" w:fill="auto"/>
            <w:noWrap/>
            <w:vAlign w:val="center"/>
          </w:tcPr>
          <w:p w14:paraId="7507F272"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GFS GG and PNFC data (</w:t>
            </w:r>
            <w:r>
              <w:rPr>
                <w:rFonts w:cs="Open Sans Light"/>
                <w:sz w:val="16"/>
                <w:szCs w:val="16"/>
              </w:rPr>
              <w:t>y</w:t>
            </w:r>
            <w:r w:rsidRPr="00A1519C">
              <w:rPr>
                <w:rFonts w:cs="Open Sans Light"/>
                <w:sz w:val="16"/>
                <w:szCs w:val="16"/>
              </w:rPr>
              <w:t>ear 3)</w:t>
            </w:r>
          </w:p>
        </w:tc>
        <w:tc>
          <w:tcPr>
            <w:tcW w:w="3685" w:type="dxa"/>
            <w:tcBorders>
              <w:top w:val="single" w:sz="4" w:space="0" w:color="ADD6EA"/>
              <w:left w:val="nil"/>
              <w:bottom w:val="single" w:sz="4" w:space="0" w:color="ADD6EA"/>
              <w:right w:val="nil"/>
            </w:tcBorders>
            <w:vAlign w:val="center"/>
          </w:tcPr>
          <w:p w14:paraId="4CECE3F8"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 xml:space="preserve">If ABS preliminary data </w:t>
            </w:r>
            <w:r>
              <w:rPr>
                <w:rFonts w:cs="Open Sans Light"/>
                <w:sz w:val="16"/>
                <w:szCs w:val="16"/>
              </w:rPr>
              <w:t>are</w:t>
            </w:r>
            <w:r w:rsidRPr="00A1519C">
              <w:rPr>
                <w:rFonts w:cs="Open Sans Light"/>
                <w:sz w:val="16"/>
                <w:szCs w:val="16"/>
              </w:rPr>
              <w:t xml:space="preserve"> not available for a particular state by December each year, the state</w:t>
            </w:r>
            <w:r>
              <w:rPr>
                <w:rFonts w:cs="Open Sans Light"/>
                <w:sz w:val="16"/>
                <w:szCs w:val="16"/>
              </w:rPr>
              <w:t>’</w:t>
            </w:r>
            <w:r w:rsidRPr="00A1519C">
              <w:rPr>
                <w:rFonts w:cs="Open Sans Light"/>
                <w:sz w:val="16"/>
                <w:szCs w:val="16"/>
              </w:rPr>
              <w:t xml:space="preserve">s year 3 data will be used to compile year 3 </w:t>
            </w:r>
            <w:r w:rsidRPr="00A1519C" w:rsidDel="00F438CC">
              <w:rPr>
                <w:rFonts w:cs="Open Sans Light"/>
                <w:sz w:val="16"/>
                <w:szCs w:val="16"/>
              </w:rPr>
              <w:t xml:space="preserve">of </w:t>
            </w:r>
            <w:r>
              <w:rPr>
                <w:rFonts w:cs="Open Sans Light"/>
                <w:sz w:val="16"/>
                <w:szCs w:val="16"/>
              </w:rPr>
              <w:t xml:space="preserve">the </w:t>
            </w:r>
            <w:r w:rsidRPr="00A1519C">
              <w:rPr>
                <w:rFonts w:cs="Open Sans Light"/>
                <w:sz w:val="16"/>
                <w:szCs w:val="16"/>
              </w:rPr>
              <w:t>adjusted budget</w:t>
            </w:r>
            <w:r>
              <w:rPr>
                <w:rFonts w:cs="Open Sans Light"/>
                <w:sz w:val="16"/>
                <w:szCs w:val="16"/>
              </w:rPr>
              <w:t>.</w:t>
            </w:r>
            <w:r w:rsidRPr="00A1519C">
              <w:rPr>
                <w:rFonts w:cs="Open Sans Light"/>
                <w:sz w:val="16"/>
                <w:szCs w:val="16"/>
              </w:rPr>
              <w:t xml:space="preserve"> </w:t>
            </w:r>
          </w:p>
        </w:tc>
        <w:tc>
          <w:tcPr>
            <w:tcW w:w="2127" w:type="dxa"/>
            <w:tcBorders>
              <w:top w:val="single" w:sz="4" w:space="0" w:color="ADD6EA"/>
              <w:left w:val="nil"/>
              <w:bottom w:val="single" w:sz="4" w:space="0" w:color="ADD6EA"/>
              <w:right w:val="nil"/>
            </w:tcBorders>
            <w:shd w:val="clear" w:color="auto" w:fill="auto"/>
            <w:vAlign w:val="center"/>
          </w:tcPr>
          <w:p w14:paraId="36F271F1" w14:textId="77777777" w:rsidR="008E6154" w:rsidRPr="00A1519C" w:rsidRDefault="008E6154">
            <w:pPr>
              <w:tabs>
                <w:tab w:val="clear" w:pos="567"/>
              </w:tabs>
              <w:spacing w:before="0" w:line="240" w:lineRule="auto"/>
              <w:rPr>
                <w:rFonts w:cs="Open Sans Light"/>
                <w:sz w:val="16"/>
                <w:szCs w:val="16"/>
              </w:rPr>
            </w:pPr>
            <w:r w:rsidRPr="00A1519C">
              <w:rPr>
                <w:rFonts w:cs="Open Sans Light"/>
                <w:sz w:val="16"/>
                <w:szCs w:val="16"/>
              </w:rPr>
              <w:t>Data request</w:t>
            </w:r>
            <w:r>
              <w:rPr>
                <w:rFonts w:cs="Open Sans Light"/>
                <w:sz w:val="16"/>
                <w:szCs w:val="16"/>
              </w:rPr>
              <w:t xml:space="preserve"> </w:t>
            </w:r>
          </w:p>
        </w:tc>
      </w:tr>
      <w:tr w:rsidR="008E6154" w:rsidRPr="00FD1332" w14:paraId="2DD4270D" w14:textId="77777777" w:rsidTr="00FE47A4">
        <w:trPr>
          <w:trHeight w:val="469"/>
        </w:trPr>
        <w:tc>
          <w:tcPr>
            <w:tcW w:w="1276" w:type="dxa"/>
            <w:tcBorders>
              <w:top w:val="single" w:sz="4" w:space="0" w:color="ADD6EA"/>
              <w:left w:val="nil"/>
              <w:bottom w:val="single" w:sz="4" w:space="0" w:color="ADD6EA"/>
              <w:right w:val="nil"/>
            </w:tcBorders>
            <w:shd w:val="clear" w:color="auto" w:fill="auto"/>
            <w:vAlign w:val="center"/>
          </w:tcPr>
          <w:p w14:paraId="3148E2A6" w14:textId="77777777" w:rsidR="008E6154" w:rsidRPr="00FD1332" w:rsidRDefault="008E6154">
            <w:pPr>
              <w:tabs>
                <w:tab w:val="clear" w:pos="567"/>
              </w:tabs>
              <w:spacing w:before="0" w:line="240" w:lineRule="auto"/>
              <w:rPr>
                <w:rFonts w:cs="Open Sans Light"/>
                <w:sz w:val="16"/>
                <w:szCs w:val="16"/>
              </w:rPr>
            </w:pPr>
            <w:r w:rsidRPr="00FD1332">
              <w:rPr>
                <w:rFonts w:cs="Open Sans Light"/>
                <w:sz w:val="16"/>
                <w:szCs w:val="16"/>
              </w:rPr>
              <w:t>States</w:t>
            </w:r>
            <w:r>
              <w:rPr>
                <w:rFonts w:cs="Open Sans Light"/>
                <w:sz w:val="16"/>
                <w:szCs w:val="16"/>
              </w:rPr>
              <w:t>/ABS</w:t>
            </w:r>
          </w:p>
        </w:tc>
        <w:tc>
          <w:tcPr>
            <w:tcW w:w="1843" w:type="dxa"/>
            <w:tcBorders>
              <w:top w:val="single" w:sz="4" w:space="0" w:color="ADD6EA"/>
              <w:left w:val="nil"/>
              <w:bottom w:val="single" w:sz="4" w:space="0" w:color="ADD6EA"/>
              <w:right w:val="nil"/>
            </w:tcBorders>
            <w:shd w:val="clear" w:color="auto" w:fill="auto"/>
            <w:noWrap/>
            <w:vAlign w:val="center"/>
          </w:tcPr>
          <w:p w14:paraId="542BC1EF" w14:textId="77777777" w:rsidR="008E6154" w:rsidRPr="00FD1332" w:rsidRDefault="008E6154">
            <w:pPr>
              <w:tabs>
                <w:tab w:val="clear" w:pos="567"/>
              </w:tabs>
              <w:spacing w:before="0" w:line="240" w:lineRule="auto"/>
              <w:rPr>
                <w:rFonts w:cs="Open Sans Light"/>
                <w:sz w:val="16"/>
                <w:szCs w:val="16"/>
              </w:rPr>
            </w:pPr>
            <w:r w:rsidRPr="00FD1332">
              <w:rPr>
                <w:rFonts w:cs="Open Sans Light"/>
                <w:sz w:val="16"/>
                <w:szCs w:val="16"/>
              </w:rPr>
              <w:t>Various data for adjustments</w:t>
            </w:r>
          </w:p>
        </w:tc>
        <w:tc>
          <w:tcPr>
            <w:tcW w:w="3685" w:type="dxa"/>
            <w:tcBorders>
              <w:top w:val="single" w:sz="4" w:space="0" w:color="ADD6EA"/>
              <w:left w:val="nil"/>
              <w:bottom w:val="single" w:sz="4" w:space="0" w:color="ADD6EA"/>
              <w:right w:val="nil"/>
            </w:tcBorders>
            <w:vAlign w:val="center"/>
          </w:tcPr>
          <w:p w14:paraId="2DBBE08A" w14:textId="77777777" w:rsidR="008E6154" w:rsidRPr="00FD1332" w:rsidRDefault="008E6154">
            <w:pPr>
              <w:tabs>
                <w:tab w:val="clear" w:pos="567"/>
              </w:tabs>
              <w:spacing w:before="0" w:line="240" w:lineRule="auto"/>
              <w:rPr>
                <w:rFonts w:cs="Open Sans Light"/>
                <w:sz w:val="16"/>
                <w:szCs w:val="16"/>
              </w:rPr>
            </w:pPr>
            <w:r w:rsidRPr="00FD1332">
              <w:rPr>
                <w:rFonts w:cs="Open Sans Light"/>
                <w:sz w:val="16"/>
                <w:szCs w:val="16"/>
              </w:rPr>
              <w:t>For various adjustments</w:t>
            </w:r>
            <w:r>
              <w:rPr>
                <w:rFonts w:cs="Open Sans Light"/>
                <w:sz w:val="16"/>
                <w:szCs w:val="16"/>
              </w:rPr>
              <w:t>.</w:t>
            </w:r>
          </w:p>
        </w:tc>
        <w:tc>
          <w:tcPr>
            <w:tcW w:w="2127" w:type="dxa"/>
            <w:tcBorders>
              <w:top w:val="single" w:sz="4" w:space="0" w:color="ADD6EA"/>
              <w:left w:val="nil"/>
              <w:bottom w:val="single" w:sz="4" w:space="0" w:color="ADD6EA"/>
              <w:right w:val="nil"/>
            </w:tcBorders>
            <w:shd w:val="clear" w:color="auto" w:fill="auto"/>
            <w:vAlign w:val="center"/>
          </w:tcPr>
          <w:p w14:paraId="1BA1EB7F" w14:textId="77777777" w:rsidR="008E6154" w:rsidRPr="00FD1332" w:rsidRDefault="008E6154">
            <w:pPr>
              <w:tabs>
                <w:tab w:val="clear" w:pos="567"/>
              </w:tabs>
              <w:spacing w:before="0" w:line="240" w:lineRule="auto"/>
              <w:rPr>
                <w:rFonts w:cs="Open Sans Light"/>
                <w:sz w:val="16"/>
                <w:szCs w:val="16"/>
              </w:rPr>
            </w:pPr>
            <w:r w:rsidRPr="00FD1332">
              <w:rPr>
                <w:rFonts w:cs="Open Sans Light"/>
                <w:sz w:val="16"/>
                <w:szCs w:val="16"/>
              </w:rPr>
              <w:t>Data request</w:t>
            </w:r>
            <w:r>
              <w:rPr>
                <w:rFonts w:cs="Open Sans Light"/>
                <w:sz w:val="16"/>
                <w:szCs w:val="16"/>
              </w:rPr>
              <w:t xml:space="preserve"> or publicly available data</w:t>
            </w:r>
          </w:p>
        </w:tc>
      </w:tr>
    </w:tbl>
    <w:p w14:paraId="1782CDBB" w14:textId="1EDA2317" w:rsidR="008E6154" w:rsidRPr="00C80AFD" w:rsidRDefault="00EE628F" w:rsidP="008B37D8">
      <w:pPr>
        <w:pStyle w:val="CGC2025TableNote"/>
        <w:tabs>
          <w:tab w:val="clear" w:pos="680"/>
          <w:tab w:val="left" w:pos="1560"/>
        </w:tabs>
        <w:ind w:left="567" w:hanging="454"/>
      </w:pPr>
      <w:r w:rsidRPr="00C80AFD">
        <w:t>Note:</w:t>
      </w:r>
      <w:r w:rsidRPr="00C80AFD">
        <w:tab/>
        <w:t>GG refers to general government; PNFC refers to public non-financial corporations</w:t>
      </w:r>
      <w:r>
        <w:t xml:space="preserve">; </w:t>
      </w:r>
      <w:r w:rsidRPr="00C80AFD">
        <w:t>GFS refers to Government Finance Statistics</w:t>
      </w:r>
      <w:r>
        <w:t xml:space="preserve">; AASB16 </w:t>
      </w:r>
      <w:r w:rsidR="000958FB">
        <w:t xml:space="preserve">refers </w:t>
      </w:r>
      <w:r>
        <w:t xml:space="preserve">to </w:t>
      </w:r>
      <w:r w:rsidRPr="00BA267D">
        <w:rPr>
          <w:rFonts w:cs="Open Sans Light"/>
          <w:szCs w:val="16"/>
          <w:lang w:eastAsia="en-AU"/>
        </w:rPr>
        <w:t>Australian Accounting Standard Board</w:t>
      </w:r>
      <w:r>
        <w:rPr>
          <w:rFonts w:cs="Open Sans Light"/>
          <w:szCs w:val="16"/>
          <w:lang w:eastAsia="en-AU"/>
        </w:rPr>
        <w:t xml:space="preserve"> - Standard 16</w:t>
      </w:r>
      <w:r w:rsidRPr="00C80AFD">
        <w:t>.</w:t>
      </w:r>
    </w:p>
    <w:p w14:paraId="5BDEA8BE" w14:textId="44BFA71F" w:rsidR="00F63E28" w:rsidRPr="00885897" w:rsidRDefault="004E4925" w:rsidP="000D4FEC">
      <w:pPr>
        <w:pStyle w:val="Heading2"/>
        <w:keepNext/>
        <w:keepLines/>
      </w:pPr>
      <w:r>
        <w:t>M</w:t>
      </w:r>
      <w:r w:rsidR="00F63E28" w:rsidRPr="00885897">
        <w:t xml:space="preserve">ethod </w:t>
      </w:r>
    </w:p>
    <w:p w14:paraId="49F21253" w14:textId="77777777" w:rsidR="000E6580" w:rsidRPr="009140E9" w:rsidRDefault="000E6580" w:rsidP="000D4FEC">
      <w:pPr>
        <w:pStyle w:val="Heading3"/>
        <w:keepNext/>
        <w:keepLines/>
      </w:pPr>
      <w:bookmarkStart w:id="10" w:name="_Toc147416163"/>
      <w:r>
        <w:t>Process for creating the adjusted budget</w:t>
      </w:r>
      <w:bookmarkEnd w:id="10"/>
    </w:p>
    <w:p w14:paraId="623F3812" w14:textId="78798B24" w:rsidR="00CF64AA" w:rsidRDefault="00F00FFC" w:rsidP="000E6580">
      <w:pPr>
        <w:pStyle w:val="CGC2025ParaNumbers"/>
      </w:pPr>
      <w:r w:rsidRPr="00D239F3">
        <w:rPr>
          <w:szCs w:val="20"/>
        </w:rPr>
        <w:t xml:space="preserve">The Commission uses a set of code rules to classify the Government Finance Statistics data to the categories and their components. </w:t>
      </w:r>
      <w:r w:rsidR="000E6580">
        <w:t xml:space="preserve">In general, data are allocated to Commission categories using the </w:t>
      </w:r>
      <w:bookmarkStart w:id="11" w:name="_Hlk174371582"/>
      <w:r w:rsidR="006F0C4F">
        <w:t>c</w:t>
      </w:r>
      <w:r w:rsidR="000E6580">
        <w:t xml:space="preserve">lassification of the functions of government – Australia, </w:t>
      </w:r>
      <w:r w:rsidR="006F0C4F">
        <w:t>t</w:t>
      </w:r>
      <w:r w:rsidR="000E6580">
        <w:t xml:space="preserve">axes classification, </w:t>
      </w:r>
      <w:r w:rsidR="006F0C4F">
        <w:t>e</w:t>
      </w:r>
      <w:r w:rsidR="000E6580">
        <w:t xml:space="preserve">conomic type framework and </w:t>
      </w:r>
      <w:r w:rsidR="006F0C4F">
        <w:t>s</w:t>
      </w:r>
      <w:r w:rsidR="000E6580">
        <w:t>ource/</w:t>
      </w:r>
      <w:r w:rsidR="006F0C4F">
        <w:t>d</w:t>
      </w:r>
      <w:r w:rsidR="000E6580">
        <w:t>estination classification codes</w:t>
      </w:r>
      <w:bookmarkEnd w:id="11"/>
      <w:r w:rsidR="00492C6E">
        <w:t xml:space="preserve">. See Attachment A for </w:t>
      </w:r>
      <w:r w:rsidR="0095234D">
        <w:t xml:space="preserve">full </w:t>
      </w:r>
      <w:r w:rsidR="00FC234A">
        <w:t>detail</w:t>
      </w:r>
      <w:r w:rsidR="00EB5CD0">
        <w:t>s.</w:t>
      </w:r>
      <w:r w:rsidR="000E6580">
        <w:rPr>
          <w:rStyle w:val="FootnoteReference"/>
        </w:rPr>
        <w:footnoteReference w:id="8"/>
      </w:r>
      <w:r w:rsidR="000E6580">
        <w:t xml:space="preserve"> </w:t>
      </w:r>
    </w:p>
    <w:p w14:paraId="66B5D976" w14:textId="66F51588" w:rsidR="000E6580" w:rsidRDefault="000E6580" w:rsidP="000E6580">
      <w:pPr>
        <w:pStyle w:val="CGC2025ParaNumbers"/>
      </w:pPr>
      <w:r w:rsidRPr="007473B4">
        <w:lastRenderedPageBreak/>
        <w:t xml:space="preserve">For most expense categories, the </w:t>
      </w:r>
      <w:r w:rsidR="007D249D">
        <w:t xml:space="preserve">final </w:t>
      </w:r>
      <w:r w:rsidRPr="007473B4">
        <w:t xml:space="preserve">ABS Government Finance Statistics data </w:t>
      </w:r>
      <w:r>
        <w:t xml:space="preserve">are </w:t>
      </w:r>
      <w:r w:rsidRPr="007473B4">
        <w:t>used to create the component</w:t>
      </w:r>
      <w:r>
        <w:t>-level</w:t>
      </w:r>
      <w:r w:rsidRPr="007473B4">
        <w:t xml:space="preserve"> splits</w:t>
      </w:r>
      <w:r>
        <w:t>.</w:t>
      </w:r>
      <w:r>
        <w:rPr>
          <w:rStyle w:val="FootnoteReference"/>
        </w:rPr>
        <w:footnoteReference w:id="9"/>
      </w:r>
      <w:r w:rsidRPr="007473B4">
        <w:t xml:space="preserve"> </w:t>
      </w:r>
      <w:r w:rsidR="007233A7" w:rsidRPr="007473B4">
        <w:t xml:space="preserve">This includes the component split for the </w:t>
      </w:r>
      <w:r w:rsidR="007233A7">
        <w:t>y</w:t>
      </w:r>
      <w:r w:rsidR="007233A7" w:rsidRPr="007473B4">
        <w:t>ear</w:t>
      </w:r>
      <w:r w:rsidR="007233A7">
        <w:t> </w:t>
      </w:r>
      <w:r w:rsidR="007233A7" w:rsidRPr="007473B4">
        <w:t>3 data</w:t>
      </w:r>
      <w:r w:rsidR="007233A7">
        <w:t>,</w:t>
      </w:r>
      <w:r w:rsidR="007233A7" w:rsidRPr="007473B4">
        <w:t xml:space="preserve"> </w:t>
      </w:r>
      <w:r w:rsidR="006C2491">
        <w:t>using</w:t>
      </w:r>
      <w:r w:rsidR="007233A7" w:rsidRPr="007473B4">
        <w:t xml:space="preserve"> the ABS </w:t>
      </w:r>
      <w:r w:rsidR="007233A7">
        <w:t>y</w:t>
      </w:r>
      <w:r w:rsidR="007233A7" w:rsidRPr="007473B4">
        <w:t>ear 2 data to</w:t>
      </w:r>
      <w:r w:rsidR="00EB76D7">
        <w:t xml:space="preserve"> </w:t>
      </w:r>
      <w:r w:rsidR="007233A7" w:rsidRPr="007473B4">
        <w:t>create the components.</w:t>
      </w:r>
      <w:r w:rsidR="00D33211">
        <w:t xml:space="preserve"> </w:t>
      </w:r>
    </w:p>
    <w:p w14:paraId="69645F81" w14:textId="1373F958" w:rsidR="000E6580" w:rsidRPr="002B563D" w:rsidRDefault="00AF3CE3" w:rsidP="000E6580">
      <w:pPr>
        <w:pStyle w:val="CGC2025ParaNumbers"/>
      </w:pPr>
      <w:r w:rsidRPr="002B563D">
        <w:t>There</w:t>
      </w:r>
      <w:r w:rsidR="000E6580" w:rsidRPr="007473B4">
        <w:t xml:space="preserve"> are some exceptions</w:t>
      </w:r>
      <w:r w:rsidR="000E6580">
        <w:t>, such as when</w:t>
      </w:r>
      <w:r w:rsidR="000E6580" w:rsidRPr="007473B4">
        <w:t xml:space="preserve"> ABS data </w:t>
      </w:r>
      <w:r w:rsidR="000E6580">
        <w:t>do not include coding for the specific component splits required. In these cases</w:t>
      </w:r>
      <w:r w:rsidR="000E6580" w:rsidRPr="007473B4">
        <w:t xml:space="preserve">, data may be requested from states </w:t>
      </w:r>
      <w:r w:rsidR="000E6580">
        <w:t xml:space="preserve">or other sources </w:t>
      </w:r>
      <w:r w:rsidR="000E6580" w:rsidRPr="007473B4">
        <w:t>to inform the split</w:t>
      </w:r>
      <w:r w:rsidR="000E6580">
        <w:t xml:space="preserve">. </w:t>
      </w:r>
      <w:r w:rsidR="000E6580" w:rsidRPr="00A202BC">
        <w:t>In the case of investment</w:t>
      </w:r>
      <w:r w:rsidR="00234E72" w:rsidRPr="002B563D">
        <w:t>,</w:t>
      </w:r>
      <w:r w:rsidR="000E6580" w:rsidRPr="002B563D">
        <w:t xml:space="preserve"> </w:t>
      </w:r>
      <w:r w:rsidR="000E6580" w:rsidRPr="00A202BC">
        <w:t xml:space="preserve">the </w:t>
      </w:r>
      <w:r w:rsidR="001A4103" w:rsidRPr="00A202BC">
        <w:t>preliminary ABS</w:t>
      </w:r>
      <w:r w:rsidR="00A76557" w:rsidRPr="00A202BC">
        <w:t xml:space="preserve"> d</w:t>
      </w:r>
      <w:r w:rsidR="000E6580" w:rsidRPr="00A202BC">
        <w:t xml:space="preserve">ata are used to create the component </w:t>
      </w:r>
      <w:r w:rsidR="00234E72" w:rsidRPr="002B563D">
        <w:t>splits for year 3.</w:t>
      </w:r>
      <w:r w:rsidR="001A302E" w:rsidRPr="002B563D">
        <w:rPr>
          <w:rStyle w:val="FootnoteReference"/>
        </w:rPr>
        <w:footnoteReference w:id="10"/>
      </w:r>
      <w:r w:rsidR="00234E72" w:rsidRPr="002B563D">
        <w:t xml:space="preserve"> For the </w:t>
      </w:r>
      <w:r w:rsidR="00D15FB3" w:rsidRPr="002B563D">
        <w:t>s</w:t>
      </w:r>
      <w:r w:rsidR="00234E72" w:rsidRPr="002B563D">
        <w:t>ervices to industry category</w:t>
      </w:r>
      <w:r w:rsidR="003360AA" w:rsidRPr="002B563D">
        <w:t>,</w:t>
      </w:r>
      <w:r w:rsidR="00234E72" w:rsidRPr="002B563D">
        <w:t xml:space="preserve"> </w:t>
      </w:r>
      <w:r w:rsidR="000B5997" w:rsidRPr="002B563D">
        <w:t xml:space="preserve">preliminary ABS data are </w:t>
      </w:r>
      <w:r w:rsidR="006B764A" w:rsidRPr="002B563D">
        <w:t xml:space="preserve">also </w:t>
      </w:r>
      <w:r w:rsidR="000B5997" w:rsidRPr="002B563D">
        <w:t xml:space="preserve">used to create the component </w:t>
      </w:r>
      <w:r w:rsidR="000E6580" w:rsidRPr="00A202BC">
        <w:t>split for year 3.</w:t>
      </w:r>
      <w:r w:rsidR="00A83F81" w:rsidRPr="002B563D">
        <w:t xml:space="preserve"> </w:t>
      </w:r>
      <w:r w:rsidR="00B21472" w:rsidRPr="002B563D">
        <w:t>However, t</w:t>
      </w:r>
      <w:r w:rsidR="00994DC2" w:rsidRPr="002B563D">
        <w:t xml:space="preserve">his will be monitored </w:t>
      </w:r>
      <w:r w:rsidR="00574112" w:rsidRPr="002B563D">
        <w:t>and may be changed to us</w:t>
      </w:r>
      <w:r w:rsidR="00626ED8">
        <w:t>e</w:t>
      </w:r>
      <w:r w:rsidR="00574112" w:rsidRPr="002B563D">
        <w:t xml:space="preserve"> </w:t>
      </w:r>
      <w:r w:rsidR="00476F07" w:rsidRPr="002B563D">
        <w:t xml:space="preserve">ABS </w:t>
      </w:r>
      <w:r w:rsidR="00A317D2">
        <w:t>y</w:t>
      </w:r>
      <w:r w:rsidR="00476F07" w:rsidRPr="002B563D">
        <w:t xml:space="preserve">ear 2 data </w:t>
      </w:r>
      <w:r w:rsidR="00574112" w:rsidRPr="002B563D">
        <w:t>if appropriate</w:t>
      </w:r>
      <w:r w:rsidR="00476F07" w:rsidRPr="002B563D">
        <w:t>.</w:t>
      </w:r>
      <w:r w:rsidR="00DF35F1" w:rsidRPr="002B563D">
        <w:rPr>
          <w:rStyle w:val="FootnoteReference"/>
        </w:rPr>
        <w:footnoteReference w:id="11"/>
      </w:r>
    </w:p>
    <w:p w14:paraId="1DD53197" w14:textId="05CE6A6E" w:rsidR="00CF64AA" w:rsidRDefault="000E6580">
      <w:pPr>
        <w:pStyle w:val="CGC2025ParaNumbers"/>
      </w:pPr>
      <w:r>
        <w:t xml:space="preserve">To ensure the adjusted budget provides the best possible representation of states’ financial transactions across all categories, the Commission may decide to adjust Government Finance Statistics data when compiling the adjusted budget. </w:t>
      </w:r>
      <w:r w:rsidR="00BA140B">
        <w:t>Figure 2</w:t>
      </w:r>
      <w:r w:rsidR="00CF64AA">
        <w:t xml:space="preserve"> shows the process for creating the adjusted budget</w:t>
      </w:r>
      <w:r w:rsidR="00F94DBF">
        <w:t xml:space="preserve"> and </w:t>
      </w:r>
      <w:r w:rsidR="00BA140B">
        <w:t>Figure 3</w:t>
      </w:r>
      <w:r w:rsidR="00F94DBF">
        <w:t xml:space="preserve"> shows </w:t>
      </w:r>
      <w:r w:rsidR="00BE3E22">
        <w:t xml:space="preserve">an example of </w:t>
      </w:r>
      <w:r w:rsidR="00F94DBF">
        <w:t>the process for creating the</w:t>
      </w:r>
      <w:r w:rsidR="001C6442">
        <w:t xml:space="preserve"> adjusted budget at a category level.</w:t>
      </w:r>
    </w:p>
    <w:p w14:paraId="1FC0FF8F" w14:textId="67AB9B7C" w:rsidR="005C3808" w:rsidRDefault="00CF64AA" w:rsidP="006135AE">
      <w:pPr>
        <w:pStyle w:val="CGC2025Caption"/>
        <w:keepNext/>
        <w:keepLines/>
        <w:spacing w:before="160" w:after="80"/>
      </w:pPr>
      <w:bookmarkStart w:id="12" w:name="_Ref169604289"/>
      <w:r>
        <w:t xml:space="preserve">Figure </w:t>
      </w:r>
      <w:bookmarkEnd w:id="12"/>
      <w:r w:rsidR="00D36CE8">
        <w:t>2</w:t>
      </w:r>
      <w:r w:rsidR="005C3808">
        <w:tab/>
        <w:t>Steps to create the adjusted budget</w:t>
      </w:r>
    </w:p>
    <w:p w14:paraId="76D0BACE" w14:textId="0B0E8708" w:rsidR="003C1141" w:rsidRDefault="003C1141" w:rsidP="00296E93">
      <w:pPr>
        <w:pStyle w:val="CGC2025Caption"/>
        <w:keepNext/>
        <w:keepLines/>
      </w:pPr>
      <w:r>
        <w:rPr>
          <w:noProof/>
        </w:rPr>
        <w:drawing>
          <wp:inline distT="0" distB="0" distL="0" distR="0" wp14:anchorId="728D6AC0" wp14:editId="3837B9AE">
            <wp:extent cx="5650302" cy="3551966"/>
            <wp:effectExtent l="0" t="0" r="7620" b="0"/>
            <wp:docPr id="64130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617" cy="3576052"/>
                    </a:xfrm>
                    <a:prstGeom prst="rect">
                      <a:avLst/>
                    </a:prstGeom>
                    <a:noFill/>
                  </pic:spPr>
                </pic:pic>
              </a:graphicData>
            </a:graphic>
          </wp:inline>
        </w:drawing>
      </w:r>
    </w:p>
    <w:p w14:paraId="6EE18A0B" w14:textId="5067B850" w:rsidR="002F4FC0" w:rsidRDefault="005C3808" w:rsidP="00083021">
      <w:pPr>
        <w:pStyle w:val="CGC2025TableNote"/>
      </w:pPr>
      <w:r>
        <w:t>Note</w:t>
      </w:r>
      <w:r w:rsidR="001B4A6B">
        <w:t xml:space="preserve">: </w:t>
      </w:r>
      <w:r w:rsidR="009C1173">
        <w:tab/>
      </w:r>
      <w:r w:rsidR="002F4FC0">
        <w:t>*</w:t>
      </w:r>
      <w:r w:rsidR="00707012">
        <w:tab/>
      </w:r>
      <w:r w:rsidR="00CB09C4">
        <w:t>I</w:t>
      </w:r>
      <w:r w:rsidR="002F4FC0">
        <w:t xml:space="preserve">f preliminary ABS data is not available for Year 3, state data will be used instead. </w:t>
      </w:r>
    </w:p>
    <w:p w14:paraId="4A18E132" w14:textId="3DC4941E" w:rsidR="005C3808" w:rsidRDefault="005C3808" w:rsidP="00A322D2">
      <w:pPr>
        <w:pStyle w:val="CGC2025TableNote"/>
        <w:keepNext/>
        <w:ind w:left="567" w:firstLine="0"/>
      </w:pPr>
      <w:r>
        <w:t>GG refers to general government; PNFC refers to public non-financial corporations</w:t>
      </w:r>
      <w:r w:rsidR="00743D41">
        <w:t>; CGC refers to Commonwealth Grants Commission.</w:t>
      </w:r>
    </w:p>
    <w:p w14:paraId="643D1578" w14:textId="7400F645" w:rsidR="005C3808" w:rsidRDefault="009C1173" w:rsidP="00083021">
      <w:pPr>
        <w:pStyle w:val="CGC2025TableNote"/>
        <w:ind w:left="142" w:hanging="16"/>
      </w:pPr>
      <w:r>
        <w:t>(</w:t>
      </w:r>
      <w:r w:rsidR="00652655">
        <w:t>a</w:t>
      </w:r>
      <w:r>
        <w:t>)</w:t>
      </w:r>
      <w:r>
        <w:tab/>
      </w:r>
      <w:r w:rsidR="005C3808">
        <w:t>Some adjustments are calculated and applied during other steps in the adjusted budget compilation process.</w:t>
      </w:r>
    </w:p>
    <w:p w14:paraId="5EB9B384" w14:textId="588638C9" w:rsidR="00012EB0" w:rsidRDefault="00012EB0" w:rsidP="00083021">
      <w:pPr>
        <w:pStyle w:val="CGC2025Caption"/>
        <w:keepNext/>
        <w:keepLines/>
        <w:ind w:left="1418" w:hanging="1418"/>
      </w:pPr>
      <w:bookmarkStart w:id="13" w:name="_Ref144816368"/>
      <w:r>
        <w:lastRenderedPageBreak/>
        <w:t xml:space="preserve">Figure </w:t>
      </w:r>
      <w:bookmarkEnd w:id="13"/>
      <w:r w:rsidR="004B6996">
        <w:t>3</w:t>
      </w:r>
      <w:r>
        <w:tab/>
        <w:t>Process for creating the adjusted budget</w:t>
      </w:r>
      <w:r w:rsidR="001E4D92">
        <w:t xml:space="preserve"> at a category level</w:t>
      </w:r>
      <w:r w:rsidRPr="00590EE1">
        <w:t xml:space="preserve"> </w:t>
      </w:r>
      <w:r>
        <w:t>– an example using the justice category</w:t>
      </w:r>
    </w:p>
    <w:p w14:paraId="0DEEF05C" w14:textId="6841BC35" w:rsidR="007A55CE" w:rsidRDefault="00BA07A2" w:rsidP="001C6442">
      <w:pPr>
        <w:pStyle w:val="CGC2025Caption"/>
        <w:keepNext/>
        <w:keepLines/>
        <w:ind w:left="1276" w:hanging="1276"/>
      </w:pPr>
      <w:r>
        <w:rPr>
          <w:noProof/>
        </w:rPr>
        <w:drawing>
          <wp:inline distT="0" distB="0" distL="0" distR="0" wp14:anchorId="58FC87D1" wp14:editId="08BD7BC4">
            <wp:extent cx="5932170" cy="6273165"/>
            <wp:effectExtent l="0" t="0" r="0" b="0"/>
            <wp:docPr id="167800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70" cy="6273165"/>
                    </a:xfrm>
                    <a:prstGeom prst="rect">
                      <a:avLst/>
                    </a:prstGeom>
                    <a:noFill/>
                  </pic:spPr>
                </pic:pic>
              </a:graphicData>
            </a:graphic>
          </wp:inline>
        </w:drawing>
      </w:r>
    </w:p>
    <w:p w14:paraId="5610CC33" w14:textId="026145A8" w:rsidR="00012EB0" w:rsidRPr="00470E97" w:rsidRDefault="00012EB0" w:rsidP="0061347F">
      <w:pPr>
        <w:pStyle w:val="CGC2025TableNote"/>
        <w:ind w:left="672" w:hanging="559"/>
      </w:pPr>
      <w:r w:rsidRPr="00FE7A7C">
        <w:rPr>
          <w:noProof/>
        </w:rPr>
        <w:t xml:space="preserve"> </w:t>
      </w:r>
      <w:r>
        <w:rPr>
          <w:noProof/>
        </w:rPr>
        <w:t xml:space="preserve">Note: </w:t>
      </w:r>
      <w:r>
        <w:rPr>
          <w:noProof/>
        </w:rPr>
        <w:tab/>
      </w:r>
      <w:r>
        <w:t xml:space="preserve">GG refers to general government; PNFC </w:t>
      </w:r>
      <w:r w:rsidR="00920469">
        <w:t xml:space="preserve">refers </w:t>
      </w:r>
      <w:r>
        <w:t xml:space="preserve">to public non-financial corporations; </w:t>
      </w:r>
      <w:r>
        <w:rPr>
          <w:noProof/>
        </w:rPr>
        <w:t xml:space="preserve">GFS </w:t>
      </w:r>
      <w:r w:rsidR="00920469">
        <w:rPr>
          <w:noProof/>
        </w:rPr>
        <w:t>refers</w:t>
      </w:r>
      <w:r>
        <w:rPr>
          <w:noProof/>
        </w:rPr>
        <w:t xml:space="preserve"> to Government Finance Statistics</w:t>
      </w:r>
      <w:r w:rsidR="00B4194E">
        <w:rPr>
          <w:noProof/>
        </w:rPr>
        <w:t>;</w:t>
      </w:r>
      <w:r w:rsidR="0094082D">
        <w:rPr>
          <w:noProof/>
        </w:rPr>
        <w:t xml:space="preserve"> ETF </w:t>
      </w:r>
      <w:r w:rsidR="00920469">
        <w:rPr>
          <w:noProof/>
        </w:rPr>
        <w:t xml:space="preserve">refers </w:t>
      </w:r>
      <w:r w:rsidR="0094082D">
        <w:rPr>
          <w:noProof/>
        </w:rPr>
        <w:t>to</w:t>
      </w:r>
      <w:r w:rsidR="0094082D" w:rsidRPr="002D2C77">
        <w:rPr>
          <w:noProof/>
        </w:rPr>
        <w:t xml:space="preserve"> </w:t>
      </w:r>
      <w:r w:rsidR="008B025D">
        <w:rPr>
          <w:noProof/>
        </w:rPr>
        <w:t>e</w:t>
      </w:r>
      <w:r w:rsidR="0094082D" w:rsidRPr="002D2C77">
        <w:rPr>
          <w:noProof/>
        </w:rPr>
        <w:t>conomic type framework</w:t>
      </w:r>
      <w:r w:rsidR="0094082D">
        <w:rPr>
          <w:noProof/>
        </w:rPr>
        <w:t>;</w:t>
      </w:r>
      <w:r w:rsidR="00B4194E">
        <w:rPr>
          <w:noProof/>
        </w:rPr>
        <w:t xml:space="preserve"> COFOG-A </w:t>
      </w:r>
      <w:r w:rsidR="00920469">
        <w:rPr>
          <w:noProof/>
        </w:rPr>
        <w:t xml:space="preserve">refers </w:t>
      </w:r>
      <w:r w:rsidR="00B4194E">
        <w:rPr>
          <w:noProof/>
        </w:rPr>
        <w:t>to</w:t>
      </w:r>
      <w:r w:rsidR="002D2C77">
        <w:rPr>
          <w:noProof/>
        </w:rPr>
        <w:t xml:space="preserve"> </w:t>
      </w:r>
      <w:r w:rsidR="00C708F6">
        <w:rPr>
          <w:noProof/>
        </w:rPr>
        <w:t>c</w:t>
      </w:r>
      <w:r w:rsidR="002D2C77" w:rsidRPr="002D2C77">
        <w:rPr>
          <w:noProof/>
        </w:rPr>
        <w:t>lassification of the functions of government – Australia</w:t>
      </w:r>
      <w:r w:rsidR="00B4194E">
        <w:rPr>
          <w:noProof/>
        </w:rPr>
        <w:t xml:space="preserve">; </w:t>
      </w:r>
      <w:r w:rsidR="002D2C77" w:rsidRPr="002D2C77">
        <w:rPr>
          <w:noProof/>
        </w:rPr>
        <w:t>and</w:t>
      </w:r>
      <w:r w:rsidR="00E250A1">
        <w:rPr>
          <w:noProof/>
        </w:rPr>
        <w:t xml:space="preserve"> SDC </w:t>
      </w:r>
      <w:r w:rsidR="00920469">
        <w:rPr>
          <w:noProof/>
        </w:rPr>
        <w:t>refers</w:t>
      </w:r>
      <w:r w:rsidR="00E250A1">
        <w:rPr>
          <w:noProof/>
        </w:rPr>
        <w:t xml:space="preserve"> to</w:t>
      </w:r>
      <w:r w:rsidR="002D2C77" w:rsidRPr="002D2C77">
        <w:rPr>
          <w:noProof/>
        </w:rPr>
        <w:t xml:space="preserve"> </w:t>
      </w:r>
      <w:r w:rsidR="008B025D">
        <w:rPr>
          <w:noProof/>
        </w:rPr>
        <w:t>s</w:t>
      </w:r>
      <w:r w:rsidR="002D2C77" w:rsidRPr="002D2C77">
        <w:rPr>
          <w:noProof/>
        </w:rPr>
        <w:t>ource/</w:t>
      </w:r>
      <w:r w:rsidR="008B025D">
        <w:rPr>
          <w:noProof/>
        </w:rPr>
        <w:t>d</w:t>
      </w:r>
      <w:r w:rsidR="002D2C77" w:rsidRPr="002D2C77">
        <w:rPr>
          <w:noProof/>
        </w:rPr>
        <w:t>estination classification codes</w:t>
      </w:r>
      <w:r>
        <w:rPr>
          <w:noProof/>
        </w:rPr>
        <w:t>.</w:t>
      </w:r>
    </w:p>
    <w:p w14:paraId="762EB708" w14:textId="77777777" w:rsidR="0061347F" w:rsidRDefault="0061347F">
      <w:pPr>
        <w:tabs>
          <w:tab w:val="clear" w:pos="567"/>
        </w:tabs>
        <w:spacing w:before="0" w:after="200" w:line="276" w:lineRule="auto"/>
        <w:rPr>
          <w:rFonts w:ascii="Work Sans" w:eastAsia="Times New Roman" w:hAnsi="Work Sans" w:cs="Open Sans"/>
          <w:b/>
          <w:bCs/>
          <w:color w:val="006991"/>
          <w:sz w:val="28"/>
          <w:szCs w:val="28"/>
        </w:rPr>
      </w:pPr>
      <w:r>
        <w:br w:type="page"/>
      </w:r>
    </w:p>
    <w:p w14:paraId="3BCCC98C" w14:textId="058FBC12" w:rsidR="00A602AE" w:rsidRPr="00A602AE" w:rsidRDefault="009B0AFA" w:rsidP="004466F4">
      <w:pPr>
        <w:pStyle w:val="Heading3"/>
        <w:keepNext/>
        <w:keepLines/>
      </w:pPr>
      <w:r>
        <w:lastRenderedPageBreak/>
        <w:t xml:space="preserve">Process for </w:t>
      </w:r>
      <w:r w:rsidR="009612A5">
        <w:t xml:space="preserve">existing and new data </w:t>
      </w:r>
      <w:r w:rsidR="00BB13D7">
        <w:t>a</w:t>
      </w:r>
      <w:r w:rsidR="00D75BA0" w:rsidRPr="00B67F10">
        <w:t>djustments</w:t>
      </w:r>
    </w:p>
    <w:p w14:paraId="4D60E86C" w14:textId="744B259E" w:rsidR="00B67F10" w:rsidRPr="00FF276E" w:rsidRDefault="00B67F10" w:rsidP="00D740D3">
      <w:pPr>
        <w:pStyle w:val="CGC2025ParaNumbers"/>
        <w:rPr>
          <w:color w:val="000000" w:themeColor="text1"/>
        </w:rPr>
      </w:pPr>
      <w:r w:rsidRPr="00FF276E">
        <w:rPr>
          <w:color w:val="000000" w:themeColor="text1"/>
        </w:rPr>
        <w:t>The Commission</w:t>
      </w:r>
      <w:r w:rsidR="00A47F4C">
        <w:rPr>
          <w:color w:val="000000" w:themeColor="text1"/>
        </w:rPr>
        <w:t xml:space="preserve"> use</w:t>
      </w:r>
      <w:r w:rsidR="008232B2">
        <w:rPr>
          <w:color w:val="000000" w:themeColor="text1"/>
        </w:rPr>
        <w:t>s</w:t>
      </w:r>
      <w:r w:rsidRPr="00FF276E">
        <w:rPr>
          <w:color w:val="000000" w:themeColor="text1"/>
        </w:rPr>
        <w:t xml:space="preserve"> the process </w:t>
      </w:r>
      <w:r w:rsidR="001E4D92">
        <w:rPr>
          <w:color w:val="000000" w:themeColor="text1"/>
        </w:rPr>
        <w:t xml:space="preserve">shown in </w:t>
      </w:r>
      <w:r w:rsidR="00711402">
        <w:rPr>
          <w:color w:val="000000" w:themeColor="text1"/>
        </w:rPr>
        <w:t>Figure 4</w:t>
      </w:r>
      <w:r w:rsidR="00CF64AA">
        <w:rPr>
          <w:color w:val="000000" w:themeColor="text1"/>
        </w:rPr>
        <w:t xml:space="preserve"> </w:t>
      </w:r>
      <w:r w:rsidRPr="00FF276E">
        <w:rPr>
          <w:color w:val="000000" w:themeColor="text1"/>
        </w:rPr>
        <w:t xml:space="preserve">for </w:t>
      </w:r>
      <w:r>
        <w:rPr>
          <w:color w:val="000000" w:themeColor="text1"/>
        </w:rPr>
        <w:t xml:space="preserve">implementing existing and </w:t>
      </w:r>
      <w:r w:rsidRPr="00FF276E">
        <w:rPr>
          <w:color w:val="000000" w:themeColor="text1"/>
        </w:rPr>
        <w:t xml:space="preserve">new </w:t>
      </w:r>
      <w:r w:rsidR="00D002BB">
        <w:rPr>
          <w:color w:val="000000" w:themeColor="text1"/>
        </w:rPr>
        <w:t xml:space="preserve">data </w:t>
      </w:r>
      <w:r w:rsidRPr="00FF276E">
        <w:rPr>
          <w:color w:val="000000" w:themeColor="text1"/>
        </w:rPr>
        <w:t>adjustments in the 2025</w:t>
      </w:r>
      <w:r>
        <w:rPr>
          <w:color w:val="000000" w:themeColor="text1"/>
        </w:rPr>
        <w:t> </w:t>
      </w:r>
      <w:r w:rsidRPr="00FF276E">
        <w:rPr>
          <w:color w:val="000000" w:themeColor="text1"/>
        </w:rPr>
        <w:t xml:space="preserve">Review and subsequent updates. </w:t>
      </w:r>
    </w:p>
    <w:p w14:paraId="19C14B88" w14:textId="25E1DBF8" w:rsidR="00B67F10" w:rsidRDefault="00CF64AA" w:rsidP="00F40FF7">
      <w:pPr>
        <w:pStyle w:val="CGC2025Caption"/>
        <w:keepNext/>
        <w:keepLines/>
      </w:pPr>
      <w:bookmarkStart w:id="14" w:name="_Ref169604159"/>
      <w:r>
        <w:t xml:space="preserve">Figure </w:t>
      </w:r>
      <w:bookmarkEnd w:id="14"/>
      <w:r w:rsidR="00D36CE8">
        <w:t>4</w:t>
      </w:r>
      <w:r>
        <w:t xml:space="preserve">     </w:t>
      </w:r>
      <w:r w:rsidR="00C17D2E">
        <w:tab/>
      </w:r>
      <w:r w:rsidR="00C51267">
        <w:t xml:space="preserve">Process for </w:t>
      </w:r>
      <w:r w:rsidR="000C19C8">
        <w:t>implementing data adjustments</w:t>
      </w:r>
    </w:p>
    <w:p w14:paraId="578D8E14" w14:textId="15BF8F0D" w:rsidR="004B51C6" w:rsidRDefault="00C500FD" w:rsidP="00F40FF7">
      <w:pPr>
        <w:pStyle w:val="CGC2025Caption"/>
        <w:keepNext/>
        <w:keepLines/>
      </w:pPr>
      <w:r>
        <w:rPr>
          <w:noProof/>
        </w:rPr>
        <w:drawing>
          <wp:inline distT="0" distB="0" distL="0" distR="0" wp14:anchorId="4A5B816E" wp14:editId="3BAA5D74">
            <wp:extent cx="5734325" cy="1361814"/>
            <wp:effectExtent l="0" t="0" r="0" b="0"/>
            <wp:docPr id="418875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0799" cy="1375226"/>
                    </a:xfrm>
                    <a:prstGeom prst="rect">
                      <a:avLst/>
                    </a:prstGeom>
                    <a:noFill/>
                  </pic:spPr>
                </pic:pic>
              </a:graphicData>
            </a:graphic>
          </wp:inline>
        </w:drawing>
      </w:r>
    </w:p>
    <w:p w14:paraId="5037D1A3" w14:textId="242A77F5" w:rsidR="00050549" w:rsidRDefault="00B67F10" w:rsidP="0034382E">
      <w:pPr>
        <w:pStyle w:val="CGC2025ParaNumbers"/>
        <w:numPr>
          <w:ilvl w:val="0"/>
          <w:numId w:val="0"/>
        </w:numPr>
        <w:rPr>
          <w:color w:val="000000" w:themeColor="text1"/>
        </w:rPr>
      </w:pPr>
      <w:r w:rsidRPr="00FB0C4B">
        <w:rPr>
          <w:rStyle w:val="Heading5Char"/>
        </w:rPr>
        <w:t>Existing adjustments</w:t>
      </w:r>
      <w:r w:rsidRPr="00FF276E">
        <w:rPr>
          <w:color w:val="000000" w:themeColor="text1"/>
        </w:rPr>
        <w:t xml:space="preserve"> </w:t>
      </w:r>
    </w:p>
    <w:p w14:paraId="5614A8A3" w14:textId="13E841FA" w:rsidR="00EC48FC" w:rsidRDefault="00942A54" w:rsidP="00B67F10">
      <w:pPr>
        <w:pStyle w:val="CGC2025ParaNumbers"/>
        <w:rPr>
          <w:color w:val="000000" w:themeColor="text1"/>
        </w:rPr>
      </w:pPr>
      <w:r>
        <w:rPr>
          <w:color w:val="000000" w:themeColor="text1"/>
        </w:rPr>
        <w:t xml:space="preserve">In a review year, </w:t>
      </w:r>
      <w:r w:rsidR="009B2963">
        <w:rPr>
          <w:color w:val="000000" w:themeColor="text1"/>
        </w:rPr>
        <w:t>existing</w:t>
      </w:r>
      <w:r>
        <w:rPr>
          <w:color w:val="000000" w:themeColor="text1"/>
        </w:rPr>
        <w:t xml:space="preserve"> adjustments are </w:t>
      </w:r>
      <w:r w:rsidR="008059E8">
        <w:rPr>
          <w:color w:val="000000" w:themeColor="text1"/>
        </w:rPr>
        <w:t>tested for materiality</w:t>
      </w:r>
      <w:r w:rsidR="00B06C89">
        <w:rPr>
          <w:color w:val="000000" w:themeColor="text1"/>
        </w:rPr>
        <w:t>. An adjustment is included if it redistribute</w:t>
      </w:r>
      <w:r w:rsidR="00ED1071">
        <w:rPr>
          <w:color w:val="000000" w:themeColor="text1"/>
        </w:rPr>
        <w:t>s</w:t>
      </w:r>
      <w:r w:rsidR="00B06C89">
        <w:rPr>
          <w:color w:val="000000" w:themeColor="text1"/>
        </w:rPr>
        <w:t xml:space="preserve"> more than</w:t>
      </w:r>
      <w:r w:rsidR="003F1085">
        <w:rPr>
          <w:color w:val="000000" w:themeColor="text1"/>
        </w:rPr>
        <w:t xml:space="preserve"> $12 per capita</w:t>
      </w:r>
      <w:r w:rsidR="00ED1071">
        <w:rPr>
          <w:color w:val="000000" w:themeColor="text1"/>
        </w:rPr>
        <w:t xml:space="preserve"> for any state in the assessment period</w:t>
      </w:r>
      <w:r w:rsidR="00E124DA">
        <w:rPr>
          <w:color w:val="000000" w:themeColor="text1"/>
        </w:rPr>
        <w:t>.</w:t>
      </w:r>
    </w:p>
    <w:p w14:paraId="310D1996" w14:textId="02FAB59B" w:rsidR="003F1085" w:rsidRPr="00B16921" w:rsidRDefault="003F1085" w:rsidP="00B16921">
      <w:pPr>
        <w:pStyle w:val="CGC2025ParaNumbers"/>
        <w:rPr>
          <w:color w:val="000000" w:themeColor="text1"/>
        </w:rPr>
      </w:pPr>
      <w:r w:rsidRPr="00B16921">
        <w:rPr>
          <w:color w:val="000000" w:themeColor="text1"/>
        </w:rPr>
        <w:t xml:space="preserve">Material adjustments </w:t>
      </w:r>
      <w:r w:rsidR="00942A54" w:rsidRPr="00B16921">
        <w:rPr>
          <w:color w:val="000000" w:themeColor="text1"/>
        </w:rPr>
        <w:t>are retained</w:t>
      </w:r>
      <w:r w:rsidR="00984C7C" w:rsidRPr="00B16921">
        <w:rPr>
          <w:color w:val="000000" w:themeColor="text1"/>
        </w:rPr>
        <w:t xml:space="preserve"> </w:t>
      </w:r>
      <w:r w:rsidR="00A46B7A" w:rsidRPr="00B16921">
        <w:rPr>
          <w:color w:val="000000" w:themeColor="text1"/>
        </w:rPr>
        <w:t>and</w:t>
      </w:r>
      <w:r w:rsidR="00DD6E0D" w:rsidRPr="00B16921">
        <w:rPr>
          <w:color w:val="000000" w:themeColor="text1"/>
        </w:rPr>
        <w:t xml:space="preserve"> applied in </w:t>
      </w:r>
      <w:r w:rsidR="00B140B1" w:rsidRPr="00B16921">
        <w:rPr>
          <w:color w:val="000000" w:themeColor="text1"/>
        </w:rPr>
        <w:t>the review and</w:t>
      </w:r>
      <w:r w:rsidR="00DD6E0D" w:rsidRPr="00B16921">
        <w:rPr>
          <w:color w:val="000000" w:themeColor="text1"/>
        </w:rPr>
        <w:t xml:space="preserve"> </w:t>
      </w:r>
      <w:r w:rsidR="00B67F10" w:rsidRPr="00B16921">
        <w:rPr>
          <w:color w:val="000000" w:themeColor="text1"/>
        </w:rPr>
        <w:t xml:space="preserve">subsequent updates. The materiality of </w:t>
      </w:r>
      <w:r w:rsidR="007E384E" w:rsidRPr="00B16921">
        <w:rPr>
          <w:color w:val="000000" w:themeColor="text1"/>
        </w:rPr>
        <w:t>these</w:t>
      </w:r>
      <w:r w:rsidR="00B67F10" w:rsidRPr="00B16921">
        <w:rPr>
          <w:color w:val="000000" w:themeColor="text1"/>
        </w:rPr>
        <w:t xml:space="preserve"> adjustment</w:t>
      </w:r>
      <w:r w:rsidR="00D049DD">
        <w:rPr>
          <w:color w:val="000000" w:themeColor="text1"/>
        </w:rPr>
        <w:t>s</w:t>
      </w:r>
      <w:r w:rsidR="00B67F10">
        <w:rPr>
          <w:color w:val="000000" w:themeColor="text1"/>
        </w:rPr>
        <w:t xml:space="preserve"> </w:t>
      </w:r>
      <w:r w:rsidR="009327F7">
        <w:rPr>
          <w:color w:val="000000" w:themeColor="text1"/>
        </w:rPr>
        <w:t>is</w:t>
      </w:r>
      <w:r w:rsidR="00B67F10" w:rsidRPr="00B16921" w:rsidDel="009327F7">
        <w:rPr>
          <w:color w:val="000000" w:themeColor="text1"/>
        </w:rPr>
        <w:t xml:space="preserve"> </w:t>
      </w:r>
      <w:r w:rsidR="007E384E" w:rsidRPr="00B16921">
        <w:rPr>
          <w:color w:val="000000" w:themeColor="text1"/>
        </w:rPr>
        <w:t xml:space="preserve">not retested </w:t>
      </w:r>
      <w:r w:rsidR="00E3168A" w:rsidRPr="00B16921">
        <w:rPr>
          <w:color w:val="000000" w:themeColor="text1"/>
        </w:rPr>
        <w:t>until</w:t>
      </w:r>
      <w:r w:rsidR="007E384E" w:rsidRPr="00B16921">
        <w:rPr>
          <w:color w:val="000000" w:themeColor="text1"/>
        </w:rPr>
        <w:t xml:space="preserve"> </w:t>
      </w:r>
      <w:r w:rsidR="00F70402" w:rsidRPr="00B16921">
        <w:rPr>
          <w:color w:val="000000" w:themeColor="text1"/>
        </w:rPr>
        <w:t>the following review.</w:t>
      </w:r>
      <w:r w:rsidR="001957C3" w:rsidRPr="00B16921">
        <w:rPr>
          <w:color w:val="000000" w:themeColor="text1"/>
        </w:rPr>
        <w:t xml:space="preserve"> </w:t>
      </w:r>
    </w:p>
    <w:p w14:paraId="434A9FE2" w14:textId="0A3A2892" w:rsidR="00B67F10" w:rsidRPr="00B16921" w:rsidRDefault="003F1085" w:rsidP="00B16921">
      <w:pPr>
        <w:pStyle w:val="CGC2025ParaNumbers"/>
        <w:rPr>
          <w:color w:val="000000" w:themeColor="text1"/>
        </w:rPr>
      </w:pPr>
      <w:r w:rsidRPr="00B16921">
        <w:rPr>
          <w:color w:val="000000" w:themeColor="text1"/>
        </w:rPr>
        <w:t>Immaterial adjustments</w:t>
      </w:r>
      <w:r w:rsidR="004B4DD6" w:rsidRPr="00B16921">
        <w:rPr>
          <w:color w:val="000000" w:themeColor="text1"/>
        </w:rPr>
        <w:t xml:space="preserve"> are </w:t>
      </w:r>
      <w:r w:rsidR="003414F3" w:rsidRPr="00B16921">
        <w:rPr>
          <w:color w:val="000000" w:themeColor="text1"/>
        </w:rPr>
        <w:t>not applied</w:t>
      </w:r>
      <w:r w:rsidR="00A05148" w:rsidRPr="00B16921">
        <w:rPr>
          <w:color w:val="000000" w:themeColor="text1"/>
        </w:rPr>
        <w:t>.</w:t>
      </w:r>
      <w:r w:rsidR="00EA7DE0" w:rsidRPr="00B16921">
        <w:rPr>
          <w:color w:val="000000" w:themeColor="text1"/>
        </w:rPr>
        <w:t xml:space="preserve"> </w:t>
      </w:r>
      <w:r w:rsidR="00A81516" w:rsidRPr="00B16921">
        <w:rPr>
          <w:color w:val="000000" w:themeColor="text1"/>
        </w:rPr>
        <w:t xml:space="preserve">The </w:t>
      </w:r>
      <w:r w:rsidR="004B5FDB" w:rsidRPr="00B16921">
        <w:rPr>
          <w:color w:val="000000" w:themeColor="text1"/>
        </w:rPr>
        <w:t>materiality of these adjustments is not tested in subsequent update</w:t>
      </w:r>
      <w:r w:rsidR="00C75A64" w:rsidRPr="00B16921">
        <w:rPr>
          <w:color w:val="000000" w:themeColor="text1"/>
        </w:rPr>
        <w:t>s</w:t>
      </w:r>
      <w:r w:rsidR="00EB1662" w:rsidRPr="00B16921">
        <w:rPr>
          <w:color w:val="000000" w:themeColor="text1"/>
        </w:rPr>
        <w:t xml:space="preserve"> unless</w:t>
      </w:r>
      <w:r w:rsidR="005C7642" w:rsidRPr="00B16921">
        <w:rPr>
          <w:color w:val="000000" w:themeColor="text1"/>
        </w:rPr>
        <w:t xml:space="preserve"> new information become</w:t>
      </w:r>
      <w:r w:rsidR="003F59D8">
        <w:rPr>
          <w:color w:val="000000" w:themeColor="text1"/>
        </w:rPr>
        <w:t>s</w:t>
      </w:r>
      <w:r w:rsidR="005C7642" w:rsidRPr="00B16921">
        <w:rPr>
          <w:color w:val="000000" w:themeColor="text1"/>
        </w:rPr>
        <w:t xml:space="preserve"> available to suggest that an adjustment has become material</w:t>
      </w:r>
      <w:r w:rsidR="00EB1662" w:rsidRPr="00B16921">
        <w:rPr>
          <w:color w:val="000000" w:themeColor="text1"/>
        </w:rPr>
        <w:t xml:space="preserve">. States can provide such evidence through the </w:t>
      </w:r>
      <w:r w:rsidR="00F049A1" w:rsidRPr="00B16921">
        <w:rPr>
          <w:color w:val="000000" w:themeColor="text1"/>
        </w:rPr>
        <w:t xml:space="preserve">yearly </w:t>
      </w:r>
      <w:r w:rsidR="00EB1662" w:rsidRPr="00B16921">
        <w:rPr>
          <w:color w:val="000000" w:themeColor="text1"/>
        </w:rPr>
        <w:t xml:space="preserve">New </w:t>
      </w:r>
      <w:r w:rsidR="005B0B93" w:rsidRPr="00B16921">
        <w:rPr>
          <w:color w:val="000000" w:themeColor="text1"/>
        </w:rPr>
        <w:t>I</w:t>
      </w:r>
      <w:r w:rsidR="00EB1662" w:rsidRPr="00B16921">
        <w:rPr>
          <w:color w:val="000000" w:themeColor="text1"/>
        </w:rPr>
        <w:t>ssues process</w:t>
      </w:r>
      <w:r w:rsidR="00F049A1" w:rsidRPr="00B16921">
        <w:rPr>
          <w:color w:val="000000" w:themeColor="text1"/>
        </w:rPr>
        <w:t>.</w:t>
      </w:r>
    </w:p>
    <w:p w14:paraId="11DC8972" w14:textId="16CF69DA" w:rsidR="00307013" w:rsidRPr="0034382E" w:rsidRDefault="00B67F10" w:rsidP="0034382E">
      <w:pPr>
        <w:pStyle w:val="CGCNumberedPara"/>
        <w:numPr>
          <w:ilvl w:val="0"/>
          <w:numId w:val="0"/>
        </w:numPr>
        <w:rPr>
          <w:rFonts w:ascii="Work Sans" w:hAnsi="Work Sans"/>
          <w:sz w:val="20"/>
          <w:szCs w:val="20"/>
        </w:rPr>
      </w:pPr>
      <w:r w:rsidRPr="00FB0C4B">
        <w:rPr>
          <w:rStyle w:val="Heading5Char"/>
        </w:rPr>
        <w:t>New adjustments</w:t>
      </w:r>
      <w:r w:rsidRPr="1ACD131F">
        <w:t xml:space="preserve">  </w:t>
      </w:r>
    </w:p>
    <w:p w14:paraId="03B058F0" w14:textId="6B1EA63E" w:rsidR="006D3BFC" w:rsidRPr="00825022" w:rsidRDefault="004A78BA" w:rsidP="005751DA">
      <w:pPr>
        <w:pStyle w:val="CGCNumberedPara"/>
        <w:rPr>
          <w:rFonts w:ascii="Work Sans" w:hAnsi="Work Sans"/>
          <w:sz w:val="20"/>
          <w:szCs w:val="20"/>
        </w:rPr>
      </w:pPr>
      <w:r w:rsidRPr="005751DA">
        <w:rPr>
          <w:rFonts w:ascii="Work Sans" w:hAnsi="Work Sans"/>
          <w:sz w:val="20"/>
          <w:szCs w:val="20"/>
        </w:rPr>
        <w:t xml:space="preserve">In </w:t>
      </w:r>
      <w:r w:rsidR="000E3D1F" w:rsidRPr="005751DA">
        <w:rPr>
          <w:rFonts w:ascii="Work Sans" w:hAnsi="Work Sans"/>
          <w:sz w:val="20"/>
          <w:szCs w:val="20"/>
        </w:rPr>
        <w:t>a review or update year,</w:t>
      </w:r>
      <w:r w:rsidRPr="005751DA">
        <w:rPr>
          <w:rFonts w:ascii="Work Sans" w:hAnsi="Work Sans"/>
          <w:sz w:val="20"/>
          <w:szCs w:val="20"/>
        </w:rPr>
        <w:t xml:space="preserve"> </w:t>
      </w:r>
      <w:r w:rsidR="00B67F10" w:rsidRPr="005751DA">
        <w:rPr>
          <w:rFonts w:ascii="Work Sans" w:hAnsi="Work Sans"/>
          <w:sz w:val="20"/>
          <w:szCs w:val="20"/>
        </w:rPr>
        <w:t xml:space="preserve">the Commission or any state </w:t>
      </w:r>
      <w:r w:rsidR="001B002E" w:rsidRPr="005751DA">
        <w:rPr>
          <w:rFonts w:ascii="Work Sans" w:hAnsi="Work Sans"/>
          <w:sz w:val="20"/>
          <w:szCs w:val="20"/>
        </w:rPr>
        <w:t xml:space="preserve">can identify </w:t>
      </w:r>
      <w:r w:rsidR="00B67F10" w:rsidRPr="005751DA">
        <w:rPr>
          <w:rFonts w:ascii="Work Sans" w:hAnsi="Work Sans"/>
          <w:sz w:val="20"/>
          <w:szCs w:val="20"/>
        </w:rPr>
        <w:t>a new issue with Government Finance Statistics data</w:t>
      </w:r>
      <w:r w:rsidR="00DF7A9C" w:rsidRPr="005751DA">
        <w:rPr>
          <w:rFonts w:ascii="Work Sans" w:hAnsi="Work Sans"/>
          <w:sz w:val="20"/>
          <w:szCs w:val="20"/>
        </w:rPr>
        <w:t>.</w:t>
      </w:r>
      <w:r w:rsidR="00FD1615" w:rsidRPr="005751DA">
        <w:rPr>
          <w:rFonts w:ascii="Work Sans" w:hAnsi="Work Sans"/>
          <w:sz w:val="20"/>
          <w:szCs w:val="20"/>
        </w:rPr>
        <w:t xml:space="preserve"> </w:t>
      </w:r>
      <w:r w:rsidR="003C0FE1" w:rsidRPr="005751DA">
        <w:rPr>
          <w:rFonts w:ascii="Work Sans" w:hAnsi="Work Sans"/>
          <w:sz w:val="20"/>
          <w:szCs w:val="20"/>
        </w:rPr>
        <w:t>I</w:t>
      </w:r>
      <w:r w:rsidR="00162533" w:rsidRPr="005751DA">
        <w:rPr>
          <w:rFonts w:ascii="Work Sans" w:hAnsi="Work Sans"/>
          <w:sz w:val="20"/>
          <w:szCs w:val="20"/>
        </w:rPr>
        <w:t>f</w:t>
      </w:r>
      <w:r w:rsidR="003C0FE1" w:rsidRPr="005751DA">
        <w:rPr>
          <w:rFonts w:ascii="Work Sans" w:hAnsi="Work Sans"/>
          <w:sz w:val="20"/>
          <w:szCs w:val="20"/>
        </w:rPr>
        <w:t xml:space="preserve"> an </w:t>
      </w:r>
      <w:r w:rsidR="00162533" w:rsidRPr="005751DA">
        <w:rPr>
          <w:rFonts w:ascii="Work Sans" w:hAnsi="Work Sans"/>
          <w:sz w:val="20"/>
          <w:szCs w:val="20"/>
        </w:rPr>
        <w:t>adjustment</w:t>
      </w:r>
      <w:r w:rsidR="003C0FE1" w:rsidRPr="005751DA">
        <w:rPr>
          <w:rFonts w:ascii="Work Sans" w:hAnsi="Work Sans"/>
          <w:sz w:val="20"/>
          <w:szCs w:val="20"/>
        </w:rPr>
        <w:t xml:space="preserve"> can be devel</w:t>
      </w:r>
      <w:r w:rsidR="00162533" w:rsidRPr="005751DA">
        <w:rPr>
          <w:rFonts w:ascii="Work Sans" w:hAnsi="Work Sans"/>
          <w:sz w:val="20"/>
          <w:szCs w:val="20"/>
        </w:rPr>
        <w:t>oped and it is material</w:t>
      </w:r>
      <w:r w:rsidR="00DF7A9C" w:rsidRPr="005751DA">
        <w:rPr>
          <w:rFonts w:ascii="Work Sans" w:hAnsi="Work Sans"/>
          <w:sz w:val="20"/>
          <w:szCs w:val="20"/>
        </w:rPr>
        <w:t>, the ad</w:t>
      </w:r>
      <w:r w:rsidR="00485A7D" w:rsidRPr="005751DA">
        <w:rPr>
          <w:rFonts w:ascii="Work Sans" w:hAnsi="Work Sans"/>
          <w:sz w:val="20"/>
          <w:szCs w:val="20"/>
        </w:rPr>
        <w:t>justment will be applied and retained in subsequent updates</w:t>
      </w:r>
      <w:r w:rsidR="00512519">
        <w:rPr>
          <w:rFonts w:ascii="Work Sans" w:hAnsi="Work Sans"/>
          <w:sz w:val="20"/>
          <w:szCs w:val="20"/>
        </w:rPr>
        <w:t>.</w:t>
      </w:r>
      <w:r w:rsidR="00525BDF">
        <w:rPr>
          <w:rStyle w:val="FootnoteReference"/>
        </w:rPr>
        <w:footnoteReference w:id="12"/>
      </w:r>
      <w:r w:rsidR="00485A7D" w:rsidRPr="005751DA">
        <w:rPr>
          <w:rFonts w:ascii="Work Sans" w:hAnsi="Work Sans"/>
          <w:sz w:val="20"/>
          <w:szCs w:val="20"/>
        </w:rPr>
        <w:t xml:space="preserve"> The materiality of the adjustment </w:t>
      </w:r>
      <w:r w:rsidR="00185DB5" w:rsidRPr="005751DA">
        <w:rPr>
          <w:rFonts w:ascii="Work Sans" w:hAnsi="Work Sans"/>
          <w:sz w:val="20"/>
          <w:szCs w:val="20"/>
        </w:rPr>
        <w:t xml:space="preserve">is </w:t>
      </w:r>
      <w:r w:rsidR="00485A7D" w:rsidRPr="005751DA">
        <w:rPr>
          <w:rFonts w:ascii="Work Sans" w:hAnsi="Work Sans"/>
          <w:sz w:val="20"/>
          <w:szCs w:val="20"/>
        </w:rPr>
        <w:t>not retested until the following review</w:t>
      </w:r>
      <w:r w:rsidR="006D3BFC" w:rsidRPr="00825022">
        <w:rPr>
          <w:rFonts w:ascii="Work Sans" w:hAnsi="Work Sans"/>
          <w:sz w:val="20"/>
          <w:szCs w:val="20"/>
        </w:rPr>
        <w:t>.</w:t>
      </w:r>
    </w:p>
    <w:p w14:paraId="53FBE765" w14:textId="1BA77E98" w:rsidR="007B6B83" w:rsidRPr="00825022" w:rsidRDefault="007B6B83" w:rsidP="005751DA">
      <w:pPr>
        <w:pStyle w:val="CGCNumberedPara"/>
        <w:rPr>
          <w:rFonts w:ascii="Work Sans" w:hAnsi="Work Sans"/>
          <w:sz w:val="20"/>
          <w:szCs w:val="20"/>
        </w:rPr>
      </w:pPr>
      <w:r w:rsidRPr="00825022">
        <w:rPr>
          <w:rFonts w:ascii="Work Sans" w:hAnsi="Work Sans"/>
          <w:sz w:val="20"/>
          <w:szCs w:val="20"/>
        </w:rPr>
        <w:t>When considering new adjustments, t</w:t>
      </w:r>
      <w:r w:rsidR="003C0FE1" w:rsidRPr="00825022">
        <w:rPr>
          <w:rFonts w:ascii="Work Sans" w:hAnsi="Work Sans"/>
          <w:sz w:val="20"/>
          <w:szCs w:val="20"/>
        </w:rPr>
        <w:t>he Commission consults the relevant state(s)</w:t>
      </w:r>
      <w:r w:rsidR="00D9345C" w:rsidRPr="00825022">
        <w:rPr>
          <w:rFonts w:ascii="Work Sans" w:hAnsi="Work Sans"/>
          <w:sz w:val="20"/>
          <w:szCs w:val="20"/>
        </w:rPr>
        <w:t>.</w:t>
      </w:r>
      <w:r w:rsidR="00B67F10" w:rsidRPr="00825022">
        <w:rPr>
          <w:rFonts w:ascii="Work Sans" w:hAnsi="Work Sans"/>
          <w:sz w:val="20"/>
          <w:szCs w:val="20"/>
        </w:rPr>
        <w:t xml:space="preserve"> The consultation process </w:t>
      </w:r>
      <w:r w:rsidR="007E7C21" w:rsidRPr="00825022">
        <w:rPr>
          <w:rFonts w:ascii="Work Sans" w:hAnsi="Work Sans"/>
          <w:sz w:val="20"/>
          <w:szCs w:val="20"/>
        </w:rPr>
        <w:t>is</w:t>
      </w:r>
      <w:r w:rsidR="00B67F10" w:rsidRPr="00825022">
        <w:rPr>
          <w:rFonts w:ascii="Work Sans" w:hAnsi="Work Sans"/>
          <w:sz w:val="20"/>
          <w:szCs w:val="20"/>
        </w:rPr>
        <w:t xml:space="preserve"> undertaken as soon as possible after a potential adjustment has been identified. </w:t>
      </w:r>
      <w:r w:rsidRPr="00825022">
        <w:rPr>
          <w:rFonts w:ascii="Work Sans" w:hAnsi="Work Sans"/>
          <w:sz w:val="20"/>
          <w:szCs w:val="20"/>
        </w:rPr>
        <w:t>If new adjustments are identified that impact most or all states, early in the update process, the Commission inform</w:t>
      </w:r>
      <w:r w:rsidR="00904571" w:rsidRPr="00825022">
        <w:rPr>
          <w:rFonts w:ascii="Work Sans" w:hAnsi="Work Sans"/>
          <w:sz w:val="20"/>
          <w:szCs w:val="20"/>
        </w:rPr>
        <w:t>s</w:t>
      </w:r>
      <w:r w:rsidRPr="00825022">
        <w:rPr>
          <w:rFonts w:ascii="Work Sans" w:hAnsi="Work Sans"/>
          <w:sz w:val="20"/>
          <w:szCs w:val="20"/>
        </w:rPr>
        <w:t xml:space="preserve"> all states during the yearly New Issues process. These will likely be related to any adjustments required for the </w:t>
      </w:r>
      <w:r w:rsidR="00BE0EE2" w:rsidRPr="00825022">
        <w:rPr>
          <w:rFonts w:ascii="Work Sans" w:hAnsi="Work Sans"/>
          <w:sz w:val="20"/>
          <w:szCs w:val="20"/>
        </w:rPr>
        <w:t>y</w:t>
      </w:r>
      <w:r w:rsidRPr="00825022">
        <w:rPr>
          <w:rFonts w:ascii="Work Sans" w:hAnsi="Work Sans"/>
          <w:sz w:val="20"/>
          <w:szCs w:val="20"/>
        </w:rPr>
        <w:t xml:space="preserve">ear minus 1 to </w:t>
      </w:r>
      <w:r w:rsidR="00BE0EE2" w:rsidRPr="00825022">
        <w:rPr>
          <w:rFonts w:ascii="Work Sans" w:hAnsi="Work Sans"/>
          <w:sz w:val="20"/>
          <w:szCs w:val="20"/>
        </w:rPr>
        <w:t>y</w:t>
      </w:r>
      <w:r w:rsidRPr="00825022">
        <w:rPr>
          <w:rFonts w:ascii="Work Sans" w:hAnsi="Work Sans"/>
          <w:sz w:val="20"/>
          <w:szCs w:val="20"/>
        </w:rPr>
        <w:t xml:space="preserve">ear 2 ABS final data as they are received earlier than the year 3 data. </w:t>
      </w:r>
      <w:r w:rsidR="00174FBA" w:rsidRPr="00825022">
        <w:rPr>
          <w:rFonts w:ascii="Work Sans" w:hAnsi="Work Sans"/>
          <w:sz w:val="20"/>
          <w:szCs w:val="20"/>
        </w:rPr>
        <w:t xml:space="preserve">Due to timing constraints, </w:t>
      </w:r>
      <w:r w:rsidR="00B443C7" w:rsidRPr="00825022">
        <w:rPr>
          <w:rFonts w:ascii="Work Sans" w:hAnsi="Work Sans"/>
          <w:sz w:val="20"/>
          <w:szCs w:val="20"/>
        </w:rPr>
        <w:t>consultation</w:t>
      </w:r>
      <w:r w:rsidR="002539E6" w:rsidRPr="00825022">
        <w:rPr>
          <w:rFonts w:ascii="Work Sans" w:hAnsi="Work Sans"/>
          <w:sz w:val="20"/>
          <w:szCs w:val="20"/>
        </w:rPr>
        <w:t xml:space="preserve"> on </w:t>
      </w:r>
      <w:r w:rsidR="00E9780F" w:rsidRPr="00825022">
        <w:rPr>
          <w:rFonts w:ascii="Work Sans" w:hAnsi="Work Sans"/>
          <w:sz w:val="20"/>
          <w:szCs w:val="20"/>
        </w:rPr>
        <w:t xml:space="preserve">adjustments to </w:t>
      </w:r>
      <w:r w:rsidRPr="00825022">
        <w:rPr>
          <w:rFonts w:ascii="Work Sans" w:hAnsi="Work Sans"/>
          <w:sz w:val="20"/>
          <w:szCs w:val="20"/>
        </w:rPr>
        <w:t>year</w:t>
      </w:r>
      <w:r w:rsidR="00F370AF" w:rsidRPr="00825022">
        <w:rPr>
          <w:rFonts w:ascii="Work Sans" w:hAnsi="Work Sans"/>
          <w:sz w:val="20"/>
          <w:szCs w:val="20"/>
        </w:rPr>
        <w:t> </w:t>
      </w:r>
      <w:r w:rsidRPr="00825022">
        <w:rPr>
          <w:rFonts w:ascii="Work Sans" w:hAnsi="Work Sans"/>
          <w:sz w:val="20"/>
          <w:szCs w:val="20"/>
        </w:rPr>
        <w:t>3 data</w:t>
      </w:r>
      <w:r w:rsidR="00E9780F" w:rsidRPr="00825022">
        <w:rPr>
          <w:rFonts w:ascii="Work Sans" w:hAnsi="Work Sans"/>
          <w:sz w:val="20"/>
          <w:szCs w:val="20"/>
        </w:rPr>
        <w:t xml:space="preserve"> generally takes place </w:t>
      </w:r>
      <w:r w:rsidR="00E9780F" w:rsidRPr="00825022" w:rsidDel="00BE0EE2">
        <w:rPr>
          <w:rFonts w:ascii="Work Sans" w:hAnsi="Work Sans"/>
          <w:sz w:val="20"/>
          <w:szCs w:val="20"/>
        </w:rPr>
        <w:t xml:space="preserve">in </w:t>
      </w:r>
      <w:r w:rsidRPr="00825022">
        <w:rPr>
          <w:rFonts w:ascii="Work Sans" w:hAnsi="Work Sans"/>
          <w:sz w:val="20"/>
          <w:szCs w:val="20"/>
        </w:rPr>
        <w:t>December or January.</w:t>
      </w:r>
    </w:p>
    <w:p w14:paraId="7BEF0C0E" w14:textId="1D00375C" w:rsidR="00E77F09" w:rsidRDefault="00E77F09" w:rsidP="00B67F10">
      <w:pPr>
        <w:pStyle w:val="CGC2025ParaNumbers"/>
        <w:rPr>
          <w:color w:val="000000" w:themeColor="text1"/>
        </w:rPr>
      </w:pPr>
      <w:r>
        <w:rPr>
          <w:color w:val="000000" w:themeColor="text1"/>
        </w:rPr>
        <w:t xml:space="preserve">See Attachment </w:t>
      </w:r>
      <w:r w:rsidR="004A606D">
        <w:rPr>
          <w:color w:val="000000" w:themeColor="text1"/>
        </w:rPr>
        <w:t>B</w:t>
      </w:r>
      <w:r>
        <w:rPr>
          <w:color w:val="000000" w:themeColor="text1"/>
        </w:rPr>
        <w:t xml:space="preserve"> for a list of the </w:t>
      </w:r>
      <w:r w:rsidR="00587272">
        <w:rPr>
          <w:color w:val="000000" w:themeColor="text1"/>
        </w:rPr>
        <w:t>adjustments applied in the 2025 Review.</w:t>
      </w:r>
    </w:p>
    <w:p w14:paraId="29E1E87B" w14:textId="57992077" w:rsidR="00287E43" w:rsidRPr="00284D3B" w:rsidRDefault="00287E43" w:rsidP="00F25545">
      <w:pPr>
        <w:pStyle w:val="Heading3"/>
        <w:keepNext/>
        <w:keepLines/>
      </w:pPr>
      <w:bookmarkStart w:id="15" w:name="_Hlk161153088"/>
      <w:r w:rsidRPr="00284D3B">
        <w:lastRenderedPageBreak/>
        <w:t xml:space="preserve">Process for correcting data errors in prior years </w:t>
      </w:r>
    </w:p>
    <w:bookmarkEnd w:id="15"/>
    <w:p w14:paraId="3A0DCB21" w14:textId="4129E06E" w:rsidR="00C43064" w:rsidRPr="005814A3" w:rsidRDefault="00CC41B5">
      <w:pPr>
        <w:pStyle w:val="CGC2025ParaNumbers"/>
        <w:keepNext/>
        <w:keepLines/>
      </w:pPr>
      <w:r w:rsidRPr="005814A3">
        <w:t>Data</w:t>
      </w:r>
      <w:r w:rsidR="000F78B7" w:rsidRPr="005814A3">
        <w:t xml:space="preserve"> errors</w:t>
      </w:r>
      <w:r w:rsidR="003124DE" w:rsidRPr="005814A3">
        <w:t xml:space="preserve"> discovered in previous assessment years</w:t>
      </w:r>
      <w:r w:rsidRPr="005814A3">
        <w:t xml:space="preserve"> are corrected in the corresponding assessment year of the current update.</w:t>
      </w:r>
      <w:r w:rsidR="00F906AA" w:rsidRPr="005814A3">
        <w:t xml:space="preserve"> </w:t>
      </w:r>
      <w:r w:rsidR="006978A9" w:rsidRPr="005814A3">
        <w:t>For example, an error identified in year 2 of a previous update will be corrected in year 1 of the current update</w:t>
      </w:r>
      <w:r w:rsidR="00CA7459">
        <w:t xml:space="preserve"> </w:t>
      </w:r>
      <w:r w:rsidR="00F342C9">
        <w:t>(</w:t>
      </w:r>
      <w:r w:rsidR="003D2F29" w:rsidRPr="005814A3">
        <w:t>see</w:t>
      </w:r>
      <w:r w:rsidR="00122478">
        <w:t xml:space="preserve"> Figure 5</w:t>
      </w:r>
      <w:r w:rsidR="00F342C9">
        <w:t>)</w:t>
      </w:r>
      <w:r w:rsidR="006978A9" w:rsidRPr="005814A3">
        <w:t xml:space="preserve">. </w:t>
      </w:r>
      <w:r w:rsidR="00CD6A01" w:rsidRPr="005814A3">
        <w:t>The Commission will not generally make an a</w:t>
      </w:r>
      <w:r w:rsidR="00C43064" w:rsidRPr="005814A3">
        <w:t xml:space="preserve">dditional adjustment </w:t>
      </w:r>
      <w:r w:rsidR="00712AB3" w:rsidRPr="005814A3">
        <w:t xml:space="preserve">to </w:t>
      </w:r>
      <w:r w:rsidR="00C43064" w:rsidRPr="005814A3">
        <w:t xml:space="preserve">correct errors in </w:t>
      </w:r>
      <w:r w:rsidR="009D5B07" w:rsidRPr="005814A3">
        <w:t>previous year</w:t>
      </w:r>
      <w:r w:rsidR="00E640FF" w:rsidRPr="005814A3">
        <w:t>’</w:t>
      </w:r>
      <w:r w:rsidR="009D5B07" w:rsidRPr="005814A3">
        <w:t xml:space="preserve">s </w:t>
      </w:r>
      <w:r w:rsidR="00C43064" w:rsidRPr="005814A3">
        <w:t xml:space="preserve">GST distribution </w:t>
      </w:r>
      <w:proofErr w:type="gramStart"/>
      <w:r w:rsidR="00C43064" w:rsidRPr="005814A3">
        <w:t>as a result of</w:t>
      </w:r>
      <w:proofErr w:type="gramEnd"/>
      <w:r w:rsidR="00C43064" w:rsidRPr="005814A3">
        <w:t xml:space="preserve"> data error</w:t>
      </w:r>
      <w:r w:rsidR="00333437" w:rsidRPr="005814A3">
        <w:t>s</w:t>
      </w:r>
      <w:r w:rsidR="00C43064" w:rsidRPr="005814A3">
        <w:t xml:space="preserve"> in previous updates</w:t>
      </w:r>
      <w:r w:rsidR="00CD6A01" w:rsidRPr="005814A3">
        <w:t>.</w:t>
      </w:r>
      <w:r w:rsidR="00E4289B" w:rsidRPr="005814A3">
        <w:t xml:space="preserve"> </w:t>
      </w:r>
      <w:r w:rsidR="00CD6A01" w:rsidRPr="005814A3">
        <w:t>The</w:t>
      </w:r>
      <w:r w:rsidR="00C14417" w:rsidRPr="005814A3">
        <w:t xml:space="preserve">se types of </w:t>
      </w:r>
      <w:r w:rsidR="00656F60" w:rsidRPr="005814A3">
        <w:t xml:space="preserve">retrospective </w:t>
      </w:r>
      <w:r w:rsidR="00CD6A01" w:rsidRPr="005814A3">
        <w:t xml:space="preserve">adjustments </w:t>
      </w:r>
      <w:r w:rsidR="00A644F4" w:rsidRPr="005814A3">
        <w:t xml:space="preserve">are made in rare circumstances and </w:t>
      </w:r>
      <w:r w:rsidR="00A07FD2" w:rsidRPr="005814A3">
        <w:t xml:space="preserve">are </w:t>
      </w:r>
      <w:r w:rsidR="00CD6A01" w:rsidRPr="005814A3">
        <w:t>considered on a case-by-case basis.</w:t>
      </w:r>
    </w:p>
    <w:p w14:paraId="6C3253CA" w14:textId="54B422D3" w:rsidR="00836A9F" w:rsidRDefault="6330D13A" w:rsidP="0029502E">
      <w:pPr>
        <w:pStyle w:val="CGC2025Caption"/>
      </w:pPr>
      <w:bookmarkStart w:id="16" w:name="_Ref173845737"/>
      <w:r>
        <w:t xml:space="preserve">Figure </w:t>
      </w:r>
      <w:r w:rsidR="00E16EED">
        <w:fldChar w:fldCharType="begin"/>
      </w:r>
      <w:r w:rsidR="00E16EED">
        <w:instrText xml:space="preserve"> SEQ Figure \* ARABIC </w:instrText>
      </w:r>
      <w:r w:rsidR="00E16EED">
        <w:fldChar w:fldCharType="separate"/>
      </w:r>
      <w:r>
        <w:t>5</w:t>
      </w:r>
      <w:r w:rsidR="00E16EED">
        <w:fldChar w:fldCharType="end"/>
      </w:r>
      <w:bookmarkEnd w:id="16"/>
      <w:r w:rsidR="00E16EED">
        <w:tab/>
      </w:r>
      <w:r w:rsidR="2686E4BB">
        <w:t xml:space="preserve">Example of </w:t>
      </w:r>
      <w:r w:rsidR="7CEDC87C">
        <w:t xml:space="preserve">data </w:t>
      </w:r>
      <w:r w:rsidR="2686E4BB">
        <w:t>error correction method</w:t>
      </w:r>
    </w:p>
    <w:p w14:paraId="7F355ED2" w14:textId="22B72C45" w:rsidR="0029502E" w:rsidRDefault="00227C91" w:rsidP="005C23C4">
      <w:r>
        <w:rPr>
          <w:noProof/>
        </w:rPr>
        <w:drawing>
          <wp:inline distT="0" distB="0" distL="0" distR="0" wp14:anchorId="3E48DDF3" wp14:editId="5C127F9B">
            <wp:extent cx="5777767" cy="2400677"/>
            <wp:effectExtent l="0" t="0" r="0" b="0"/>
            <wp:docPr id="6734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548" cy="2413882"/>
                    </a:xfrm>
                    <a:prstGeom prst="rect">
                      <a:avLst/>
                    </a:prstGeom>
                    <a:noFill/>
                  </pic:spPr>
                </pic:pic>
              </a:graphicData>
            </a:graphic>
          </wp:inline>
        </w:drawing>
      </w:r>
    </w:p>
    <w:p w14:paraId="17FF51F7" w14:textId="33C5043C" w:rsidR="00EE4DE9" w:rsidRPr="00C60962" w:rsidRDefault="00511D95" w:rsidP="000F050F">
      <w:pPr>
        <w:pStyle w:val="CGC2025TableNote"/>
        <w:ind w:left="567" w:hanging="454"/>
      </w:pPr>
      <w:r w:rsidRPr="00C60962">
        <w:t xml:space="preserve">Note: </w:t>
      </w:r>
      <w:r w:rsidRPr="00C60962">
        <w:tab/>
        <w:t xml:space="preserve">*The error made in the </w:t>
      </w:r>
      <w:r w:rsidR="00057E0B" w:rsidRPr="00C60962">
        <w:t>202</w:t>
      </w:r>
      <w:r w:rsidR="003A537A" w:rsidRPr="00C60962">
        <w:t>2</w:t>
      </w:r>
      <w:r w:rsidR="00F3132B" w:rsidRPr="00C60962">
        <w:t>–</w:t>
      </w:r>
      <w:r w:rsidR="003A537A" w:rsidRPr="00C60962">
        <w:t>23</w:t>
      </w:r>
      <w:r w:rsidR="00057E0B" w:rsidRPr="00C60962">
        <w:t xml:space="preserve"> </w:t>
      </w:r>
      <w:r w:rsidRPr="00C60962">
        <w:t xml:space="preserve">assessment year in the </w:t>
      </w:r>
      <w:r w:rsidR="000E3922" w:rsidRPr="00C60962">
        <w:t xml:space="preserve">2025 </w:t>
      </w:r>
      <w:r w:rsidR="003A537A" w:rsidRPr="00C60962">
        <w:t>Review</w:t>
      </w:r>
      <w:r w:rsidRPr="00C60962">
        <w:t xml:space="preserve"> is </w:t>
      </w:r>
      <w:r w:rsidR="00E2492A" w:rsidRPr="00C60962">
        <w:t>corrected</w:t>
      </w:r>
      <w:r w:rsidRPr="00C60962">
        <w:t xml:space="preserve"> in the </w:t>
      </w:r>
      <w:r w:rsidR="00057E0B" w:rsidRPr="00C60962">
        <w:t>202</w:t>
      </w:r>
      <w:r w:rsidR="003A537A" w:rsidRPr="00C60962">
        <w:t>2</w:t>
      </w:r>
      <w:r w:rsidR="00F3132B" w:rsidRPr="00C60962">
        <w:t>–</w:t>
      </w:r>
      <w:r w:rsidR="003A537A" w:rsidRPr="00C60962">
        <w:t>23</w:t>
      </w:r>
      <w:r w:rsidR="00057E0B" w:rsidRPr="00C60962">
        <w:t xml:space="preserve"> </w:t>
      </w:r>
      <w:r w:rsidRPr="00C60962">
        <w:t xml:space="preserve">assessment year in the </w:t>
      </w:r>
      <w:r w:rsidR="000E3922" w:rsidRPr="00C60962">
        <w:t>202</w:t>
      </w:r>
      <w:r w:rsidR="003A537A" w:rsidRPr="00C60962">
        <w:t>6 Upda</w:t>
      </w:r>
      <w:r w:rsidR="000D6B91" w:rsidRPr="00C60962">
        <w:t>te</w:t>
      </w:r>
      <w:r w:rsidR="003E1E57" w:rsidRPr="00C60962">
        <w:t>.</w:t>
      </w:r>
      <w:r w:rsidR="005E2E21" w:rsidRPr="00C60962">
        <w:t xml:space="preserve"> </w:t>
      </w:r>
      <w:r w:rsidR="008B6150" w:rsidRPr="00C60962">
        <w:t>However, a</w:t>
      </w:r>
      <w:r w:rsidR="006A16E6" w:rsidRPr="00C60962">
        <w:t>n adjustment to correct for the impact on</w:t>
      </w:r>
      <w:r w:rsidR="00917E7E">
        <w:t xml:space="preserve"> GST</w:t>
      </w:r>
      <w:r w:rsidR="006A16E6" w:rsidRPr="00C60962">
        <w:t xml:space="preserve"> distribution of the error in the </w:t>
      </w:r>
      <w:r w:rsidR="00BB01FA" w:rsidRPr="00C60962">
        <w:t>202</w:t>
      </w:r>
      <w:r w:rsidR="000D6B91" w:rsidRPr="00C60962">
        <w:t>5 Review</w:t>
      </w:r>
      <w:r w:rsidRPr="00C60962">
        <w:t xml:space="preserve"> is not</w:t>
      </w:r>
      <w:r w:rsidR="003E1E57" w:rsidRPr="00C60962">
        <w:t xml:space="preserve"> (generally)</w:t>
      </w:r>
      <w:r w:rsidRPr="00C60962">
        <w:t xml:space="preserve"> </w:t>
      </w:r>
      <w:r w:rsidR="005E2E21" w:rsidRPr="00C60962">
        <w:t xml:space="preserve">made in </w:t>
      </w:r>
      <w:r w:rsidR="00852E7B" w:rsidRPr="00C60962">
        <w:t>the</w:t>
      </w:r>
      <w:r w:rsidR="005E2E21" w:rsidRPr="00C60962">
        <w:t xml:space="preserve"> </w:t>
      </w:r>
      <w:r w:rsidR="00001D3C" w:rsidRPr="00C60962">
        <w:t>subsequent u</w:t>
      </w:r>
      <w:r w:rsidR="000D6B91" w:rsidRPr="00C60962">
        <w:t>pdate</w:t>
      </w:r>
      <w:r w:rsidRPr="00C60962">
        <w:t xml:space="preserve">. </w:t>
      </w:r>
      <w:bookmarkStart w:id="17" w:name="_Toc147416176"/>
    </w:p>
    <w:p w14:paraId="54BD5908" w14:textId="5252CF18" w:rsidR="00DD2CD9" w:rsidRPr="00DA6BB1" w:rsidRDefault="00FF5AD3">
      <w:pPr>
        <w:tabs>
          <w:tab w:val="clear" w:pos="567"/>
        </w:tabs>
        <w:spacing w:before="0" w:after="200" w:line="276" w:lineRule="auto"/>
      </w:pPr>
      <w:r>
        <w:br w:type="page"/>
      </w:r>
    </w:p>
    <w:p w14:paraId="394F6260" w14:textId="305A55C8" w:rsidR="004C6846" w:rsidRPr="0032592F" w:rsidRDefault="004C6846" w:rsidP="004C6846">
      <w:pPr>
        <w:pStyle w:val="Heading2"/>
      </w:pPr>
      <w:r w:rsidRPr="705FD34C">
        <w:rPr>
          <w:rFonts w:eastAsiaTheme="minorEastAsia"/>
        </w:rPr>
        <w:lastRenderedPageBreak/>
        <w:t>Attachment A:</w:t>
      </w:r>
      <w:r>
        <w:t xml:space="preserve"> </w:t>
      </w:r>
      <w:r w:rsidRPr="705FD34C">
        <w:rPr>
          <w:rStyle w:val="Heading2Char"/>
          <w:rFonts w:eastAsiaTheme="minorEastAsia"/>
        </w:rPr>
        <w:t>Code rules for mapping Government Finance Statistics data</w:t>
      </w:r>
      <w:bookmarkEnd w:id="17"/>
      <w:r>
        <w:rPr>
          <w:b w:val="0"/>
          <w:bCs w:val="0"/>
        </w:rPr>
        <w:t xml:space="preserve"> </w:t>
      </w:r>
    </w:p>
    <w:p w14:paraId="357DD9F0" w14:textId="34ABF340" w:rsidR="004C6846" w:rsidRPr="00D239F3" w:rsidRDefault="004C6846" w:rsidP="2F8FDEBC">
      <w:pPr>
        <w:pStyle w:val="CGCNumberedPara"/>
        <w:rPr>
          <w:rFonts w:ascii="Work Sans" w:hAnsi="Work Sans"/>
          <w:sz w:val="20"/>
          <w:szCs w:val="20"/>
        </w:rPr>
      </w:pPr>
      <w:r w:rsidRPr="00D239F3">
        <w:rPr>
          <w:rFonts w:ascii="Work Sans" w:hAnsi="Work Sans"/>
          <w:sz w:val="20"/>
          <w:szCs w:val="20"/>
        </w:rPr>
        <w:t>The Commission uses a set of code rules to classify the Government Finance Statistics data to the categories and their components</w:t>
      </w:r>
      <w:r w:rsidRPr="004C718A">
        <w:rPr>
          <w:rFonts w:ascii="Work Sans" w:hAnsi="Work Sans"/>
          <w:sz w:val="20"/>
          <w:szCs w:val="20"/>
        </w:rPr>
        <w:t xml:space="preserve">. </w:t>
      </w:r>
      <w:r w:rsidR="0034690E" w:rsidRPr="00470F1A">
        <w:rPr>
          <w:rFonts w:ascii="Work Sans" w:hAnsi="Work Sans"/>
          <w:sz w:val="20"/>
          <w:szCs w:val="20"/>
        </w:rPr>
        <w:t>For all categories, the Commission uses the following codes from the Australian System of Government Finance Statistics 2015 (AGFS15)</w:t>
      </w:r>
      <w:r w:rsidR="00936A44">
        <w:rPr>
          <w:rFonts w:ascii="Work Sans" w:hAnsi="Work Sans"/>
          <w:sz w:val="20"/>
          <w:szCs w:val="20"/>
        </w:rPr>
        <w:t>:</w:t>
      </w:r>
      <w:r w:rsidRPr="005F71AE">
        <w:rPr>
          <w:rStyle w:val="FootnoteReference"/>
        </w:rPr>
        <w:footnoteReference w:id="13"/>
      </w:r>
      <w:r w:rsidRPr="00D239F3">
        <w:rPr>
          <w:rFonts w:ascii="Work Sans" w:hAnsi="Work Sans"/>
          <w:sz w:val="20"/>
          <w:szCs w:val="20"/>
        </w:rPr>
        <w:t xml:space="preserve"> </w:t>
      </w:r>
    </w:p>
    <w:p w14:paraId="381E9698" w14:textId="2F317343" w:rsidR="004C6846" w:rsidRDefault="002F4969" w:rsidP="004C6846">
      <w:pPr>
        <w:pStyle w:val="CGC2025Bullet1"/>
        <w:ind w:left="927" w:hanging="360"/>
      </w:pPr>
      <w:r>
        <w:t>l</w:t>
      </w:r>
      <w:r w:rsidR="004C6846" w:rsidRPr="00CC5FEF">
        <w:t xml:space="preserve">evel of </w:t>
      </w:r>
      <w:r w:rsidR="00BB357D">
        <w:t>g</w:t>
      </w:r>
      <w:r w:rsidR="004C6846" w:rsidRPr="00CC5FEF">
        <w:t xml:space="preserve">overnment </w:t>
      </w:r>
      <w:r w:rsidR="00BB357D">
        <w:t>c</w:t>
      </w:r>
      <w:r w:rsidR="004C6846" w:rsidRPr="00CC5FEF">
        <w:t>lassification (LOG) = 2 (</w:t>
      </w:r>
      <w:r w:rsidR="00D077D3">
        <w:t>s</w:t>
      </w:r>
      <w:r w:rsidR="004C6846" w:rsidRPr="00CC5FEF">
        <w:t>tate)</w:t>
      </w:r>
    </w:p>
    <w:p w14:paraId="088406DC" w14:textId="781AC8BA" w:rsidR="004C6846" w:rsidRDefault="002F4969" w:rsidP="004C6846">
      <w:pPr>
        <w:pStyle w:val="CGC2025Bullet1"/>
        <w:ind w:left="927" w:hanging="360"/>
      </w:pPr>
      <w:r>
        <w:t>j</w:t>
      </w:r>
      <w:r w:rsidR="004C6846">
        <w:t>urisdiction classification (JUR)</w:t>
      </w:r>
    </w:p>
    <w:p w14:paraId="4C07DDE5" w14:textId="556D816F" w:rsidR="004C6846" w:rsidRDefault="002F4969" w:rsidP="004C6846">
      <w:pPr>
        <w:pStyle w:val="CGC2025Bullet1"/>
        <w:ind w:left="927" w:hanging="360"/>
      </w:pPr>
      <w:r>
        <w:t>i</w:t>
      </w:r>
      <w:r w:rsidR="004C6846" w:rsidRPr="00CC5FEF">
        <w:t xml:space="preserve">nstitutional sector classification (INST) = 300 (general government) other than </w:t>
      </w:r>
      <w:r w:rsidR="00D077D3">
        <w:t>h</w:t>
      </w:r>
      <w:r w:rsidR="004C6846" w:rsidRPr="00CC5FEF">
        <w:t xml:space="preserve">ousing and </w:t>
      </w:r>
      <w:r w:rsidR="00D077D3">
        <w:t>u</w:t>
      </w:r>
      <w:r w:rsidR="004C6846" w:rsidRPr="00CC5FEF">
        <w:t>rban transport</w:t>
      </w:r>
    </w:p>
    <w:p w14:paraId="64D867F7" w14:textId="004B87B8" w:rsidR="004C6846" w:rsidRDefault="00936A44" w:rsidP="004C6846">
      <w:pPr>
        <w:pStyle w:val="CGC2025Bullet1"/>
        <w:ind w:left="927" w:hanging="360"/>
      </w:pPr>
      <w:r>
        <w:t>f</w:t>
      </w:r>
      <w:r w:rsidR="004C6846" w:rsidRPr="00CC5FEF">
        <w:t xml:space="preserve">or </w:t>
      </w:r>
      <w:r w:rsidR="004C6846">
        <w:t>h</w:t>
      </w:r>
      <w:r w:rsidR="004C6846" w:rsidRPr="00CC5FEF">
        <w:t xml:space="preserve">ousing and </w:t>
      </w:r>
      <w:r w:rsidR="004C6846">
        <w:t>u</w:t>
      </w:r>
      <w:r w:rsidR="004C6846" w:rsidRPr="00CC5FEF">
        <w:t xml:space="preserve">rban transport, </w:t>
      </w:r>
      <w:r w:rsidR="004C6846">
        <w:t xml:space="preserve">INST = </w:t>
      </w:r>
      <w:r w:rsidR="004C6846" w:rsidRPr="00CC5FEF">
        <w:t>300 (</w:t>
      </w:r>
      <w:r w:rsidR="001D43A5">
        <w:t>general government</w:t>
      </w:r>
      <w:r w:rsidR="004C6846" w:rsidRPr="00CC5FEF">
        <w:t>) and 100 (public non</w:t>
      </w:r>
      <w:r w:rsidR="004C6846">
        <w:noBreakHyphen/>
      </w:r>
      <w:r w:rsidR="004C6846" w:rsidRPr="00CC5FEF">
        <w:t>financial corporations</w:t>
      </w:r>
      <w:r w:rsidR="00CB339E">
        <w:t>,</w:t>
      </w:r>
      <w:r w:rsidR="004C6846" w:rsidRPr="00CC5FEF">
        <w:t xml:space="preserve"> </w:t>
      </w:r>
      <w:r w:rsidR="00CB339E">
        <w:t>with</w:t>
      </w:r>
      <w:r w:rsidR="00CB339E" w:rsidRPr="00CC5FEF">
        <w:t xml:space="preserve"> </w:t>
      </w:r>
      <w:r w:rsidR="004C6846" w:rsidRPr="00CC5FEF">
        <w:t>trans</w:t>
      </w:r>
      <w:r w:rsidR="004C6846">
        <w:t>action</w:t>
      </w:r>
      <w:r w:rsidR="004C6846" w:rsidRPr="00CC5FEF">
        <w:t xml:space="preserve">s between the </w:t>
      </w:r>
      <w:r w:rsidR="004C6846">
        <w:t>2</w:t>
      </w:r>
      <w:r w:rsidR="004C6846" w:rsidRPr="00CC5FEF">
        <w:t xml:space="preserve"> sectors</w:t>
      </w:r>
      <w:r w:rsidR="004C6846" w:rsidRPr="00313A23">
        <w:t xml:space="preserve"> </w:t>
      </w:r>
      <w:r w:rsidR="004C6846" w:rsidRPr="00CC5FEF">
        <w:t>remove</w:t>
      </w:r>
      <w:r w:rsidR="004C6846">
        <w:t>d</w:t>
      </w:r>
      <w:r w:rsidR="009F7C0A">
        <w:t>)</w:t>
      </w:r>
    </w:p>
    <w:p w14:paraId="5D195D66" w14:textId="27398971" w:rsidR="004C6846" w:rsidRDefault="002F4969" w:rsidP="004C6846">
      <w:pPr>
        <w:pStyle w:val="CGC2025Bullet1"/>
        <w:ind w:left="927" w:hanging="360"/>
      </w:pPr>
      <w:r>
        <w:t>e</w:t>
      </w:r>
      <w:r w:rsidR="004C6846" w:rsidRPr="00CC5FEF">
        <w:t>conomic type framework</w:t>
      </w:r>
      <w:r w:rsidR="00D17119">
        <w:t xml:space="preserve"> (</w:t>
      </w:r>
      <w:r w:rsidR="00953785">
        <w:t>ETF</w:t>
      </w:r>
      <w:r w:rsidR="004C6846" w:rsidRPr="00CC5FEF" w:rsidDel="00D17119">
        <w:t>)</w:t>
      </w:r>
    </w:p>
    <w:p w14:paraId="3120F6C2" w14:textId="5C9DC589" w:rsidR="004C6846" w:rsidRDefault="002F4969" w:rsidP="004C6846">
      <w:pPr>
        <w:pStyle w:val="CGC2025Bullet1"/>
        <w:ind w:left="927" w:hanging="360"/>
      </w:pPr>
      <w:r>
        <w:t>c</w:t>
      </w:r>
      <w:r w:rsidR="004C6846" w:rsidRPr="00CC5FEF">
        <w:t xml:space="preserve">lassification of the functions of government </w:t>
      </w:r>
      <w:r w:rsidR="004C6846">
        <w:t>–</w:t>
      </w:r>
      <w:r w:rsidR="004C6846" w:rsidRPr="00CC5FEF">
        <w:t xml:space="preserve"> Australia</w:t>
      </w:r>
      <w:r w:rsidR="00DF430B">
        <w:t xml:space="preserve"> (COFOG-A</w:t>
      </w:r>
      <w:r w:rsidR="004C6846" w:rsidRPr="00CC5FEF" w:rsidDel="00DF430B">
        <w:t>)</w:t>
      </w:r>
    </w:p>
    <w:p w14:paraId="58A74F1C" w14:textId="19C147EA" w:rsidR="004C6846" w:rsidRDefault="002F4969" w:rsidP="004C6846">
      <w:pPr>
        <w:pStyle w:val="CGC2025Bullet1"/>
        <w:ind w:left="927" w:hanging="360"/>
      </w:pPr>
      <w:r>
        <w:t>t</w:t>
      </w:r>
      <w:r w:rsidR="004C6846" w:rsidRPr="00CC5FEF">
        <w:t>axes classification</w:t>
      </w:r>
      <w:r w:rsidR="00DF430B">
        <w:t xml:space="preserve"> (TC</w:t>
      </w:r>
      <w:r w:rsidR="004C6846" w:rsidRPr="00CC5FEF">
        <w:t>)</w:t>
      </w:r>
    </w:p>
    <w:p w14:paraId="2592CED3" w14:textId="75D458AE" w:rsidR="004C6846" w:rsidRDefault="002F4969" w:rsidP="004C6846">
      <w:pPr>
        <w:pStyle w:val="CGC2025Bullet1"/>
        <w:ind w:left="927" w:hanging="360"/>
      </w:pPr>
      <w:r>
        <w:t>s</w:t>
      </w:r>
      <w:r w:rsidR="004C6846" w:rsidRPr="00CC5FEF">
        <w:t>ou</w:t>
      </w:r>
      <w:r w:rsidR="004C6846">
        <w:t>rce destination classification</w:t>
      </w:r>
      <w:r w:rsidR="001D3608">
        <w:t xml:space="preserve"> (SDC</w:t>
      </w:r>
      <w:r w:rsidR="004C6846">
        <w:t>)</w:t>
      </w:r>
    </w:p>
    <w:p w14:paraId="0C152C7A" w14:textId="6E5B105B" w:rsidR="004C6846" w:rsidRDefault="002F4969" w:rsidP="004C6846">
      <w:pPr>
        <w:pStyle w:val="CGC2025Bullet1"/>
        <w:ind w:left="927" w:hanging="360"/>
      </w:pPr>
      <w:r>
        <w:t>t</w:t>
      </w:r>
      <w:r w:rsidR="004C6846">
        <w:t>ype of assets and liability classification</w:t>
      </w:r>
      <w:r w:rsidR="00995A20">
        <w:t xml:space="preserve"> (TALC</w:t>
      </w:r>
      <w:r w:rsidR="004C6846">
        <w:t>) for transactions in non</w:t>
      </w:r>
      <w:r w:rsidR="004C6846">
        <w:noBreakHyphen/>
        <w:t>financial assets.</w:t>
      </w:r>
    </w:p>
    <w:p w14:paraId="23580429" w14:textId="77777777" w:rsidR="004C6846" w:rsidRDefault="004C6846" w:rsidP="004C6846">
      <w:pPr>
        <w:pStyle w:val="CGC2025ParaNumbers"/>
      </w:pPr>
      <w:r>
        <w:t>Table A-1 provides the code rules for general government sector transactions and Table A-2 provides the code rules for housing and urban transport, which cover transactions for both the general government and public non-financial corporation sectors.</w:t>
      </w:r>
    </w:p>
    <w:p w14:paraId="02A46972" w14:textId="77777777" w:rsidR="004C6846" w:rsidRDefault="004C6846" w:rsidP="004C6846"/>
    <w:p w14:paraId="786DF801" w14:textId="77777777" w:rsidR="004C6846" w:rsidRDefault="004C6846" w:rsidP="004C6846"/>
    <w:p w14:paraId="2DD0240B" w14:textId="77777777" w:rsidR="004C6846" w:rsidRDefault="004C6846" w:rsidP="004C6846">
      <w:pPr>
        <w:sectPr w:rsidR="004C6846" w:rsidSect="00A35922">
          <w:headerReference w:type="even" r:id="rId13"/>
          <w:footerReference w:type="even" r:id="rId14"/>
          <w:footerReference w:type="default" r:id="rId15"/>
          <w:headerReference w:type="first" r:id="rId16"/>
          <w:footerReference w:type="first" r:id="rId17"/>
          <w:footnotePr>
            <w:numRestart w:val="eachSect"/>
          </w:footnotePr>
          <w:pgSz w:w="11899" w:h="16838" w:code="9"/>
          <w:pgMar w:top="1418" w:right="1474" w:bottom="1418" w:left="1474" w:header="709" w:footer="567" w:gutter="0"/>
          <w:cols w:space="708"/>
          <w:docGrid w:linePitch="299"/>
        </w:sectPr>
      </w:pPr>
    </w:p>
    <w:p w14:paraId="25039722" w14:textId="5990794D" w:rsidR="004C6846" w:rsidRPr="005D69E5" w:rsidRDefault="004C6846" w:rsidP="007F6D94">
      <w:pPr>
        <w:pStyle w:val="CGC2025Caption"/>
        <w:keepNext/>
        <w:ind w:left="1134" w:hanging="1134"/>
        <w:rPr>
          <w:color w:val="FF0000"/>
        </w:rPr>
      </w:pPr>
      <w:r>
        <w:lastRenderedPageBreak/>
        <w:t xml:space="preserve">Table A-1 </w:t>
      </w:r>
      <w:r>
        <w:tab/>
        <w:t>Categories and their relevant Government Financial Statistics codes – general government</w:t>
      </w:r>
      <w:r w:rsidR="00300F72">
        <w:t xml:space="preserve"> </w:t>
      </w:r>
    </w:p>
    <w:tbl>
      <w:tblPr>
        <w:tblW w:w="8942" w:type="dxa"/>
        <w:tblInd w:w="-28" w:type="dxa"/>
        <w:tblBorders>
          <w:top w:val="single" w:sz="6" w:space="0" w:color="ADD6EA"/>
          <w:bottom w:val="single" w:sz="6" w:space="0" w:color="ADD6EA"/>
          <w:insideH w:val="single" w:sz="6" w:space="0" w:color="ADD6EA"/>
        </w:tblBorders>
        <w:tblCellMar>
          <w:left w:w="28" w:type="dxa"/>
          <w:right w:w="28" w:type="dxa"/>
        </w:tblCellMar>
        <w:tblLook w:val="0000" w:firstRow="0" w:lastRow="0" w:firstColumn="0" w:lastColumn="0" w:noHBand="0" w:noVBand="0"/>
      </w:tblPr>
      <w:tblGrid>
        <w:gridCol w:w="1193"/>
        <w:gridCol w:w="2379"/>
        <w:gridCol w:w="3841"/>
        <w:gridCol w:w="1529"/>
      </w:tblGrid>
      <w:tr w:rsidR="00D01A0D" w:rsidRPr="00313A23" w14:paraId="05447A02" w14:textId="77777777" w:rsidTr="004A190A">
        <w:trPr>
          <w:trHeight w:val="371"/>
        </w:trPr>
        <w:tc>
          <w:tcPr>
            <w:tcW w:w="667" w:type="pct"/>
            <w:shd w:val="clear" w:color="auto" w:fill="006991"/>
            <w:vAlign w:val="center"/>
          </w:tcPr>
          <w:p w14:paraId="15C9C4BA"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Category</w:t>
            </w:r>
          </w:p>
        </w:tc>
        <w:tc>
          <w:tcPr>
            <w:tcW w:w="1330" w:type="pct"/>
            <w:shd w:val="clear" w:color="auto" w:fill="006991"/>
            <w:vAlign w:val="center"/>
          </w:tcPr>
          <w:p w14:paraId="788CD115"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4D3E17B3"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COFOG-A</w:t>
            </w:r>
          </w:p>
        </w:tc>
        <w:tc>
          <w:tcPr>
            <w:tcW w:w="855" w:type="pct"/>
            <w:shd w:val="clear" w:color="auto" w:fill="006991"/>
            <w:vAlign w:val="center"/>
          </w:tcPr>
          <w:p w14:paraId="62201EA5"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4C6846" w:rsidRPr="00313A23" w14:paraId="158C1094" w14:textId="77777777" w:rsidTr="00A55110">
        <w:tc>
          <w:tcPr>
            <w:tcW w:w="5000" w:type="pct"/>
            <w:gridSpan w:val="4"/>
            <w:shd w:val="clear" w:color="auto" w:fill="B6D5E4"/>
          </w:tcPr>
          <w:p w14:paraId="2F095EF1" w14:textId="77777777" w:rsidR="004C6846" w:rsidRPr="002744DB" w:rsidRDefault="004C6846">
            <w:pPr>
              <w:pStyle w:val="CGCTablesubhead1"/>
              <w:rPr>
                <w:rFonts w:cs="Open Sans Semibold"/>
              </w:rPr>
            </w:pPr>
            <w:r w:rsidRPr="002744DB">
              <w:rPr>
                <w:rFonts w:cs="Open Sans Semibold"/>
              </w:rPr>
              <w:t>Commonwealth payments</w:t>
            </w:r>
          </w:p>
        </w:tc>
      </w:tr>
      <w:tr w:rsidR="004C6846" w:rsidRPr="00313A23" w14:paraId="4AC4165C" w14:textId="77777777" w:rsidTr="004A190A">
        <w:tc>
          <w:tcPr>
            <w:tcW w:w="667" w:type="pct"/>
          </w:tcPr>
          <w:p w14:paraId="3964CD1E" w14:textId="77777777" w:rsidR="004C6846" w:rsidRPr="00C675AE" w:rsidRDefault="004C6846">
            <w:pPr>
              <w:pStyle w:val="CGCTablesubhead1"/>
              <w:rPr>
                <w:rFonts w:ascii="Open Sans Light" w:hAnsi="Open Sans Light" w:cs="Open Sans Light"/>
              </w:rPr>
            </w:pPr>
          </w:p>
        </w:tc>
        <w:tc>
          <w:tcPr>
            <w:tcW w:w="1330" w:type="pct"/>
          </w:tcPr>
          <w:p w14:paraId="6B1DB915" w14:textId="77777777" w:rsidR="004C6846" w:rsidRPr="00C675AE" w:rsidRDefault="004C6846">
            <w:pPr>
              <w:pStyle w:val="CGCTablerow"/>
              <w:ind w:left="397" w:hanging="397"/>
              <w:rPr>
                <w:rFonts w:cs="Open Sans Light"/>
              </w:rPr>
            </w:pPr>
            <w:r w:rsidRPr="00C675AE">
              <w:rPr>
                <w:rFonts w:cs="Open Sans Light"/>
              </w:rPr>
              <w:t>1141 Revenue from current grants and subsidies</w:t>
            </w:r>
          </w:p>
          <w:p w14:paraId="6E525BE1" w14:textId="77777777" w:rsidR="004C6846" w:rsidRPr="00C675AE" w:rsidRDefault="004C6846">
            <w:pPr>
              <w:pStyle w:val="CGCTablerow"/>
              <w:ind w:left="397" w:hanging="397"/>
              <w:rPr>
                <w:rFonts w:cs="Open Sans Light"/>
              </w:rPr>
            </w:pPr>
            <w:r w:rsidRPr="00C675AE">
              <w:rPr>
                <w:rFonts w:cs="Open Sans Light"/>
              </w:rPr>
              <w:t>1151 Revenue from capital grants</w:t>
            </w:r>
          </w:p>
        </w:tc>
        <w:tc>
          <w:tcPr>
            <w:tcW w:w="2148" w:type="pct"/>
          </w:tcPr>
          <w:p w14:paraId="689BAD50" w14:textId="77777777" w:rsidR="004C6846" w:rsidRPr="00C675AE" w:rsidRDefault="004C6846">
            <w:pPr>
              <w:pStyle w:val="CGCTablerow"/>
              <w:rPr>
                <w:rFonts w:cs="Open Sans Light"/>
              </w:rPr>
            </w:pPr>
            <w:r w:rsidRPr="00C675AE">
              <w:rPr>
                <w:rFonts w:cs="Open Sans Light"/>
              </w:rPr>
              <w:t>All</w:t>
            </w:r>
          </w:p>
        </w:tc>
        <w:tc>
          <w:tcPr>
            <w:tcW w:w="855" w:type="pct"/>
          </w:tcPr>
          <w:p w14:paraId="3754C987" w14:textId="77777777" w:rsidR="004C6846" w:rsidRPr="00B45E94" w:rsidRDefault="004C6846" w:rsidP="00071749">
            <w:pPr>
              <w:pStyle w:val="CGCTablerow"/>
              <w:ind w:left="317" w:hanging="317"/>
              <w:rPr>
                <w:rFonts w:cs="Open Sans Light"/>
              </w:rPr>
            </w:pPr>
            <w:r w:rsidRPr="00B45E94">
              <w:rPr>
                <w:rFonts w:cs="Open Sans Light"/>
              </w:rPr>
              <w:t>130 Commonwealth GG</w:t>
            </w:r>
          </w:p>
        </w:tc>
      </w:tr>
      <w:tr w:rsidR="004C6846" w:rsidRPr="00313A23" w14:paraId="527D937C" w14:textId="77777777" w:rsidTr="00A55110">
        <w:tc>
          <w:tcPr>
            <w:tcW w:w="667" w:type="pct"/>
          </w:tcPr>
          <w:p w14:paraId="5F9AAADA" w14:textId="77777777" w:rsidR="004C6846" w:rsidRPr="00C675AE" w:rsidRDefault="004C6846">
            <w:pPr>
              <w:pStyle w:val="CGCTablesubhead1"/>
              <w:rPr>
                <w:rFonts w:ascii="Open Sans Light" w:hAnsi="Open Sans Light" w:cs="Open Sans Light"/>
              </w:rPr>
            </w:pPr>
            <w:r w:rsidRPr="00C675AE">
              <w:rPr>
                <w:rFonts w:ascii="Open Sans Light" w:hAnsi="Open Sans Light" w:cs="Open Sans Light"/>
              </w:rPr>
              <w:t>Payments affecting state fiscal capacities</w:t>
            </w:r>
          </w:p>
        </w:tc>
        <w:tc>
          <w:tcPr>
            <w:tcW w:w="4333" w:type="pct"/>
            <w:gridSpan w:val="3"/>
          </w:tcPr>
          <w:p w14:paraId="4B994875" w14:textId="58694D3C" w:rsidR="004C6846" w:rsidRPr="00C675AE" w:rsidRDefault="004C6846">
            <w:pPr>
              <w:pStyle w:val="CGCTablerow"/>
              <w:rPr>
                <w:rFonts w:cs="Open Sans Light"/>
              </w:rPr>
            </w:pPr>
            <w:r w:rsidRPr="00C675AE">
              <w:rPr>
                <w:rFonts w:cs="Open Sans Light"/>
              </w:rPr>
              <w:t>Use figures published in the Commonwealth's Final Budget Outcome. Revenue included in this category are those payments that the Commission decided</w:t>
            </w:r>
            <w:r w:rsidRPr="00C675AE" w:rsidDel="00C47584">
              <w:rPr>
                <w:rFonts w:cs="Open Sans Light"/>
              </w:rPr>
              <w:t xml:space="preserve"> </w:t>
            </w:r>
            <w:r w:rsidRPr="00C675AE">
              <w:rPr>
                <w:rFonts w:cs="Open Sans Light"/>
              </w:rPr>
              <w:t>should affect state fiscal capacities.</w:t>
            </w:r>
          </w:p>
        </w:tc>
      </w:tr>
      <w:tr w:rsidR="004C6846" w:rsidRPr="00313A23" w14:paraId="3F9BE80F" w14:textId="77777777" w:rsidTr="00A55110">
        <w:tc>
          <w:tcPr>
            <w:tcW w:w="667" w:type="pct"/>
          </w:tcPr>
          <w:p w14:paraId="368FD3DD" w14:textId="77777777" w:rsidR="004C6846" w:rsidRPr="00C675AE" w:rsidRDefault="004C6846">
            <w:pPr>
              <w:pStyle w:val="CGCTablesubhead1"/>
              <w:rPr>
                <w:rFonts w:ascii="Open Sans Light" w:hAnsi="Open Sans Light" w:cs="Open Sans Light"/>
              </w:rPr>
            </w:pPr>
            <w:r w:rsidRPr="00C675AE">
              <w:rPr>
                <w:rFonts w:ascii="Open Sans Light" w:hAnsi="Open Sans Light" w:cs="Open Sans Light"/>
              </w:rPr>
              <w:t>Other Commonwealth transfers</w:t>
            </w:r>
          </w:p>
        </w:tc>
        <w:tc>
          <w:tcPr>
            <w:tcW w:w="4333" w:type="pct"/>
            <w:gridSpan w:val="3"/>
          </w:tcPr>
          <w:p w14:paraId="46BF9AA1" w14:textId="77777777" w:rsidR="004C6846" w:rsidRPr="00C675AE" w:rsidRDefault="004C6846">
            <w:pPr>
              <w:pStyle w:val="CGCTablerow"/>
              <w:rPr>
                <w:rFonts w:cs="Open Sans Light"/>
              </w:rPr>
            </w:pPr>
            <w:r w:rsidRPr="00C675AE">
              <w:rPr>
                <w:rFonts w:cs="Open Sans Light"/>
              </w:rPr>
              <w:t>Total Commonwealth grants less payments affecting state fiscal capacities.</w:t>
            </w:r>
          </w:p>
        </w:tc>
      </w:tr>
      <w:tr w:rsidR="00D01A0D" w:rsidRPr="00313A23" w14:paraId="1896891B" w14:textId="77777777" w:rsidTr="004A190A">
        <w:trPr>
          <w:trHeight w:val="252"/>
        </w:trPr>
        <w:tc>
          <w:tcPr>
            <w:tcW w:w="667" w:type="pct"/>
            <w:shd w:val="clear" w:color="auto" w:fill="006991"/>
            <w:vAlign w:val="center"/>
          </w:tcPr>
          <w:p w14:paraId="5B224B8F"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Category</w:t>
            </w:r>
          </w:p>
        </w:tc>
        <w:tc>
          <w:tcPr>
            <w:tcW w:w="1330" w:type="pct"/>
            <w:shd w:val="clear" w:color="auto" w:fill="006991"/>
            <w:vAlign w:val="center"/>
          </w:tcPr>
          <w:p w14:paraId="4DB98B0F"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62189DAE"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TC</w:t>
            </w:r>
          </w:p>
        </w:tc>
        <w:tc>
          <w:tcPr>
            <w:tcW w:w="855" w:type="pct"/>
            <w:shd w:val="clear" w:color="auto" w:fill="006991"/>
            <w:vAlign w:val="center"/>
          </w:tcPr>
          <w:p w14:paraId="6566173E"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D01A0D" w:rsidRPr="00090722" w14:paraId="185C23F1" w14:textId="77777777" w:rsidTr="004A190A">
        <w:trPr>
          <w:trHeight w:val="252"/>
        </w:trPr>
        <w:tc>
          <w:tcPr>
            <w:tcW w:w="667" w:type="pct"/>
            <w:shd w:val="clear" w:color="auto" w:fill="B6D5E4"/>
          </w:tcPr>
          <w:p w14:paraId="621693A5" w14:textId="77777777" w:rsidR="004C6846" w:rsidRPr="002744DB" w:rsidRDefault="004C6846">
            <w:pPr>
              <w:pStyle w:val="CGCTablesubhead1"/>
              <w:rPr>
                <w:rFonts w:cs="Open Sans Semibold"/>
              </w:rPr>
            </w:pPr>
            <w:r w:rsidRPr="002744DB">
              <w:rPr>
                <w:rFonts w:cs="Open Sans Semibold"/>
              </w:rPr>
              <w:t>Revenue</w:t>
            </w:r>
          </w:p>
        </w:tc>
        <w:tc>
          <w:tcPr>
            <w:tcW w:w="1330" w:type="pct"/>
            <w:shd w:val="clear" w:color="auto" w:fill="B6D5E4"/>
          </w:tcPr>
          <w:p w14:paraId="172AFBAF" w14:textId="77777777" w:rsidR="004C6846" w:rsidRPr="00C675AE" w:rsidRDefault="004C6846">
            <w:pPr>
              <w:pStyle w:val="CGCTablesubhead1"/>
              <w:rPr>
                <w:rFonts w:ascii="Open Sans Light" w:hAnsi="Open Sans Light" w:cs="Open Sans Light"/>
              </w:rPr>
            </w:pPr>
          </w:p>
        </w:tc>
        <w:tc>
          <w:tcPr>
            <w:tcW w:w="2148" w:type="pct"/>
            <w:shd w:val="clear" w:color="auto" w:fill="B6D5E4"/>
          </w:tcPr>
          <w:p w14:paraId="67061AC6" w14:textId="77777777" w:rsidR="004C6846" w:rsidRPr="00C675AE" w:rsidRDefault="004C6846">
            <w:pPr>
              <w:pStyle w:val="CGCTablesubhead1"/>
              <w:rPr>
                <w:rFonts w:ascii="Open Sans Light" w:hAnsi="Open Sans Light" w:cs="Open Sans Light"/>
              </w:rPr>
            </w:pPr>
          </w:p>
        </w:tc>
        <w:tc>
          <w:tcPr>
            <w:tcW w:w="855" w:type="pct"/>
            <w:shd w:val="clear" w:color="auto" w:fill="B6D5E4"/>
          </w:tcPr>
          <w:p w14:paraId="703E1297" w14:textId="77777777" w:rsidR="004C6846" w:rsidRPr="00C675AE" w:rsidRDefault="004C6846">
            <w:pPr>
              <w:pStyle w:val="CGCTablesubhead1"/>
              <w:rPr>
                <w:rFonts w:ascii="Open Sans Light" w:hAnsi="Open Sans Light" w:cs="Open Sans Light"/>
              </w:rPr>
            </w:pPr>
          </w:p>
        </w:tc>
      </w:tr>
      <w:tr w:rsidR="004C6846" w:rsidRPr="00313A23" w14:paraId="179EEA41" w14:textId="77777777" w:rsidTr="004A190A">
        <w:tc>
          <w:tcPr>
            <w:tcW w:w="667" w:type="pct"/>
          </w:tcPr>
          <w:p w14:paraId="21DB9C69" w14:textId="77777777" w:rsidR="004C6846" w:rsidRPr="00C675AE" w:rsidRDefault="004C6846">
            <w:pPr>
              <w:pStyle w:val="CGCTablerow"/>
              <w:rPr>
                <w:rFonts w:cs="Open Sans Light"/>
              </w:rPr>
            </w:pPr>
            <w:r w:rsidRPr="00C675AE">
              <w:rPr>
                <w:rFonts w:cs="Open Sans Light"/>
              </w:rPr>
              <w:t>Payroll tax</w:t>
            </w:r>
          </w:p>
        </w:tc>
        <w:tc>
          <w:tcPr>
            <w:tcW w:w="1330" w:type="pct"/>
          </w:tcPr>
          <w:p w14:paraId="010C230B" w14:textId="0FBD87E2" w:rsidR="004C6846" w:rsidRPr="00C675AE" w:rsidRDefault="004C6846">
            <w:pPr>
              <w:pStyle w:val="CGCTablerow"/>
              <w:rPr>
                <w:rFonts w:cs="Open Sans Light"/>
              </w:rPr>
            </w:pPr>
            <w:r w:rsidRPr="00C675AE">
              <w:rPr>
                <w:rFonts w:cs="Open Sans Light"/>
              </w:rPr>
              <w:t>111</w:t>
            </w:r>
            <w:r w:rsidR="000E2595">
              <w:rPr>
                <w:rFonts w:cs="Open Sans Light"/>
              </w:rPr>
              <w:t>*</w:t>
            </w:r>
            <w:r w:rsidRPr="00C675AE">
              <w:rPr>
                <w:rFonts w:cs="Open Sans Light"/>
              </w:rPr>
              <w:t xml:space="preserve"> Taxation revenue</w:t>
            </w:r>
          </w:p>
        </w:tc>
        <w:tc>
          <w:tcPr>
            <w:tcW w:w="2148" w:type="pct"/>
          </w:tcPr>
          <w:p w14:paraId="49A907A1" w14:textId="77777777" w:rsidR="004C6846" w:rsidRPr="00C675AE" w:rsidRDefault="004C6846">
            <w:pPr>
              <w:pStyle w:val="CGCTablerow"/>
              <w:rPr>
                <w:rFonts w:cs="Open Sans Light"/>
              </w:rPr>
            </w:pPr>
            <w:r w:rsidRPr="00C675AE">
              <w:rPr>
                <w:rFonts w:cs="Open Sans Light"/>
              </w:rPr>
              <w:t>211 Payroll taxes</w:t>
            </w:r>
          </w:p>
          <w:p w14:paraId="749692E3" w14:textId="77777777" w:rsidR="004C6846" w:rsidRPr="00C675AE" w:rsidRDefault="004C6846">
            <w:pPr>
              <w:pStyle w:val="CGCTablerow"/>
              <w:ind w:left="340" w:hanging="340"/>
              <w:rPr>
                <w:rFonts w:cs="Open Sans Light"/>
              </w:rPr>
            </w:pPr>
            <w:r w:rsidRPr="00C675AE">
              <w:rPr>
                <w:rFonts w:cs="Open Sans Light"/>
              </w:rPr>
              <w:t xml:space="preserve">219 Taxes on employers’ payroll and labour force </w:t>
            </w:r>
            <w:proofErr w:type="spellStart"/>
            <w:r w:rsidRPr="00C675AE">
              <w:rPr>
                <w:rFonts w:cs="Open Sans Light"/>
              </w:rPr>
              <w:t>n.e.c.</w:t>
            </w:r>
            <w:proofErr w:type="spellEnd"/>
          </w:p>
        </w:tc>
        <w:tc>
          <w:tcPr>
            <w:tcW w:w="855" w:type="pct"/>
          </w:tcPr>
          <w:p w14:paraId="4F8E0D3E" w14:textId="13158CD3" w:rsidR="004C6846" w:rsidRPr="00C675AE" w:rsidRDefault="00F82A1F">
            <w:pPr>
              <w:pStyle w:val="CGCTablerow"/>
              <w:rPr>
                <w:rFonts w:cs="Open Sans Light"/>
              </w:rPr>
            </w:pPr>
            <w:r>
              <w:rPr>
                <w:rFonts w:cs="Open Sans Light"/>
              </w:rPr>
              <w:t>≠</w:t>
            </w:r>
            <w:r w:rsidR="004C6846" w:rsidRPr="00C675AE">
              <w:rPr>
                <w:rFonts w:cs="Open Sans Light"/>
              </w:rPr>
              <w:t>"23" &amp; own JUR</w:t>
            </w:r>
          </w:p>
        </w:tc>
      </w:tr>
      <w:tr w:rsidR="004C6846" w:rsidRPr="00313A23" w14:paraId="1CEA2416" w14:textId="77777777" w:rsidTr="004A190A">
        <w:tc>
          <w:tcPr>
            <w:tcW w:w="667" w:type="pct"/>
          </w:tcPr>
          <w:p w14:paraId="468D7436" w14:textId="77777777" w:rsidR="004C6846" w:rsidRPr="00C675AE" w:rsidRDefault="004C6846">
            <w:pPr>
              <w:pStyle w:val="CGCTablerow"/>
              <w:rPr>
                <w:rFonts w:cs="Open Sans Light"/>
              </w:rPr>
            </w:pPr>
            <w:r w:rsidRPr="00C675AE">
              <w:rPr>
                <w:rFonts w:cs="Open Sans Light"/>
              </w:rPr>
              <w:t>Land tax</w:t>
            </w:r>
          </w:p>
        </w:tc>
        <w:tc>
          <w:tcPr>
            <w:tcW w:w="1330" w:type="pct"/>
          </w:tcPr>
          <w:p w14:paraId="3BB02917" w14:textId="7512B42D" w:rsidR="004C6846" w:rsidRPr="00C675AE" w:rsidRDefault="004C6846">
            <w:pPr>
              <w:pStyle w:val="CGCTablerow"/>
              <w:rPr>
                <w:rFonts w:cs="Open Sans Light"/>
              </w:rPr>
            </w:pPr>
            <w:r w:rsidRPr="00C675AE">
              <w:rPr>
                <w:rFonts w:cs="Open Sans Light"/>
              </w:rPr>
              <w:t>111</w:t>
            </w:r>
            <w:r w:rsidR="000E2595">
              <w:rPr>
                <w:rFonts w:cs="Open Sans Light"/>
              </w:rPr>
              <w:t>*</w:t>
            </w:r>
            <w:r w:rsidRPr="00C675AE">
              <w:rPr>
                <w:rFonts w:cs="Open Sans Light"/>
              </w:rPr>
              <w:t xml:space="preserve"> Taxation revenue</w:t>
            </w:r>
          </w:p>
        </w:tc>
        <w:tc>
          <w:tcPr>
            <w:tcW w:w="2148" w:type="pct"/>
          </w:tcPr>
          <w:p w14:paraId="7025194A" w14:textId="77777777" w:rsidR="004C6846" w:rsidRPr="00C675AE" w:rsidRDefault="004C6846">
            <w:pPr>
              <w:pStyle w:val="CGCTablerow"/>
              <w:rPr>
                <w:rFonts w:cs="Open Sans Light"/>
              </w:rPr>
            </w:pPr>
            <w:r w:rsidRPr="00C675AE">
              <w:rPr>
                <w:rFonts w:cs="Open Sans Light"/>
              </w:rPr>
              <w:t>311 Land taxes</w:t>
            </w:r>
          </w:p>
        </w:tc>
        <w:tc>
          <w:tcPr>
            <w:tcW w:w="855" w:type="pct"/>
          </w:tcPr>
          <w:p w14:paraId="5A482617" w14:textId="51C608B0" w:rsidR="004C6846" w:rsidRPr="00C675AE" w:rsidRDefault="0071602C">
            <w:pPr>
              <w:pStyle w:val="CGCTablerow"/>
              <w:rPr>
                <w:rFonts w:cs="Open Sans Light"/>
              </w:rPr>
            </w:pPr>
            <w:r>
              <w:rPr>
                <w:rFonts w:cs="Open Sans Light"/>
              </w:rPr>
              <w:t>≠</w:t>
            </w:r>
            <w:r w:rsidR="004C6846" w:rsidRPr="00C675AE">
              <w:rPr>
                <w:rFonts w:cs="Open Sans Light"/>
              </w:rPr>
              <w:t>"23" &amp; own JUR</w:t>
            </w:r>
          </w:p>
        </w:tc>
      </w:tr>
      <w:tr w:rsidR="004C6846" w:rsidRPr="00313A23" w14:paraId="62096D04" w14:textId="77777777" w:rsidTr="004A190A">
        <w:tc>
          <w:tcPr>
            <w:tcW w:w="667" w:type="pct"/>
          </w:tcPr>
          <w:p w14:paraId="5D7730C3" w14:textId="77777777" w:rsidR="004C6846" w:rsidRPr="00C675AE" w:rsidRDefault="004C6846">
            <w:pPr>
              <w:pStyle w:val="CGCTablerow"/>
              <w:rPr>
                <w:rFonts w:cs="Open Sans Light"/>
              </w:rPr>
            </w:pPr>
            <w:r w:rsidRPr="00C675AE">
              <w:rPr>
                <w:rFonts w:cs="Open Sans Light"/>
              </w:rPr>
              <w:t>Stamp duty on conveyances</w:t>
            </w:r>
          </w:p>
        </w:tc>
        <w:tc>
          <w:tcPr>
            <w:tcW w:w="1330" w:type="pct"/>
          </w:tcPr>
          <w:p w14:paraId="4096A1B3" w14:textId="699722B3" w:rsidR="004C6846" w:rsidRPr="00C675AE" w:rsidRDefault="004C6846">
            <w:pPr>
              <w:pStyle w:val="CGCTablerow"/>
              <w:rPr>
                <w:rFonts w:cs="Open Sans Light"/>
              </w:rPr>
            </w:pPr>
            <w:r w:rsidRPr="00C675AE">
              <w:rPr>
                <w:rFonts w:cs="Open Sans Light"/>
              </w:rPr>
              <w:t>111</w:t>
            </w:r>
            <w:r w:rsidR="000E2595">
              <w:rPr>
                <w:rFonts w:cs="Open Sans Light"/>
              </w:rPr>
              <w:t>*</w:t>
            </w:r>
            <w:r w:rsidRPr="00C675AE">
              <w:rPr>
                <w:rFonts w:cs="Open Sans Light"/>
              </w:rPr>
              <w:t xml:space="preserve"> Taxation revenue</w:t>
            </w:r>
          </w:p>
        </w:tc>
        <w:tc>
          <w:tcPr>
            <w:tcW w:w="2148" w:type="pct"/>
          </w:tcPr>
          <w:p w14:paraId="6DC62957" w14:textId="77777777" w:rsidR="004C6846" w:rsidRPr="00C675AE" w:rsidRDefault="004C6846">
            <w:pPr>
              <w:pStyle w:val="CGCTablerow"/>
              <w:rPr>
                <w:rFonts w:cs="Open Sans Light"/>
              </w:rPr>
            </w:pPr>
            <w:r w:rsidRPr="00C675AE">
              <w:rPr>
                <w:rFonts w:cs="Open Sans Light"/>
              </w:rPr>
              <w:t>463 Stamp duty on conveyances</w:t>
            </w:r>
          </w:p>
        </w:tc>
        <w:tc>
          <w:tcPr>
            <w:tcW w:w="855" w:type="pct"/>
          </w:tcPr>
          <w:p w14:paraId="662CDC39" w14:textId="43C64766" w:rsidR="004C6846" w:rsidRPr="00C675AE" w:rsidRDefault="004C36F2">
            <w:pPr>
              <w:pStyle w:val="CGCTablerow"/>
              <w:rPr>
                <w:rFonts w:cs="Open Sans Light"/>
              </w:rPr>
            </w:pPr>
            <w:r>
              <w:rPr>
                <w:rFonts w:cs="Open Sans Light"/>
              </w:rPr>
              <w:t>≠</w:t>
            </w:r>
            <w:r w:rsidR="004C6846" w:rsidRPr="00C675AE">
              <w:rPr>
                <w:rFonts w:cs="Open Sans Light"/>
              </w:rPr>
              <w:t>"23" &amp; own JUR</w:t>
            </w:r>
          </w:p>
        </w:tc>
      </w:tr>
      <w:tr w:rsidR="004C6846" w:rsidRPr="00313A23" w14:paraId="6BB6E09C" w14:textId="77777777" w:rsidTr="004A190A">
        <w:tc>
          <w:tcPr>
            <w:tcW w:w="667" w:type="pct"/>
          </w:tcPr>
          <w:p w14:paraId="1EA82B64" w14:textId="77777777" w:rsidR="004C6846" w:rsidRPr="00C675AE" w:rsidRDefault="004C6846">
            <w:pPr>
              <w:pStyle w:val="CGCTablerow"/>
              <w:rPr>
                <w:rFonts w:cs="Open Sans Light"/>
              </w:rPr>
            </w:pPr>
            <w:r w:rsidRPr="00C675AE">
              <w:rPr>
                <w:rFonts w:cs="Open Sans Light"/>
              </w:rPr>
              <w:t>Insurance tax</w:t>
            </w:r>
          </w:p>
        </w:tc>
        <w:tc>
          <w:tcPr>
            <w:tcW w:w="1330" w:type="pct"/>
          </w:tcPr>
          <w:p w14:paraId="34955540" w14:textId="661B0CB5" w:rsidR="004C6846" w:rsidRPr="00C675AE" w:rsidRDefault="004C6846">
            <w:pPr>
              <w:pStyle w:val="CGCTablerow"/>
              <w:rPr>
                <w:rFonts w:cs="Open Sans Light"/>
              </w:rPr>
            </w:pPr>
            <w:r w:rsidRPr="00C675AE">
              <w:rPr>
                <w:rFonts w:cs="Open Sans Light"/>
              </w:rPr>
              <w:t>111</w:t>
            </w:r>
            <w:r w:rsidR="000E2595">
              <w:rPr>
                <w:rFonts w:cs="Open Sans Light"/>
              </w:rPr>
              <w:t>*</w:t>
            </w:r>
            <w:r w:rsidRPr="00C675AE">
              <w:rPr>
                <w:rFonts w:cs="Open Sans Light"/>
              </w:rPr>
              <w:t xml:space="preserve"> Taxation revenue</w:t>
            </w:r>
          </w:p>
        </w:tc>
        <w:tc>
          <w:tcPr>
            <w:tcW w:w="2148" w:type="pct"/>
          </w:tcPr>
          <w:p w14:paraId="5FF43B62" w14:textId="77777777" w:rsidR="004C6846" w:rsidRPr="00C675AE" w:rsidRDefault="004C6846">
            <w:pPr>
              <w:pStyle w:val="CGCTablerow"/>
              <w:rPr>
                <w:rFonts w:cs="Open Sans Light"/>
              </w:rPr>
            </w:pPr>
            <w:r w:rsidRPr="00C675AE">
              <w:rPr>
                <w:rFonts w:cs="Open Sans Light"/>
              </w:rPr>
              <w:t>452 Third party insurance taxes</w:t>
            </w:r>
          </w:p>
          <w:p w14:paraId="37971537" w14:textId="77777777" w:rsidR="004C6846" w:rsidRPr="00C675AE" w:rsidRDefault="004C6846">
            <w:pPr>
              <w:pStyle w:val="CGCTablerow"/>
              <w:rPr>
                <w:rFonts w:cs="Open Sans Light"/>
              </w:rPr>
            </w:pPr>
            <w:r w:rsidRPr="00C675AE">
              <w:rPr>
                <w:rFonts w:cs="Open Sans Light"/>
              </w:rPr>
              <w:t xml:space="preserve">459 Taxes on insurance </w:t>
            </w:r>
            <w:proofErr w:type="spellStart"/>
            <w:r w:rsidRPr="00C675AE">
              <w:rPr>
                <w:rFonts w:cs="Open Sans Light"/>
              </w:rPr>
              <w:t>n.e.c.</w:t>
            </w:r>
            <w:proofErr w:type="spellEnd"/>
          </w:p>
        </w:tc>
        <w:tc>
          <w:tcPr>
            <w:tcW w:w="855" w:type="pct"/>
          </w:tcPr>
          <w:p w14:paraId="3A15A710" w14:textId="0C8C4050" w:rsidR="004C6846" w:rsidRPr="00C675AE" w:rsidRDefault="004C36F2">
            <w:pPr>
              <w:pStyle w:val="CGCTablerow"/>
              <w:rPr>
                <w:rFonts w:cs="Open Sans Light"/>
              </w:rPr>
            </w:pPr>
            <w:r>
              <w:rPr>
                <w:rFonts w:cs="Open Sans Light"/>
              </w:rPr>
              <w:t>≠</w:t>
            </w:r>
            <w:r w:rsidR="004C6846" w:rsidRPr="00C675AE">
              <w:rPr>
                <w:rFonts w:cs="Open Sans Light"/>
              </w:rPr>
              <w:t>"23" &amp; own JUR</w:t>
            </w:r>
          </w:p>
        </w:tc>
      </w:tr>
      <w:tr w:rsidR="004C6846" w:rsidRPr="00313A23" w14:paraId="1037C2C2" w14:textId="77777777" w:rsidTr="004A190A">
        <w:tc>
          <w:tcPr>
            <w:tcW w:w="667" w:type="pct"/>
          </w:tcPr>
          <w:p w14:paraId="61D3ABAB" w14:textId="77777777" w:rsidR="004C6846" w:rsidRPr="00C675AE" w:rsidRDefault="004C6846">
            <w:pPr>
              <w:pStyle w:val="CGCTablerow"/>
              <w:rPr>
                <w:rFonts w:cs="Open Sans Light"/>
              </w:rPr>
            </w:pPr>
            <w:r w:rsidRPr="00C675AE">
              <w:rPr>
                <w:rFonts w:cs="Open Sans Light"/>
              </w:rPr>
              <w:t>Motor taxes</w:t>
            </w:r>
          </w:p>
        </w:tc>
        <w:tc>
          <w:tcPr>
            <w:tcW w:w="1330" w:type="pct"/>
          </w:tcPr>
          <w:p w14:paraId="106DA7A6" w14:textId="36C37A3C" w:rsidR="004C6846" w:rsidRPr="00C675AE" w:rsidRDefault="004C6846">
            <w:pPr>
              <w:pStyle w:val="CGCTablerow"/>
              <w:rPr>
                <w:rFonts w:cs="Open Sans Light"/>
              </w:rPr>
            </w:pPr>
            <w:r w:rsidRPr="00C675AE">
              <w:rPr>
                <w:rFonts w:cs="Open Sans Light"/>
              </w:rPr>
              <w:t>111</w:t>
            </w:r>
            <w:r w:rsidR="000E2595">
              <w:rPr>
                <w:rFonts w:cs="Open Sans Light"/>
              </w:rPr>
              <w:t>*</w:t>
            </w:r>
            <w:r w:rsidRPr="00C675AE">
              <w:rPr>
                <w:rFonts w:cs="Open Sans Light"/>
              </w:rPr>
              <w:t xml:space="preserve"> Taxation revenue</w:t>
            </w:r>
          </w:p>
        </w:tc>
        <w:tc>
          <w:tcPr>
            <w:tcW w:w="2148" w:type="pct"/>
          </w:tcPr>
          <w:p w14:paraId="6E1E2F7A" w14:textId="56D0D800" w:rsidR="004A190A" w:rsidRDefault="004A190A">
            <w:pPr>
              <w:pStyle w:val="CGCTablerow"/>
              <w:rPr>
                <w:rFonts w:cs="Open Sans Light"/>
              </w:rPr>
            </w:pPr>
            <w:r>
              <w:rPr>
                <w:rFonts w:cs="Open Sans Light"/>
              </w:rPr>
              <w:t>511</w:t>
            </w:r>
            <w:r w:rsidR="00F0208C">
              <w:rPr>
                <w:rFonts w:cs="Open Sans Light"/>
              </w:rPr>
              <w:t xml:space="preserve"> </w:t>
            </w:r>
            <w:r w:rsidR="00E83920" w:rsidRPr="00E83920">
              <w:rPr>
                <w:rFonts w:cs="Open Sans Light"/>
              </w:rPr>
              <w:t>Stamp duty on vehicle registration</w:t>
            </w:r>
          </w:p>
          <w:p w14:paraId="59C54DB1" w14:textId="0C5D309A" w:rsidR="004C6846" w:rsidRPr="00C675AE" w:rsidRDefault="004C6846">
            <w:pPr>
              <w:pStyle w:val="CGCTablerow"/>
              <w:rPr>
                <w:rFonts w:cs="Open Sans Light"/>
              </w:rPr>
            </w:pPr>
            <w:r w:rsidRPr="00C675AE">
              <w:rPr>
                <w:rFonts w:cs="Open Sans Light"/>
              </w:rPr>
              <w:t>512 Road transport and maintenance taxes</w:t>
            </w:r>
          </w:p>
          <w:p w14:paraId="01425699" w14:textId="77777777" w:rsidR="004C6846" w:rsidRPr="00C675AE" w:rsidRDefault="004C6846">
            <w:pPr>
              <w:pStyle w:val="CGCTablerow"/>
              <w:rPr>
                <w:rFonts w:cs="Open Sans Light"/>
              </w:rPr>
            </w:pPr>
            <w:r w:rsidRPr="00C675AE">
              <w:rPr>
                <w:rFonts w:cs="Open Sans Light"/>
              </w:rPr>
              <w:t>513 Heavy vehicle registration fees and taxes</w:t>
            </w:r>
          </w:p>
          <w:p w14:paraId="6900D025" w14:textId="77777777" w:rsidR="004C6846" w:rsidRPr="00C675AE" w:rsidRDefault="004C6846">
            <w:pPr>
              <w:pStyle w:val="CGCTablerow"/>
              <w:rPr>
                <w:rFonts w:cs="Open Sans Light"/>
              </w:rPr>
            </w:pPr>
            <w:r w:rsidRPr="00C675AE">
              <w:rPr>
                <w:rFonts w:cs="Open Sans Light"/>
              </w:rPr>
              <w:t>514 Other vehicle registration fees and taxes</w:t>
            </w:r>
          </w:p>
          <w:p w14:paraId="5F3E0DDB" w14:textId="77777777" w:rsidR="004C6846" w:rsidRPr="00C675AE" w:rsidRDefault="004C6846">
            <w:pPr>
              <w:pStyle w:val="CGCTablerow"/>
              <w:rPr>
                <w:rFonts w:cs="Open Sans Light"/>
              </w:rPr>
            </w:pPr>
            <w:r w:rsidRPr="00C675AE">
              <w:rPr>
                <w:rFonts w:cs="Open Sans Light"/>
              </w:rPr>
              <w:t xml:space="preserve">519 Motor vehicle taxes </w:t>
            </w:r>
            <w:proofErr w:type="spellStart"/>
            <w:r w:rsidRPr="00C675AE">
              <w:rPr>
                <w:rFonts w:cs="Open Sans Light"/>
              </w:rPr>
              <w:t>n.e.c.</w:t>
            </w:r>
            <w:proofErr w:type="spellEnd"/>
          </w:p>
        </w:tc>
        <w:tc>
          <w:tcPr>
            <w:tcW w:w="855" w:type="pct"/>
          </w:tcPr>
          <w:p w14:paraId="6AA67DDF" w14:textId="269BFE64" w:rsidR="004C6846" w:rsidRPr="00C675AE" w:rsidRDefault="004C36F2">
            <w:pPr>
              <w:pStyle w:val="CGCTablerow"/>
              <w:rPr>
                <w:rFonts w:cs="Open Sans Light"/>
              </w:rPr>
            </w:pPr>
            <w:r>
              <w:rPr>
                <w:rFonts w:cs="Open Sans Light"/>
              </w:rPr>
              <w:t>≠</w:t>
            </w:r>
            <w:r w:rsidR="004C6846" w:rsidRPr="00C675AE">
              <w:rPr>
                <w:rFonts w:cs="Open Sans Light"/>
              </w:rPr>
              <w:t>"23" &amp; own JUR</w:t>
            </w:r>
          </w:p>
        </w:tc>
      </w:tr>
      <w:tr w:rsidR="004C6846" w:rsidRPr="00313A23" w14:paraId="3032EAB9" w14:textId="77777777" w:rsidTr="004A190A">
        <w:tc>
          <w:tcPr>
            <w:tcW w:w="667" w:type="pct"/>
          </w:tcPr>
          <w:p w14:paraId="463751C9" w14:textId="77777777" w:rsidR="004C6846" w:rsidRPr="00C675AE" w:rsidRDefault="004C6846">
            <w:pPr>
              <w:pStyle w:val="CGCTablerow"/>
              <w:rPr>
                <w:rFonts w:cs="Open Sans Light"/>
              </w:rPr>
            </w:pPr>
            <w:r w:rsidRPr="00C675AE">
              <w:rPr>
                <w:rFonts w:cs="Open Sans Light"/>
              </w:rPr>
              <w:t>Mining revenue</w:t>
            </w:r>
          </w:p>
        </w:tc>
        <w:tc>
          <w:tcPr>
            <w:tcW w:w="1330" w:type="pct"/>
          </w:tcPr>
          <w:p w14:paraId="53496688" w14:textId="77777777" w:rsidR="004C6846" w:rsidRPr="00C675AE" w:rsidRDefault="004C6846">
            <w:pPr>
              <w:pStyle w:val="CGCTablerow"/>
              <w:rPr>
                <w:rFonts w:cs="Open Sans Light"/>
              </w:rPr>
            </w:pPr>
            <w:r w:rsidRPr="00C675AE">
              <w:rPr>
                <w:rFonts w:cs="Open Sans Light"/>
              </w:rPr>
              <w:t>1135 Royalty income</w:t>
            </w:r>
          </w:p>
        </w:tc>
        <w:tc>
          <w:tcPr>
            <w:tcW w:w="2148" w:type="pct"/>
          </w:tcPr>
          <w:p w14:paraId="41EF596E" w14:textId="77777777" w:rsidR="004C6846" w:rsidRPr="00C675AE" w:rsidRDefault="004C6846">
            <w:pPr>
              <w:pStyle w:val="CGCTablerow"/>
              <w:rPr>
                <w:rFonts w:cs="Open Sans Light"/>
              </w:rPr>
            </w:pPr>
            <w:r w:rsidRPr="00C675AE">
              <w:rPr>
                <w:rFonts w:cs="Open Sans Light"/>
              </w:rPr>
              <w:t>No relevant TC</w:t>
            </w:r>
          </w:p>
        </w:tc>
        <w:tc>
          <w:tcPr>
            <w:tcW w:w="855" w:type="pct"/>
          </w:tcPr>
          <w:p w14:paraId="1646ABA1" w14:textId="17DF3C5B" w:rsidR="004C6846" w:rsidRPr="00C675AE" w:rsidRDefault="004C36F2">
            <w:pPr>
              <w:pStyle w:val="CGCTablerow"/>
              <w:rPr>
                <w:rFonts w:cs="Open Sans Light"/>
              </w:rPr>
            </w:pPr>
            <w:r>
              <w:rPr>
                <w:rFonts w:cs="Open Sans Light"/>
              </w:rPr>
              <w:t>≠</w:t>
            </w:r>
            <w:r w:rsidR="004C6846" w:rsidRPr="00C675AE">
              <w:rPr>
                <w:rFonts w:cs="Open Sans Light"/>
              </w:rPr>
              <w:t>"23" &amp; own JUR</w:t>
            </w:r>
          </w:p>
        </w:tc>
      </w:tr>
      <w:tr w:rsidR="004C6846" w:rsidRPr="00313A23" w14:paraId="7C53A7EB" w14:textId="77777777" w:rsidTr="004A190A">
        <w:tc>
          <w:tcPr>
            <w:tcW w:w="667" w:type="pct"/>
          </w:tcPr>
          <w:p w14:paraId="2C638DA1" w14:textId="77777777" w:rsidR="004C6846" w:rsidRPr="00C675AE" w:rsidRDefault="004C6846">
            <w:pPr>
              <w:pStyle w:val="CGCTablerow"/>
              <w:rPr>
                <w:rFonts w:cs="Open Sans Light"/>
              </w:rPr>
            </w:pPr>
            <w:r w:rsidRPr="00C675AE">
              <w:rPr>
                <w:rFonts w:cs="Open Sans Light"/>
              </w:rPr>
              <w:t>Other revenue</w:t>
            </w:r>
          </w:p>
        </w:tc>
        <w:tc>
          <w:tcPr>
            <w:tcW w:w="1330" w:type="pct"/>
          </w:tcPr>
          <w:p w14:paraId="023D2BD7" w14:textId="04351AA7" w:rsidR="004C6846" w:rsidRPr="00C675AE" w:rsidRDefault="004C6846">
            <w:pPr>
              <w:pStyle w:val="CGCTablerow"/>
              <w:keepNext/>
              <w:keepLines/>
              <w:rPr>
                <w:rFonts w:cs="Open Sans Light"/>
              </w:rPr>
            </w:pPr>
            <w:r w:rsidRPr="00C675AE">
              <w:rPr>
                <w:rFonts w:cs="Open Sans Light"/>
              </w:rPr>
              <w:t>111</w:t>
            </w:r>
            <w:r w:rsidR="000E2595">
              <w:rPr>
                <w:rFonts w:cs="Open Sans Light"/>
              </w:rPr>
              <w:t>*</w:t>
            </w:r>
            <w:r w:rsidRPr="00C675AE">
              <w:rPr>
                <w:rFonts w:cs="Open Sans Light"/>
              </w:rPr>
              <w:t xml:space="preserve"> Taxation revenue</w:t>
            </w:r>
          </w:p>
          <w:p w14:paraId="7FC77C1E" w14:textId="77777777" w:rsidR="004C6846" w:rsidRPr="00C675AE" w:rsidRDefault="004C6846">
            <w:pPr>
              <w:pStyle w:val="CGCTablerow"/>
              <w:rPr>
                <w:rFonts w:cs="Open Sans Light"/>
              </w:rPr>
            </w:pPr>
          </w:p>
        </w:tc>
        <w:tc>
          <w:tcPr>
            <w:tcW w:w="2148" w:type="pct"/>
          </w:tcPr>
          <w:p w14:paraId="3656DD12" w14:textId="77777777" w:rsidR="00404941" w:rsidRPr="00404941" w:rsidRDefault="00404941" w:rsidP="00404941">
            <w:pPr>
              <w:pStyle w:val="CGCTablerow"/>
              <w:ind w:left="340" w:hanging="340"/>
              <w:rPr>
                <w:rFonts w:cs="Open Sans Light"/>
              </w:rPr>
            </w:pPr>
            <w:r w:rsidRPr="00404941">
              <w:rPr>
                <w:rFonts w:cs="Open Sans Light"/>
              </w:rPr>
              <w:t>212</w:t>
            </w:r>
            <w:r w:rsidRPr="00404941">
              <w:rPr>
                <w:rFonts w:cs="Open Sans Light"/>
              </w:rPr>
              <w:tab/>
              <w:t>Superannuation guarantee charge</w:t>
            </w:r>
          </w:p>
          <w:p w14:paraId="3D6BC831" w14:textId="77777777" w:rsidR="00404941" w:rsidRPr="00404941" w:rsidRDefault="00404941" w:rsidP="00404941">
            <w:pPr>
              <w:pStyle w:val="CGCTablerow"/>
              <w:ind w:left="340" w:hanging="340"/>
              <w:rPr>
                <w:rFonts w:cs="Open Sans Light"/>
              </w:rPr>
            </w:pPr>
            <w:r w:rsidRPr="00404941">
              <w:rPr>
                <w:rFonts w:cs="Open Sans Light"/>
              </w:rPr>
              <w:t>312</w:t>
            </w:r>
            <w:r w:rsidRPr="00404941">
              <w:rPr>
                <w:rFonts w:cs="Open Sans Light"/>
              </w:rPr>
              <w:tab/>
              <w:t>Municipal rates</w:t>
            </w:r>
          </w:p>
          <w:p w14:paraId="6AEBD2AB" w14:textId="77777777" w:rsidR="00404941" w:rsidRPr="00404941" w:rsidRDefault="00404941" w:rsidP="00404941">
            <w:pPr>
              <w:pStyle w:val="CGCTablerow"/>
              <w:ind w:left="340" w:hanging="340"/>
              <w:rPr>
                <w:rFonts w:cs="Open Sans Light"/>
              </w:rPr>
            </w:pPr>
            <w:r w:rsidRPr="00404941">
              <w:rPr>
                <w:rFonts w:cs="Open Sans Light"/>
              </w:rPr>
              <w:t>313</w:t>
            </w:r>
            <w:r w:rsidRPr="00404941">
              <w:rPr>
                <w:rFonts w:cs="Open Sans Light"/>
              </w:rPr>
              <w:tab/>
              <w:t>Metropolitan improvement rates</w:t>
            </w:r>
          </w:p>
          <w:p w14:paraId="73FDE646" w14:textId="77777777" w:rsidR="00404941" w:rsidRPr="00404941" w:rsidRDefault="00404941" w:rsidP="00404941">
            <w:pPr>
              <w:pStyle w:val="CGCTablerow"/>
              <w:ind w:left="340" w:hanging="340"/>
              <w:rPr>
                <w:rFonts w:cs="Open Sans Light"/>
              </w:rPr>
            </w:pPr>
            <w:r w:rsidRPr="00404941">
              <w:rPr>
                <w:rFonts w:cs="Open Sans Light"/>
              </w:rPr>
              <w:t>314</w:t>
            </w:r>
            <w:r w:rsidRPr="00404941">
              <w:rPr>
                <w:rFonts w:cs="Open Sans Light"/>
              </w:rPr>
              <w:tab/>
              <w:t>Property owners' contributions to fire brigades</w:t>
            </w:r>
          </w:p>
          <w:p w14:paraId="6E780AE1" w14:textId="5A601678" w:rsidR="00404941" w:rsidRPr="00404941" w:rsidRDefault="00404941" w:rsidP="00404941">
            <w:pPr>
              <w:pStyle w:val="CGCTablerow"/>
              <w:ind w:left="340" w:hanging="340"/>
              <w:rPr>
                <w:rFonts w:cs="Open Sans Light"/>
              </w:rPr>
            </w:pPr>
            <w:r w:rsidRPr="00404941">
              <w:rPr>
                <w:rFonts w:cs="Open Sans Light"/>
              </w:rPr>
              <w:t>319</w:t>
            </w:r>
            <w:r w:rsidRPr="00404941">
              <w:rPr>
                <w:rFonts w:cs="Open Sans Light"/>
              </w:rPr>
              <w:tab/>
              <w:t xml:space="preserve">Taxes on immovable property </w:t>
            </w:r>
            <w:proofErr w:type="spellStart"/>
            <w:r w:rsidRPr="00404941">
              <w:rPr>
                <w:rFonts w:cs="Open Sans Light"/>
              </w:rPr>
              <w:t>n</w:t>
            </w:r>
            <w:r w:rsidR="0044611D">
              <w:rPr>
                <w:rFonts w:cs="Open Sans Light"/>
              </w:rPr>
              <w:t>.</w:t>
            </w:r>
            <w:r w:rsidRPr="00404941">
              <w:rPr>
                <w:rFonts w:cs="Open Sans Light"/>
              </w:rPr>
              <w:t>e</w:t>
            </w:r>
            <w:r w:rsidR="0044611D">
              <w:rPr>
                <w:rFonts w:cs="Open Sans Light"/>
              </w:rPr>
              <w:t>.</w:t>
            </w:r>
            <w:r w:rsidRPr="00404941">
              <w:rPr>
                <w:rFonts w:cs="Open Sans Light"/>
              </w:rPr>
              <w:t>c</w:t>
            </w:r>
            <w:proofErr w:type="spellEnd"/>
          </w:p>
          <w:p w14:paraId="0E4658E5" w14:textId="77777777" w:rsidR="00404941" w:rsidRPr="00404941" w:rsidRDefault="00404941" w:rsidP="00404941">
            <w:pPr>
              <w:pStyle w:val="CGCTablerow"/>
              <w:ind w:left="340" w:hanging="340"/>
              <w:rPr>
                <w:rFonts w:cs="Open Sans Light"/>
              </w:rPr>
            </w:pPr>
            <w:r w:rsidRPr="00404941">
              <w:rPr>
                <w:rFonts w:cs="Open Sans Light"/>
              </w:rPr>
              <w:t>321</w:t>
            </w:r>
            <w:r w:rsidRPr="00404941">
              <w:rPr>
                <w:rFonts w:cs="Open Sans Light"/>
              </w:rPr>
              <w:tab/>
              <w:t>Estate, inheritance and gift taxes</w:t>
            </w:r>
          </w:p>
          <w:p w14:paraId="3BCD061C" w14:textId="77777777" w:rsidR="00404941" w:rsidRPr="00404941" w:rsidRDefault="00404941" w:rsidP="00404941">
            <w:pPr>
              <w:pStyle w:val="CGCTablerow"/>
              <w:ind w:left="340" w:hanging="340"/>
              <w:rPr>
                <w:rFonts w:cs="Open Sans Light"/>
              </w:rPr>
            </w:pPr>
            <w:r w:rsidRPr="00404941">
              <w:rPr>
                <w:rFonts w:cs="Open Sans Light"/>
              </w:rPr>
              <w:t>425</w:t>
            </w:r>
            <w:r w:rsidRPr="00404941">
              <w:rPr>
                <w:rFonts w:cs="Open Sans Light"/>
              </w:rPr>
              <w:tab/>
              <w:t>Agricultural production taxes</w:t>
            </w:r>
          </w:p>
          <w:p w14:paraId="43702D7F" w14:textId="77777777" w:rsidR="00404941" w:rsidRPr="00404941" w:rsidRDefault="00404941" w:rsidP="00404941">
            <w:pPr>
              <w:pStyle w:val="CGCTablerow"/>
              <w:ind w:left="340" w:hanging="340"/>
              <w:rPr>
                <w:rFonts w:cs="Open Sans Light"/>
              </w:rPr>
            </w:pPr>
            <w:r w:rsidRPr="00404941">
              <w:rPr>
                <w:rFonts w:cs="Open Sans Light"/>
              </w:rPr>
              <w:t>426</w:t>
            </w:r>
            <w:r w:rsidRPr="00404941">
              <w:rPr>
                <w:rFonts w:cs="Open Sans Light"/>
              </w:rPr>
              <w:tab/>
              <w:t>Levies on statutory corporations</w:t>
            </w:r>
          </w:p>
          <w:p w14:paraId="418E4C5C" w14:textId="77777777" w:rsidR="00404941" w:rsidRPr="00404941" w:rsidRDefault="00404941" w:rsidP="00404941">
            <w:pPr>
              <w:pStyle w:val="CGCTablerow"/>
              <w:ind w:left="340" w:hanging="340"/>
              <w:rPr>
                <w:rFonts w:cs="Open Sans Light"/>
              </w:rPr>
            </w:pPr>
            <w:r w:rsidRPr="00404941">
              <w:rPr>
                <w:rFonts w:cs="Open Sans Light"/>
              </w:rPr>
              <w:t>441</w:t>
            </w:r>
            <w:r w:rsidRPr="00404941">
              <w:rPr>
                <w:rFonts w:cs="Open Sans Light"/>
              </w:rPr>
              <w:tab/>
              <w:t>Taxes on government lotteries</w:t>
            </w:r>
          </w:p>
          <w:p w14:paraId="0B143C7E" w14:textId="77777777" w:rsidR="00404941" w:rsidRPr="00404941" w:rsidRDefault="00404941" w:rsidP="00404941">
            <w:pPr>
              <w:pStyle w:val="CGCTablerow"/>
              <w:ind w:left="340" w:hanging="340"/>
              <w:rPr>
                <w:rFonts w:cs="Open Sans Light"/>
              </w:rPr>
            </w:pPr>
            <w:r w:rsidRPr="00404941">
              <w:rPr>
                <w:rFonts w:cs="Open Sans Light"/>
              </w:rPr>
              <w:t>442</w:t>
            </w:r>
            <w:r w:rsidRPr="00404941">
              <w:rPr>
                <w:rFonts w:cs="Open Sans Light"/>
              </w:rPr>
              <w:tab/>
              <w:t>Taxes on private lotteries</w:t>
            </w:r>
          </w:p>
          <w:p w14:paraId="226163CD" w14:textId="77777777" w:rsidR="00404941" w:rsidRPr="00404941" w:rsidRDefault="00404941" w:rsidP="00404941">
            <w:pPr>
              <w:pStyle w:val="CGCTablerow"/>
              <w:ind w:left="340" w:hanging="340"/>
              <w:rPr>
                <w:rFonts w:cs="Open Sans Light"/>
              </w:rPr>
            </w:pPr>
            <w:r w:rsidRPr="00404941">
              <w:rPr>
                <w:rFonts w:cs="Open Sans Light"/>
              </w:rPr>
              <w:t>443</w:t>
            </w:r>
            <w:r w:rsidRPr="00404941">
              <w:rPr>
                <w:rFonts w:cs="Open Sans Light"/>
              </w:rPr>
              <w:tab/>
              <w:t>Taxes on gambling devices</w:t>
            </w:r>
          </w:p>
          <w:p w14:paraId="0D3E6187" w14:textId="77777777" w:rsidR="00404941" w:rsidRPr="00404941" w:rsidRDefault="00404941" w:rsidP="00404941">
            <w:pPr>
              <w:pStyle w:val="CGCTablerow"/>
              <w:ind w:left="340" w:hanging="340"/>
              <w:rPr>
                <w:rFonts w:cs="Open Sans Light"/>
              </w:rPr>
            </w:pPr>
            <w:r w:rsidRPr="00404941">
              <w:rPr>
                <w:rFonts w:cs="Open Sans Light"/>
              </w:rPr>
              <w:t>444</w:t>
            </w:r>
            <w:r w:rsidRPr="00404941">
              <w:rPr>
                <w:rFonts w:cs="Open Sans Light"/>
              </w:rPr>
              <w:tab/>
              <w:t>Casino taxes</w:t>
            </w:r>
          </w:p>
          <w:p w14:paraId="2D303868" w14:textId="77777777" w:rsidR="00404941" w:rsidRPr="00404941" w:rsidRDefault="00404941" w:rsidP="00404941">
            <w:pPr>
              <w:pStyle w:val="CGCTablerow"/>
              <w:ind w:left="340" w:hanging="340"/>
              <w:rPr>
                <w:rFonts w:cs="Open Sans Light"/>
              </w:rPr>
            </w:pPr>
            <w:r w:rsidRPr="00404941">
              <w:rPr>
                <w:rFonts w:cs="Open Sans Light"/>
              </w:rPr>
              <w:t>445</w:t>
            </w:r>
            <w:r w:rsidRPr="00404941">
              <w:rPr>
                <w:rFonts w:cs="Open Sans Light"/>
              </w:rPr>
              <w:tab/>
              <w:t>Race and other sports betting taxes</w:t>
            </w:r>
          </w:p>
          <w:p w14:paraId="2DF0C8BF" w14:textId="5B3EBCBC" w:rsidR="00404941" w:rsidRPr="00404941" w:rsidRDefault="00404941" w:rsidP="00404941">
            <w:pPr>
              <w:pStyle w:val="CGCTablerow"/>
              <w:ind w:left="340" w:hanging="340"/>
              <w:rPr>
                <w:rFonts w:cs="Open Sans Light"/>
              </w:rPr>
            </w:pPr>
            <w:r w:rsidRPr="00404941">
              <w:rPr>
                <w:rFonts w:cs="Open Sans Light"/>
              </w:rPr>
              <w:t>449</w:t>
            </w:r>
            <w:r w:rsidRPr="00404941">
              <w:rPr>
                <w:rFonts w:cs="Open Sans Light"/>
              </w:rPr>
              <w:tab/>
              <w:t xml:space="preserve">Taxes on gambling </w:t>
            </w:r>
            <w:proofErr w:type="spellStart"/>
            <w:r w:rsidRPr="00404941">
              <w:rPr>
                <w:rFonts w:cs="Open Sans Light"/>
              </w:rPr>
              <w:t>n</w:t>
            </w:r>
            <w:r w:rsidR="0044611D">
              <w:rPr>
                <w:rFonts w:cs="Open Sans Light"/>
              </w:rPr>
              <w:t>.</w:t>
            </w:r>
            <w:r w:rsidRPr="00404941">
              <w:rPr>
                <w:rFonts w:cs="Open Sans Light"/>
              </w:rPr>
              <w:t>e</w:t>
            </w:r>
            <w:r w:rsidR="0044611D">
              <w:rPr>
                <w:rFonts w:cs="Open Sans Light"/>
              </w:rPr>
              <w:t>.</w:t>
            </w:r>
            <w:r w:rsidRPr="00404941">
              <w:rPr>
                <w:rFonts w:cs="Open Sans Light"/>
              </w:rPr>
              <w:t>c</w:t>
            </w:r>
            <w:proofErr w:type="spellEnd"/>
          </w:p>
          <w:p w14:paraId="09520E7F" w14:textId="77777777" w:rsidR="00404941" w:rsidRPr="00404941" w:rsidRDefault="00404941" w:rsidP="00404941">
            <w:pPr>
              <w:pStyle w:val="CGCTablerow"/>
              <w:ind w:left="340" w:hanging="340"/>
              <w:rPr>
                <w:rFonts w:cs="Open Sans Light"/>
              </w:rPr>
            </w:pPr>
            <w:r w:rsidRPr="00404941">
              <w:rPr>
                <w:rFonts w:cs="Open Sans Light"/>
              </w:rPr>
              <w:t>451</w:t>
            </w:r>
            <w:r w:rsidRPr="00404941">
              <w:rPr>
                <w:rFonts w:cs="Open Sans Light"/>
              </w:rPr>
              <w:tab/>
              <w:t>Insurance companies' contributions to fire brigade</w:t>
            </w:r>
          </w:p>
          <w:p w14:paraId="2C02E013" w14:textId="77777777" w:rsidR="00404941" w:rsidRPr="00404941" w:rsidRDefault="00404941" w:rsidP="00404941">
            <w:pPr>
              <w:pStyle w:val="CGCTablerow"/>
              <w:ind w:left="340" w:hanging="340"/>
              <w:rPr>
                <w:rFonts w:cs="Open Sans Light"/>
              </w:rPr>
            </w:pPr>
            <w:r w:rsidRPr="00404941">
              <w:rPr>
                <w:rFonts w:cs="Open Sans Light"/>
              </w:rPr>
              <w:t>461</w:t>
            </w:r>
            <w:r w:rsidRPr="00404941">
              <w:rPr>
                <w:rFonts w:cs="Open Sans Light"/>
              </w:rPr>
              <w:tab/>
              <w:t>Financial institutions transactions taxes</w:t>
            </w:r>
          </w:p>
          <w:p w14:paraId="055B0CC0" w14:textId="77777777" w:rsidR="00404941" w:rsidRPr="00404941" w:rsidRDefault="00404941" w:rsidP="00404941">
            <w:pPr>
              <w:pStyle w:val="CGCTablerow"/>
              <w:ind w:left="340" w:hanging="340"/>
              <w:rPr>
                <w:rFonts w:cs="Open Sans Light"/>
              </w:rPr>
            </w:pPr>
            <w:r w:rsidRPr="00404941">
              <w:rPr>
                <w:rFonts w:cs="Open Sans Light"/>
              </w:rPr>
              <w:t>462</w:t>
            </w:r>
            <w:r w:rsidRPr="00404941">
              <w:rPr>
                <w:rFonts w:cs="Open Sans Light"/>
              </w:rPr>
              <w:tab/>
              <w:t>Government borrowing guarantee levies</w:t>
            </w:r>
          </w:p>
          <w:p w14:paraId="1104DF0B" w14:textId="77777777" w:rsidR="00404941" w:rsidRPr="00404941" w:rsidRDefault="00404941" w:rsidP="00404941">
            <w:pPr>
              <w:pStyle w:val="CGCTablerow"/>
              <w:ind w:left="340" w:hanging="340"/>
              <w:rPr>
                <w:rFonts w:cs="Open Sans Light"/>
              </w:rPr>
            </w:pPr>
            <w:r w:rsidRPr="00404941">
              <w:rPr>
                <w:rFonts w:cs="Open Sans Light"/>
              </w:rPr>
              <w:t>464</w:t>
            </w:r>
            <w:r w:rsidRPr="00404941">
              <w:rPr>
                <w:rFonts w:cs="Open Sans Light"/>
              </w:rPr>
              <w:tab/>
              <w:t>Stamp duty on shares and marketable securities</w:t>
            </w:r>
          </w:p>
          <w:p w14:paraId="02ED72CE" w14:textId="77777777" w:rsidR="00404941" w:rsidRPr="00404941" w:rsidRDefault="00404941" w:rsidP="00404941">
            <w:pPr>
              <w:pStyle w:val="CGCTablerow"/>
              <w:ind w:left="340" w:hanging="340"/>
              <w:rPr>
                <w:rFonts w:cs="Open Sans Light"/>
              </w:rPr>
            </w:pPr>
            <w:r w:rsidRPr="00404941">
              <w:rPr>
                <w:rFonts w:cs="Open Sans Light"/>
              </w:rPr>
              <w:t>465</w:t>
            </w:r>
            <w:r w:rsidRPr="00404941">
              <w:rPr>
                <w:rFonts w:cs="Open Sans Light"/>
              </w:rPr>
              <w:tab/>
              <w:t>Other stamp duties on financial and capital transactions</w:t>
            </w:r>
          </w:p>
          <w:p w14:paraId="6A59F916" w14:textId="5ED25EDF" w:rsidR="00404941" w:rsidRPr="00404941" w:rsidRDefault="00404941" w:rsidP="00404941">
            <w:pPr>
              <w:pStyle w:val="CGCTablerow"/>
              <w:ind w:left="340" w:hanging="340"/>
              <w:rPr>
                <w:rFonts w:cs="Open Sans Light"/>
              </w:rPr>
            </w:pPr>
            <w:r w:rsidRPr="00404941">
              <w:rPr>
                <w:rFonts w:cs="Open Sans Light"/>
              </w:rPr>
              <w:t>469</w:t>
            </w:r>
            <w:r w:rsidRPr="00404941">
              <w:rPr>
                <w:rFonts w:cs="Open Sans Light"/>
              </w:rPr>
              <w:tab/>
              <w:t xml:space="preserve">Taxes on financial and capital transactions </w:t>
            </w:r>
            <w:proofErr w:type="spellStart"/>
            <w:r w:rsidRPr="00404941">
              <w:rPr>
                <w:rFonts w:cs="Open Sans Light"/>
              </w:rPr>
              <w:t>n</w:t>
            </w:r>
            <w:r w:rsidR="0044611D">
              <w:rPr>
                <w:rFonts w:cs="Open Sans Light"/>
              </w:rPr>
              <w:t>.</w:t>
            </w:r>
            <w:r w:rsidRPr="00404941">
              <w:rPr>
                <w:rFonts w:cs="Open Sans Light"/>
              </w:rPr>
              <w:t>e</w:t>
            </w:r>
            <w:r w:rsidR="0044611D">
              <w:rPr>
                <w:rFonts w:cs="Open Sans Light"/>
              </w:rPr>
              <w:t>.</w:t>
            </w:r>
            <w:r w:rsidRPr="00404941">
              <w:rPr>
                <w:rFonts w:cs="Open Sans Light"/>
              </w:rPr>
              <w:t>c</w:t>
            </w:r>
            <w:proofErr w:type="spellEnd"/>
          </w:p>
          <w:p w14:paraId="18B5C04D" w14:textId="77777777" w:rsidR="00404941" w:rsidRPr="00404941" w:rsidRDefault="00404941" w:rsidP="00404941">
            <w:pPr>
              <w:pStyle w:val="CGCTablerow"/>
              <w:ind w:left="340" w:hanging="340"/>
              <w:rPr>
                <w:rFonts w:cs="Open Sans Light"/>
              </w:rPr>
            </w:pPr>
            <w:r w:rsidRPr="00404941">
              <w:rPr>
                <w:rFonts w:cs="Open Sans Light"/>
              </w:rPr>
              <w:t>521</w:t>
            </w:r>
            <w:r w:rsidRPr="00404941">
              <w:rPr>
                <w:rFonts w:cs="Open Sans Light"/>
              </w:rPr>
              <w:tab/>
              <w:t>Gas franchise taxes</w:t>
            </w:r>
          </w:p>
          <w:p w14:paraId="0F9F0565" w14:textId="77777777" w:rsidR="00404941" w:rsidRPr="00404941" w:rsidRDefault="00404941" w:rsidP="00404941">
            <w:pPr>
              <w:pStyle w:val="CGCTablerow"/>
              <w:ind w:left="340" w:hanging="340"/>
              <w:rPr>
                <w:rFonts w:cs="Open Sans Light"/>
              </w:rPr>
            </w:pPr>
            <w:r w:rsidRPr="00404941">
              <w:rPr>
                <w:rFonts w:cs="Open Sans Light"/>
              </w:rPr>
              <w:t>522</w:t>
            </w:r>
            <w:r w:rsidRPr="00404941">
              <w:rPr>
                <w:rFonts w:cs="Open Sans Light"/>
              </w:rPr>
              <w:tab/>
              <w:t>Petroleum products franchise taxes</w:t>
            </w:r>
          </w:p>
          <w:p w14:paraId="629EA8BD" w14:textId="77777777" w:rsidR="00404941" w:rsidRPr="00404941" w:rsidRDefault="00404941" w:rsidP="00404941">
            <w:pPr>
              <w:pStyle w:val="CGCTablerow"/>
              <w:ind w:left="340" w:hanging="340"/>
              <w:rPr>
                <w:rFonts w:cs="Open Sans Light"/>
              </w:rPr>
            </w:pPr>
            <w:r w:rsidRPr="00404941">
              <w:rPr>
                <w:rFonts w:cs="Open Sans Light"/>
              </w:rPr>
              <w:t>523</w:t>
            </w:r>
            <w:r w:rsidRPr="00404941">
              <w:rPr>
                <w:rFonts w:cs="Open Sans Light"/>
              </w:rPr>
              <w:tab/>
              <w:t>Tobacco franchise taxes</w:t>
            </w:r>
          </w:p>
          <w:p w14:paraId="7BBC4B93" w14:textId="77777777" w:rsidR="00404941" w:rsidRPr="00404941" w:rsidRDefault="00404941" w:rsidP="00404941">
            <w:pPr>
              <w:pStyle w:val="CGCTablerow"/>
              <w:ind w:left="340" w:hanging="340"/>
              <w:rPr>
                <w:rFonts w:cs="Open Sans Light"/>
              </w:rPr>
            </w:pPr>
            <w:r w:rsidRPr="00404941">
              <w:rPr>
                <w:rFonts w:cs="Open Sans Light"/>
              </w:rPr>
              <w:t>524</w:t>
            </w:r>
            <w:r w:rsidRPr="00404941">
              <w:rPr>
                <w:rFonts w:cs="Open Sans Light"/>
              </w:rPr>
              <w:tab/>
              <w:t>Liquor franchise taxes</w:t>
            </w:r>
          </w:p>
          <w:p w14:paraId="01AC3C58" w14:textId="48106437" w:rsidR="00404941" w:rsidRPr="00404941" w:rsidRDefault="00404941" w:rsidP="00404941">
            <w:pPr>
              <w:pStyle w:val="CGCTablerow"/>
              <w:ind w:left="340" w:hanging="340"/>
              <w:rPr>
                <w:rFonts w:cs="Open Sans Light"/>
              </w:rPr>
            </w:pPr>
            <w:r w:rsidRPr="00404941">
              <w:rPr>
                <w:rFonts w:cs="Open Sans Light"/>
              </w:rPr>
              <w:t>529</w:t>
            </w:r>
            <w:r w:rsidRPr="00404941">
              <w:rPr>
                <w:rFonts w:cs="Open Sans Light"/>
              </w:rPr>
              <w:tab/>
              <w:t xml:space="preserve">Franchise taxes </w:t>
            </w:r>
            <w:proofErr w:type="spellStart"/>
            <w:r w:rsidRPr="00404941">
              <w:rPr>
                <w:rFonts w:cs="Open Sans Light"/>
              </w:rPr>
              <w:t>n</w:t>
            </w:r>
            <w:r w:rsidR="0044611D">
              <w:rPr>
                <w:rFonts w:cs="Open Sans Light"/>
              </w:rPr>
              <w:t>.</w:t>
            </w:r>
            <w:r w:rsidRPr="00404941">
              <w:rPr>
                <w:rFonts w:cs="Open Sans Light"/>
              </w:rPr>
              <w:t>e</w:t>
            </w:r>
            <w:r w:rsidR="0044611D">
              <w:rPr>
                <w:rFonts w:cs="Open Sans Light"/>
              </w:rPr>
              <w:t>.</w:t>
            </w:r>
            <w:r w:rsidRPr="00404941">
              <w:rPr>
                <w:rFonts w:cs="Open Sans Light"/>
              </w:rPr>
              <w:t>c</w:t>
            </w:r>
            <w:proofErr w:type="spellEnd"/>
          </w:p>
          <w:p w14:paraId="79735041" w14:textId="6B73C8D1" w:rsidR="001D3E84" w:rsidRPr="00C675AE" w:rsidRDefault="00942C28" w:rsidP="00D13C9C">
            <w:pPr>
              <w:pStyle w:val="CGCTablerow"/>
              <w:ind w:left="340" w:hanging="340"/>
              <w:rPr>
                <w:rFonts w:cs="Open Sans Light"/>
              </w:rPr>
            </w:pPr>
            <w:r w:rsidRPr="00942C28">
              <w:rPr>
                <w:rFonts w:cs="Open Sans Light"/>
              </w:rPr>
              <w:t>534</w:t>
            </w:r>
            <w:r w:rsidRPr="00942C28">
              <w:rPr>
                <w:rFonts w:cs="Open Sans Light"/>
              </w:rPr>
              <w:tab/>
              <w:t>Clean energy and related taxes</w:t>
            </w:r>
          </w:p>
        </w:tc>
        <w:tc>
          <w:tcPr>
            <w:tcW w:w="855" w:type="pct"/>
          </w:tcPr>
          <w:p w14:paraId="57DAB4B7" w14:textId="31DDB815" w:rsidR="004C6846" w:rsidRPr="00C675AE" w:rsidRDefault="004C36F2">
            <w:pPr>
              <w:pStyle w:val="CGCTablerow"/>
              <w:rPr>
                <w:rFonts w:cs="Open Sans Light"/>
              </w:rPr>
            </w:pPr>
            <w:r>
              <w:rPr>
                <w:rFonts w:cs="Open Sans Light"/>
              </w:rPr>
              <w:t>≠</w:t>
            </w:r>
            <w:r w:rsidR="004C6846" w:rsidRPr="00C675AE">
              <w:rPr>
                <w:rFonts w:cs="Open Sans Light"/>
              </w:rPr>
              <w:t>"23" &amp; own JUR</w:t>
            </w:r>
          </w:p>
        </w:tc>
      </w:tr>
      <w:tr w:rsidR="00D01A0D" w:rsidRPr="00F77760" w14:paraId="0313F9EC" w14:textId="77777777" w:rsidTr="00F83FA0">
        <w:trPr>
          <w:trHeight w:val="376"/>
        </w:trPr>
        <w:tc>
          <w:tcPr>
            <w:tcW w:w="667" w:type="pct"/>
            <w:shd w:val="clear" w:color="auto" w:fill="006991"/>
            <w:vAlign w:val="center"/>
          </w:tcPr>
          <w:p w14:paraId="52DA97AD" w14:textId="77777777" w:rsidR="007B4665" w:rsidRPr="00F77760" w:rsidRDefault="007B4665">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lastRenderedPageBreak/>
              <w:t>Category</w:t>
            </w:r>
          </w:p>
        </w:tc>
        <w:tc>
          <w:tcPr>
            <w:tcW w:w="1330" w:type="pct"/>
            <w:shd w:val="clear" w:color="auto" w:fill="006991"/>
            <w:vAlign w:val="center"/>
          </w:tcPr>
          <w:p w14:paraId="26F9A3DD" w14:textId="77777777" w:rsidR="007B4665" w:rsidRPr="00F77760" w:rsidRDefault="007B4665">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52100ADC" w14:textId="77777777" w:rsidR="007B4665" w:rsidRPr="00F77760" w:rsidRDefault="007B4665">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TC</w:t>
            </w:r>
          </w:p>
        </w:tc>
        <w:tc>
          <w:tcPr>
            <w:tcW w:w="855" w:type="pct"/>
            <w:shd w:val="clear" w:color="auto" w:fill="006991"/>
            <w:vAlign w:val="center"/>
          </w:tcPr>
          <w:p w14:paraId="4C7D6EE4" w14:textId="77777777" w:rsidR="007B4665" w:rsidRPr="00F77760" w:rsidRDefault="007B4665">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7B4665" w:rsidRPr="002744DB" w14:paraId="0E69793C" w14:textId="77777777" w:rsidTr="00F83FA0">
        <w:tc>
          <w:tcPr>
            <w:tcW w:w="5000" w:type="pct"/>
            <w:gridSpan w:val="4"/>
            <w:shd w:val="clear" w:color="auto" w:fill="B6D5E4"/>
          </w:tcPr>
          <w:p w14:paraId="30678516" w14:textId="77777777" w:rsidR="007B4665" w:rsidRPr="002744DB" w:rsidRDefault="007B4665">
            <w:pPr>
              <w:pStyle w:val="CGCTablesubhead1"/>
              <w:rPr>
                <w:rFonts w:cs="Open Sans Semibold"/>
              </w:rPr>
            </w:pPr>
            <w:r w:rsidRPr="002744DB">
              <w:rPr>
                <w:rFonts w:cs="Open Sans Semibold"/>
              </w:rPr>
              <w:t>Revenue (continued)</w:t>
            </w:r>
          </w:p>
        </w:tc>
      </w:tr>
      <w:tr w:rsidR="00D01A0D" w:rsidRPr="00313A23" w14:paraId="437884B0" w14:textId="77777777" w:rsidTr="004A190A">
        <w:tc>
          <w:tcPr>
            <w:tcW w:w="667" w:type="pct"/>
          </w:tcPr>
          <w:p w14:paraId="240DC513" w14:textId="696004ED" w:rsidR="0081053C" w:rsidRPr="00C675AE" w:rsidRDefault="009C1215">
            <w:pPr>
              <w:pStyle w:val="CGCTablerow"/>
              <w:rPr>
                <w:rFonts w:cs="Open Sans Light"/>
              </w:rPr>
            </w:pPr>
            <w:r w:rsidRPr="009C1215">
              <w:rPr>
                <w:rFonts w:cs="Open Sans Light"/>
              </w:rPr>
              <w:t>Other revenue (continued)</w:t>
            </w:r>
          </w:p>
        </w:tc>
        <w:tc>
          <w:tcPr>
            <w:tcW w:w="1330" w:type="pct"/>
          </w:tcPr>
          <w:p w14:paraId="3F4E22A0" w14:textId="279E09DE" w:rsidR="0081053C" w:rsidRPr="00C675AE" w:rsidRDefault="0081053C">
            <w:pPr>
              <w:pStyle w:val="CGCTablerow"/>
              <w:keepNext/>
              <w:keepLines/>
              <w:rPr>
                <w:rFonts w:cs="Open Sans Light"/>
              </w:rPr>
            </w:pPr>
          </w:p>
        </w:tc>
        <w:tc>
          <w:tcPr>
            <w:tcW w:w="2148" w:type="pct"/>
          </w:tcPr>
          <w:p w14:paraId="33931ADC" w14:textId="77DB7385" w:rsidR="0081053C" w:rsidRPr="00404941" w:rsidRDefault="007B4665" w:rsidP="007B4665">
            <w:pPr>
              <w:pStyle w:val="CGCTablerow"/>
              <w:ind w:left="340" w:hanging="340"/>
              <w:rPr>
                <w:rFonts w:cs="Open Sans Light"/>
              </w:rPr>
            </w:pPr>
            <w:r w:rsidRPr="007B4665">
              <w:rPr>
                <w:rFonts w:cs="Open Sans Light"/>
              </w:rPr>
              <w:t>539</w:t>
            </w:r>
            <w:r w:rsidRPr="007B4665">
              <w:rPr>
                <w:rFonts w:cs="Open Sans Light"/>
              </w:rPr>
              <w:tab/>
              <w:t xml:space="preserve">Other taxes on the use of goods and performance of activities </w:t>
            </w:r>
            <w:proofErr w:type="spellStart"/>
            <w:r w:rsidRPr="007B4665">
              <w:rPr>
                <w:rFonts w:cs="Open Sans Light"/>
              </w:rPr>
              <w:t>n</w:t>
            </w:r>
            <w:r w:rsidR="00711B06">
              <w:rPr>
                <w:rFonts w:cs="Open Sans Light"/>
              </w:rPr>
              <w:t>.</w:t>
            </w:r>
            <w:r w:rsidRPr="007B4665">
              <w:rPr>
                <w:rFonts w:cs="Open Sans Light"/>
              </w:rPr>
              <w:t>e</w:t>
            </w:r>
            <w:r w:rsidR="00711B06">
              <w:rPr>
                <w:rFonts w:cs="Open Sans Light"/>
              </w:rPr>
              <w:t>.</w:t>
            </w:r>
            <w:r w:rsidRPr="007B4665">
              <w:rPr>
                <w:rFonts w:cs="Open Sans Light"/>
              </w:rPr>
              <w:t>c.</w:t>
            </w:r>
            <w:proofErr w:type="spellEnd"/>
          </w:p>
        </w:tc>
        <w:tc>
          <w:tcPr>
            <w:tcW w:w="855" w:type="pct"/>
          </w:tcPr>
          <w:p w14:paraId="2D7A2F62" w14:textId="77777777" w:rsidR="0081053C" w:rsidRDefault="0081053C">
            <w:pPr>
              <w:pStyle w:val="CGCTablerow"/>
              <w:rPr>
                <w:rFonts w:cs="Open Sans Light"/>
              </w:rPr>
            </w:pPr>
          </w:p>
        </w:tc>
      </w:tr>
      <w:tr w:rsidR="00D01A0D" w:rsidRPr="00C675AE" w14:paraId="34E0B7C2" w14:textId="77777777" w:rsidTr="00F83FA0">
        <w:tc>
          <w:tcPr>
            <w:tcW w:w="667" w:type="pct"/>
          </w:tcPr>
          <w:p w14:paraId="26177771" w14:textId="23A9E352" w:rsidR="00EC37F0" w:rsidRPr="00C675AE" w:rsidRDefault="00EC37F0">
            <w:pPr>
              <w:pStyle w:val="CGCTablerow"/>
              <w:keepNext/>
              <w:keepLines/>
              <w:rPr>
                <w:rFonts w:cs="Open Sans Light"/>
              </w:rPr>
            </w:pPr>
          </w:p>
        </w:tc>
        <w:tc>
          <w:tcPr>
            <w:tcW w:w="1330" w:type="pct"/>
          </w:tcPr>
          <w:p w14:paraId="6D4DE504" w14:textId="77777777" w:rsidR="00EC37F0" w:rsidRPr="00C675AE" w:rsidRDefault="00EC37F0">
            <w:pPr>
              <w:pStyle w:val="CGCTablerow"/>
              <w:ind w:left="397" w:hanging="397"/>
              <w:rPr>
                <w:rFonts w:cs="Open Sans Light"/>
              </w:rPr>
            </w:pPr>
            <w:r w:rsidRPr="00C675AE">
              <w:rPr>
                <w:rFonts w:cs="Open Sans Light"/>
              </w:rPr>
              <w:t>1131 Interest income</w:t>
            </w:r>
          </w:p>
          <w:p w14:paraId="6057C8C8" w14:textId="77777777" w:rsidR="00EC37F0" w:rsidRPr="00C675AE" w:rsidRDefault="00EC37F0">
            <w:pPr>
              <w:pStyle w:val="CGCTablerow"/>
              <w:ind w:left="397" w:hanging="397"/>
              <w:rPr>
                <w:rFonts w:cs="Open Sans Light"/>
              </w:rPr>
            </w:pPr>
            <w:r w:rsidRPr="00C675AE">
              <w:rPr>
                <w:rFonts w:cs="Open Sans Light"/>
              </w:rPr>
              <w:t xml:space="preserve">1132 Dividend income </w:t>
            </w:r>
          </w:p>
          <w:p w14:paraId="22BE8417" w14:textId="77777777" w:rsidR="00EC37F0" w:rsidRPr="00C675AE" w:rsidRDefault="00EC37F0">
            <w:pPr>
              <w:pStyle w:val="CGCTablerow"/>
              <w:ind w:left="397" w:hanging="397"/>
              <w:rPr>
                <w:rFonts w:cs="Open Sans Light"/>
              </w:rPr>
            </w:pPr>
            <w:r w:rsidRPr="00C675AE">
              <w:rPr>
                <w:rFonts w:cs="Open Sans Light"/>
              </w:rPr>
              <w:t>1133 Withdrawals from income of quasi-corps</w:t>
            </w:r>
          </w:p>
          <w:p w14:paraId="01DE1B42" w14:textId="77777777" w:rsidR="00EC37F0" w:rsidRPr="00C675AE" w:rsidRDefault="00EC37F0">
            <w:pPr>
              <w:pStyle w:val="CGCTablerow"/>
              <w:ind w:left="397" w:hanging="397"/>
              <w:rPr>
                <w:rFonts w:cs="Open Sans Light"/>
              </w:rPr>
            </w:pPr>
            <w:r w:rsidRPr="00C675AE">
              <w:rPr>
                <w:rFonts w:cs="Open Sans Light"/>
              </w:rPr>
              <w:t>1134 Land rent income</w:t>
            </w:r>
          </w:p>
          <w:p w14:paraId="40C86F98" w14:textId="77777777" w:rsidR="00EC37F0" w:rsidRPr="00C675AE" w:rsidRDefault="00EC37F0">
            <w:pPr>
              <w:pStyle w:val="CGCTablerow"/>
              <w:ind w:left="397" w:hanging="397"/>
              <w:rPr>
                <w:rFonts w:cs="Open Sans Light"/>
              </w:rPr>
            </w:pPr>
            <w:r w:rsidRPr="00C675AE">
              <w:rPr>
                <w:rFonts w:cs="Open Sans Light"/>
              </w:rPr>
              <w:t>1136 Revenue from investment funds</w:t>
            </w:r>
          </w:p>
          <w:p w14:paraId="646DF209" w14:textId="77777777" w:rsidR="00EC37F0" w:rsidRPr="00C675AE" w:rsidRDefault="00EC37F0">
            <w:pPr>
              <w:pStyle w:val="CGCTablerow"/>
              <w:ind w:left="397" w:hanging="397"/>
              <w:rPr>
                <w:rFonts w:cs="Open Sans Light"/>
              </w:rPr>
            </w:pPr>
            <w:r w:rsidRPr="00C675AE">
              <w:rPr>
                <w:rFonts w:cs="Open Sans Light"/>
              </w:rPr>
              <w:t>1137 Reinvestment earnings on foreign direct investment</w:t>
            </w:r>
          </w:p>
          <w:p w14:paraId="68EB2F9D" w14:textId="77777777" w:rsidR="00EC37F0" w:rsidRPr="00C675AE" w:rsidRDefault="00EC37F0">
            <w:pPr>
              <w:pStyle w:val="CGCTablerow"/>
              <w:ind w:left="397" w:hanging="397"/>
              <w:rPr>
                <w:rFonts w:cs="Open Sans Light"/>
              </w:rPr>
            </w:pPr>
            <w:r w:rsidRPr="00C675AE">
              <w:rPr>
                <w:rFonts w:cs="Open Sans Light"/>
              </w:rPr>
              <w:t xml:space="preserve">1139 Property income </w:t>
            </w:r>
            <w:proofErr w:type="spellStart"/>
            <w:r w:rsidRPr="00C675AE">
              <w:rPr>
                <w:rFonts w:cs="Open Sans Light"/>
              </w:rPr>
              <w:t>n.e.c.</w:t>
            </w:r>
            <w:proofErr w:type="spellEnd"/>
          </w:p>
          <w:p w14:paraId="218E8CE7" w14:textId="77777777" w:rsidR="00EC37F0" w:rsidRPr="00C675AE" w:rsidRDefault="00EC37F0">
            <w:pPr>
              <w:pStyle w:val="CGCTablerow"/>
              <w:ind w:left="397" w:hanging="397"/>
              <w:rPr>
                <w:rFonts w:cs="Open Sans Light"/>
              </w:rPr>
            </w:pPr>
            <w:r w:rsidRPr="00C675AE">
              <w:rPr>
                <w:rFonts w:cs="Open Sans Light"/>
              </w:rPr>
              <w:t>1142 Fines, penalties and forfeits</w:t>
            </w:r>
          </w:p>
          <w:p w14:paraId="74C03ED9" w14:textId="77777777" w:rsidR="00EC37F0" w:rsidRPr="00C675AE" w:rsidRDefault="00EC37F0">
            <w:pPr>
              <w:pStyle w:val="CGCTablerow"/>
              <w:ind w:left="397" w:hanging="397"/>
              <w:rPr>
                <w:rFonts w:cs="Open Sans Light"/>
              </w:rPr>
            </w:pPr>
            <w:r w:rsidRPr="00C675AE">
              <w:rPr>
                <w:rFonts w:cs="Open Sans Light"/>
              </w:rPr>
              <w:t>1143 Premiums, fees and current claims related to non-life insurance and standardised guarantee schemes</w:t>
            </w:r>
          </w:p>
          <w:p w14:paraId="0E380F3C" w14:textId="77777777" w:rsidR="00EC37F0" w:rsidRPr="00C675AE" w:rsidRDefault="00EC37F0">
            <w:pPr>
              <w:pStyle w:val="CGCTablerow"/>
              <w:ind w:left="397" w:hanging="397"/>
              <w:rPr>
                <w:rFonts w:cs="Open Sans Light"/>
              </w:rPr>
            </w:pPr>
            <w:r w:rsidRPr="00C675AE">
              <w:rPr>
                <w:rFonts w:cs="Open Sans Light"/>
              </w:rPr>
              <w:t>1149 Other current revenue not elsewhere classified</w:t>
            </w:r>
          </w:p>
          <w:p w14:paraId="17AD22C7" w14:textId="77777777" w:rsidR="00EC37F0" w:rsidRPr="00C675AE" w:rsidRDefault="00EC37F0">
            <w:pPr>
              <w:pStyle w:val="CGCTablerow"/>
              <w:ind w:left="397" w:hanging="397"/>
              <w:rPr>
                <w:rFonts w:cs="Open Sans Light"/>
              </w:rPr>
            </w:pPr>
            <w:r w:rsidRPr="00C675AE">
              <w:rPr>
                <w:rFonts w:cs="Open Sans Light"/>
              </w:rPr>
              <w:t>1152 Assets acquired below market value</w:t>
            </w:r>
          </w:p>
          <w:p w14:paraId="681BE5B0" w14:textId="77777777" w:rsidR="00EC37F0" w:rsidRPr="00C675AE" w:rsidRDefault="00EC37F0">
            <w:pPr>
              <w:pStyle w:val="CGCTablerow"/>
              <w:ind w:left="397" w:hanging="397"/>
              <w:rPr>
                <w:rFonts w:cs="Open Sans Light"/>
              </w:rPr>
            </w:pPr>
            <w:r w:rsidRPr="00C675AE">
              <w:rPr>
                <w:rFonts w:cs="Open Sans Light"/>
              </w:rPr>
              <w:t>1153 Capital claims related to non</w:t>
            </w:r>
            <w:r>
              <w:rPr>
                <w:rFonts w:cs="Open Sans Light"/>
              </w:rPr>
              <w:noBreakHyphen/>
            </w:r>
            <w:r w:rsidRPr="00C675AE">
              <w:rPr>
                <w:rFonts w:cs="Open Sans Light"/>
              </w:rPr>
              <w:t>life insurance and standardised guarantee schemes</w:t>
            </w:r>
          </w:p>
          <w:p w14:paraId="11477006" w14:textId="77777777" w:rsidR="00EC37F0" w:rsidRPr="00C675AE" w:rsidRDefault="00EC37F0">
            <w:pPr>
              <w:pStyle w:val="CGCTablerow"/>
              <w:ind w:left="397" w:hanging="397"/>
              <w:rPr>
                <w:rFonts w:cs="Open Sans Light"/>
              </w:rPr>
            </w:pPr>
            <w:r w:rsidRPr="00C675AE">
              <w:rPr>
                <w:rFonts w:cs="Open Sans Light"/>
              </w:rPr>
              <w:t>1159 Capital revenue not elsewhere classified</w:t>
            </w:r>
          </w:p>
        </w:tc>
        <w:tc>
          <w:tcPr>
            <w:tcW w:w="2148" w:type="pct"/>
          </w:tcPr>
          <w:p w14:paraId="7CA15CE9" w14:textId="26D664F0" w:rsidR="00EC37F0" w:rsidRPr="00C675AE" w:rsidRDefault="002C3B54">
            <w:pPr>
              <w:pStyle w:val="CGCTablerow"/>
              <w:keepNext/>
              <w:keepLines/>
              <w:rPr>
                <w:rFonts w:cs="Open Sans Light"/>
              </w:rPr>
            </w:pPr>
            <w:r w:rsidRPr="002C3B54">
              <w:rPr>
                <w:rFonts w:cs="Open Sans Light"/>
              </w:rPr>
              <w:t>No relevant TC</w:t>
            </w:r>
          </w:p>
        </w:tc>
        <w:tc>
          <w:tcPr>
            <w:tcW w:w="855" w:type="pct"/>
          </w:tcPr>
          <w:p w14:paraId="55764277" w14:textId="77777777" w:rsidR="00EC37F0" w:rsidRPr="00C675AE" w:rsidRDefault="00EC37F0">
            <w:pPr>
              <w:pStyle w:val="CGCTablerow"/>
              <w:keepNext/>
              <w:keepLines/>
              <w:rPr>
                <w:rFonts w:cs="Open Sans Light"/>
              </w:rPr>
            </w:pPr>
            <w:r>
              <w:rPr>
                <w:rFonts w:cs="Open Sans Light"/>
              </w:rPr>
              <w:t>≠</w:t>
            </w:r>
            <w:r w:rsidRPr="00C675AE">
              <w:rPr>
                <w:rFonts w:cs="Open Sans Light"/>
              </w:rPr>
              <w:t>"23" &amp; own JUR</w:t>
            </w:r>
          </w:p>
        </w:tc>
      </w:tr>
      <w:tr w:rsidR="00D01A0D" w:rsidRPr="00C675AE" w14:paraId="495F4947" w14:textId="77777777" w:rsidTr="00F83FA0">
        <w:tc>
          <w:tcPr>
            <w:tcW w:w="667" w:type="pct"/>
          </w:tcPr>
          <w:p w14:paraId="2BF64FDD" w14:textId="77777777" w:rsidR="00EC37F0" w:rsidRPr="00C675AE" w:rsidRDefault="00EC37F0">
            <w:pPr>
              <w:pStyle w:val="CGCTablerow"/>
              <w:rPr>
                <w:rFonts w:cs="Open Sans Light"/>
              </w:rPr>
            </w:pPr>
          </w:p>
        </w:tc>
        <w:tc>
          <w:tcPr>
            <w:tcW w:w="1330" w:type="pct"/>
          </w:tcPr>
          <w:p w14:paraId="2362A894" w14:textId="77777777" w:rsidR="00EC37F0" w:rsidRPr="00C675AE" w:rsidRDefault="00EC37F0">
            <w:pPr>
              <w:pStyle w:val="CGCTablerow"/>
              <w:ind w:left="397" w:hanging="397"/>
              <w:rPr>
                <w:rFonts w:cs="Open Sans Light"/>
              </w:rPr>
            </w:pPr>
            <w:r w:rsidRPr="00C675AE">
              <w:rPr>
                <w:rFonts w:cs="Open Sans Light"/>
              </w:rPr>
              <w:t>1141 Revenue from current grants and subsidies</w:t>
            </w:r>
          </w:p>
          <w:p w14:paraId="1AEA00B2" w14:textId="77777777" w:rsidR="00EC37F0" w:rsidRPr="00C675AE" w:rsidRDefault="00EC37F0">
            <w:pPr>
              <w:pStyle w:val="CGCTablerow"/>
              <w:ind w:left="397" w:hanging="397"/>
              <w:rPr>
                <w:rFonts w:cs="Open Sans Light"/>
              </w:rPr>
            </w:pPr>
            <w:r w:rsidRPr="00C675AE">
              <w:rPr>
                <w:rFonts w:cs="Open Sans Light"/>
              </w:rPr>
              <w:t>1151 Revenue from capital grants</w:t>
            </w:r>
          </w:p>
        </w:tc>
        <w:tc>
          <w:tcPr>
            <w:tcW w:w="2148" w:type="pct"/>
          </w:tcPr>
          <w:p w14:paraId="1E2978B8" w14:textId="6FA4465C" w:rsidR="00EC37F0" w:rsidRPr="00C675AE" w:rsidRDefault="0029581A">
            <w:pPr>
              <w:pStyle w:val="CGCTablerow"/>
              <w:rPr>
                <w:rFonts w:cs="Open Sans Light"/>
              </w:rPr>
            </w:pPr>
            <w:r w:rsidRPr="0029581A">
              <w:rPr>
                <w:rFonts w:cs="Open Sans Light"/>
              </w:rPr>
              <w:t>No relevant TC</w:t>
            </w:r>
          </w:p>
        </w:tc>
        <w:tc>
          <w:tcPr>
            <w:tcW w:w="855" w:type="pct"/>
          </w:tcPr>
          <w:p w14:paraId="3808EC55" w14:textId="4D46E67B" w:rsidR="00EC37F0" w:rsidRPr="00C675AE" w:rsidRDefault="00EC37F0">
            <w:pPr>
              <w:pStyle w:val="CGCTablerow"/>
              <w:rPr>
                <w:rFonts w:cs="Open Sans Light"/>
              </w:rPr>
            </w:pPr>
            <w:r>
              <w:rPr>
                <w:rFonts w:cs="Open Sans Light"/>
              </w:rPr>
              <w:t>≠</w:t>
            </w:r>
            <w:r w:rsidRPr="00C675AE">
              <w:rPr>
                <w:rFonts w:cs="Open Sans Light"/>
              </w:rPr>
              <w:t xml:space="preserve">"23"&amp; own JUR </w:t>
            </w:r>
            <w:r w:rsidR="009C276A">
              <w:rPr>
                <w:rFonts w:cs="Open Sans Light"/>
              </w:rPr>
              <w:br/>
            </w:r>
            <w:r w:rsidRPr="00C675AE">
              <w:rPr>
                <w:rFonts w:cs="Open Sans Light"/>
              </w:rPr>
              <w:t xml:space="preserve">and </w:t>
            </w:r>
            <w:r>
              <w:rPr>
                <w:rFonts w:cs="Open Sans Light"/>
              </w:rPr>
              <w:t>≠</w:t>
            </w:r>
            <w:r w:rsidRPr="00C675AE">
              <w:rPr>
                <w:rFonts w:cs="Open Sans Light"/>
              </w:rPr>
              <w:t>"130" Commonwealth GG</w:t>
            </w:r>
          </w:p>
        </w:tc>
      </w:tr>
      <w:tr w:rsidR="00D01A0D" w:rsidRPr="00C675AE" w14:paraId="1A15BB37" w14:textId="77777777" w:rsidTr="00F83FA0">
        <w:tc>
          <w:tcPr>
            <w:tcW w:w="667" w:type="pct"/>
          </w:tcPr>
          <w:p w14:paraId="678AFECF" w14:textId="77777777" w:rsidR="00EC37F0" w:rsidRPr="00C675AE" w:rsidRDefault="00EC37F0">
            <w:pPr>
              <w:pStyle w:val="CGCTablerow"/>
              <w:rPr>
                <w:rFonts w:cs="Open Sans Light"/>
              </w:rPr>
            </w:pPr>
          </w:p>
        </w:tc>
        <w:tc>
          <w:tcPr>
            <w:tcW w:w="1330" w:type="pct"/>
          </w:tcPr>
          <w:p w14:paraId="5A5E391E" w14:textId="77777777" w:rsidR="00EC37F0" w:rsidRPr="00C675AE" w:rsidRDefault="00EC37F0" w:rsidP="00C00C90">
            <w:pPr>
              <w:pStyle w:val="CGCTablerow"/>
              <w:ind w:left="397" w:hanging="397"/>
              <w:rPr>
                <w:rFonts w:cs="Open Sans Light"/>
              </w:rPr>
            </w:pPr>
            <w:r w:rsidRPr="00C675AE">
              <w:rPr>
                <w:rFonts w:cs="Open Sans Light"/>
              </w:rPr>
              <w:t>112* Sales of goods and services</w:t>
            </w:r>
          </w:p>
        </w:tc>
        <w:tc>
          <w:tcPr>
            <w:tcW w:w="2148" w:type="pct"/>
          </w:tcPr>
          <w:p w14:paraId="6BC21FA5" w14:textId="2935D840" w:rsidR="00EC37F0" w:rsidRPr="00C675AE" w:rsidRDefault="00704AB4">
            <w:pPr>
              <w:pStyle w:val="CGCTablerow"/>
              <w:rPr>
                <w:rFonts w:cs="Open Sans Light"/>
              </w:rPr>
            </w:pPr>
            <w:r w:rsidRPr="00704AB4">
              <w:rPr>
                <w:rFonts w:cs="Open Sans Light"/>
              </w:rPr>
              <w:t xml:space="preserve">No relevant TC </w:t>
            </w:r>
            <w:r w:rsidR="000D7200">
              <w:rPr>
                <w:rFonts w:cs="Open Sans Light"/>
              </w:rPr>
              <w:t>–</w:t>
            </w:r>
            <w:r w:rsidR="001254EE">
              <w:rPr>
                <w:rFonts w:cs="Open Sans Light"/>
              </w:rPr>
              <w:t xml:space="preserve"> </w:t>
            </w:r>
            <w:r w:rsidR="00EC37F0" w:rsidRPr="00C675AE">
              <w:rPr>
                <w:rFonts w:cs="Open Sans Light"/>
              </w:rPr>
              <w:t>COFOG-As other than those included in ‘net’ categories</w:t>
            </w:r>
          </w:p>
        </w:tc>
        <w:tc>
          <w:tcPr>
            <w:tcW w:w="855" w:type="pct"/>
          </w:tcPr>
          <w:p w14:paraId="1144DE6D" w14:textId="77777777" w:rsidR="00EC37F0" w:rsidRPr="00C675AE" w:rsidRDefault="00EC37F0">
            <w:pPr>
              <w:pStyle w:val="CGCTablerow"/>
              <w:rPr>
                <w:rFonts w:cs="Open Sans Light"/>
              </w:rPr>
            </w:pPr>
            <w:r>
              <w:rPr>
                <w:rFonts w:cs="Open Sans Light"/>
              </w:rPr>
              <w:t>≠</w:t>
            </w:r>
            <w:r w:rsidRPr="00C675AE">
              <w:rPr>
                <w:rFonts w:cs="Open Sans Light"/>
              </w:rPr>
              <w:t>"23" &amp; own JUR</w:t>
            </w:r>
          </w:p>
        </w:tc>
      </w:tr>
      <w:tr w:rsidR="003B40D1" w:rsidRPr="00F77760" w14:paraId="38D8A1A3" w14:textId="77777777" w:rsidTr="00F83FA0">
        <w:trPr>
          <w:trHeight w:val="376"/>
        </w:trPr>
        <w:tc>
          <w:tcPr>
            <w:tcW w:w="667" w:type="pct"/>
            <w:shd w:val="clear" w:color="auto" w:fill="006991"/>
            <w:vAlign w:val="center"/>
          </w:tcPr>
          <w:p w14:paraId="08A58A92" w14:textId="77777777" w:rsidR="003B40D1" w:rsidRPr="00F77760" w:rsidRDefault="003B40D1">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Category</w:t>
            </w:r>
          </w:p>
        </w:tc>
        <w:tc>
          <w:tcPr>
            <w:tcW w:w="1330" w:type="pct"/>
            <w:shd w:val="clear" w:color="auto" w:fill="006991"/>
            <w:vAlign w:val="center"/>
          </w:tcPr>
          <w:p w14:paraId="51C1B29E" w14:textId="77777777" w:rsidR="003B40D1" w:rsidRPr="00F77760" w:rsidRDefault="003B40D1">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0EEE3E5A" w14:textId="1C5B5125" w:rsidR="003B40D1" w:rsidRPr="00F77760" w:rsidRDefault="003B40D1">
            <w:pPr>
              <w:pStyle w:val="CGCTableheader"/>
              <w:spacing w:before="40" w:after="40"/>
              <w:jc w:val="left"/>
              <w:rPr>
                <w:rFonts w:ascii="Open Sans Semibold" w:hAnsi="Open Sans Semibold" w:cs="Open Sans Semibold"/>
                <w:b w:val="0"/>
              </w:rPr>
            </w:pPr>
            <w:r w:rsidRPr="003B40D1">
              <w:rPr>
                <w:rFonts w:ascii="Open Sans Semibold" w:hAnsi="Open Sans Semibold" w:cs="Open Sans Semibold"/>
                <w:b w:val="0"/>
              </w:rPr>
              <w:t>COFOG-A</w:t>
            </w:r>
          </w:p>
        </w:tc>
        <w:tc>
          <w:tcPr>
            <w:tcW w:w="855" w:type="pct"/>
            <w:shd w:val="clear" w:color="auto" w:fill="006991"/>
            <w:vAlign w:val="center"/>
          </w:tcPr>
          <w:p w14:paraId="64DACC33" w14:textId="77777777" w:rsidR="003B40D1" w:rsidRPr="00F77760" w:rsidRDefault="003B40D1">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3B40D1" w:rsidRPr="002744DB" w14:paraId="2CAD4613" w14:textId="77777777" w:rsidTr="00F83FA0">
        <w:tc>
          <w:tcPr>
            <w:tcW w:w="5000" w:type="pct"/>
            <w:gridSpan w:val="4"/>
            <w:shd w:val="clear" w:color="auto" w:fill="B6D5E4"/>
          </w:tcPr>
          <w:p w14:paraId="69BDAD46" w14:textId="780B6A76" w:rsidR="003B40D1" w:rsidRPr="002744DB" w:rsidRDefault="003B40D1">
            <w:pPr>
              <w:pStyle w:val="CGCTablesubhead1"/>
              <w:rPr>
                <w:rFonts w:cs="Open Sans Semibold"/>
              </w:rPr>
            </w:pPr>
            <w:r w:rsidRPr="003B40D1">
              <w:rPr>
                <w:rFonts w:cs="Open Sans Semibold"/>
              </w:rPr>
              <w:t>Expenses</w:t>
            </w:r>
          </w:p>
        </w:tc>
      </w:tr>
      <w:tr w:rsidR="00BE01F5" w:rsidRPr="00313A23" w14:paraId="5CF389EC" w14:textId="77777777" w:rsidTr="00F83FA0">
        <w:tc>
          <w:tcPr>
            <w:tcW w:w="667" w:type="pct"/>
          </w:tcPr>
          <w:p w14:paraId="5B0E6F90" w14:textId="77777777" w:rsidR="00BE01F5" w:rsidRPr="00C675AE" w:rsidRDefault="00BE01F5">
            <w:pPr>
              <w:pStyle w:val="CGCTablerow"/>
              <w:keepNext/>
              <w:keepLines/>
              <w:rPr>
                <w:rFonts w:cs="Open Sans Light"/>
              </w:rPr>
            </w:pPr>
            <w:r w:rsidRPr="00C675AE">
              <w:rPr>
                <w:rFonts w:cs="Open Sans Light"/>
              </w:rPr>
              <w:t>Schools (net)</w:t>
            </w:r>
          </w:p>
        </w:tc>
        <w:tc>
          <w:tcPr>
            <w:tcW w:w="1330" w:type="pct"/>
          </w:tcPr>
          <w:p w14:paraId="53DADB73" w14:textId="1D94B9A2" w:rsidR="00BE01F5" w:rsidRPr="00C675AE" w:rsidRDefault="00BE01F5">
            <w:pPr>
              <w:pStyle w:val="CGCTablerow"/>
              <w:keepNext/>
              <w:keepLines/>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Pr>
                <w:rFonts w:cs="Open Sans Light"/>
              </w:rPr>
              <w:t>*</w:t>
            </w:r>
            <w:r w:rsidRPr="00C675AE">
              <w:rPr>
                <w:rFonts w:cs="Open Sans Light"/>
              </w:rPr>
              <w:t xml:space="preserve">, except 1241 Depreciation of fixed produced assets (non-defence), 1242 Depreciation of fixed assets (defence), 1271 Interest on defined benefit superannuation and 1279 Interest expenses </w:t>
            </w:r>
            <w:proofErr w:type="spellStart"/>
            <w:r w:rsidRPr="00C675AE">
              <w:rPr>
                <w:rFonts w:cs="Open Sans Light"/>
              </w:rPr>
              <w:t>n.e.c.</w:t>
            </w:r>
            <w:proofErr w:type="spellEnd"/>
          </w:p>
          <w:p w14:paraId="0E21B973" w14:textId="76E938AF" w:rsidR="00BE01F5" w:rsidRPr="00C675AE" w:rsidRDefault="00A55110">
            <w:pPr>
              <w:pStyle w:val="CGCTablerow"/>
              <w:keepNext/>
              <w:keepLines/>
              <w:rPr>
                <w:rFonts w:cs="Open Sans Light"/>
              </w:rPr>
            </w:pPr>
            <w:r>
              <w:rPr>
                <w:rFonts w:cs="Open Sans Light"/>
              </w:rPr>
              <w:br/>
            </w:r>
            <w:r w:rsidR="00BE01F5" w:rsidRPr="00C675AE">
              <w:rPr>
                <w:rFonts w:cs="Open Sans Light"/>
              </w:rPr>
              <w:t xml:space="preserve">User charges </w:t>
            </w:r>
            <w:r w:rsidR="00435263">
              <w:rPr>
                <w:rFonts w:cs="Open Sans Light"/>
              </w:rPr>
              <w:t>–</w:t>
            </w:r>
            <w:r w:rsidR="00BE01F5" w:rsidRPr="00C675AE">
              <w:rPr>
                <w:rFonts w:cs="Open Sans Light"/>
              </w:rPr>
              <w:t xml:space="preserve"> 112* Sales of goods and services</w:t>
            </w:r>
          </w:p>
        </w:tc>
        <w:tc>
          <w:tcPr>
            <w:tcW w:w="2148" w:type="pct"/>
          </w:tcPr>
          <w:p w14:paraId="3ED42F1E" w14:textId="77777777" w:rsidR="00BE01F5" w:rsidRPr="00C675AE" w:rsidRDefault="00BE01F5">
            <w:pPr>
              <w:pStyle w:val="CGCTablerow"/>
              <w:keepNext/>
              <w:keepLines/>
              <w:rPr>
                <w:rFonts w:cs="Open Sans Light"/>
              </w:rPr>
            </w:pPr>
            <w:r w:rsidRPr="00C675AE">
              <w:rPr>
                <w:rFonts w:cs="Open Sans Light"/>
              </w:rPr>
              <w:t>0911 Government pre-primary education</w:t>
            </w:r>
          </w:p>
          <w:p w14:paraId="6D207088" w14:textId="77777777" w:rsidR="00BE01F5" w:rsidRPr="00C675AE" w:rsidRDefault="00BE01F5">
            <w:pPr>
              <w:pStyle w:val="CGCTablerow"/>
              <w:ind w:left="397" w:hanging="397"/>
              <w:rPr>
                <w:rFonts w:cs="Open Sans Light"/>
              </w:rPr>
            </w:pPr>
            <w:r w:rsidRPr="00C675AE">
              <w:rPr>
                <w:rFonts w:cs="Open Sans Light"/>
              </w:rPr>
              <w:t xml:space="preserve">0912 </w:t>
            </w:r>
            <w:proofErr w:type="gramStart"/>
            <w:r w:rsidRPr="00C675AE">
              <w:rPr>
                <w:rFonts w:cs="Open Sans Light"/>
              </w:rPr>
              <w:t>Non-government</w:t>
            </w:r>
            <w:proofErr w:type="gramEnd"/>
            <w:r w:rsidRPr="00C675AE">
              <w:rPr>
                <w:rFonts w:cs="Open Sans Light"/>
              </w:rPr>
              <w:t xml:space="preserve"> pre-primary education</w:t>
            </w:r>
          </w:p>
          <w:p w14:paraId="1089FB0F" w14:textId="77777777" w:rsidR="00BE01F5" w:rsidRPr="00C675AE" w:rsidRDefault="00BE01F5">
            <w:pPr>
              <w:pStyle w:val="CGCTablerow"/>
              <w:keepNext/>
              <w:keepLines/>
              <w:rPr>
                <w:rFonts w:cs="Open Sans Light"/>
              </w:rPr>
            </w:pPr>
            <w:r w:rsidRPr="00C675AE">
              <w:rPr>
                <w:rFonts w:cs="Open Sans Light"/>
              </w:rPr>
              <w:t>0913 Government primary education</w:t>
            </w:r>
          </w:p>
          <w:p w14:paraId="1871266C" w14:textId="77777777" w:rsidR="00BE01F5" w:rsidRPr="00C675AE" w:rsidRDefault="00BE01F5">
            <w:pPr>
              <w:pStyle w:val="CGCTablerow"/>
              <w:keepNext/>
              <w:keepLines/>
              <w:rPr>
                <w:rFonts w:cs="Open Sans Light"/>
              </w:rPr>
            </w:pPr>
            <w:r w:rsidRPr="00C675AE">
              <w:rPr>
                <w:rFonts w:cs="Open Sans Light"/>
              </w:rPr>
              <w:t xml:space="preserve">0914 </w:t>
            </w:r>
            <w:proofErr w:type="gramStart"/>
            <w:r w:rsidRPr="00C675AE">
              <w:rPr>
                <w:rFonts w:cs="Open Sans Light"/>
              </w:rPr>
              <w:t>Non-government</w:t>
            </w:r>
            <w:proofErr w:type="gramEnd"/>
            <w:r w:rsidRPr="00C675AE">
              <w:rPr>
                <w:rFonts w:cs="Open Sans Light"/>
              </w:rPr>
              <w:t xml:space="preserve"> primary education</w:t>
            </w:r>
          </w:p>
          <w:p w14:paraId="47DBCB03" w14:textId="77777777" w:rsidR="00BE01F5" w:rsidRPr="00C675AE" w:rsidRDefault="00BE01F5">
            <w:pPr>
              <w:pStyle w:val="CGCTablerow"/>
              <w:keepNext/>
              <w:keepLines/>
              <w:rPr>
                <w:rFonts w:cs="Open Sans Light"/>
              </w:rPr>
            </w:pPr>
            <w:r w:rsidRPr="00C675AE">
              <w:rPr>
                <w:rFonts w:cs="Open Sans Light"/>
              </w:rPr>
              <w:t>0921 Government secondary education</w:t>
            </w:r>
          </w:p>
          <w:p w14:paraId="5607FA65" w14:textId="77777777" w:rsidR="00BE01F5" w:rsidRPr="00C675AE" w:rsidRDefault="00BE01F5">
            <w:pPr>
              <w:pStyle w:val="CGCTablerow"/>
              <w:keepNext/>
              <w:keepLines/>
              <w:rPr>
                <w:rFonts w:cs="Open Sans Light"/>
              </w:rPr>
            </w:pPr>
            <w:r w:rsidRPr="00C675AE">
              <w:rPr>
                <w:rFonts w:cs="Open Sans Light"/>
              </w:rPr>
              <w:t xml:space="preserve">0922 </w:t>
            </w:r>
            <w:proofErr w:type="gramStart"/>
            <w:r w:rsidRPr="00C675AE">
              <w:rPr>
                <w:rFonts w:cs="Open Sans Light"/>
              </w:rPr>
              <w:t>Non-government</w:t>
            </w:r>
            <w:proofErr w:type="gramEnd"/>
            <w:r w:rsidRPr="00C675AE">
              <w:rPr>
                <w:rFonts w:cs="Open Sans Light"/>
              </w:rPr>
              <w:t xml:space="preserve"> secondary education</w:t>
            </w:r>
          </w:p>
          <w:p w14:paraId="0B1DD966" w14:textId="77777777" w:rsidR="00BE01F5" w:rsidRPr="00C675AE" w:rsidRDefault="00BE01F5">
            <w:pPr>
              <w:pStyle w:val="CGCTablerow"/>
              <w:keepNext/>
              <w:keepLines/>
              <w:rPr>
                <w:rFonts w:cs="Open Sans Light"/>
              </w:rPr>
            </w:pPr>
            <w:r w:rsidRPr="00C675AE">
              <w:rPr>
                <w:rFonts w:cs="Open Sans Light"/>
              </w:rPr>
              <w:t xml:space="preserve">0949 Education not definable by level </w:t>
            </w:r>
            <w:proofErr w:type="spellStart"/>
            <w:r w:rsidRPr="00C675AE">
              <w:rPr>
                <w:rFonts w:cs="Open Sans Light"/>
              </w:rPr>
              <w:t>n.e.c.</w:t>
            </w:r>
            <w:proofErr w:type="spellEnd"/>
          </w:p>
          <w:p w14:paraId="1329D654" w14:textId="77777777" w:rsidR="00BE01F5" w:rsidRPr="00C675AE" w:rsidRDefault="00BE01F5">
            <w:pPr>
              <w:pStyle w:val="CGCTablerow"/>
              <w:keepNext/>
              <w:keepLines/>
              <w:rPr>
                <w:rFonts w:cs="Open Sans Light"/>
              </w:rPr>
            </w:pPr>
            <w:r w:rsidRPr="00C675AE">
              <w:rPr>
                <w:rFonts w:cs="Open Sans Light"/>
              </w:rPr>
              <w:t xml:space="preserve">0959 Subsidiary services to education </w:t>
            </w:r>
            <w:proofErr w:type="spellStart"/>
            <w:r w:rsidRPr="00C675AE">
              <w:rPr>
                <w:rFonts w:cs="Open Sans Light"/>
              </w:rPr>
              <w:t>n.e.c.</w:t>
            </w:r>
            <w:proofErr w:type="spellEnd"/>
          </w:p>
          <w:p w14:paraId="471017CD" w14:textId="77777777" w:rsidR="00BE01F5" w:rsidRPr="00C675AE" w:rsidRDefault="00BE01F5">
            <w:pPr>
              <w:pStyle w:val="CGCTablerow"/>
              <w:keepNext/>
              <w:keepLines/>
              <w:rPr>
                <w:rFonts w:cs="Open Sans Light"/>
              </w:rPr>
            </w:pPr>
            <w:r w:rsidRPr="00C675AE">
              <w:rPr>
                <w:rFonts w:cs="Open Sans Light"/>
              </w:rPr>
              <w:t xml:space="preserve">0961 R&amp;D - Education </w:t>
            </w:r>
          </w:p>
          <w:p w14:paraId="4F6DF1A8" w14:textId="77777777" w:rsidR="00BE01F5" w:rsidRPr="00C675AE" w:rsidRDefault="00BE01F5">
            <w:pPr>
              <w:pStyle w:val="CGCTablerow"/>
              <w:keepNext/>
              <w:keepLines/>
              <w:rPr>
                <w:rFonts w:cs="Open Sans Light"/>
              </w:rPr>
            </w:pPr>
            <w:r w:rsidRPr="00C675AE">
              <w:rPr>
                <w:rFonts w:cs="Open Sans Light"/>
              </w:rPr>
              <w:t>0991 Special education</w:t>
            </w:r>
          </w:p>
          <w:p w14:paraId="47DCA03C" w14:textId="77777777" w:rsidR="00BE01F5" w:rsidRPr="00C675AE" w:rsidRDefault="00BE01F5">
            <w:pPr>
              <w:pStyle w:val="CGCTablerow"/>
              <w:keepNext/>
              <w:keepLines/>
              <w:rPr>
                <w:rFonts w:cs="Open Sans Light"/>
              </w:rPr>
            </w:pPr>
            <w:r w:rsidRPr="00C675AE">
              <w:rPr>
                <w:rFonts w:cs="Open Sans Light"/>
              </w:rPr>
              <w:t xml:space="preserve">0999 Education </w:t>
            </w:r>
            <w:proofErr w:type="spellStart"/>
            <w:r w:rsidRPr="00C675AE">
              <w:rPr>
                <w:rFonts w:cs="Open Sans Light"/>
              </w:rPr>
              <w:t>n.e.c.</w:t>
            </w:r>
            <w:proofErr w:type="spellEnd"/>
          </w:p>
        </w:tc>
        <w:tc>
          <w:tcPr>
            <w:tcW w:w="855" w:type="pct"/>
          </w:tcPr>
          <w:p w14:paraId="75FBEE58" w14:textId="77777777" w:rsidR="00BE01F5" w:rsidRPr="00C675AE" w:rsidRDefault="00BE01F5">
            <w:pPr>
              <w:pStyle w:val="CGCTablerow"/>
              <w:keepNext/>
              <w:keepLines/>
              <w:rPr>
                <w:rFonts w:cs="Open Sans Light"/>
              </w:rPr>
            </w:pPr>
            <w:r>
              <w:rPr>
                <w:rFonts w:cs="Open Sans Light"/>
              </w:rPr>
              <w:t>≠</w:t>
            </w:r>
            <w:r w:rsidRPr="00C675AE">
              <w:rPr>
                <w:rFonts w:cs="Open Sans Light"/>
              </w:rPr>
              <w:t>"23" &amp; own JUR</w:t>
            </w:r>
          </w:p>
        </w:tc>
      </w:tr>
      <w:tr w:rsidR="00BE01F5" w:rsidRPr="00313A23" w14:paraId="46185629" w14:textId="77777777" w:rsidTr="00F83FA0">
        <w:tc>
          <w:tcPr>
            <w:tcW w:w="667" w:type="pct"/>
          </w:tcPr>
          <w:p w14:paraId="05FF0891" w14:textId="77777777" w:rsidR="00BE01F5" w:rsidRPr="00C675AE" w:rsidRDefault="00BE01F5">
            <w:pPr>
              <w:pStyle w:val="CGCTablerow"/>
              <w:rPr>
                <w:rFonts w:cs="Open Sans Light"/>
              </w:rPr>
            </w:pPr>
            <w:r w:rsidRPr="00C675AE">
              <w:rPr>
                <w:rFonts w:cs="Open Sans Light"/>
              </w:rPr>
              <w:t>Post-secondary education (net)</w:t>
            </w:r>
          </w:p>
        </w:tc>
        <w:tc>
          <w:tcPr>
            <w:tcW w:w="1330" w:type="pct"/>
          </w:tcPr>
          <w:p w14:paraId="23F85062" w14:textId="6EBC9A22" w:rsidR="00BE01F5" w:rsidRPr="00C675AE" w:rsidRDefault="00BE01F5">
            <w:pPr>
              <w:pStyle w:val="CGCTablerow"/>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Pr>
                <w:rFonts w:cs="Open Sans Light"/>
              </w:rPr>
              <w:t>*</w:t>
            </w:r>
            <w:r w:rsidRPr="00C675AE">
              <w:rPr>
                <w:rFonts w:cs="Open Sans Light"/>
              </w:rPr>
              <w:t>, except 1241, 1242, 1271, and 1279</w:t>
            </w:r>
          </w:p>
          <w:p w14:paraId="083091CD" w14:textId="368195F5" w:rsidR="00BE01F5" w:rsidRPr="00C675AE" w:rsidRDefault="00152AD5">
            <w:pPr>
              <w:pStyle w:val="CGCTablerow"/>
              <w:rPr>
                <w:rFonts w:cs="Open Sans Light"/>
              </w:rPr>
            </w:pPr>
            <w:r>
              <w:rPr>
                <w:rFonts w:cs="Open Sans Light"/>
              </w:rPr>
              <w:br/>
            </w:r>
            <w:r w:rsidR="00BE01F5" w:rsidRPr="00C675AE">
              <w:rPr>
                <w:rFonts w:cs="Open Sans Light"/>
              </w:rPr>
              <w:t xml:space="preserve">User charges </w:t>
            </w:r>
            <w:r w:rsidR="00435263">
              <w:rPr>
                <w:rFonts w:cs="Open Sans Light"/>
              </w:rPr>
              <w:t>–</w:t>
            </w:r>
            <w:r w:rsidR="00BE01F5" w:rsidRPr="00C675AE">
              <w:rPr>
                <w:rFonts w:cs="Open Sans Light"/>
              </w:rPr>
              <w:t xml:space="preserve"> 112* Sales of goods and services</w:t>
            </w:r>
          </w:p>
        </w:tc>
        <w:tc>
          <w:tcPr>
            <w:tcW w:w="2148" w:type="pct"/>
          </w:tcPr>
          <w:p w14:paraId="4A5622EA" w14:textId="77777777" w:rsidR="00BE01F5" w:rsidRPr="00C675AE" w:rsidRDefault="00BE01F5">
            <w:pPr>
              <w:pStyle w:val="CGCTablerow"/>
              <w:rPr>
                <w:rFonts w:cs="Open Sans Light"/>
              </w:rPr>
            </w:pPr>
            <w:r w:rsidRPr="00C675AE">
              <w:rPr>
                <w:rFonts w:cs="Open Sans Light"/>
              </w:rPr>
              <w:t>0931 University education</w:t>
            </w:r>
          </w:p>
          <w:p w14:paraId="658642BF" w14:textId="77777777" w:rsidR="00BE01F5" w:rsidRPr="00C675AE" w:rsidRDefault="00BE01F5">
            <w:pPr>
              <w:pStyle w:val="CGCTablerow"/>
              <w:rPr>
                <w:rFonts w:cs="Open Sans Light"/>
              </w:rPr>
            </w:pPr>
            <w:r w:rsidRPr="00C675AE">
              <w:rPr>
                <w:rFonts w:cs="Open Sans Light"/>
              </w:rPr>
              <w:t>0932 Vocational education and training</w:t>
            </w:r>
          </w:p>
          <w:p w14:paraId="6ABB8E1F" w14:textId="77777777" w:rsidR="00BE01F5" w:rsidRPr="00C675AE" w:rsidRDefault="00BE01F5">
            <w:pPr>
              <w:pStyle w:val="CGCTablerow"/>
              <w:rPr>
                <w:rFonts w:cs="Open Sans Light"/>
              </w:rPr>
            </w:pPr>
            <w:r w:rsidRPr="00C675AE">
              <w:rPr>
                <w:rFonts w:cs="Open Sans Light"/>
              </w:rPr>
              <w:t>0941 Apprenticeships and traineeships</w:t>
            </w:r>
          </w:p>
        </w:tc>
        <w:tc>
          <w:tcPr>
            <w:tcW w:w="855" w:type="pct"/>
          </w:tcPr>
          <w:p w14:paraId="38483B51" w14:textId="77777777" w:rsidR="00BE01F5" w:rsidRPr="00C675AE" w:rsidRDefault="00BE01F5">
            <w:pPr>
              <w:pStyle w:val="CGCTablerow"/>
              <w:rPr>
                <w:rFonts w:cs="Open Sans Light"/>
              </w:rPr>
            </w:pPr>
            <w:r>
              <w:rPr>
                <w:rFonts w:cs="Open Sans Light"/>
              </w:rPr>
              <w:t>≠</w:t>
            </w:r>
            <w:r w:rsidRPr="00C675AE">
              <w:rPr>
                <w:rFonts w:cs="Open Sans Light"/>
              </w:rPr>
              <w:t>"23" &amp; own JUR</w:t>
            </w:r>
          </w:p>
        </w:tc>
      </w:tr>
      <w:tr w:rsidR="00BE01F5" w:rsidRPr="00313A23" w14:paraId="76D4F3C3" w14:textId="77777777" w:rsidTr="00F83FA0">
        <w:tc>
          <w:tcPr>
            <w:tcW w:w="667" w:type="pct"/>
          </w:tcPr>
          <w:p w14:paraId="2EAE4487" w14:textId="77777777" w:rsidR="00BE01F5" w:rsidRPr="00C675AE" w:rsidRDefault="00BE01F5">
            <w:pPr>
              <w:pStyle w:val="CGCTablerow"/>
              <w:rPr>
                <w:rFonts w:cs="Open Sans Light"/>
              </w:rPr>
            </w:pPr>
            <w:r w:rsidRPr="00C675AE">
              <w:rPr>
                <w:rFonts w:cs="Open Sans Light"/>
              </w:rPr>
              <w:t>Health (net)</w:t>
            </w:r>
          </w:p>
        </w:tc>
        <w:tc>
          <w:tcPr>
            <w:tcW w:w="1330" w:type="pct"/>
          </w:tcPr>
          <w:p w14:paraId="6E87BC84" w14:textId="4BEE5731" w:rsidR="00BE01F5" w:rsidRPr="00C675AE" w:rsidRDefault="00BE01F5">
            <w:pPr>
              <w:pStyle w:val="CGCTablerow"/>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Pr>
                <w:rFonts w:cs="Open Sans Light"/>
              </w:rPr>
              <w:t>*</w:t>
            </w:r>
            <w:r w:rsidRPr="00C675AE">
              <w:rPr>
                <w:rFonts w:cs="Open Sans Light"/>
              </w:rPr>
              <w:t xml:space="preserve">, except 1241, 1242, 1271, and 1279 </w:t>
            </w:r>
          </w:p>
          <w:p w14:paraId="68580D1C" w14:textId="7A6D6657" w:rsidR="00BE01F5" w:rsidRPr="00C675AE" w:rsidRDefault="00152AD5">
            <w:pPr>
              <w:pStyle w:val="CGCTablerow"/>
              <w:rPr>
                <w:rFonts w:cs="Open Sans Light"/>
              </w:rPr>
            </w:pPr>
            <w:r>
              <w:rPr>
                <w:rFonts w:cs="Open Sans Light"/>
              </w:rPr>
              <w:br/>
            </w:r>
            <w:r w:rsidR="00BE01F5" w:rsidRPr="00C675AE">
              <w:rPr>
                <w:rFonts w:cs="Open Sans Light"/>
              </w:rPr>
              <w:t xml:space="preserve">User charges </w:t>
            </w:r>
            <w:r w:rsidR="00435263">
              <w:rPr>
                <w:rFonts w:cs="Open Sans Light"/>
              </w:rPr>
              <w:t>–</w:t>
            </w:r>
            <w:r w:rsidR="00BE01F5" w:rsidRPr="00C675AE">
              <w:rPr>
                <w:rFonts w:cs="Open Sans Light"/>
              </w:rPr>
              <w:t xml:space="preserve"> 112* Sales of goods and services</w:t>
            </w:r>
          </w:p>
        </w:tc>
        <w:tc>
          <w:tcPr>
            <w:tcW w:w="2148" w:type="pct"/>
          </w:tcPr>
          <w:p w14:paraId="14FBE070" w14:textId="77777777" w:rsidR="00BE01F5" w:rsidRPr="00C675AE" w:rsidRDefault="00BE01F5">
            <w:pPr>
              <w:pStyle w:val="CGCTablerow"/>
              <w:ind w:left="397" w:hanging="397"/>
              <w:rPr>
                <w:rFonts w:cs="Open Sans Light"/>
              </w:rPr>
            </w:pPr>
            <w:r w:rsidRPr="00C675AE">
              <w:rPr>
                <w:rFonts w:cs="Open Sans Light"/>
              </w:rPr>
              <w:t>0711 Pharmaceutical products</w:t>
            </w:r>
          </w:p>
          <w:p w14:paraId="1DDDE66E" w14:textId="77777777" w:rsidR="00BE01F5" w:rsidRPr="00C675AE" w:rsidRDefault="00BE01F5">
            <w:pPr>
              <w:pStyle w:val="CGCTablerow"/>
              <w:ind w:left="397" w:hanging="397"/>
              <w:rPr>
                <w:rFonts w:cs="Open Sans Light"/>
              </w:rPr>
            </w:pPr>
            <w:r w:rsidRPr="00C675AE">
              <w:rPr>
                <w:rFonts w:cs="Open Sans Light"/>
              </w:rPr>
              <w:t>0712 Other medical products</w:t>
            </w:r>
          </w:p>
          <w:p w14:paraId="64DDD736" w14:textId="77777777" w:rsidR="00BE01F5" w:rsidRPr="00C675AE" w:rsidRDefault="00BE01F5">
            <w:pPr>
              <w:pStyle w:val="CGCTablerow"/>
              <w:ind w:left="397" w:hanging="397"/>
              <w:rPr>
                <w:rFonts w:cs="Open Sans Light"/>
              </w:rPr>
            </w:pPr>
            <w:r w:rsidRPr="00C675AE">
              <w:rPr>
                <w:rFonts w:cs="Open Sans Light"/>
              </w:rPr>
              <w:t>0713 Therapeutic appliances and equipment</w:t>
            </w:r>
          </w:p>
          <w:p w14:paraId="2D9616DF" w14:textId="77777777" w:rsidR="00BE01F5" w:rsidRPr="00C675AE" w:rsidRDefault="00BE01F5">
            <w:pPr>
              <w:pStyle w:val="CGCTablerow"/>
              <w:ind w:left="397" w:hanging="397"/>
              <w:rPr>
                <w:rFonts w:cs="Open Sans Light"/>
              </w:rPr>
            </w:pPr>
            <w:r w:rsidRPr="00C675AE">
              <w:rPr>
                <w:rFonts w:cs="Open Sans Light"/>
              </w:rPr>
              <w:t>0721 General medical services</w:t>
            </w:r>
          </w:p>
          <w:p w14:paraId="71F84432" w14:textId="77777777" w:rsidR="00BE01F5" w:rsidRPr="00C675AE" w:rsidRDefault="00BE01F5">
            <w:pPr>
              <w:pStyle w:val="CGCTablerow"/>
              <w:ind w:left="397" w:hanging="397"/>
              <w:rPr>
                <w:rFonts w:cs="Open Sans Light"/>
              </w:rPr>
            </w:pPr>
            <w:r w:rsidRPr="00C675AE">
              <w:rPr>
                <w:rFonts w:cs="Open Sans Light"/>
              </w:rPr>
              <w:t>0722 Specialised medical services</w:t>
            </w:r>
          </w:p>
          <w:p w14:paraId="32FA15C0" w14:textId="129F2969" w:rsidR="00D32776" w:rsidRPr="00C675AE" w:rsidRDefault="00BE01F5" w:rsidP="00D32776">
            <w:pPr>
              <w:pStyle w:val="CGCTablerow"/>
              <w:ind w:left="397" w:hanging="397"/>
              <w:rPr>
                <w:rFonts w:cs="Open Sans Light"/>
              </w:rPr>
            </w:pPr>
            <w:r w:rsidRPr="00C675AE">
              <w:rPr>
                <w:rFonts w:cs="Open Sans Light"/>
              </w:rPr>
              <w:t>0723 Dental services</w:t>
            </w:r>
          </w:p>
        </w:tc>
        <w:tc>
          <w:tcPr>
            <w:tcW w:w="855" w:type="pct"/>
          </w:tcPr>
          <w:p w14:paraId="3F212D55" w14:textId="77777777" w:rsidR="00BE01F5" w:rsidRPr="00C675AE" w:rsidRDefault="00BE01F5">
            <w:pPr>
              <w:pStyle w:val="CGCTablerow"/>
              <w:rPr>
                <w:rFonts w:cs="Open Sans Light"/>
              </w:rPr>
            </w:pPr>
            <w:r>
              <w:rPr>
                <w:rFonts w:cs="Open Sans Light"/>
              </w:rPr>
              <w:t>≠</w:t>
            </w:r>
            <w:r w:rsidRPr="00C675AE">
              <w:rPr>
                <w:rFonts w:cs="Open Sans Light"/>
              </w:rPr>
              <w:t>"23" &amp; own JUR</w:t>
            </w:r>
          </w:p>
        </w:tc>
      </w:tr>
      <w:tr w:rsidR="00AD6793" w:rsidRPr="00F77760" w14:paraId="0BCB1328" w14:textId="77777777" w:rsidTr="00F83FA0">
        <w:trPr>
          <w:trHeight w:val="376"/>
        </w:trPr>
        <w:tc>
          <w:tcPr>
            <w:tcW w:w="667" w:type="pct"/>
            <w:shd w:val="clear" w:color="auto" w:fill="006991"/>
            <w:vAlign w:val="center"/>
          </w:tcPr>
          <w:p w14:paraId="6FBB79F6" w14:textId="77777777" w:rsidR="00AD6793" w:rsidRPr="00F77760" w:rsidRDefault="00AD6793">
            <w:pPr>
              <w:pStyle w:val="CGCTableheader"/>
              <w:spacing w:before="40" w:after="40"/>
              <w:jc w:val="left"/>
              <w:rPr>
                <w:rFonts w:ascii="Open Sans Semibold" w:hAnsi="Open Sans Semibold" w:cs="Open Sans Semibold"/>
                <w:b w:val="0"/>
              </w:rPr>
            </w:pPr>
            <w:bookmarkStart w:id="18" w:name="_Hlk181178106"/>
            <w:r w:rsidRPr="00F77760">
              <w:rPr>
                <w:rFonts w:ascii="Open Sans Semibold" w:hAnsi="Open Sans Semibold" w:cs="Open Sans Semibold"/>
                <w:b w:val="0"/>
              </w:rPr>
              <w:lastRenderedPageBreak/>
              <w:t>Category</w:t>
            </w:r>
          </w:p>
        </w:tc>
        <w:tc>
          <w:tcPr>
            <w:tcW w:w="1330" w:type="pct"/>
            <w:shd w:val="clear" w:color="auto" w:fill="006991"/>
            <w:vAlign w:val="center"/>
          </w:tcPr>
          <w:p w14:paraId="0642D2E0" w14:textId="77777777" w:rsidR="00AD6793" w:rsidRPr="00F77760" w:rsidRDefault="00AD6793">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4CA07C45" w14:textId="77777777" w:rsidR="00AD6793" w:rsidRPr="00F77760" w:rsidRDefault="00AD6793">
            <w:pPr>
              <w:pStyle w:val="CGCTableheader"/>
              <w:spacing w:before="40" w:after="40"/>
              <w:jc w:val="left"/>
              <w:rPr>
                <w:rFonts w:ascii="Open Sans Semibold" w:hAnsi="Open Sans Semibold" w:cs="Open Sans Semibold"/>
                <w:b w:val="0"/>
              </w:rPr>
            </w:pPr>
            <w:r w:rsidRPr="003B40D1">
              <w:rPr>
                <w:rFonts w:ascii="Open Sans Semibold" w:hAnsi="Open Sans Semibold" w:cs="Open Sans Semibold"/>
                <w:b w:val="0"/>
              </w:rPr>
              <w:t>COFOG-A</w:t>
            </w:r>
          </w:p>
        </w:tc>
        <w:tc>
          <w:tcPr>
            <w:tcW w:w="855" w:type="pct"/>
            <w:shd w:val="clear" w:color="auto" w:fill="006991"/>
            <w:vAlign w:val="center"/>
          </w:tcPr>
          <w:p w14:paraId="43CC32F1" w14:textId="77777777" w:rsidR="00AD6793" w:rsidRPr="00F77760" w:rsidRDefault="00AD6793">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AD6793" w:rsidRPr="002744DB" w14:paraId="1552012B" w14:textId="77777777" w:rsidTr="00F83FA0">
        <w:tc>
          <w:tcPr>
            <w:tcW w:w="5000" w:type="pct"/>
            <w:gridSpan w:val="4"/>
            <w:shd w:val="clear" w:color="auto" w:fill="B6D5E4"/>
          </w:tcPr>
          <w:p w14:paraId="08AAA393" w14:textId="6A5796D5" w:rsidR="00AD6793" w:rsidRPr="002744DB" w:rsidRDefault="00AD6793">
            <w:pPr>
              <w:pStyle w:val="CGCTablesubhead1"/>
              <w:rPr>
                <w:rFonts w:cs="Open Sans Semibold"/>
              </w:rPr>
            </w:pPr>
            <w:r w:rsidRPr="003B40D1">
              <w:rPr>
                <w:rFonts w:cs="Open Sans Semibold"/>
              </w:rPr>
              <w:t>Expenses</w:t>
            </w:r>
            <w:r w:rsidR="00FD6ED6">
              <w:rPr>
                <w:rFonts w:cs="Open Sans Semibold"/>
              </w:rPr>
              <w:t xml:space="preserve"> (continued)</w:t>
            </w:r>
          </w:p>
        </w:tc>
      </w:tr>
      <w:bookmarkEnd w:id="18"/>
      <w:tr w:rsidR="00BE01F5" w:rsidRPr="00313A23" w14:paraId="15B47A3F" w14:textId="77777777" w:rsidTr="00F83FA0">
        <w:tc>
          <w:tcPr>
            <w:tcW w:w="667" w:type="pct"/>
          </w:tcPr>
          <w:p w14:paraId="6C2341CF" w14:textId="4B6CE29A" w:rsidR="00BE01F5" w:rsidRPr="00C675AE" w:rsidRDefault="008E66E0">
            <w:pPr>
              <w:pStyle w:val="CGCTablerow"/>
              <w:rPr>
                <w:rFonts w:cs="Open Sans Light"/>
              </w:rPr>
            </w:pPr>
            <w:r w:rsidRPr="008E66E0">
              <w:rPr>
                <w:rFonts w:cs="Open Sans Light"/>
              </w:rPr>
              <w:t xml:space="preserve">Health </w:t>
            </w:r>
            <w:r w:rsidR="00636747">
              <w:rPr>
                <w:rFonts w:cs="Open Sans Light"/>
              </w:rPr>
              <w:t>(</w:t>
            </w:r>
            <w:r>
              <w:rPr>
                <w:rFonts w:cs="Open Sans Light"/>
              </w:rPr>
              <w:t>continued</w:t>
            </w:r>
            <w:r w:rsidRPr="008E66E0">
              <w:rPr>
                <w:rFonts w:cs="Open Sans Light"/>
              </w:rPr>
              <w:t>)</w:t>
            </w:r>
          </w:p>
        </w:tc>
        <w:tc>
          <w:tcPr>
            <w:tcW w:w="1330" w:type="pct"/>
          </w:tcPr>
          <w:p w14:paraId="1FA09CB6" w14:textId="77777777" w:rsidR="00BE01F5" w:rsidRPr="00C675AE" w:rsidRDefault="00BE01F5">
            <w:pPr>
              <w:pStyle w:val="CGCTablerow"/>
              <w:rPr>
                <w:rFonts w:cs="Open Sans Light"/>
              </w:rPr>
            </w:pPr>
          </w:p>
        </w:tc>
        <w:tc>
          <w:tcPr>
            <w:tcW w:w="2148" w:type="pct"/>
          </w:tcPr>
          <w:p w14:paraId="07936881" w14:textId="77777777" w:rsidR="00D32776" w:rsidRDefault="00DE15D5" w:rsidP="00FB7D23">
            <w:pPr>
              <w:pStyle w:val="CGCTablerow"/>
              <w:ind w:left="397" w:hanging="397"/>
              <w:rPr>
                <w:rFonts w:cs="Open Sans Light"/>
              </w:rPr>
            </w:pPr>
            <w:r w:rsidRPr="00C675AE">
              <w:rPr>
                <w:rFonts w:cs="Open Sans Light"/>
              </w:rPr>
              <w:t>0724 Paramedical services</w:t>
            </w:r>
            <w:r w:rsidRPr="00FB7D23">
              <w:rPr>
                <w:rFonts w:cs="Open Sans Light"/>
              </w:rPr>
              <w:t xml:space="preserve"> </w:t>
            </w:r>
          </w:p>
          <w:p w14:paraId="5770EB53" w14:textId="66167BAC" w:rsidR="00FB7D23" w:rsidRPr="00FB7D23" w:rsidRDefault="00FB7D23" w:rsidP="00FB7D23">
            <w:pPr>
              <w:pStyle w:val="CGCTablerow"/>
              <w:ind w:left="397" w:hanging="397"/>
              <w:rPr>
                <w:rFonts w:cs="Open Sans Light"/>
              </w:rPr>
            </w:pPr>
            <w:r w:rsidRPr="00FB7D23">
              <w:rPr>
                <w:rFonts w:cs="Open Sans Light"/>
              </w:rPr>
              <w:t>0731 General hospital services</w:t>
            </w:r>
          </w:p>
          <w:p w14:paraId="2200C637" w14:textId="77777777" w:rsidR="00FB7D23" w:rsidRPr="00FB7D23" w:rsidRDefault="00FB7D23" w:rsidP="00FB7D23">
            <w:pPr>
              <w:pStyle w:val="CGCTablerow"/>
              <w:ind w:left="397" w:hanging="397"/>
              <w:rPr>
                <w:rFonts w:cs="Open Sans Light"/>
              </w:rPr>
            </w:pPr>
            <w:r w:rsidRPr="00FB7D23">
              <w:rPr>
                <w:rFonts w:cs="Open Sans Light"/>
              </w:rPr>
              <w:t>0732 Specialised hospital services</w:t>
            </w:r>
          </w:p>
          <w:p w14:paraId="0D88FCED" w14:textId="77777777" w:rsidR="00774DE6" w:rsidRDefault="00FB7D23" w:rsidP="00FB7D23">
            <w:pPr>
              <w:pStyle w:val="CGCTablerow"/>
              <w:ind w:left="397" w:hanging="397"/>
              <w:rPr>
                <w:rFonts w:cs="Open Sans Light"/>
              </w:rPr>
            </w:pPr>
            <w:r w:rsidRPr="00FB7D23">
              <w:rPr>
                <w:rFonts w:cs="Open Sans Light"/>
              </w:rPr>
              <w:t>0733 Medical and maternity centre services</w:t>
            </w:r>
          </w:p>
          <w:p w14:paraId="7BB29FB3" w14:textId="74B2E1AF" w:rsidR="00A55110" w:rsidRDefault="00A55110" w:rsidP="00FB7D23">
            <w:pPr>
              <w:pStyle w:val="CGCTablerow"/>
              <w:ind w:left="397" w:hanging="397"/>
              <w:rPr>
                <w:rFonts w:cs="Open Sans Light"/>
              </w:rPr>
            </w:pPr>
            <w:r w:rsidRPr="00A55110">
              <w:rPr>
                <w:rFonts w:cs="Open Sans Light"/>
              </w:rPr>
              <w:t>0734 Nursing and convalescent home services</w:t>
            </w:r>
          </w:p>
          <w:p w14:paraId="030D681B" w14:textId="5034266A" w:rsidR="00BE01F5" w:rsidRPr="00BE01F5" w:rsidRDefault="00BE01F5" w:rsidP="00BE01F5">
            <w:pPr>
              <w:pStyle w:val="CGCTablerow"/>
              <w:ind w:left="397" w:hanging="397"/>
              <w:rPr>
                <w:rFonts w:cs="Open Sans Light"/>
              </w:rPr>
            </w:pPr>
            <w:r w:rsidRPr="00BE01F5">
              <w:rPr>
                <w:rFonts w:cs="Open Sans Light"/>
              </w:rPr>
              <w:t xml:space="preserve">0741 Mental health institutions </w:t>
            </w:r>
          </w:p>
          <w:p w14:paraId="345F832A" w14:textId="77777777" w:rsidR="00BE01F5" w:rsidRPr="00BE01F5" w:rsidRDefault="00BE01F5" w:rsidP="00BE01F5">
            <w:pPr>
              <w:pStyle w:val="CGCTablerow"/>
              <w:ind w:left="397" w:hanging="397"/>
              <w:rPr>
                <w:rFonts w:cs="Open Sans Light"/>
              </w:rPr>
            </w:pPr>
            <w:r w:rsidRPr="00BE01F5">
              <w:rPr>
                <w:rFonts w:cs="Open Sans Light"/>
              </w:rPr>
              <w:t>0751 Community mental health services</w:t>
            </w:r>
          </w:p>
          <w:p w14:paraId="4F37B44E" w14:textId="77777777" w:rsidR="00BE01F5" w:rsidRPr="00BE01F5" w:rsidRDefault="00BE01F5" w:rsidP="00BE01F5">
            <w:pPr>
              <w:pStyle w:val="CGCTablerow"/>
              <w:ind w:left="397" w:hanging="397"/>
              <w:rPr>
                <w:rFonts w:cs="Open Sans Light"/>
              </w:rPr>
            </w:pPr>
            <w:r w:rsidRPr="00BE01F5">
              <w:rPr>
                <w:rFonts w:cs="Open Sans Light"/>
              </w:rPr>
              <w:t>0752 Patient transport</w:t>
            </w:r>
          </w:p>
          <w:p w14:paraId="270D0135" w14:textId="77777777" w:rsidR="00BE01F5" w:rsidRPr="00BE01F5" w:rsidRDefault="00BE01F5" w:rsidP="00BE01F5">
            <w:pPr>
              <w:pStyle w:val="CGCTablerow"/>
              <w:ind w:left="397" w:hanging="397"/>
              <w:rPr>
                <w:rFonts w:cs="Open Sans Light"/>
              </w:rPr>
            </w:pPr>
            <w:r w:rsidRPr="00BE01F5">
              <w:rPr>
                <w:rFonts w:cs="Open Sans Light"/>
              </w:rPr>
              <w:t xml:space="preserve">0759 Community health services </w:t>
            </w:r>
            <w:proofErr w:type="spellStart"/>
            <w:r w:rsidRPr="00BE01F5">
              <w:rPr>
                <w:rFonts w:cs="Open Sans Light"/>
              </w:rPr>
              <w:t>n.e.c.</w:t>
            </w:r>
            <w:proofErr w:type="spellEnd"/>
          </w:p>
          <w:p w14:paraId="38F4252C" w14:textId="77777777" w:rsidR="00BE01F5" w:rsidRPr="00BE01F5" w:rsidRDefault="00BE01F5" w:rsidP="00BE01F5">
            <w:pPr>
              <w:pStyle w:val="CGCTablerow"/>
              <w:ind w:left="397" w:hanging="397"/>
              <w:rPr>
                <w:rFonts w:cs="Open Sans Light"/>
              </w:rPr>
            </w:pPr>
            <w:r w:rsidRPr="00BE01F5">
              <w:rPr>
                <w:rFonts w:cs="Open Sans Light"/>
              </w:rPr>
              <w:t>0761 Public health services</w:t>
            </w:r>
          </w:p>
          <w:p w14:paraId="0942D770" w14:textId="77777777" w:rsidR="00BE01F5" w:rsidRPr="00BE01F5" w:rsidRDefault="00BE01F5" w:rsidP="00BE01F5">
            <w:pPr>
              <w:pStyle w:val="CGCTablerow"/>
              <w:ind w:left="397" w:hanging="397"/>
              <w:rPr>
                <w:rFonts w:cs="Open Sans Light"/>
              </w:rPr>
            </w:pPr>
            <w:r w:rsidRPr="00BE01F5">
              <w:rPr>
                <w:rFonts w:cs="Open Sans Light"/>
              </w:rPr>
              <w:t>0771 R&amp;D - health</w:t>
            </w:r>
          </w:p>
          <w:p w14:paraId="6FA8A4FE" w14:textId="644F9DFB" w:rsidR="00BE01F5" w:rsidRPr="00C675AE" w:rsidRDefault="00BE01F5" w:rsidP="00BE01F5">
            <w:pPr>
              <w:pStyle w:val="CGCTablerow"/>
              <w:ind w:left="397" w:hanging="397"/>
              <w:rPr>
                <w:rFonts w:cs="Open Sans Light"/>
              </w:rPr>
            </w:pPr>
            <w:r w:rsidRPr="00BE01F5">
              <w:rPr>
                <w:rFonts w:cs="Open Sans Light"/>
              </w:rPr>
              <w:t xml:space="preserve">0799 Health </w:t>
            </w:r>
            <w:proofErr w:type="spellStart"/>
            <w:r w:rsidRPr="00BE01F5">
              <w:rPr>
                <w:rFonts w:cs="Open Sans Light"/>
              </w:rPr>
              <w:t>n.e.c.</w:t>
            </w:r>
            <w:proofErr w:type="spellEnd"/>
          </w:p>
        </w:tc>
        <w:tc>
          <w:tcPr>
            <w:tcW w:w="855" w:type="pct"/>
          </w:tcPr>
          <w:p w14:paraId="33CE8AED" w14:textId="77777777" w:rsidR="00BE01F5" w:rsidRDefault="00BE01F5">
            <w:pPr>
              <w:pStyle w:val="CGCTablerow"/>
              <w:rPr>
                <w:rFonts w:cs="Open Sans Light"/>
              </w:rPr>
            </w:pPr>
          </w:p>
        </w:tc>
      </w:tr>
      <w:tr w:rsidR="00BE01F5" w:rsidRPr="00313A23" w14:paraId="50A8E648" w14:textId="77777777" w:rsidTr="00F83FA0">
        <w:tc>
          <w:tcPr>
            <w:tcW w:w="667" w:type="pct"/>
          </w:tcPr>
          <w:p w14:paraId="62987088" w14:textId="77777777" w:rsidR="00BE01F5" w:rsidRPr="00C675AE" w:rsidRDefault="00BE01F5">
            <w:pPr>
              <w:pStyle w:val="CGCTablerow"/>
              <w:rPr>
                <w:rFonts w:cs="Open Sans Light"/>
              </w:rPr>
            </w:pPr>
            <w:r w:rsidRPr="00C675AE">
              <w:rPr>
                <w:rFonts w:cs="Open Sans Light"/>
              </w:rPr>
              <w:t>Welfare</w:t>
            </w:r>
          </w:p>
        </w:tc>
        <w:tc>
          <w:tcPr>
            <w:tcW w:w="1330" w:type="pct"/>
          </w:tcPr>
          <w:p w14:paraId="0D21F271" w14:textId="6730EB4A" w:rsidR="00BE01F5" w:rsidRPr="00C675AE" w:rsidRDefault="00BE01F5">
            <w:pPr>
              <w:pStyle w:val="CGCTablerow"/>
              <w:keepNext/>
              <w:keepLines/>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Pr>
                <w:rFonts w:cs="Open Sans Light"/>
              </w:rPr>
              <w:t>*</w:t>
            </w:r>
            <w:r w:rsidRPr="00C675AE">
              <w:rPr>
                <w:rFonts w:cs="Open Sans Light"/>
              </w:rPr>
              <w:t>, except 1241, 1242, 1271, and 1279</w:t>
            </w:r>
          </w:p>
        </w:tc>
        <w:tc>
          <w:tcPr>
            <w:tcW w:w="2148" w:type="pct"/>
          </w:tcPr>
          <w:p w14:paraId="6A5E9524" w14:textId="77777777" w:rsidR="00BE01F5" w:rsidRPr="00C675AE" w:rsidRDefault="00BE01F5">
            <w:pPr>
              <w:pStyle w:val="CGCTablerow"/>
              <w:keepNext/>
              <w:keepLines/>
              <w:rPr>
                <w:rFonts w:cs="Open Sans Light"/>
              </w:rPr>
            </w:pPr>
            <w:r w:rsidRPr="00C675AE">
              <w:rPr>
                <w:rFonts w:cs="Open Sans Light"/>
              </w:rPr>
              <w:t>1001 Sickness</w:t>
            </w:r>
          </w:p>
          <w:p w14:paraId="498C79D8" w14:textId="77777777" w:rsidR="00BE01F5" w:rsidRPr="00C675AE" w:rsidRDefault="00BE01F5">
            <w:pPr>
              <w:pStyle w:val="CGCTablerow"/>
              <w:keepNext/>
              <w:keepLines/>
              <w:rPr>
                <w:rFonts w:cs="Open Sans Light"/>
              </w:rPr>
            </w:pPr>
            <w:r w:rsidRPr="00C675AE">
              <w:rPr>
                <w:rFonts w:cs="Open Sans Light"/>
              </w:rPr>
              <w:t>1002 Disability</w:t>
            </w:r>
          </w:p>
          <w:p w14:paraId="2D2B1F4C" w14:textId="77777777" w:rsidR="00BE01F5" w:rsidRPr="00C675AE" w:rsidRDefault="00BE01F5">
            <w:pPr>
              <w:pStyle w:val="CGCTablerow"/>
              <w:keepNext/>
              <w:keepLines/>
              <w:rPr>
                <w:rFonts w:cs="Open Sans Light"/>
              </w:rPr>
            </w:pPr>
            <w:r w:rsidRPr="00C675AE">
              <w:rPr>
                <w:rFonts w:cs="Open Sans Light"/>
              </w:rPr>
              <w:t>1011 Old age</w:t>
            </w:r>
          </w:p>
          <w:p w14:paraId="6A5C798E" w14:textId="77777777" w:rsidR="00BE01F5" w:rsidRPr="00C675AE" w:rsidRDefault="00BE01F5">
            <w:pPr>
              <w:pStyle w:val="CGCTablerow"/>
              <w:keepNext/>
              <w:keepLines/>
              <w:rPr>
                <w:rFonts w:cs="Open Sans Light"/>
              </w:rPr>
            </w:pPr>
            <w:r w:rsidRPr="00C675AE">
              <w:rPr>
                <w:rFonts w:cs="Open Sans Light"/>
              </w:rPr>
              <w:t>1021 Survivors</w:t>
            </w:r>
          </w:p>
          <w:p w14:paraId="78B01958" w14:textId="77777777" w:rsidR="00BE01F5" w:rsidRPr="00C675AE" w:rsidRDefault="00BE01F5">
            <w:pPr>
              <w:pStyle w:val="CGCTablerow"/>
              <w:keepNext/>
              <w:keepLines/>
              <w:rPr>
                <w:rFonts w:cs="Open Sans Light"/>
              </w:rPr>
            </w:pPr>
            <w:r w:rsidRPr="00C675AE">
              <w:rPr>
                <w:rFonts w:cs="Open Sans Light"/>
              </w:rPr>
              <w:t>1031 Family and children</w:t>
            </w:r>
          </w:p>
          <w:p w14:paraId="16C9403B" w14:textId="77777777" w:rsidR="00BE01F5" w:rsidRPr="00C675AE" w:rsidRDefault="00BE01F5">
            <w:pPr>
              <w:pStyle w:val="CGCTablerow"/>
              <w:keepNext/>
              <w:keepLines/>
              <w:rPr>
                <w:rFonts w:cs="Open Sans Light"/>
              </w:rPr>
            </w:pPr>
            <w:r w:rsidRPr="00C675AE">
              <w:rPr>
                <w:rFonts w:cs="Open Sans Light"/>
              </w:rPr>
              <w:t>1041 Unemployment</w:t>
            </w:r>
          </w:p>
          <w:p w14:paraId="41B1C344" w14:textId="77777777" w:rsidR="00BE01F5" w:rsidRPr="00C675AE" w:rsidRDefault="00BE01F5">
            <w:pPr>
              <w:pStyle w:val="CGCTablerow"/>
              <w:keepNext/>
              <w:keepLines/>
              <w:rPr>
                <w:rFonts w:cs="Open Sans Light"/>
              </w:rPr>
            </w:pPr>
            <w:r w:rsidRPr="00C675AE">
              <w:rPr>
                <w:rFonts w:cs="Open Sans Light"/>
              </w:rPr>
              <w:t xml:space="preserve">1069 Social exclusion </w:t>
            </w:r>
            <w:proofErr w:type="spellStart"/>
            <w:r w:rsidRPr="00C675AE">
              <w:rPr>
                <w:rFonts w:cs="Open Sans Light"/>
              </w:rPr>
              <w:t>n.e.c.</w:t>
            </w:r>
            <w:proofErr w:type="spellEnd"/>
          </w:p>
          <w:p w14:paraId="5B9CEB82" w14:textId="77777777" w:rsidR="00BE01F5" w:rsidRPr="00C675AE" w:rsidRDefault="00BE01F5">
            <w:pPr>
              <w:pStyle w:val="CGCTablerow"/>
              <w:keepNext/>
              <w:keepLines/>
              <w:rPr>
                <w:rFonts w:cs="Open Sans Light"/>
              </w:rPr>
            </w:pPr>
            <w:r w:rsidRPr="00C675AE">
              <w:rPr>
                <w:rFonts w:cs="Open Sans Light"/>
              </w:rPr>
              <w:t>1071 R&amp;D - Social protection</w:t>
            </w:r>
          </w:p>
          <w:p w14:paraId="2E03B1F8" w14:textId="77777777" w:rsidR="00BE01F5" w:rsidRPr="00C675AE" w:rsidRDefault="00BE01F5">
            <w:pPr>
              <w:pStyle w:val="CGCTablerow"/>
              <w:keepNext/>
              <w:keepLines/>
              <w:rPr>
                <w:rFonts w:cs="Open Sans Light"/>
              </w:rPr>
            </w:pPr>
            <w:r w:rsidRPr="00C675AE">
              <w:rPr>
                <w:rFonts w:cs="Open Sans Light"/>
              </w:rPr>
              <w:t xml:space="preserve">1099 Social protection </w:t>
            </w:r>
            <w:proofErr w:type="spellStart"/>
            <w:r w:rsidRPr="00C675AE">
              <w:rPr>
                <w:rFonts w:cs="Open Sans Light"/>
              </w:rPr>
              <w:t>n.e.c.</w:t>
            </w:r>
            <w:proofErr w:type="spellEnd"/>
          </w:p>
        </w:tc>
        <w:tc>
          <w:tcPr>
            <w:tcW w:w="855" w:type="pct"/>
          </w:tcPr>
          <w:p w14:paraId="5ECF4578" w14:textId="77777777" w:rsidR="00BE01F5" w:rsidRPr="00C675AE" w:rsidRDefault="00BE01F5">
            <w:pPr>
              <w:pStyle w:val="CGCTablerow"/>
              <w:keepNext/>
              <w:keepLines/>
              <w:rPr>
                <w:rFonts w:cs="Open Sans Light"/>
              </w:rPr>
            </w:pPr>
            <w:r>
              <w:rPr>
                <w:rFonts w:cs="Open Sans Light"/>
              </w:rPr>
              <w:t>≠</w:t>
            </w:r>
            <w:r w:rsidRPr="00C675AE">
              <w:rPr>
                <w:rFonts w:cs="Open Sans Light"/>
              </w:rPr>
              <w:t>"23" &amp; own JUR</w:t>
            </w:r>
          </w:p>
        </w:tc>
      </w:tr>
      <w:tr w:rsidR="00BE01F5" w:rsidRPr="00313A23" w14:paraId="18D3CA39" w14:textId="77777777" w:rsidTr="00F83FA0">
        <w:tblPrEx>
          <w:tblCellMar>
            <w:right w:w="85" w:type="dxa"/>
          </w:tblCellMar>
        </w:tblPrEx>
        <w:tc>
          <w:tcPr>
            <w:tcW w:w="667" w:type="pct"/>
          </w:tcPr>
          <w:p w14:paraId="7A974240" w14:textId="77777777" w:rsidR="00BE01F5" w:rsidRPr="00C675AE" w:rsidRDefault="00BE01F5">
            <w:pPr>
              <w:pStyle w:val="CGCTablerow"/>
              <w:rPr>
                <w:rFonts w:cs="Open Sans Light"/>
              </w:rPr>
            </w:pPr>
            <w:r w:rsidRPr="00C675AE">
              <w:rPr>
                <w:rFonts w:cs="Open Sans Light"/>
              </w:rPr>
              <w:t>Services to communities</w:t>
            </w:r>
          </w:p>
        </w:tc>
        <w:tc>
          <w:tcPr>
            <w:tcW w:w="1330" w:type="pct"/>
          </w:tcPr>
          <w:p w14:paraId="17D5993F" w14:textId="5B200349" w:rsidR="00BE01F5" w:rsidRPr="00C675AE" w:rsidRDefault="00BE01F5">
            <w:pPr>
              <w:pStyle w:val="CGCTablerow"/>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Pr>
                <w:rFonts w:cs="Open Sans Light"/>
              </w:rPr>
              <w:t>*</w:t>
            </w:r>
            <w:r w:rsidRPr="00C675AE">
              <w:rPr>
                <w:rFonts w:cs="Open Sans Light"/>
              </w:rPr>
              <w:t>, except 1241, 1242, 1271, and 1279</w:t>
            </w:r>
          </w:p>
        </w:tc>
        <w:tc>
          <w:tcPr>
            <w:tcW w:w="2148" w:type="pct"/>
          </w:tcPr>
          <w:p w14:paraId="7864D36F" w14:textId="77777777" w:rsidR="00BE01F5" w:rsidRPr="00C675AE" w:rsidRDefault="00BE01F5">
            <w:pPr>
              <w:pStyle w:val="CGCTablerow"/>
              <w:rPr>
                <w:rFonts w:cs="Open Sans Light"/>
              </w:rPr>
            </w:pPr>
            <w:r w:rsidRPr="00C675AE">
              <w:rPr>
                <w:rFonts w:cs="Open Sans Light"/>
              </w:rPr>
              <w:t>0435 Electricity</w:t>
            </w:r>
          </w:p>
          <w:p w14:paraId="4F104973" w14:textId="77777777" w:rsidR="00BE01F5" w:rsidRPr="00C675AE" w:rsidRDefault="00BE01F5">
            <w:pPr>
              <w:pStyle w:val="CGCTablerow"/>
              <w:rPr>
                <w:rFonts w:cs="Open Sans Light"/>
              </w:rPr>
            </w:pPr>
            <w:r w:rsidRPr="00C675AE">
              <w:rPr>
                <w:rFonts w:cs="Open Sans Light"/>
              </w:rPr>
              <w:t>0511 Waste recycling</w:t>
            </w:r>
          </w:p>
          <w:p w14:paraId="3EDEB1FF" w14:textId="77777777" w:rsidR="00BE01F5" w:rsidRPr="00C675AE" w:rsidRDefault="00BE01F5">
            <w:pPr>
              <w:pStyle w:val="CGCTablerow"/>
              <w:rPr>
                <w:rFonts w:cs="Open Sans Light"/>
              </w:rPr>
            </w:pPr>
            <w:r w:rsidRPr="00C675AE">
              <w:rPr>
                <w:rFonts w:cs="Open Sans Light"/>
              </w:rPr>
              <w:t xml:space="preserve">0519 Waste management </w:t>
            </w:r>
            <w:proofErr w:type="spellStart"/>
            <w:r w:rsidRPr="00C675AE">
              <w:rPr>
                <w:rFonts w:cs="Open Sans Light"/>
              </w:rPr>
              <w:t>n.e.c</w:t>
            </w:r>
            <w:proofErr w:type="spellEnd"/>
          </w:p>
          <w:p w14:paraId="005F48BA" w14:textId="77777777" w:rsidR="00BE01F5" w:rsidRPr="00C675AE" w:rsidRDefault="00BE01F5">
            <w:pPr>
              <w:pStyle w:val="CGCTablerow"/>
              <w:rPr>
                <w:rFonts w:cs="Open Sans Light"/>
              </w:rPr>
            </w:pPr>
            <w:r w:rsidRPr="00C675AE">
              <w:rPr>
                <w:rFonts w:cs="Open Sans Light"/>
              </w:rPr>
              <w:t xml:space="preserve">0521 Reused or recycled </w:t>
            </w:r>
            <w:proofErr w:type="gramStart"/>
            <w:r w:rsidRPr="00C675AE">
              <w:rPr>
                <w:rFonts w:cs="Open Sans Light"/>
              </w:rPr>
              <w:t>waste water</w:t>
            </w:r>
            <w:proofErr w:type="gramEnd"/>
            <w:r w:rsidRPr="00C675AE">
              <w:rPr>
                <w:rFonts w:cs="Open Sans Light"/>
              </w:rPr>
              <w:t xml:space="preserve"> management</w:t>
            </w:r>
          </w:p>
          <w:p w14:paraId="6275A6D0" w14:textId="77777777" w:rsidR="00BE01F5" w:rsidRPr="00C675AE" w:rsidRDefault="00BE01F5">
            <w:pPr>
              <w:pStyle w:val="CGCTablerow"/>
              <w:rPr>
                <w:rFonts w:cs="Open Sans Light"/>
              </w:rPr>
            </w:pPr>
            <w:r w:rsidRPr="00C675AE">
              <w:rPr>
                <w:rFonts w:cs="Open Sans Light"/>
              </w:rPr>
              <w:t xml:space="preserve">0529 </w:t>
            </w:r>
            <w:proofErr w:type="gramStart"/>
            <w:r w:rsidRPr="00C675AE">
              <w:rPr>
                <w:rFonts w:cs="Open Sans Light"/>
              </w:rPr>
              <w:t>Waste water</w:t>
            </w:r>
            <w:proofErr w:type="gramEnd"/>
            <w:r w:rsidRPr="00C675AE">
              <w:rPr>
                <w:rFonts w:cs="Open Sans Light"/>
              </w:rPr>
              <w:t xml:space="preserve"> management </w:t>
            </w:r>
            <w:proofErr w:type="spellStart"/>
            <w:r w:rsidRPr="00C675AE">
              <w:rPr>
                <w:rFonts w:cs="Open Sans Light"/>
              </w:rPr>
              <w:t>n.e.c.</w:t>
            </w:r>
            <w:proofErr w:type="spellEnd"/>
          </w:p>
          <w:p w14:paraId="568D6FF3" w14:textId="77777777" w:rsidR="00BE01F5" w:rsidRPr="00C675AE" w:rsidRDefault="00BE01F5">
            <w:pPr>
              <w:pStyle w:val="CGCTablerow"/>
              <w:rPr>
                <w:rFonts w:cs="Open Sans Light"/>
              </w:rPr>
            </w:pPr>
            <w:r w:rsidRPr="00C675AE">
              <w:rPr>
                <w:rFonts w:cs="Open Sans Light"/>
              </w:rPr>
              <w:t>0531 Pollution abatement</w:t>
            </w:r>
          </w:p>
          <w:p w14:paraId="0B0CA535" w14:textId="77777777" w:rsidR="00BE01F5" w:rsidRPr="00C675AE" w:rsidRDefault="00BE01F5">
            <w:pPr>
              <w:pStyle w:val="CGCTablerow"/>
              <w:rPr>
                <w:rFonts w:cs="Open Sans Light"/>
              </w:rPr>
            </w:pPr>
            <w:r w:rsidRPr="00C675AE">
              <w:rPr>
                <w:rFonts w:cs="Open Sans Light"/>
              </w:rPr>
              <w:t>0541 Protection of biodiversity and landscape</w:t>
            </w:r>
          </w:p>
          <w:p w14:paraId="7F2A9341" w14:textId="77777777" w:rsidR="00BE01F5" w:rsidRPr="00C675AE" w:rsidRDefault="00BE01F5">
            <w:pPr>
              <w:pStyle w:val="CGCTablerow"/>
              <w:rPr>
                <w:rFonts w:cs="Open Sans Light"/>
              </w:rPr>
            </w:pPr>
            <w:r w:rsidRPr="00C675AE">
              <w:rPr>
                <w:rFonts w:cs="Open Sans Light"/>
              </w:rPr>
              <w:t>0551 R&amp;D - environmental protection</w:t>
            </w:r>
          </w:p>
          <w:p w14:paraId="1F601CE0" w14:textId="77777777" w:rsidR="00BE01F5" w:rsidRPr="00C675AE" w:rsidRDefault="00BE01F5">
            <w:pPr>
              <w:pStyle w:val="CGCTablerow"/>
              <w:rPr>
                <w:rFonts w:cs="Open Sans Light"/>
              </w:rPr>
            </w:pPr>
            <w:r w:rsidRPr="00C675AE">
              <w:rPr>
                <w:rFonts w:cs="Open Sans Light"/>
              </w:rPr>
              <w:t xml:space="preserve">0599 Environmental protection </w:t>
            </w:r>
            <w:proofErr w:type="spellStart"/>
            <w:r w:rsidRPr="00C675AE">
              <w:rPr>
                <w:rFonts w:cs="Open Sans Light"/>
              </w:rPr>
              <w:t>n.e.c.</w:t>
            </w:r>
            <w:proofErr w:type="spellEnd"/>
          </w:p>
          <w:p w14:paraId="45408562" w14:textId="77777777" w:rsidR="00BE01F5" w:rsidRPr="00C675AE" w:rsidRDefault="00BE01F5">
            <w:pPr>
              <w:pStyle w:val="CGCTablerow"/>
              <w:rPr>
                <w:rFonts w:cs="Open Sans Light"/>
              </w:rPr>
            </w:pPr>
            <w:r w:rsidRPr="00C675AE">
              <w:rPr>
                <w:rFonts w:cs="Open Sans Light"/>
              </w:rPr>
              <w:t>0621 Indigenous community development</w:t>
            </w:r>
          </w:p>
          <w:p w14:paraId="5749C96E" w14:textId="77777777" w:rsidR="00BE01F5" w:rsidRPr="00C675AE" w:rsidRDefault="00BE01F5">
            <w:pPr>
              <w:pStyle w:val="CGCTablerow"/>
              <w:rPr>
                <w:rFonts w:cs="Open Sans Light"/>
              </w:rPr>
            </w:pPr>
            <w:r w:rsidRPr="00C675AE">
              <w:rPr>
                <w:rFonts w:cs="Open Sans Light"/>
              </w:rPr>
              <w:t xml:space="preserve">0629 Community development </w:t>
            </w:r>
            <w:proofErr w:type="spellStart"/>
            <w:r w:rsidRPr="00C675AE">
              <w:rPr>
                <w:rFonts w:cs="Open Sans Light"/>
              </w:rPr>
              <w:t>n.e.c.</w:t>
            </w:r>
            <w:proofErr w:type="spellEnd"/>
          </w:p>
          <w:p w14:paraId="44C17014" w14:textId="77777777" w:rsidR="00BE01F5" w:rsidRPr="00C675AE" w:rsidRDefault="00BE01F5">
            <w:pPr>
              <w:pStyle w:val="CGCTablerow"/>
              <w:rPr>
                <w:rFonts w:cs="Open Sans Light"/>
              </w:rPr>
            </w:pPr>
            <w:r w:rsidRPr="00C675AE">
              <w:rPr>
                <w:rFonts w:cs="Open Sans Light"/>
              </w:rPr>
              <w:t>0631 Water supply</w:t>
            </w:r>
          </w:p>
          <w:p w14:paraId="4BF5976A" w14:textId="77777777" w:rsidR="00BE01F5" w:rsidRPr="00C675AE" w:rsidRDefault="00BE01F5">
            <w:pPr>
              <w:pStyle w:val="CGCTablerow"/>
              <w:rPr>
                <w:rFonts w:cs="Open Sans Light"/>
              </w:rPr>
            </w:pPr>
            <w:r w:rsidRPr="00C675AE">
              <w:rPr>
                <w:rFonts w:cs="Open Sans Light"/>
              </w:rPr>
              <w:t>0641 Street lighting</w:t>
            </w:r>
          </w:p>
          <w:p w14:paraId="27BEA9C8" w14:textId="77777777" w:rsidR="00BE01F5" w:rsidRPr="00C675AE" w:rsidRDefault="00BE01F5">
            <w:pPr>
              <w:pStyle w:val="CGCTablerow"/>
              <w:rPr>
                <w:rFonts w:cs="Open Sans Light"/>
              </w:rPr>
            </w:pPr>
            <w:r w:rsidRPr="00C675AE">
              <w:rPr>
                <w:rFonts w:cs="Open Sans Light"/>
              </w:rPr>
              <w:t>0651 R&amp;D - Housing and community amenities</w:t>
            </w:r>
          </w:p>
          <w:p w14:paraId="58842330" w14:textId="77777777" w:rsidR="00BE01F5" w:rsidRPr="00C675AE" w:rsidRDefault="00BE01F5">
            <w:pPr>
              <w:pStyle w:val="CGCTablerow"/>
              <w:rPr>
                <w:rFonts w:cs="Open Sans Light"/>
              </w:rPr>
            </w:pPr>
            <w:r w:rsidRPr="00C675AE">
              <w:rPr>
                <w:rFonts w:cs="Open Sans Light"/>
              </w:rPr>
              <w:t xml:space="preserve">0699 Community amenities </w:t>
            </w:r>
            <w:proofErr w:type="spellStart"/>
            <w:r w:rsidRPr="00C675AE">
              <w:rPr>
                <w:rFonts w:cs="Open Sans Light"/>
              </w:rPr>
              <w:t>n.e.c.</w:t>
            </w:r>
            <w:proofErr w:type="spellEnd"/>
          </w:p>
        </w:tc>
        <w:tc>
          <w:tcPr>
            <w:tcW w:w="855" w:type="pct"/>
          </w:tcPr>
          <w:p w14:paraId="6046D7DB" w14:textId="08F48FEC" w:rsidR="00BE01F5" w:rsidRPr="00C675AE" w:rsidRDefault="002E4089">
            <w:pPr>
              <w:pStyle w:val="CGCTablerow"/>
              <w:rPr>
                <w:rFonts w:cs="Open Sans Light"/>
              </w:rPr>
            </w:pPr>
            <w:r w:rsidRPr="002E4089">
              <w:rPr>
                <w:rFonts w:cs="Open Sans Light"/>
              </w:rPr>
              <w:t>≠"23" &amp; own JUR</w:t>
            </w:r>
          </w:p>
        </w:tc>
      </w:tr>
      <w:tr w:rsidR="008A7E01" w:rsidRPr="00C675AE" w14:paraId="6883988A" w14:textId="77777777" w:rsidTr="00F83FA0">
        <w:tc>
          <w:tcPr>
            <w:tcW w:w="667" w:type="pct"/>
          </w:tcPr>
          <w:p w14:paraId="534547DA" w14:textId="77777777" w:rsidR="008A7E01" w:rsidRPr="00C675AE" w:rsidRDefault="008A7E01">
            <w:pPr>
              <w:pStyle w:val="CGCTablerow"/>
              <w:rPr>
                <w:rFonts w:cs="Open Sans Light"/>
              </w:rPr>
            </w:pPr>
            <w:r w:rsidRPr="00C675AE">
              <w:rPr>
                <w:rFonts w:cs="Open Sans Light"/>
              </w:rPr>
              <w:t>Justice</w:t>
            </w:r>
          </w:p>
        </w:tc>
        <w:tc>
          <w:tcPr>
            <w:tcW w:w="1330" w:type="pct"/>
          </w:tcPr>
          <w:p w14:paraId="23E2670A" w14:textId="2E4C23F1" w:rsidR="008A7E01" w:rsidRPr="00C675AE" w:rsidRDefault="008A7E01">
            <w:pPr>
              <w:pStyle w:val="CGCTablerow"/>
              <w:rPr>
                <w:rFonts w:cs="Open Sans Light"/>
              </w:rPr>
            </w:pPr>
            <w:r w:rsidRPr="00C675AE">
              <w:rPr>
                <w:rFonts w:cs="Open Sans Light"/>
              </w:rPr>
              <w:t xml:space="preserve">Expenses </w:t>
            </w:r>
            <w:r w:rsidR="00E42735">
              <w:rPr>
                <w:rFonts w:cs="Open Sans Light"/>
              </w:rPr>
              <w:t>–</w:t>
            </w:r>
            <w:r w:rsidRPr="00C675AE">
              <w:rPr>
                <w:rFonts w:cs="Open Sans Light"/>
              </w:rPr>
              <w:t xml:space="preserve"> 12*</w:t>
            </w:r>
            <w:r>
              <w:rPr>
                <w:rFonts w:cs="Open Sans Light"/>
              </w:rPr>
              <w:t>*</w:t>
            </w:r>
            <w:r w:rsidRPr="00C675AE">
              <w:rPr>
                <w:rFonts w:cs="Open Sans Light"/>
              </w:rPr>
              <w:t>, except 1241, 1242, 1271, and 1279</w:t>
            </w:r>
          </w:p>
        </w:tc>
        <w:tc>
          <w:tcPr>
            <w:tcW w:w="2148" w:type="pct"/>
          </w:tcPr>
          <w:p w14:paraId="3F97B33D" w14:textId="77777777" w:rsidR="008A7E01" w:rsidRPr="00C675AE" w:rsidRDefault="008A7E01">
            <w:pPr>
              <w:pStyle w:val="CGCTablerow"/>
              <w:rPr>
                <w:rFonts w:cs="Open Sans Light"/>
              </w:rPr>
            </w:pPr>
            <w:r w:rsidRPr="00C675AE">
              <w:rPr>
                <w:rFonts w:cs="Open Sans Light"/>
              </w:rPr>
              <w:t>0311 Police services</w:t>
            </w:r>
          </w:p>
          <w:p w14:paraId="39C40560" w14:textId="77777777" w:rsidR="008A7E01" w:rsidRPr="00C675AE" w:rsidRDefault="008A7E01">
            <w:pPr>
              <w:pStyle w:val="CGCTablerow"/>
              <w:rPr>
                <w:rFonts w:cs="Open Sans Light"/>
              </w:rPr>
            </w:pPr>
            <w:r w:rsidRPr="00C675AE">
              <w:rPr>
                <w:rFonts w:cs="Open Sans Light"/>
              </w:rPr>
              <w:t>0331 Law courts</w:t>
            </w:r>
          </w:p>
          <w:p w14:paraId="300F0207" w14:textId="77777777" w:rsidR="008A7E01" w:rsidRPr="00C675AE" w:rsidRDefault="008A7E01">
            <w:pPr>
              <w:pStyle w:val="CGCTablerow"/>
              <w:rPr>
                <w:rFonts w:cs="Open Sans Light"/>
              </w:rPr>
            </w:pPr>
            <w:r w:rsidRPr="00C675AE">
              <w:rPr>
                <w:rFonts w:cs="Open Sans Light"/>
              </w:rPr>
              <w:t>0341 Prisons</w:t>
            </w:r>
          </w:p>
          <w:p w14:paraId="4ACD8B54" w14:textId="77777777" w:rsidR="008A7E01" w:rsidRPr="00C675AE" w:rsidRDefault="008A7E01">
            <w:pPr>
              <w:pStyle w:val="CGCTablerow"/>
              <w:rPr>
                <w:rFonts w:cs="Open Sans Light"/>
              </w:rPr>
            </w:pPr>
            <w:r w:rsidRPr="00C675AE">
              <w:rPr>
                <w:rFonts w:cs="Open Sans Light"/>
              </w:rPr>
              <w:t>0351 R&amp;D - public order and safety</w:t>
            </w:r>
          </w:p>
        </w:tc>
        <w:tc>
          <w:tcPr>
            <w:tcW w:w="855" w:type="pct"/>
          </w:tcPr>
          <w:p w14:paraId="4A66E59D" w14:textId="77777777" w:rsidR="008A7E01" w:rsidRPr="00C675AE" w:rsidRDefault="008A7E01">
            <w:pPr>
              <w:pStyle w:val="CGCTablerow"/>
              <w:rPr>
                <w:rFonts w:cs="Open Sans Light"/>
              </w:rPr>
            </w:pPr>
            <w:r>
              <w:rPr>
                <w:rFonts w:cs="Open Sans Light"/>
              </w:rPr>
              <w:t>≠</w:t>
            </w:r>
            <w:r w:rsidRPr="00C675AE">
              <w:rPr>
                <w:rFonts w:cs="Open Sans Light"/>
              </w:rPr>
              <w:t>"23" &amp; own JUR</w:t>
            </w:r>
          </w:p>
        </w:tc>
      </w:tr>
      <w:tr w:rsidR="008A7E01" w:rsidRPr="00C675AE" w14:paraId="7B10260B" w14:textId="77777777" w:rsidTr="00F83FA0">
        <w:tc>
          <w:tcPr>
            <w:tcW w:w="667" w:type="pct"/>
          </w:tcPr>
          <w:p w14:paraId="1B7FE48A" w14:textId="77777777" w:rsidR="008A7E01" w:rsidRPr="00C675AE" w:rsidRDefault="008A7E01">
            <w:pPr>
              <w:pStyle w:val="CGCTablerow"/>
              <w:rPr>
                <w:rFonts w:cs="Open Sans Light"/>
              </w:rPr>
            </w:pPr>
            <w:r w:rsidRPr="00C675AE">
              <w:rPr>
                <w:rFonts w:cs="Open Sans Light"/>
              </w:rPr>
              <w:t>Roads</w:t>
            </w:r>
          </w:p>
        </w:tc>
        <w:tc>
          <w:tcPr>
            <w:tcW w:w="1330" w:type="pct"/>
          </w:tcPr>
          <w:p w14:paraId="146F4605" w14:textId="6F6983BC" w:rsidR="008A7E01" w:rsidRPr="00C675AE" w:rsidRDefault="008A7E01">
            <w:pPr>
              <w:pStyle w:val="CGCTablerow"/>
              <w:rPr>
                <w:rFonts w:cs="Open Sans Light"/>
              </w:rPr>
            </w:pPr>
            <w:r w:rsidRPr="00C675AE">
              <w:rPr>
                <w:rFonts w:cs="Open Sans Light"/>
              </w:rPr>
              <w:t xml:space="preserve">Expenses </w:t>
            </w:r>
            <w:r w:rsidR="00E42735">
              <w:rPr>
                <w:rFonts w:cs="Open Sans Light"/>
              </w:rPr>
              <w:t>–</w:t>
            </w:r>
            <w:r w:rsidRPr="00C675AE">
              <w:rPr>
                <w:rFonts w:cs="Open Sans Light"/>
              </w:rPr>
              <w:t xml:space="preserve"> 12*</w:t>
            </w:r>
            <w:r>
              <w:rPr>
                <w:rFonts w:cs="Open Sans Light"/>
              </w:rPr>
              <w:t>*</w:t>
            </w:r>
            <w:r w:rsidRPr="00C675AE">
              <w:rPr>
                <w:rFonts w:cs="Open Sans Light"/>
              </w:rPr>
              <w:t>, except 1241, 1242, 1271, and 1279</w:t>
            </w:r>
          </w:p>
        </w:tc>
        <w:tc>
          <w:tcPr>
            <w:tcW w:w="2148" w:type="pct"/>
          </w:tcPr>
          <w:p w14:paraId="0BDDF706" w14:textId="77777777" w:rsidR="008A7E01" w:rsidRPr="00C675AE" w:rsidRDefault="008A7E01">
            <w:pPr>
              <w:pStyle w:val="CGCTablerow"/>
              <w:rPr>
                <w:rFonts w:cs="Open Sans Light"/>
              </w:rPr>
            </w:pPr>
            <w:r w:rsidRPr="00C675AE">
              <w:rPr>
                <w:rFonts w:cs="Open Sans Light"/>
              </w:rPr>
              <w:t>1111 Road maintenance</w:t>
            </w:r>
          </w:p>
          <w:p w14:paraId="5D5A6669" w14:textId="77777777" w:rsidR="008A7E01" w:rsidRPr="00C675AE" w:rsidRDefault="008A7E01">
            <w:pPr>
              <w:pStyle w:val="CGCTablerow"/>
              <w:rPr>
                <w:rFonts w:cs="Open Sans Light"/>
              </w:rPr>
            </w:pPr>
            <w:r w:rsidRPr="00C675AE">
              <w:rPr>
                <w:rFonts w:cs="Open Sans Light"/>
              </w:rPr>
              <w:t>1112 Road rehabilitation</w:t>
            </w:r>
          </w:p>
          <w:p w14:paraId="7017C40D" w14:textId="77777777" w:rsidR="008A7E01" w:rsidRPr="00C675AE" w:rsidRDefault="008A7E01">
            <w:pPr>
              <w:pStyle w:val="CGCTablerow"/>
              <w:rPr>
                <w:rFonts w:cs="Open Sans Light"/>
              </w:rPr>
            </w:pPr>
            <w:r w:rsidRPr="00C675AE">
              <w:rPr>
                <w:rFonts w:cs="Open Sans Light"/>
              </w:rPr>
              <w:t>1113 Road construction</w:t>
            </w:r>
          </w:p>
          <w:p w14:paraId="5AC914DE" w14:textId="77777777" w:rsidR="008A7E01" w:rsidRPr="00C675AE" w:rsidRDefault="008A7E01">
            <w:pPr>
              <w:pStyle w:val="CGCTablerow"/>
              <w:rPr>
                <w:rFonts w:cs="Open Sans Light"/>
              </w:rPr>
            </w:pPr>
            <w:r w:rsidRPr="00C675AE">
              <w:rPr>
                <w:rFonts w:cs="Open Sans Light"/>
              </w:rPr>
              <w:t xml:space="preserve">1119 Road transport </w:t>
            </w:r>
            <w:proofErr w:type="spellStart"/>
            <w:r w:rsidRPr="00C675AE">
              <w:rPr>
                <w:rFonts w:cs="Open Sans Light"/>
              </w:rPr>
              <w:t>n.e.c.</w:t>
            </w:r>
            <w:proofErr w:type="spellEnd"/>
          </w:p>
        </w:tc>
        <w:tc>
          <w:tcPr>
            <w:tcW w:w="855" w:type="pct"/>
          </w:tcPr>
          <w:p w14:paraId="6F326316" w14:textId="77777777" w:rsidR="008A7E01" w:rsidRPr="00C675AE" w:rsidRDefault="008A7E01">
            <w:pPr>
              <w:pStyle w:val="CGCTablerow"/>
              <w:rPr>
                <w:rFonts w:cs="Open Sans Light"/>
              </w:rPr>
            </w:pPr>
            <w:r>
              <w:rPr>
                <w:rFonts w:cs="Open Sans Light"/>
              </w:rPr>
              <w:t>≠</w:t>
            </w:r>
            <w:r w:rsidRPr="00C675AE">
              <w:rPr>
                <w:rFonts w:cs="Open Sans Light"/>
              </w:rPr>
              <w:t>"23" &amp; own JUR</w:t>
            </w:r>
          </w:p>
        </w:tc>
      </w:tr>
      <w:tr w:rsidR="008A7E01" w:rsidRPr="00C675AE" w14:paraId="34B8C06A" w14:textId="77777777" w:rsidTr="00F83FA0">
        <w:tc>
          <w:tcPr>
            <w:tcW w:w="667" w:type="pct"/>
          </w:tcPr>
          <w:p w14:paraId="3590794B" w14:textId="64300CF7" w:rsidR="008A7E01" w:rsidRPr="00C675AE" w:rsidRDefault="008A7E01">
            <w:pPr>
              <w:pStyle w:val="CGCTablerow"/>
              <w:rPr>
                <w:rFonts w:cs="Open Sans Light"/>
              </w:rPr>
            </w:pPr>
            <w:r w:rsidRPr="00C675AE">
              <w:rPr>
                <w:rFonts w:cs="Open Sans Light"/>
              </w:rPr>
              <w:t xml:space="preserve">Transport </w:t>
            </w:r>
            <w:r w:rsidR="00435263">
              <w:rPr>
                <w:rFonts w:cs="Open Sans Light"/>
              </w:rPr>
              <w:t>–</w:t>
            </w:r>
            <w:r w:rsidRPr="00C675AE">
              <w:rPr>
                <w:rFonts w:cs="Open Sans Light"/>
              </w:rPr>
              <w:t xml:space="preserve"> </w:t>
            </w:r>
            <w:r>
              <w:rPr>
                <w:rFonts w:cs="Open Sans Light"/>
              </w:rPr>
              <w:t>n</w:t>
            </w:r>
            <w:r w:rsidRPr="00C675AE">
              <w:rPr>
                <w:rFonts w:cs="Open Sans Light"/>
              </w:rPr>
              <w:t>on-urban transport (net);</w:t>
            </w:r>
            <w:r w:rsidR="001D0C92">
              <w:rPr>
                <w:rFonts w:cs="Open Sans Light"/>
              </w:rPr>
              <w:t xml:space="preserve"> </w:t>
            </w:r>
            <w:r>
              <w:rPr>
                <w:rFonts w:cs="Open Sans Light"/>
              </w:rPr>
              <w:t>u</w:t>
            </w:r>
            <w:r w:rsidRPr="00C675AE">
              <w:rPr>
                <w:rFonts w:cs="Open Sans Light"/>
              </w:rPr>
              <w:t xml:space="preserve">rban transport code rule is in Table </w:t>
            </w:r>
            <w:r>
              <w:rPr>
                <w:rFonts w:cs="Open Sans Light"/>
              </w:rPr>
              <w:t>A</w:t>
            </w:r>
            <w:r w:rsidRPr="00C675AE">
              <w:rPr>
                <w:rFonts w:cs="Open Sans Light"/>
              </w:rPr>
              <w:t>-2</w:t>
            </w:r>
          </w:p>
        </w:tc>
        <w:tc>
          <w:tcPr>
            <w:tcW w:w="1330" w:type="pct"/>
          </w:tcPr>
          <w:p w14:paraId="028A117C" w14:textId="46686E06" w:rsidR="008A7E01" w:rsidRPr="00C675AE" w:rsidRDefault="008A7E01">
            <w:pPr>
              <w:pStyle w:val="CGCTablerow"/>
              <w:rPr>
                <w:rFonts w:cs="Open Sans Light"/>
              </w:rPr>
            </w:pPr>
            <w:r w:rsidRPr="00C675AE">
              <w:rPr>
                <w:rFonts w:cs="Open Sans Light"/>
              </w:rPr>
              <w:t xml:space="preserve">Expenses </w:t>
            </w:r>
            <w:r w:rsidR="00E42735">
              <w:rPr>
                <w:rFonts w:cs="Open Sans Light"/>
              </w:rPr>
              <w:t>–</w:t>
            </w:r>
            <w:r w:rsidRPr="00C675AE">
              <w:rPr>
                <w:rFonts w:cs="Open Sans Light"/>
              </w:rPr>
              <w:t xml:space="preserve"> 12*</w:t>
            </w:r>
            <w:r>
              <w:rPr>
                <w:rFonts w:cs="Open Sans Light"/>
              </w:rPr>
              <w:t>*</w:t>
            </w:r>
            <w:r w:rsidRPr="00C675AE">
              <w:rPr>
                <w:rFonts w:cs="Open Sans Light"/>
              </w:rPr>
              <w:t xml:space="preserve">, except 1241, 1242, 1271, and 1279 </w:t>
            </w:r>
          </w:p>
          <w:p w14:paraId="05CD705B" w14:textId="6B4DE02B" w:rsidR="008A7E01" w:rsidRPr="00C675AE" w:rsidRDefault="00152AD5">
            <w:pPr>
              <w:pStyle w:val="CGCTablerow"/>
              <w:rPr>
                <w:rFonts w:cs="Open Sans Light"/>
              </w:rPr>
            </w:pPr>
            <w:r>
              <w:rPr>
                <w:rFonts w:cs="Open Sans Light"/>
              </w:rPr>
              <w:br/>
            </w:r>
            <w:r w:rsidR="008A7E01" w:rsidRPr="00C675AE">
              <w:rPr>
                <w:rFonts w:cs="Open Sans Light"/>
              </w:rPr>
              <w:t xml:space="preserve">User charges </w:t>
            </w:r>
            <w:r w:rsidR="00E42735">
              <w:rPr>
                <w:rFonts w:cs="Open Sans Light"/>
              </w:rPr>
              <w:t>–</w:t>
            </w:r>
            <w:r w:rsidR="008A7E01" w:rsidRPr="00C675AE">
              <w:rPr>
                <w:rFonts w:cs="Open Sans Light"/>
              </w:rPr>
              <w:t xml:space="preserve"> 112* Sales of goods and services</w:t>
            </w:r>
          </w:p>
        </w:tc>
        <w:tc>
          <w:tcPr>
            <w:tcW w:w="2148" w:type="pct"/>
          </w:tcPr>
          <w:p w14:paraId="355C1047" w14:textId="77777777" w:rsidR="008A7E01" w:rsidRPr="00C675AE" w:rsidRDefault="008A7E01">
            <w:pPr>
              <w:pStyle w:val="CGCTablerow"/>
              <w:rPr>
                <w:rFonts w:cs="Open Sans Light"/>
              </w:rPr>
            </w:pPr>
            <w:r w:rsidRPr="00C675AE">
              <w:rPr>
                <w:rFonts w:cs="Open Sans Light"/>
              </w:rPr>
              <w:t xml:space="preserve">1122 </w:t>
            </w:r>
            <w:proofErr w:type="gramStart"/>
            <w:r w:rsidRPr="00C675AE">
              <w:rPr>
                <w:rFonts w:cs="Open Sans Light"/>
              </w:rPr>
              <w:t>Non-urban</w:t>
            </w:r>
            <w:proofErr w:type="gramEnd"/>
            <w:r w:rsidRPr="00C675AE">
              <w:rPr>
                <w:rFonts w:cs="Open Sans Light"/>
              </w:rPr>
              <w:t xml:space="preserve"> bus transport</w:t>
            </w:r>
          </w:p>
          <w:p w14:paraId="27E94DA0" w14:textId="77777777" w:rsidR="008A7E01" w:rsidRDefault="008A7E01">
            <w:pPr>
              <w:pStyle w:val="CGCTablerow"/>
              <w:rPr>
                <w:rFonts w:cs="Open Sans Light"/>
              </w:rPr>
            </w:pPr>
            <w:r>
              <w:rPr>
                <w:rFonts w:cs="Open Sans Light"/>
              </w:rPr>
              <w:t xml:space="preserve">1132 </w:t>
            </w:r>
            <w:r w:rsidRPr="008D4992">
              <w:rPr>
                <w:rFonts w:cs="Open Sans Light"/>
              </w:rPr>
              <w:t>Urban water transport freight services</w:t>
            </w:r>
          </w:p>
          <w:p w14:paraId="3C53B58D" w14:textId="77777777" w:rsidR="008A7E01" w:rsidRDefault="008A7E01">
            <w:pPr>
              <w:pStyle w:val="CGCTablerow"/>
              <w:rPr>
                <w:rFonts w:cs="Open Sans Light"/>
              </w:rPr>
            </w:pPr>
            <w:r w:rsidRPr="00C675AE">
              <w:rPr>
                <w:rFonts w:cs="Open Sans Light"/>
              </w:rPr>
              <w:t xml:space="preserve">1133 </w:t>
            </w:r>
            <w:proofErr w:type="gramStart"/>
            <w:r w:rsidRPr="00C675AE">
              <w:rPr>
                <w:rFonts w:cs="Open Sans Light"/>
              </w:rPr>
              <w:t>Non-urban</w:t>
            </w:r>
            <w:proofErr w:type="gramEnd"/>
            <w:r w:rsidRPr="00C675AE">
              <w:rPr>
                <w:rFonts w:cs="Open Sans Light"/>
              </w:rPr>
              <w:t xml:space="preserve"> water transport services</w:t>
            </w:r>
          </w:p>
          <w:p w14:paraId="7268A9D0" w14:textId="77777777" w:rsidR="008A7E01" w:rsidRDefault="008A7E01">
            <w:pPr>
              <w:pStyle w:val="CGCTablerow"/>
              <w:rPr>
                <w:rFonts w:cs="Open Sans Light"/>
              </w:rPr>
            </w:pPr>
            <w:r>
              <w:rPr>
                <w:rFonts w:cs="Open Sans Light"/>
              </w:rPr>
              <w:t xml:space="preserve">1142 </w:t>
            </w:r>
            <w:proofErr w:type="gramStart"/>
            <w:r>
              <w:rPr>
                <w:rFonts w:cs="Open Sans Light"/>
              </w:rPr>
              <w:t>Non-urban</w:t>
            </w:r>
            <w:proofErr w:type="gramEnd"/>
            <w:r>
              <w:rPr>
                <w:rFonts w:cs="Open Sans Light"/>
              </w:rPr>
              <w:t xml:space="preserve"> railway transport freight services</w:t>
            </w:r>
          </w:p>
          <w:p w14:paraId="344792F0" w14:textId="77777777" w:rsidR="008A7E01" w:rsidRDefault="008A7E01" w:rsidP="00F0208C">
            <w:pPr>
              <w:pStyle w:val="CGCTablerow"/>
              <w:ind w:left="393" w:hanging="393"/>
              <w:rPr>
                <w:rFonts w:cs="Open Sans Light"/>
              </w:rPr>
            </w:pPr>
            <w:r>
              <w:rPr>
                <w:rFonts w:cs="Open Sans Light"/>
              </w:rPr>
              <w:t xml:space="preserve">1143 </w:t>
            </w:r>
            <w:proofErr w:type="gramStart"/>
            <w:r w:rsidRPr="00C675AE">
              <w:rPr>
                <w:rFonts w:cs="Open Sans Light"/>
              </w:rPr>
              <w:t>Non-urban</w:t>
            </w:r>
            <w:proofErr w:type="gramEnd"/>
            <w:r w:rsidRPr="00C675AE">
              <w:rPr>
                <w:rFonts w:cs="Open Sans Light"/>
              </w:rPr>
              <w:t xml:space="preserve"> railway transport passenger services</w:t>
            </w:r>
          </w:p>
          <w:p w14:paraId="38DCDD20" w14:textId="77777777" w:rsidR="008A7E01" w:rsidRDefault="008A7E01">
            <w:pPr>
              <w:pStyle w:val="CGCTablerow"/>
              <w:rPr>
                <w:rFonts w:cs="Open Sans Light"/>
              </w:rPr>
            </w:pPr>
            <w:r>
              <w:rPr>
                <w:rFonts w:cs="Open Sans Light"/>
              </w:rPr>
              <w:t>1151 Air transport</w:t>
            </w:r>
          </w:p>
          <w:p w14:paraId="0C1BE999" w14:textId="625EC207" w:rsidR="003C54EC" w:rsidRPr="00C675AE" w:rsidRDefault="008A7E01" w:rsidP="008A1F10">
            <w:pPr>
              <w:pStyle w:val="CGCTablerow"/>
              <w:rPr>
                <w:rFonts w:cs="Open Sans Light"/>
              </w:rPr>
            </w:pPr>
            <w:r w:rsidRPr="00C675AE">
              <w:rPr>
                <w:rFonts w:cs="Open Sans Light"/>
              </w:rPr>
              <w:t>1171 Pipeline and other transport</w:t>
            </w:r>
          </w:p>
        </w:tc>
        <w:tc>
          <w:tcPr>
            <w:tcW w:w="855" w:type="pct"/>
          </w:tcPr>
          <w:p w14:paraId="25DD454F" w14:textId="77777777" w:rsidR="008A7E01" w:rsidRPr="00C675AE" w:rsidRDefault="008A7E01">
            <w:pPr>
              <w:pStyle w:val="CGCTablerow"/>
              <w:rPr>
                <w:rFonts w:cs="Open Sans Light"/>
              </w:rPr>
            </w:pPr>
            <w:r>
              <w:rPr>
                <w:rFonts w:cs="Open Sans Light"/>
              </w:rPr>
              <w:t>≠</w:t>
            </w:r>
            <w:r w:rsidRPr="00C675AE">
              <w:rPr>
                <w:rFonts w:cs="Open Sans Light"/>
              </w:rPr>
              <w:t>"23" &amp; own JUR</w:t>
            </w:r>
          </w:p>
        </w:tc>
      </w:tr>
      <w:tr w:rsidR="00D345E2" w:rsidRPr="00C675AE" w14:paraId="3A5A3B86" w14:textId="77777777" w:rsidTr="00F83FA0">
        <w:tc>
          <w:tcPr>
            <w:tcW w:w="667" w:type="pct"/>
          </w:tcPr>
          <w:p w14:paraId="1C710E97" w14:textId="55D1F949" w:rsidR="00D345E2" w:rsidRPr="00C675AE" w:rsidRDefault="00D345E2">
            <w:pPr>
              <w:pStyle w:val="CGCTablerow"/>
              <w:rPr>
                <w:rFonts w:cs="Open Sans Light"/>
              </w:rPr>
            </w:pPr>
            <w:r w:rsidRPr="00D345E2">
              <w:rPr>
                <w:rFonts w:cs="Open Sans Light"/>
              </w:rPr>
              <w:t>Services to industry</w:t>
            </w:r>
            <w:r w:rsidR="00253DFE">
              <w:rPr>
                <w:rFonts w:cs="Open Sans Light"/>
              </w:rPr>
              <w:t xml:space="preserve"> (net)</w:t>
            </w:r>
          </w:p>
        </w:tc>
        <w:tc>
          <w:tcPr>
            <w:tcW w:w="1330" w:type="pct"/>
          </w:tcPr>
          <w:p w14:paraId="74E66C8F" w14:textId="77777777" w:rsidR="00001F60" w:rsidRPr="00001F60" w:rsidRDefault="00001F60" w:rsidP="00001F60">
            <w:pPr>
              <w:pStyle w:val="CGCTablerow"/>
              <w:rPr>
                <w:rFonts w:cs="Open Sans Light"/>
              </w:rPr>
            </w:pPr>
            <w:r w:rsidRPr="00001F60">
              <w:rPr>
                <w:rFonts w:cs="Open Sans Light"/>
              </w:rPr>
              <w:t xml:space="preserve">Expenses – 12**, except 1241, 1242, 1271, and 1279 </w:t>
            </w:r>
          </w:p>
          <w:p w14:paraId="46DFB325" w14:textId="77777777" w:rsidR="00001F60" w:rsidRPr="00001F60" w:rsidRDefault="00001F60" w:rsidP="00001F60">
            <w:pPr>
              <w:pStyle w:val="CGCTablerow"/>
              <w:rPr>
                <w:rFonts w:cs="Open Sans Light"/>
              </w:rPr>
            </w:pPr>
          </w:p>
          <w:p w14:paraId="38497D97" w14:textId="0EE85C66" w:rsidR="00D345E2" w:rsidRPr="00C675AE" w:rsidRDefault="00001F60" w:rsidP="00001F60">
            <w:pPr>
              <w:pStyle w:val="CGCTablerow"/>
              <w:rPr>
                <w:rFonts w:cs="Open Sans Light"/>
              </w:rPr>
            </w:pPr>
            <w:r w:rsidRPr="00001F60">
              <w:rPr>
                <w:rFonts w:cs="Open Sans Light"/>
              </w:rPr>
              <w:t>User charges – 112* Sales of goods and services</w:t>
            </w:r>
          </w:p>
        </w:tc>
        <w:tc>
          <w:tcPr>
            <w:tcW w:w="2148" w:type="pct"/>
          </w:tcPr>
          <w:p w14:paraId="4D56217B" w14:textId="77777777" w:rsidR="00DE15D5" w:rsidRDefault="00DE15D5" w:rsidP="003C54EC">
            <w:pPr>
              <w:pStyle w:val="CGCTablerow"/>
              <w:ind w:left="397" w:hanging="397"/>
              <w:rPr>
                <w:rFonts w:cs="Open Sans Light"/>
              </w:rPr>
            </w:pPr>
            <w:r w:rsidRPr="003C54EC">
              <w:rPr>
                <w:rFonts w:cs="Open Sans Light"/>
              </w:rPr>
              <w:t xml:space="preserve">0439 Fuel and energy </w:t>
            </w:r>
            <w:proofErr w:type="spellStart"/>
            <w:r w:rsidRPr="003C54EC">
              <w:rPr>
                <w:rFonts w:cs="Open Sans Light"/>
              </w:rPr>
              <w:t>n.e.c.</w:t>
            </w:r>
            <w:proofErr w:type="spellEnd"/>
          </w:p>
          <w:p w14:paraId="4E67E017" w14:textId="2396054D" w:rsidR="00D345E2" w:rsidRPr="00D345E2" w:rsidRDefault="00D345E2" w:rsidP="003C54EC">
            <w:pPr>
              <w:pStyle w:val="CGCTablerow"/>
              <w:ind w:left="397" w:hanging="397"/>
              <w:rPr>
                <w:rFonts w:cs="Open Sans Light"/>
              </w:rPr>
            </w:pPr>
            <w:r w:rsidRPr="00D345E2">
              <w:rPr>
                <w:rFonts w:cs="Open Sans Light"/>
              </w:rPr>
              <w:t>0441 Mining of mineral resources other than mineral fuels</w:t>
            </w:r>
          </w:p>
          <w:p w14:paraId="020CA036" w14:textId="77777777" w:rsidR="00D345E2" w:rsidRPr="00D345E2" w:rsidRDefault="00D345E2" w:rsidP="00D345E2">
            <w:pPr>
              <w:pStyle w:val="CGCTablerow"/>
              <w:ind w:left="397" w:hanging="397"/>
              <w:rPr>
                <w:rFonts w:cs="Open Sans Light"/>
              </w:rPr>
            </w:pPr>
            <w:r w:rsidRPr="00D345E2">
              <w:rPr>
                <w:rFonts w:cs="Open Sans Light"/>
              </w:rPr>
              <w:t>0442 Manufacturing</w:t>
            </w:r>
          </w:p>
          <w:p w14:paraId="396AE087" w14:textId="77777777" w:rsidR="00D345E2" w:rsidRPr="00D345E2" w:rsidRDefault="00D345E2" w:rsidP="00D345E2">
            <w:pPr>
              <w:pStyle w:val="CGCTablerow"/>
              <w:ind w:left="397" w:hanging="397"/>
              <w:rPr>
                <w:rFonts w:cs="Open Sans Light"/>
              </w:rPr>
            </w:pPr>
            <w:r w:rsidRPr="00D345E2">
              <w:rPr>
                <w:rFonts w:cs="Open Sans Light"/>
              </w:rPr>
              <w:t>0443 Construction</w:t>
            </w:r>
          </w:p>
          <w:p w14:paraId="72FFC793" w14:textId="77777777" w:rsidR="00D8491C" w:rsidRPr="00D345E2" w:rsidRDefault="00D8491C" w:rsidP="00D8491C">
            <w:pPr>
              <w:pStyle w:val="CGCTablerow"/>
              <w:ind w:left="397" w:hanging="397"/>
              <w:rPr>
                <w:rFonts w:cs="Open Sans Light"/>
              </w:rPr>
            </w:pPr>
            <w:r w:rsidRPr="00D345E2">
              <w:rPr>
                <w:rFonts w:cs="Open Sans Light"/>
              </w:rPr>
              <w:t>0461 Distributive trades, storage and warehouse</w:t>
            </w:r>
          </w:p>
          <w:p w14:paraId="4382FF33" w14:textId="77777777" w:rsidR="00D345E2" w:rsidRDefault="00D8491C" w:rsidP="00D8491C">
            <w:pPr>
              <w:pStyle w:val="CGCTablerow"/>
              <w:ind w:left="397" w:hanging="397"/>
              <w:rPr>
                <w:rFonts w:cs="Open Sans Light"/>
              </w:rPr>
            </w:pPr>
            <w:r w:rsidRPr="00D345E2">
              <w:rPr>
                <w:rFonts w:cs="Open Sans Light"/>
              </w:rPr>
              <w:t>0462 Hotels and restaurants</w:t>
            </w:r>
          </w:p>
          <w:p w14:paraId="7663CF50" w14:textId="0C099143" w:rsidR="00D32776" w:rsidRPr="00C675AE" w:rsidRDefault="00D32776" w:rsidP="00D32776">
            <w:pPr>
              <w:pStyle w:val="CGCTablerow"/>
              <w:ind w:left="397" w:hanging="397"/>
              <w:rPr>
                <w:rFonts w:cs="Open Sans Light"/>
              </w:rPr>
            </w:pPr>
            <w:r w:rsidRPr="00D345E2">
              <w:rPr>
                <w:rFonts w:cs="Open Sans Light"/>
              </w:rPr>
              <w:t>0463 Tourism</w:t>
            </w:r>
          </w:p>
        </w:tc>
        <w:tc>
          <w:tcPr>
            <w:tcW w:w="855" w:type="pct"/>
          </w:tcPr>
          <w:p w14:paraId="6E151883" w14:textId="77777777" w:rsidR="00D345E2" w:rsidRDefault="00D345E2">
            <w:pPr>
              <w:pStyle w:val="CGCTablerow"/>
              <w:rPr>
                <w:rFonts w:cs="Open Sans Light"/>
              </w:rPr>
            </w:pPr>
          </w:p>
        </w:tc>
      </w:tr>
      <w:tr w:rsidR="00D8491C" w:rsidRPr="00F77760" w14:paraId="7CCDD866" w14:textId="77777777">
        <w:trPr>
          <w:trHeight w:val="376"/>
        </w:trPr>
        <w:tc>
          <w:tcPr>
            <w:tcW w:w="667" w:type="pct"/>
            <w:shd w:val="clear" w:color="auto" w:fill="006991"/>
            <w:vAlign w:val="center"/>
          </w:tcPr>
          <w:p w14:paraId="27E0AE61" w14:textId="77777777" w:rsidR="00D8491C" w:rsidRPr="00F77760" w:rsidRDefault="00D8491C">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lastRenderedPageBreak/>
              <w:t>Category</w:t>
            </w:r>
          </w:p>
        </w:tc>
        <w:tc>
          <w:tcPr>
            <w:tcW w:w="1330" w:type="pct"/>
            <w:shd w:val="clear" w:color="auto" w:fill="006991"/>
            <w:vAlign w:val="center"/>
          </w:tcPr>
          <w:p w14:paraId="718E872B" w14:textId="77777777" w:rsidR="00D8491C" w:rsidRPr="00F77760" w:rsidRDefault="00D8491C">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03E464DA" w14:textId="77777777" w:rsidR="00D8491C" w:rsidRPr="00F77760" w:rsidRDefault="00D8491C">
            <w:pPr>
              <w:pStyle w:val="CGCTableheader"/>
              <w:spacing w:before="40" w:after="40"/>
              <w:jc w:val="left"/>
              <w:rPr>
                <w:rFonts w:ascii="Open Sans Semibold" w:hAnsi="Open Sans Semibold" w:cs="Open Sans Semibold"/>
                <w:b w:val="0"/>
              </w:rPr>
            </w:pPr>
            <w:r w:rsidRPr="003B40D1">
              <w:rPr>
                <w:rFonts w:ascii="Open Sans Semibold" w:hAnsi="Open Sans Semibold" w:cs="Open Sans Semibold"/>
                <w:b w:val="0"/>
              </w:rPr>
              <w:t>COFOG-A</w:t>
            </w:r>
          </w:p>
        </w:tc>
        <w:tc>
          <w:tcPr>
            <w:tcW w:w="855" w:type="pct"/>
            <w:shd w:val="clear" w:color="auto" w:fill="006991"/>
            <w:vAlign w:val="center"/>
          </w:tcPr>
          <w:p w14:paraId="6BFDA5C8" w14:textId="77777777" w:rsidR="00D8491C" w:rsidRPr="00F77760" w:rsidRDefault="00D8491C">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D8491C" w:rsidRPr="002744DB" w14:paraId="423BF5E6" w14:textId="77777777">
        <w:tc>
          <w:tcPr>
            <w:tcW w:w="5000" w:type="pct"/>
            <w:gridSpan w:val="4"/>
            <w:shd w:val="clear" w:color="auto" w:fill="B6D5E4"/>
          </w:tcPr>
          <w:p w14:paraId="7FF3ACDF" w14:textId="77777777" w:rsidR="00D8491C" w:rsidRPr="002744DB" w:rsidRDefault="00D8491C">
            <w:pPr>
              <w:pStyle w:val="CGCTablesubhead1"/>
              <w:rPr>
                <w:rFonts w:cs="Open Sans Semibold"/>
              </w:rPr>
            </w:pPr>
            <w:r w:rsidRPr="003B40D1">
              <w:rPr>
                <w:rFonts w:cs="Open Sans Semibold"/>
              </w:rPr>
              <w:t>Expenses</w:t>
            </w:r>
            <w:r>
              <w:rPr>
                <w:rFonts w:cs="Open Sans Semibold"/>
              </w:rPr>
              <w:t xml:space="preserve"> (continued)</w:t>
            </w:r>
          </w:p>
        </w:tc>
      </w:tr>
      <w:tr w:rsidR="00D8491C" w:rsidRPr="00C675AE" w14:paraId="3F38088E" w14:textId="77777777" w:rsidTr="00F83FA0">
        <w:tc>
          <w:tcPr>
            <w:tcW w:w="667" w:type="pct"/>
          </w:tcPr>
          <w:p w14:paraId="49CF5FDD" w14:textId="27B2D5F0" w:rsidR="00D8491C" w:rsidRPr="00D345E2" w:rsidRDefault="00D8491C">
            <w:pPr>
              <w:pStyle w:val="CGCTablerow"/>
              <w:rPr>
                <w:rFonts w:cs="Open Sans Light"/>
              </w:rPr>
            </w:pPr>
            <w:r w:rsidRPr="00D8491C">
              <w:rPr>
                <w:rFonts w:cs="Open Sans Light"/>
              </w:rPr>
              <w:t>Services to industry (continued)</w:t>
            </w:r>
          </w:p>
        </w:tc>
        <w:tc>
          <w:tcPr>
            <w:tcW w:w="1330" w:type="pct"/>
          </w:tcPr>
          <w:p w14:paraId="339D8ED5" w14:textId="77777777" w:rsidR="00D8491C" w:rsidRPr="00C675AE" w:rsidRDefault="00D8491C">
            <w:pPr>
              <w:pStyle w:val="CGCTablerow"/>
              <w:rPr>
                <w:rFonts w:cs="Open Sans Light"/>
              </w:rPr>
            </w:pPr>
          </w:p>
        </w:tc>
        <w:tc>
          <w:tcPr>
            <w:tcW w:w="2148" w:type="pct"/>
          </w:tcPr>
          <w:p w14:paraId="0D545776" w14:textId="77777777" w:rsidR="00D8491C" w:rsidRPr="00D345E2" w:rsidRDefault="00D8491C" w:rsidP="00D8491C">
            <w:pPr>
              <w:pStyle w:val="CGCTablerow"/>
              <w:ind w:left="397" w:hanging="397"/>
              <w:rPr>
                <w:rFonts w:cs="Open Sans Light"/>
              </w:rPr>
            </w:pPr>
            <w:r w:rsidRPr="00D345E2">
              <w:rPr>
                <w:rFonts w:cs="Open Sans Light"/>
              </w:rPr>
              <w:t>0464 Multipurpose development projects</w:t>
            </w:r>
          </w:p>
          <w:p w14:paraId="77ABFBD7" w14:textId="77777777" w:rsidR="00D8491C" w:rsidRPr="00D345E2" w:rsidRDefault="00D8491C" w:rsidP="00D8491C">
            <w:pPr>
              <w:pStyle w:val="CGCTablerow"/>
              <w:ind w:left="397" w:hanging="397"/>
              <w:rPr>
                <w:rFonts w:cs="Open Sans Light"/>
              </w:rPr>
            </w:pPr>
            <w:r w:rsidRPr="00D345E2">
              <w:rPr>
                <w:rFonts w:cs="Open Sans Light"/>
              </w:rPr>
              <w:t>0471 R&amp;D - general economic, commercial and labour affairs</w:t>
            </w:r>
          </w:p>
          <w:p w14:paraId="1BE96D3B" w14:textId="77777777" w:rsidR="00D8491C" w:rsidRPr="00D345E2" w:rsidRDefault="00D8491C" w:rsidP="00D8491C">
            <w:pPr>
              <w:pStyle w:val="CGCTablerow"/>
              <w:ind w:left="397" w:hanging="397"/>
              <w:rPr>
                <w:rFonts w:cs="Open Sans Light"/>
              </w:rPr>
            </w:pPr>
            <w:r w:rsidRPr="00D345E2">
              <w:rPr>
                <w:rFonts w:cs="Open Sans Light"/>
              </w:rPr>
              <w:t>0472 R&amp;D - agriculture, forestry, fishing and hunting</w:t>
            </w:r>
          </w:p>
          <w:p w14:paraId="6510294D" w14:textId="77777777" w:rsidR="00D8491C" w:rsidRPr="00D345E2" w:rsidRDefault="00D8491C" w:rsidP="00D8491C">
            <w:pPr>
              <w:pStyle w:val="CGCTablerow"/>
              <w:ind w:left="397" w:hanging="397"/>
              <w:rPr>
                <w:rFonts w:cs="Open Sans Light"/>
              </w:rPr>
            </w:pPr>
            <w:r w:rsidRPr="00D345E2">
              <w:rPr>
                <w:rFonts w:cs="Open Sans Light"/>
              </w:rPr>
              <w:t>0473 R&amp;D - fuel and energy</w:t>
            </w:r>
          </w:p>
          <w:p w14:paraId="380D6A01" w14:textId="77777777" w:rsidR="00D8491C" w:rsidRPr="00D345E2" w:rsidRDefault="00D8491C" w:rsidP="00D8491C">
            <w:pPr>
              <w:pStyle w:val="CGCTablerow"/>
              <w:ind w:left="397" w:hanging="397"/>
              <w:rPr>
                <w:rFonts w:cs="Open Sans Light"/>
              </w:rPr>
            </w:pPr>
            <w:r w:rsidRPr="00D345E2">
              <w:rPr>
                <w:rFonts w:cs="Open Sans Light"/>
              </w:rPr>
              <w:t>0474 R&amp;D - mining, manufacturing and construction</w:t>
            </w:r>
          </w:p>
          <w:p w14:paraId="75A88BF1" w14:textId="77777777" w:rsidR="00D8491C" w:rsidRPr="00D345E2" w:rsidRDefault="00D8491C" w:rsidP="00D8491C">
            <w:pPr>
              <w:pStyle w:val="CGCTablerow"/>
              <w:ind w:left="397" w:hanging="397"/>
              <w:rPr>
                <w:rFonts w:cs="Open Sans Light"/>
              </w:rPr>
            </w:pPr>
            <w:r w:rsidRPr="00D345E2">
              <w:rPr>
                <w:rFonts w:cs="Open Sans Light"/>
              </w:rPr>
              <w:t>0476 R&amp;D - other industries</w:t>
            </w:r>
          </w:p>
          <w:p w14:paraId="3E7D4A49" w14:textId="5E0D85C0" w:rsidR="00D8491C" w:rsidRPr="003C54EC" w:rsidRDefault="00D8491C" w:rsidP="00D8491C">
            <w:pPr>
              <w:pStyle w:val="CGCTablerow"/>
              <w:ind w:left="397" w:hanging="397"/>
              <w:rPr>
                <w:rFonts w:cs="Open Sans Light"/>
              </w:rPr>
            </w:pPr>
            <w:r w:rsidRPr="00D345E2">
              <w:rPr>
                <w:rFonts w:cs="Open Sans Light"/>
              </w:rPr>
              <w:t xml:space="preserve">0499 Economic affairs </w:t>
            </w:r>
            <w:proofErr w:type="spellStart"/>
            <w:r w:rsidRPr="00D345E2">
              <w:rPr>
                <w:rFonts w:cs="Open Sans Light"/>
              </w:rPr>
              <w:t>n.e.c.</w:t>
            </w:r>
            <w:proofErr w:type="spellEnd"/>
          </w:p>
        </w:tc>
        <w:tc>
          <w:tcPr>
            <w:tcW w:w="855" w:type="pct"/>
          </w:tcPr>
          <w:p w14:paraId="6797A23E" w14:textId="77777777" w:rsidR="00D8491C" w:rsidRDefault="00D8491C">
            <w:pPr>
              <w:pStyle w:val="CGCTablerow"/>
              <w:rPr>
                <w:rFonts w:cs="Open Sans Light"/>
              </w:rPr>
            </w:pPr>
          </w:p>
        </w:tc>
      </w:tr>
      <w:tr w:rsidR="00D018CD" w:rsidRPr="00C675AE" w14:paraId="52E83694" w14:textId="77777777" w:rsidTr="00F83FA0">
        <w:tc>
          <w:tcPr>
            <w:tcW w:w="667" w:type="pct"/>
          </w:tcPr>
          <w:p w14:paraId="7820281B" w14:textId="77777777" w:rsidR="00D018CD" w:rsidRPr="00C675AE" w:rsidRDefault="00D018CD">
            <w:pPr>
              <w:pStyle w:val="CGCTablerow"/>
              <w:rPr>
                <w:rFonts w:cs="Open Sans Light"/>
              </w:rPr>
            </w:pPr>
            <w:r w:rsidRPr="00C675AE">
              <w:rPr>
                <w:rFonts w:cs="Open Sans Light"/>
              </w:rPr>
              <w:t>Other expenses (net)</w:t>
            </w:r>
          </w:p>
        </w:tc>
        <w:tc>
          <w:tcPr>
            <w:tcW w:w="1330" w:type="pct"/>
          </w:tcPr>
          <w:p w14:paraId="04AF9789" w14:textId="0159131B" w:rsidR="00D018CD" w:rsidRPr="00C675AE" w:rsidRDefault="00D018CD">
            <w:pPr>
              <w:pStyle w:val="CGCTablerow"/>
              <w:rPr>
                <w:rFonts w:cs="Open Sans Light"/>
              </w:rPr>
            </w:pPr>
            <w:r w:rsidRPr="00C675AE">
              <w:rPr>
                <w:rFonts w:cs="Open Sans Light"/>
              </w:rPr>
              <w:t xml:space="preserve">Expenses </w:t>
            </w:r>
            <w:r w:rsidR="00E42735">
              <w:rPr>
                <w:rFonts w:cs="Open Sans Light"/>
              </w:rPr>
              <w:t>–</w:t>
            </w:r>
            <w:r w:rsidRPr="00C675AE">
              <w:rPr>
                <w:rFonts w:cs="Open Sans Light"/>
              </w:rPr>
              <w:t xml:space="preserve"> 12*</w:t>
            </w:r>
            <w:r>
              <w:rPr>
                <w:rFonts w:cs="Open Sans Light"/>
              </w:rPr>
              <w:t>*</w:t>
            </w:r>
            <w:r w:rsidRPr="00C675AE">
              <w:rPr>
                <w:rFonts w:cs="Open Sans Light"/>
              </w:rPr>
              <w:t>, except 1241, 1242, 1271, and 1279</w:t>
            </w:r>
          </w:p>
          <w:p w14:paraId="5F5522D5" w14:textId="6B6CD0F7" w:rsidR="00D018CD" w:rsidRPr="00C675AE" w:rsidRDefault="00152AD5">
            <w:pPr>
              <w:pStyle w:val="CGCTablerow"/>
              <w:rPr>
                <w:rFonts w:cs="Open Sans Light"/>
              </w:rPr>
            </w:pPr>
            <w:r>
              <w:rPr>
                <w:rFonts w:cs="Open Sans Light"/>
              </w:rPr>
              <w:br/>
            </w:r>
            <w:r w:rsidR="00D018CD" w:rsidRPr="00C675AE">
              <w:rPr>
                <w:rFonts w:cs="Open Sans Light"/>
              </w:rPr>
              <w:t xml:space="preserve">User charges </w:t>
            </w:r>
            <w:r w:rsidR="00E42735">
              <w:rPr>
                <w:rFonts w:cs="Open Sans Light"/>
              </w:rPr>
              <w:t>–</w:t>
            </w:r>
            <w:r w:rsidR="00D018CD" w:rsidRPr="00C675AE">
              <w:rPr>
                <w:rFonts w:cs="Open Sans Light"/>
              </w:rPr>
              <w:t xml:space="preserve"> 112* Sales of goods and services,</w:t>
            </w:r>
          </w:p>
          <w:p w14:paraId="60262AD5" w14:textId="239C3ABB" w:rsidR="00D018CD" w:rsidRPr="00C675AE" w:rsidRDefault="00D018CD">
            <w:pPr>
              <w:pStyle w:val="CGCTablerow"/>
              <w:rPr>
                <w:rFonts w:cs="Open Sans Light"/>
              </w:rPr>
            </w:pPr>
            <w:r w:rsidRPr="00C675AE">
              <w:rPr>
                <w:rFonts w:cs="Open Sans Light"/>
              </w:rPr>
              <w:t>TC</w:t>
            </w:r>
            <w:r w:rsidR="00543048">
              <w:rPr>
                <w:rFonts w:cs="Open Sans Light"/>
              </w:rPr>
              <w:t xml:space="preserve"> </w:t>
            </w:r>
            <w:r w:rsidRPr="00C675AE">
              <w:rPr>
                <w:rFonts w:cs="Open Sans Light"/>
              </w:rPr>
              <w:t xml:space="preserve">314 Property owners’ contributions to fire brigades, </w:t>
            </w:r>
            <w:r w:rsidR="00813ACE">
              <w:rPr>
                <w:rFonts w:cs="Open Sans Light"/>
              </w:rPr>
              <w:br/>
            </w:r>
            <w:r w:rsidRPr="00C675AE">
              <w:rPr>
                <w:rFonts w:cs="Open Sans Light"/>
              </w:rPr>
              <w:t>TC</w:t>
            </w:r>
            <w:r w:rsidR="00543048">
              <w:rPr>
                <w:rFonts w:cs="Open Sans Light"/>
              </w:rPr>
              <w:t xml:space="preserve"> </w:t>
            </w:r>
            <w:r w:rsidRPr="00C675AE">
              <w:rPr>
                <w:rFonts w:cs="Open Sans Light"/>
              </w:rPr>
              <w:t>451 Insurance companies’ contributions to fire brigades</w:t>
            </w:r>
          </w:p>
          <w:p w14:paraId="334604F9" w14:textId="77777777" w:rsidR="00D018CD" w:rsidRPr="00C675AE" w:rsidRDefault="00D018CD">
            <w:pPr>
              <w:pStyle w:val="CGCTablerow"/>
              <w:rPr>
                <w:rFonts w:cs="Open Sans Light"/>
              </w:rPr>
            </w:pPr>
          </w:p>
        </w:tc>
        <w:tc>
          <w:tcPr>
            <w:tcW w:w="2148" w:type="pct"/>
          </w:tcPr>
          <w:p w14:paraId="203984E6" w14:textId="77777777" w:rsidR="00D018CD" w:rsidRPr="00C675AE" w:rsidRDefault="00D018CD">
            <w:pPr>
              <w:pStyle w:val="CGCTablerow"/>
              <w:rPr>
                <w:rFonts w:cs="Open Sans Light"/>
              </w:rPr>
            </w:pPr>
            <w:r w:rsidRPr="00C675AE">
              <w:rPr>
                <w:rFonts w:cs="Open Sans Light"/>
              </w:rPr>
              <w:t>0111 Executive and legislative organs</w:t>
            </w:r>
          </w:p>
          <w:p w14:paraId="59AC271F" w14:textId="77777777" w:rsidR="00D018CD" w:rsidRPr="00C675AE" w:rsidRDefault="00D018CD">
            <w:pPr>
              <w:pStyle w:val="CGCTablerow"/>
              <w:rPr>
                <w:rFonts w:cs="Open Sans Light"/>
              </w:rPr>
            </w:pPr>
            <w:r w:rsidRPr="00C675AE">
              <w:rPr>
                <w:rFonts w:cs="Open Sans Light"/>
              </w:rPr>
              <w:t>0112 Financial and fiscal affairs</w:t>
            </w:r>
          </w:p>
          <w:p w14:paraId="3C65B99D" w14:textId="77777777" w:rsidR="00D018CD" w:rsidRPr="00C675AE" w:rsidRDefault="00D018CD">
            <w:pPr>
              <w:pStyle w:val="CGCTablerow"/>
              <w:rPr>
                <w:rFonts w:cs="Open Sans Light"/>
              </w:rPr>
            </w:pPr>
            <w:r w:rsidRPr="00C675AE">
              <w:rPr>
                <w:rFonts w:cs="Open Sans Light"/>
              </w:rPr>
              <w:t xml:space="preserve">0113 External affairs </w:t>
            </w:r>
          </w:p>
          <w:p w14:paraId="258E7E59" w14:textId="77777777" w:rsidR="00D018CD" w:rsidRPr="00C675AE" w:rsidRDefault="00D018CD">
            <w:pPr>
              <w:pStyle w:val="CGCTablerow"/>
              <w:ind w:left="397" w:hanging="397"/>
              <w:rPr>
                <w:rFonts w:cs="Open Sans Light"/>
              </w:rPr>
            </w:pPr>
            <w:r w:rsidRPr="00C675AE">
              <w:rPr>
                <w:rFonts w:cs="Open Sans Light"/>
              </w:rPr>
              <w:t xml:space="preserve">0121 Economic aid to developing countries and countries in transition </w:t>
            </w:r>
          </w:p>
          <w:p w14:paraId="6691ECA7" w14:textId="77777777" w:rsidR="00D018CD" w:rsidRPr="00C675AE" w:rsidRDefault="00D018CD">
            <w:pPr>
              <w:pStyle w:val="CGCTablerow"/>
              <w:ind w:left="397" w:hanging="397"/>
              <w:rPr>
                <w:rFonts w:cs="Open Sans Light"/>
              </w:rPr>
            </w:pPr>
            <w:r w:rsidRPr="00C675AE">
              <w:rPr>
                <w:rFonts w:cs="Open Sans Light"/>
              </w:rPr>
              <w:t>0122 Economic aid routed through international organisations</w:t>
            </w:r>
          </w:p>
          <w:p w14:paraId="0730B816" w14:textId="77777777" w:rsidR="00D018CD" w:rsidRPr="00C675AE" w:rsidRDefault="00D018CD">
            <w:pPr>
              <w:pStyle w:val="CGCTablerow"/>
              <w:ind w:left="397" w:hanging="397"/>
              <w:rPr>
                <w:rFonts w:cs="Open Sans Light"/>
              </w:rPr>
            </w:pPr>
            <w:r w:rsidRPr="00C675AE">
              <w:rPr>
                <w:rFonts w:cs="Open Sans Light"/>
              </w:rPr>
              <w:t>0131 General personnel services</w:t>
            </w:r>
          </w:p>
          <w:p w14:paraId="7312C94E" w14:textId="77777777" w:rsidR="00D018CD" w:rsidRPr="00C675AE" w:rsidRDefault="00D018CD">
            <w:pPr>
              <w:pStyle w:val="CGCTablerow"/>
              <w:ind w:left="397" w:hanging="397"/>
              <w:rPr>
                <w:rFonts w:cs="Open Sans Light"/>
              </w:rPr>
            </w:pPr>
            <w:r w:rsidRPr="00C675AE">
              <w:rPr>
                <w:rFonts w:cs="Open Sans Light"/>
              </w:rPr>
              <w:t>0132 Overall planning and statistical services</w:t>
            </w:r>
          </w:p>
          <w:p w14:paraId="32C1A0B6" w14:textId="77777777" w:rsidR="00D018CD" w:rsidRPr="00C675AE" w:rsidRDefault="00D018CD">
            <w:pPr>
              <w:pStyle w:val="CGCTablerow"/>
              <w:ind w:left="397" w:hanging="397"/>
              <w:rPr>
                <w:rFonts w:cs="Open Sans Light"/>
              </w:rPr>
            </w:pPr>
            <w:r w:rsidRPr="00C675AE">
              <w:rPr>
                <w:rFonts w:cs="Open Sans Light"/>
              </w:rPr>
              <w:t xml:space="preserve">0139 General services </w:t>
            </w:r>
            <w:proofErr w:type="spellStart"/>
            <w:r w:rsidRPr="00C675AE">
              <w:rPr>
                <w:rFonts w:cs="Open Sans Light"/>
              </w:rPr>
              <w:t>n.e.c.</w:t>
            </w:r>
            <w:proofErr w:type="spellEnd"/>
          </w:p>
          <w:p w14:paraId="493F24D5" w14:textId="77777777" w:rsidR="00D018CD" w:rsidRPr="00C675AE" w:rsidRDefault="00D018CD">
            <w:pPr>
              <w:pStyle w:val="CGCTablerow"/>
              <w:ind w:left="397" w:hanging="397"/>
              <w:rPr>
                <w:rFonts w:cs="Open Sans Light"/>
              </w:rPr>
            </w:pPr>
            <w:r w:rsidRPr="00C675AE">
              <w:rPr>
                <w:rFonts w:cs="Open Sans Light"/>
              </w:rPr>
              <w:t>0141 Basic research</w:t>
            </w:r>
          </w:p>
          <w:p w14:paraId="1674DA7F" w14:textId="77777777" w:rsidR="00D018CD" w:rsidRPr="00C675AE" w:rsidRDefault="00D018CD">
            <w:pPr>
              <w:pStyle w:val="CGCTablerow"/>
              <w:ind w:left="397" w:hanging="397"/>
              <w:rPr>
                <w:rFonts w:cs="Open Sans Light"/>
              </w:rPr>
            </w:pPr>
            <w:r w:rsidRPr="00C675AE">
              <w:rPr>
                <w:rFonts w:cs="Open Sans Light"/>
              </w:rPr>
              <w:t xml:space="preserve">0151 R&amp;D - </w:t>
            </w:r>
            <w:proofErr w:type="gramStart"/>
            <w:r w:rsidRPr="00C675AE">
              <w:rPr>
                <w:rFonts w:cs="Open Sans Light"/>
              </w:rPr>
              <w:t>general public</w:t>
            </w:r>
            <w:proofErr w:type="gramEnd"/>
            <w:r w:rsidRPr="00C675AE">
              <w:rPr>
                <w:rFonts w:cs="Open Sans Light"/>
              </w:rPr>
              <w:t xml:space="preserve"> services</w:t>
            </w:r>
          </w:p>
          <w:p w14:paraId="1BEEE8D2" w14:textId="77777777" w:rsidR="00D018CD" w:rsidRPr="00C675AE" w:rsidRDefault="00D018CD">
            <w:pPr>
              <w:pStyle w:val="CGCTablerow"/>
              <w:ind w:left="397" w:hanging="397"/>
              <w:rPr>
                <w:rFonts w:cs="Open Sans Light"/>
              </w:rPr>
            </w:pPr>
            <w:r w:rsidRPr="00C675AE">
              <w:rPr>
                <w:rFonts w:cs="Open Sans Light"/>
              </w:rPr>
              <w:t>0161 Public debt transactions</w:t>
            </w:r>
          </w:p>
          <w:p w14:paraId="376679FC" w14:textId="77777777" w:rsidR="00D018CD" w:rsidRPr="00C675AE" w:rsidRDefault="00D018CD">
            <w:pPr>
              <w:pStyle w:val="CGCTablerow"/>
              <w:ind w:left="397" w:hanging="397"/>
              <w:rPr>
                <w:rFonts w:cs="Open Sans Light"/>
              </w:rPr>
            </w:pPr>
            <w:r w:rsidRPr="00C675AE">
              <w:rPr>
                <w:rFonts w:cs="Open Sans Light"/>
              </w:rPr>
              <w:t>0171 Transfers of a general character between difference levels of government</w:t>
            </w:r>
          </w:p>
          <w:p w14:paraId="71628D23" w14:textId="77777777" w:rsidR="00D018CD" w:rsidRPr="00C675AE" w:rsidRDefault="00D018CD">
            <w:pPr>
              <w:pStyle w:val="CGCTablerow"/>
              <w:ind w:left="397" w:hanging="397"/>
              <w:rPr>
                <w:rFonts w:cs="Open Sans Light"/>
              </w:rPr>
            </w:pPr>
            <w:r w:rsidRPr="00C675AE">
              <w:rPr>
                <w:rFonts w:cs="Open Sans Light"/>
              </w:rPr>
              <w:t xml:space="preserve">0199 General public services </w:t>
            </w:r>
            <w:proofErr w:type="spellStart"/>
            <w:r w:rsidRPr="00C675AE">
              <w:rPr>
                <w:rFonts w:cs="Open Sans Light"/>
              </w:rPr>
              <w:t>n.e.c.</w:t>
            </w:r>
            <w:proofErr w:type="spellEnd"/>
          </w:p>
          <w:p w14:paraId="6CCD7AB0" w14:textId="77777777" w:rsidR="00D018CD" w:rsidRPr="00C675AE" w:rsidRDefault="00D018CD">
            <w:pPr>
              <w:pStyle w:val="CGCTablerow"/>
              <w:ind w:left="397" w:hanging="397"/>
              <w:rPr>
                <w:rFonts w:cs="Open Sans Light"/>
              </w:rPr>
            </w:pPr>
            <w:r w:rsidRPr="00C675AE">
              <w:rPr>
                <w:rFonts w:cs="Open Sans Light"/>
              </w:rPr>
              <w:t>0321 Civil protection services</w:t>
            </w:r>
          </w:p>
          <w:p w14:paraId="21E89F43" w14:textId="77777777" w:rsidR="00D018CD" w:rsidRPr="00C675AE" w:rsidRDefault="00D018CD">
            <w:pPr>
              <w:pStyle w:val="CGCTablerow"/>
              <w:ind w:left="397" w:hanging="397"/>
              <w:rPr>
                <w:rFonts w:cs="Open Sans Light"/>
              </w:rPr>
            </w:pPr>
            <w:r w:rsidRPr="00C675AE">
              <w:rPr>
                <w:rFonts w:cs="Open Sans Light"/>
              </w:rPr>
              <w:t>0322 Fire protection services</w:t>
            </w:r>
          </w:p>
          <w:p w14:paraId="7432816A" w14:textId="77777777" w:rsidR="00D018CD" w:rsidRPr="00C675AE" w:rsidRDefault="00D018CD">
            <w:pPr>
              <w:pStyle w:val="CGCTablerow"/>
              <w:ind w:left="397" w:hanging="397"/>
              <w:rPr>
                <w:rFonts w:cs="Open Sans Light"/>
              </w:rPr>
            </w:pPr>
            <w:r w:rsidRPr="00C675AE">
              <w:rPr>
                <w:rFonts w:cs="Open Sans Light"/>
              </w:rPr>
              <w:t>0391 Control of domestic animals and livestock</w:t>
            </w:r>
          </w:p>
          <w:p w14:paraId="509BA290" w14:textId="77777777" w:rsidR="00D018CD" w:rsidRPr="00C675AE" w:rsidRDefault="00D018CD">
            <w:pPr>
              <w:pStyle w:val="CGCTablerow"/>
              <w:rPr>
                <w:rFonts w:cs="Open Sans Light"/>
              </w:rPr>
            </w:pPr>
            <w:r w:rsidRPr="00C675AE">
              <w:rPr>
                <w:rFonts w:cs="Open Sans Light"/>
              </w:rPr>
              <w:t xml:space="preserve">0399 Public order and safety </w:t>
            </w:r>
            <w:proofErr w:type="spellStart"/>
            <w:r w:rsidRPr="00C675AE">
              <w:rPr>
                <w:rFonts w:cs="Open Sans Light"/>
              </w:rPr>
              <w:t>n.e.c.</w:t>
            </w:r>
            <w:proofErr w:type="spellEnd"/>
          </w:p>
          <w:p w14:paraId="7DB84D3E" w14:textId="77777777" w:rsidR="00D018CD" w:rsidRPr="00C675AE" w:rsidRDefault="00D018CD">
            <w:pPr>
              <w:pStyle w:val="CGCTablerow"/>
              <w:rPr>
                <w:rFonts w:cs="Open Sans Light"/>
              </w:rPr>
            </w:pPr>
            <w:r w:rsidRPr="00C675AE">
              <w:rPr>
                <w:rFonts w:cs="Open Sans Light"/>
              </w:rPr>
              <w:t>0451 Communication</w:t>
            </w:r>
          </w:p>
          <w:p w14:paraId="2278490C" w14:textId="77777777" w:rsidR="00D018CD" w:rsidRPr="00C675AE" w:rsidRDefault="00D018CD">
            <w:pPr>
              <w:pStyle w:val="CGCTablerow"/>
              <w:rPr>
                <w:rFonts w:cs="Open Sans Light"/>
              </w:rPr>
            </w:pPr>
            <w:r w:rsidRPr="00C675AE">
              <w:rPr>
                <w:rFonts w:cs="Open Sans Light"/>
              </w:rPr>
              <w:t>0475 R&amp;D - communication</w:t>
            </w:r>
          </w:p>
          <w:p w14:paraId="7B971F35" w14:textId="77777777" w:rsidR="00D018CD" w:rsidRPr="00C675AE" w:rsidRDefault="00D018CD">
            <w:pPr>
              <w:pStyle w:val="CGCTablerow"/>
              <w:rPr>
                <w:rFonts w:cs="Open Sans Light"/>
              </w:rPr>
            </w:pPr>
            <w:r w:rsidRPr="00C675AE">
              <w:rPr>
                <w:rFonts w:cs="Open Sans Light"/>
              </w:rPr>
              <w:t>0811 Recreational and sporting services</w:t>
            </w:r>
          </w:p>
          <w:p w14:paraId="6F9529E4" w14:textId="77777777" w:rsidR="00D018CD" w:rsidRPr="00C675AE" w:rsidRDefault="00D018CD">
            <w:pPr>
              <w:pStyle w:val="CGCTablerow"/>
              <w:rPr>
                <w:rFonts w:cs="Open Sans Light"/>
              </w:rPr>
            </w:pPr>
            <w:r w:rsidRPr="00C675AE">
              <w:rPr>
                <w:rFonts w:cs="Open Sans Light"/>
              </w:rPr>
              <w:t>0821 Film production services</w:t>
            </w:r>
          </w:p>
          <w:p w14:paraId="4874F08F" w14:textId="77777777" w:rsidR="00D018CD" w:rsidRPr="00C675AE" w:rsidRDefault="00D018CD">
            <w:pPr>
              <w:pStyle w:val="CGCTablerow"/>
              <w:rPr>
                <w:rFonts w:cs="Open Sans Light"/>
              </w:rPr>
            </w:pPr>
            <w:r w:rsidRPr="00C675AE">
              <w:rPr>
                <w:rFonts w:cs="Open Sans Light"/>
              </w:rPr>
              <w:t>0829 Cultural services</w:t>
            </w:r>
          </w:p>
          <w:p w14:paraId="493D8AF8" w14:textId="77777777" w:rsidR="00D018CD" w:rsidRPr="00C675AE" w:rsidRDefault="00D018CD">
            <w:pPr>
              <w:pStyle w:val="CGCTablerow"/>
              <w:ind w:left="397" w:hanging="397"/>
              <w:rPr>
                <w:rFonts w:cs="Open Sans Light"/>
              </w:rPr>
            </w:pPr>
            <w:r w:rsidRPr="00C675AE">
              <w:rPr>
                <w:rFonts w:cs="Open Sans Light"/>
              </w:rPr>
              <w:t>0831 Broadcasting and publishing services</w:t>
            </w:r>
          </w:p>
          <w:p w14:paraId="590930F2" w14:textId="77777777" w:rsidR="00D018CD" w:rsidRPr="00C675AE" w:rsidRDefault="00D018CD">
            <w:pPr>
              <w:pStyle w:val="CGCTablerow"/>
              <w:rPr>
                <w:rFonts w:cs="Open Sans Light"/>
              </w:rPr>
            </w:pPr>
            <w:r w:rsidRPr="00C675AE">
              <w:rPr>
                <w:rFonts w:cs="Open Sans Light"/>
              </w:rPr>
              <w:t>0832 Publishing services</w:t>
            </w:r>
          </w:p>
          <w:p w14:paraId="50A7A07C" w14:textId="77777777" w:rsidR="00D018CD" w:rsidRPr="00C675AE" w:rsidRDefault="00D018CD">
            <w:pPr>
              <w:pStyle w:val="CGCTablerow"/>
              <w:rPr>
                <w:rFonts w:cs="Open Sans Light"/>
              </w:rPr>
            </w:pPr>
            <w:r w:rsidRPr="00C675AE">
              <w:rPr>
                <w:rFonts w:cs="Open Sans Light"/>
              </w:rPr>
              <w:t>0841 Religious and other community services</w:t>
            </w:r>
          </w:p>
          <w:p w14:paraId="49C49674" w14:textId="77777777" w:rsidR="00D018CD" w:rsidRPr="00C675AE" w:rsidRDefault="00D018CD">
            <w:pPr>
              <w:pStyle w:val="CGCTablerow"/>
              <w:rPr>
                <w:rFonts w:cs="Open Sans Light"/>
              </w:rPr>
            </w:pPr>
            <w:r w:rsidRPr="00C675AE">
              <w:rPr>
                <w:rFonts w:cs="Open Sans Light"/>
              </w:rPr>
              <w:t>0851 R&amp;D - Recreation, culture and religion</w:t>
            </w:r>
          </w:p>
          <w:p w14:paraId="15CCBF14" w14:textId="77777777" w:rsidR="00D018CD" w:rsidRPr="00C675AE" w:rsidRDefault="00D018CD">
            <w:pPr>
              <w:pStyle w:val="CGCTablerow"/>
              <w:rPr>
                <w:rFonts w:cs="Open Sans Light"/>
              </w:rPr>
            </w:pPr>
            <w:r w:rsidRPr="00C675AE">
              <w:rPr>
                <w:rFonts w:cs="Open Sans Light"/>
              </w:rPr>
              <w:t>0891 Community centres and halls</w:t>
            </w:r>
          </w:p>
          <w:p w14:paraId="6ACB1B0F" w14:textId="77777777" w:rsidR="00D018CD" w:rsidRPr="00C675AE" w:rsidRDefault="00D018CD">
            <w:pPr>
              <w:pStyle w:val="CGCTablerow"/>
              <w:rPr>
                <w:rFonts w:cs="Open Sans Light"/>
              </w:rPr>
            </w:pPr>
            <w:r w:rsidRPr="00C675AE">
              <w:rPr>
                <w:rFonts w:cs="Open Sans Light"/>
              </w:rPr>
              <w:t xml:space="preserve">0899 Recreation, culture and religion </w:t>
            </w:r>
            <w:proofErr w:type="spellStart"/>
            <w:r w:rsidRPr="00C675AE">
              <w:rPr>
                <w:rFonts w:cs="Open Sans Light"/>
              </w:rPr>
              <w:t>n.e.c.</w:t>
            </w:r>
            <w:proofErr w:type="spellEnd"/>
          </w:p>
          <w:p w14:paraId="0CDA0284" w14:textId="77777777" w:rsidR="00D018CD" w:rsidRPr="00C675AE" w:rsidRDefault="00D018CD">
            <w:pPr>
              <w:pStyle w:val="CGCTablerow"/>
              <w:rPr>
                <w:rFonts w:cs="Open Sans Light"/>
              </w:rPr>
            </w:pPr>
            <w:r w:rsidRPr="00C675AE">
              <w:rPr>
                <w:rFonts w:cs="Open Sans Light"/>
              </w:rPr>
              <w:t>1091 Natural disaster relief</w:t>
            </w:r>
          </w:p>
        </w:tc>
        <w:tc>
          <w:tcPr>
            <w:tcW w:w="855" w:type="pct"/>
          </w:tcPr>
          <w:p w14:paraId="229F435E" w14:textId="77777777" w:rsidR="00D018CD" w:rsidRPr="00C675AE" w:rsidRDefault="00D018CD">
            <w:pPr>
              <w:pStyle w:val="CGCTablerow"/>
              <w:rPr>
                <w:rFonts w:cs="Open Sans Light"/>
              </w:rPr>
            </w:pPr>
            <w:r>
              <w:rPr>
                <w:rFonts w:cs="Open Sans Light"/>
              </w:rPr>
              <w:t>≠</w:t>
            </w:r>
            <w:r w:rsidRPr="00C675AE">
              <w:rPr>
                <w:rFonts w:cs="Open Sans Light"/>
              </w:rPr>
              <w:t>"23" &amp; own JUR</w:t>
            </w:r>
          </w:p>
        </w:tc>
      </w:tr>
      <w:tr w:rsidR="00A35E7B" w:rsidRPr="00F77760" w14:paraId="59A2D9DC" w14:textId="77777777" w:rsidTr="00F83FA0">
        <w:trPr>
          <w:trHeight w:val="376"/>
        </w:trPr>
        <w:tc>
          <w:tcPr>
            <w:tcW w:w="667" w:type="pct"/>
            <w:shd w:val="clear" w:color="auto" w:fill="006991"/>
            <w:vAlign w:val="center"/>
          </w:tcPr>
          <w:p w14:paraId="0ECE76C8" w14:textId="77777777" w:rsidR="00A35E7B" w:rsidRPr="00F77760" w:rsidRDefault="00A35E7B">
            <w:pPr>
              <w:pStyle w:val="CGCTableheader"/>
              <w:spacing w:before="40" w:after="40"/>
              <w:jc w:val="left"/>
              <w:rPr>
                <w:rFonts w:ascii="Open Sans Semibold" w:hAnsi="Open Sans Semibold" w:cs="Open Sans Semibold"/>
                <w:b w:val="0"/>
              </w:rPr>
            </w:pPr>
            <w:bookmarkStart w:id="19" w:name="_Hlk181179905"/>
            <w:r w:rsidRPr="00F77760">
              <w:rPr>
                <w:rFonts w:ascii="Open Sans Semibold" w:hAnsi="Open Sans Semibold" w:cs="Open Sans Semibold"/>
                <w:b w:val="0"/>
              </w:rPr>
              <w:t>Category</w:t>
            </w:r>
          </w:p>
        </w:tc>
        <w:tc>
          <w:tcPr>
            <w:tcW w:w="1330" w:type="pct"/>
            <w:shd w:val="clear" w:color="auto" w:fill="006991"/>
            <w:vAlign w:val="center"/>
          </w:tcPr>
          <w:p w14:paraId="21AF9A3E" w14:textId="77777777" w:rsidR="00A35E7B" w:rsidRPr="00F77760" w:rsidRDefault="00A35E7B">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68BD1037" w14:textId="77777777" w:rsidR="00A35E7B" w:rsidRPr="00F77760" w:rsidRDefault="00A35E7B">
            <w:pPr>
              <w:pStyle w:val="CGCTableheader"/>
              <w:spacing w:before="40" w:after="40"/>
              <w:jc w:val="left"/>
              <w:rPr>
                <w:rFonts w:ascii="Open Sans Semibold" w:hAnsi="Open Sans Semibold" w:cs="Open Sans Semibold"/>
                <w:b w:val="0"/>
              </w:rPr>
            </w:pPr>
            <w:r w:rsidRPr="003B40D1">
              <w:rPr>
                <w:rFonts w:ascii="Open Sans Semibold" w:hAnsi="Open Sans Semibold" w:cs="Open Sans Semibold"/>
                <w:b w:val="0"/>
              </w:rPr>
              <w:t>COFOG-A</w:t>
            </w:r>
          </w:p>
        </w:tc>
        <w:tc>
          <w:tcPr>
            <w:tcW w:w="855" w:type="pct"/>
            <w:shd w:val="clear" w:color="auto" w:fill="006991"/>
            <w:vAlign w:val="center"/>
          </w:tcPr>
          <w:p w14:paraId="38240A10" w14:textId="77777777" w:rsidR="00A35E7B" w:rsidRPr="00F77760" w:rsidRDefault="00A35E7B">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A35E7B" w:rsidRPr="002744DB" w14:paraId="494DFF5E" w14:textId="77777777" w:rsidTr="00F83FA0">
        <w:tc>
          <w:tcPr>
            <w:tcW w:w="5000" w:type="pct"/>
            <w:gridSpan w:val="4"/>
            <w:shd w:val="clear" w:color="auto" w:fill="B6D5E4"/>
          </w:tcPr>
          <w:p w14:paraId="578CA2CA" w14:textId="442444E8" w:rsidR="00A35E7B" w:rsidRPr="002744DB" w:rsidRDefault="00A35E7B">
            <w:pPr>
              <w:pStyle w:val="CGCTablesubhead1"/>
              <w:rPr>
                <w:rFonts w:cs="Open Sans Semibold"/>
              </w:rPr>
            </w:pPr>
            <w:r>
              <w:rPr>
                <w:rFonts w:cs="Open Sans Semibold"/>
              </w:rPr>
              <w:t>Investment</w:t>
            </w:r>
          </w:p>
        </w:tc>
      </w:tr>
      <w:bookmarkEnd w:id="19"/>
      <w:tr w:rsidR="00D01A0D" w:rsidRPr="001F5B96" w14:paraId="507DAEB2" w14:textId="77777777" w:rsidTr="00F83FA0">
        <w:trPr>
          <w:trHeight w:val="430"/>
        </w:trPr>
        <w:tc>
          <w:tcPr>
            <w:tcW w:w="667" w:type="pct"/>
            <w:shd w:val="clear" w:color="auto" w:fill="auto"/>
          </w:tcPr>
          <w:p w14:paraId="4FAB5DF6" w14:textId="77777777" w:rsidR="00D01A0D" w:rsidRPr="00EB585A" w:rsidRDefault="00D01A0D">
            <w:pPr>
              <w:pStyle w:val="CGCTablerow"/>
              <w:rPr>
                <w:rFonts w:cs="Open Sans Light"/>
                <w:bCs/>
              </w:rPr>
            </w:pPr>
            <w:r w:rsidRPr="00146E48">
              <w:rPr>
                <w:rFonts w:cs="Open Sans Light"/>
                <w:bCs/>
              </w:rPr>
              <w:t>Investment</w:t>
            </w:r>
          </w:p>
        </w:tc>
        <w:tc>
          <w:tcPr>
            <w:tcW w:w="4333" w:type="pct"/>
            <w:gridSpan w:val="3"/>
            <w:shd w:val="clear" w:color="auto" w:fill="auto"/>
          </w:tcPr>
          <w:p w14:paraId="7C407962" w14:textId="3CA85512" w:rsidR="00D01A0D" w:rsidRPr="00C675AE" w:rsidRDefault="00D01A0D">
            <w:pPr>
              <w:pStyle w:val="CGCTablerow"/>
              <w:rPr>
                <w:rFonts w:cs="Open Sans Light"/>
              </w:rPr>
            </w:pPr>
            <w:r w:rsidRPr="00C675AE">
              <w:rPr>
                <w:rFonts w:cs="Open Sans Light"/>
              </w:rPr>
              <w:t xml:space="preserve">Gross investment (that is depreciation is not deducted) for all categories except </w:t>
            </w:r>
            <w:r>
              <w:rPr>
                <w:rFonts w:cs="Open Sans Light"/>
              </w:rPr>
              <w:t>u</w:t>
            </w:r>
            <w:r w:rsidRPr="00C675AE">
              <w:rPr>
                <w:rFonts w:cs="Open Sans Light"/>
              </w:rPr>
              <w:t>rban transport. For urban transport, depreciation is deducted from gross investment</w:t>
            </w:r>
            <w:r w:rsidR="00BC59A8">
              <w:rPr>
                <w:rFonts w:cs="Open Sans Light"/>
              </w:rPr>
              <w:t>.</w:t>
            </w:r>
          </w:p>
        </w:tc>
      </w:tr>
      <w:tr w:rsidR="00D01A0D" w:rsidRPr="001F5B96" w14:paraId="232A820E" w14:textId="77777777" w:rsidTr="00F83FA0">
        <w:tc>
          <w:tcPr>
            <w:tcW w:w="5000" w:type="pct"/>
            <w:gridSpan w:val="4"/>
            <w:shd w:val="clear" w:color="auto" w:fill="D6E7F0"/>
          </w:tcPr>
          <w:p w14:paraId="00A3B384" w14:textId="38F0B682" w:rsidR="00D01A0D" w:rsidRPr="002744DB" w:rsidRDefault="00D01A0D">
            <w:pPr>
              <w:pStyle w:val="CGCTablesubhead1"/>
              <w:rPr>
                <w:rFonts w:cs="Open Sans Semibold"/>
              </w:rPr>
            </w:pPr>
            <w:r w:rsidRPr="002744DB">
              <w:rPr>
                <w:rFonts w:cs="Open Sans Semibold"/>
              </w:rPr>
              <w:t xml:space="preserve">Transactions in non-financial produced assets (TALC 1 fixed produced assets and 2 </w:t>
            </w:r>
            <w:r w:rsidR="00DD7F87">
              <w:rPr>
                <w:rFonts w:cs="Open Sans Semibold"/>
              </w:rPr>
              <w:t>o</w:t>
            </w:r>
            <w:r w:rsidRPr="002744DB">
              <w:rPr>
                <w:rFonts w:cs="Open Sans Semibold"/>
              </w:rPr>
              <w:t>ther produced assets)</w:t>
            </w:r>
          </w:p>
        </w:tc>
      </w:tr>
      <w:tr w:rsidR="00D01A0D" w:rsidRPr="001F5B96" w14:paraId="69B11F6F" w14:textId="77777777" w:rsidTr="00F83FA0">
        <w:tc>
          <w:tcPr>
            <w:tcW w:w="667" w:type="pct"/>
          </w:tcPr>
          <w:p w14:paraId="30CC2848" w14:textId="77777777" w:rsidR="00D01A0D" w:rsidRPr="00C675AE" w:rsidRDefault="00D01A0D">
            <w:pPr>
              <w:pStyle w:val="CGCTablerow"/>
              <w:rPr>
                <w:rFonts w:cs="Open Sans Light"/>
              </w:rPr>
            </w:pPr>
            <w:r w:rsidRPr="00C675AE">
              <w:rPr>
                <w:rFonts w:cs="Open Sans Light"/>
              </w:rPr>
              <w:t xml:space="preserve">Other than </w:t>
            </w:r>
            <w:r>
              <w:rPr>
                <w:rFonts w:cs="Open Sans Light"/>
              </w:rPr>
              <w:t>h</w:t>
            </w:r>
            <w:r w:rsidRPr="00C675AE">
              <w:rPr>
                <w:rFonts w:cs="Open Sans Light"/>
              </w:rPr>
              <w:t>ousing and urban transport</w:t>
            </w:r>
          </w:p>
        </w:tc>
        <w:tc>
          <w:tcPr>
            <w:tcW w:w="1330" w:type="pct"/>
          </w:tcPr>
          <w:p w14:paraId="2332254B" w14:textId="77777777" w:rsidR="00D01A0D" w:rsidRPr="00C675AE" w:rsidRDefault="00D01A0D">
            <w:pPr>
              <w:pStyle w:val="CGCTablerow"/>
              <w:ind w:left="397" w:hanging="397"/>
              <w:rPr>
                <w:rFonts w:cs="Open Sans Light"/>
              </w:rPr>
            </w:pPr>
            <w:r w:rsidRPr="00C675AE">
              <w:rPr>
                <w:rFonts w:cs="Open Sans Light"/>
              </w:rPr>
              <w:t xml:space="preserve">4111 Change in inventories </w:t>
            </w:r>
          </w:p>
          <w:p w14:paraId="02CFA703" w14:textId="235D1707" w:rsidR="00D01A0D" w:rsidRDefault="00D01A0D" w:rsidP="00D05D53">
            <w:pPr>
              <w:pStyle w:val="CGCTablerow"/>
              <w:ind w:left="397" w:hanging="397"/>
              <w:rPr>
                <w:rFonts w:cs="Open Sans Light"/>
              </w:rPr>
            </w:pPr>
            <w:r w:rsidRPr="00C675AE">
              <w:rPr>
                <w:rFonts w:cs="Open Sans Light"/>
              </w:rPr>
              <w:t>4112 Acquisitions of non</w:t>
            </w:r>
            <w:r w:rsidR="00DC55A0">
              <w:rPr>
                <w:rFonts w:cs="Open Sans Light"/>
              </w:rPr>
              <w:noBreakHyphen/>
            </w:r>
            <w:r w:rsidRPr="00C675AE">
              <w:rPr>
                <w:rFonts w:cs="Open Sans Light"/>
              </w:rPr>
              <w:t>financial assets under new finance leases</w:t>
            </w:r>
          </w:p>
          <w:p w14:paraId="598B76D2" w14:textId="77777777" w:rsidR="003E5514" w:rsidRDefault="002106D6" w:rsidP="003E5514">
            <w:pPr>
              <w:pStyle w:val="CGCTablerow"/>
              <w:ind w:left="397" w:hanging="397"/>
              <w:rPr>
                <w:rFonts w:cs="Open Sans Light"/>
              </w:rPr>
            </w:pPr>
            <w:r w:rsidRPr="002106D6">
              <w:rPr>
                <w:rFonts w:cs="Open Sans Light"/>
              </w:rPr>
              <w:t>4113 Own-account capital formation</w:t>
            </w:r>
          </w:p>
          <w:p w14:paraId="3A4925D7" w14:textId="28BC440D" w:rsidR="003E5514" w:rsidRDefault="003E5514" w:rsidP="003E5514">
            <w:pPr>
              <w:pStyle w:val="CGCTablerow"/>
              <w:ind w:left="397" w:hanging="397"/>
              <w:rPr>
                <w:rFonts w:cs="Open Sans Light"/>
              </w:rPr>
            </w:pPr>
            <w:r w:rsidRPr="002106D6">
              <w:rPr>
                <w:rFonts w:cs="Open Sans Light"/>
              </w:rPr>
              <w:t>4114 Acquisition of other new non-financial assets</w:t>
            </w:r>
            <w:r w:rsidRPr="00092BE3">
              <w:rPr>
                <w:rFonts w:cs="Open Sans Light"/>
              </w:rPr>
              <w:t xml:space="preserve"> </w:t>
            </w:r>
          </w:p>
          <w:p w14:paraId="3A9C813B" w14:textId="31892933" w:rsidR="002106D6" w:rsidRDefault="003E5514" w:rsidP="003E5514">
            <w:pPr>
              <w:pStyle w:val="CGCTablerow"/>
              <w:ind w:left="397" w:hanging="397"/>
              <w:rPr>
                <w:rFonts w:cs="Open Sans Light"/>
              </w:rPr>
            </w:pPr>
            <w:r w:rsidRPr="00092BE3">
              <w:rPr>
                <w:rFonts w:cs="Open Sans Light"/>
              </w:rPr>
              <w:t>4115 Acquisition of second</w:t>
            </w:r>
            <w:r w:rsidR="00DC55A0">
              <w:rPr>
                <w:rFonts w:cs="Open Sans Light"/>
              </w:rPr>
              <w:noBreakHyphen/>
            </w:r>
            <w:r w:rsidRPr="00092BE3">
              <w:rPr>
                <w:rFonts w:cs="Open Sans Light"/>
              </w:rPr>
              <w:t>hand non-financial assets</w:t>
            </w:r>
          </w:p>
          <w:p w14:paraId="6A8C5B01" w14:textId="7CA23FFB" w:rsidR="00F716BF" w:rsidRPr="00C675AE" w:rsidRDefault="003E5514" w:rsidP="00DC55A0">
            <w:pPr>
              <w:pStyle w:val="CGCTablerow"/>
              <w:ind w:left="397" w:hanging="397"/>
              <w:rPr>
                <w:rFonts w:cs="Open Sans Light"/>
              </w:rPr>
            </w:pPr>
            <w:r w:rsidRPr="003E5514">
              <w:rPr>
                <w:rFonts w:cs="Open Sans Light"/>
              </w:rPr>
              <w:t>4211 Disposals of non-financial assets (excluding depreciation)</w:t>
            </w:r>
          </w:p>
        </w:tc>
        <w:tc>
          <w:tcPr>
            <w:tcW w:w="2148" w:type="pct"/>
          </w:tcPr>
          <w:p w14:paraId="258C2E39" w14:textId="77777777" w:rsidR="00D01A0D" w:rsidRPr="00C675AE" w:rsidRDefault="00D01A0D">
            <w:pPr>
              <w:pStyle w:val="CGCTablerow"/>
              <w:rPr>
                <w:rFonts w:cs="Open Sans Light"/>
              </w:rPr>
            </w:pPr>
            <w:r w:rsidRPr="00C675AE">
              <w:rPr>
                <w:rFonts w:cs="Open Sans Light"/>
              </w:rPr>
              <w:t xml:space="preserve">COFOG-As other than </w:t>
            </w:r>
            <w:r>
              <w:rPr>
                <w:rFonts w:cs="Open Sans Light"/>
              </w:rPr>
              <w:t>h</w:t>
            </w:r>
            <w:r w:rsidRPr="00C675AE">
              <w:rPr>
                <w:rFonts w:cs="Open Sans Light"/>
              </w:rPr>
              <w:t>ousing and urban transport</w:t>
            </w:r>
          </w:p>
        </w:tc>
        <w:tc>
          <w:tcPr>
            <w:tcW w:w="855" w:type="pct"/>
          </w:tcPr>
          <w:p w14:paraId="0DD61A06" w14:textId="77777777" w:rsidR="00D01A0D" w:rsidRPr="00C675AE" w:rsidRDefault="00D01A0D">
            <w:pPr>
              <w:pStyle w:val="CGCTablerow"/>
              <w:rPr>
                <w:rFonts w:cs="Open Sans Light"/>
              </w:rPr>
            </w:pPr>
            <w:r>
              <w:rPr>
                <w:rFonts w:cs="Open Sans Light"/>
              </w:rPr>
              <w:t>≠</w:t>
            </w:r>
            <w:r w:rsidRPr="00C675AE">
              <w:rPr>
                <w:rFonts w:cs="Open Sans Light"/>
              </w:rPr>
              <w:t>"23" &amp; own JUR</w:t>
            </w:r>
          </w:p>
        </w:tc>
      </w:tr>
      <w:tr w:rsidR="00092BE3" w:rsidRPr="00F77760" w14:paraId="150DA655" w14:textId="77777777" w:rsidTr="00F83FA0">
        <w:trPr>
          <w:trHeight w:val="376"/>
        </w:trPr>
        <w:tc>
          <w:tcPr>
            <w:tcW w:w="667" w:type="pct"/>
            <w:shd w:val="clear" w:color="auto" w:fill="006991"/>
            <w:vAlign w:val="center"/>
          </w:tcPr>
          <w:p w14:paraId="707585B2" w14:textId="77777777" w:rsidR="00092BE3" w:rsidRPr="00F77760" w:rsidRDefault="00092BE3">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lastRenderedPageBreak/>
              <w:t>Category</w:t>
            </w:r>
          </w:p>
        </w:tc>
        <w:tc>
          <w:tcPr>
            <w:tcW w:w="1330" w:type="pct"/>
            <w:shd w:val="clear" w:color="auto" w:fill="006991"/>
            <w:vAlign w:val="center"/>
          </w:tcPr>
          <w:p w14:paraId="6796F061" w14:textId="77777777" w:rsidR="00092BE3" w:rsidRPr="00F77760" w:rsidRDefault="00092BE3">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2148" w:type="pct"/>
            <w:shd w:val="clear" w:color="auto" w:fill="006991"/>
            <w:vAlign w:val="center"/>
          </w:tcPr>
          <w:p w14:paraId="249096AD" w14:textId="77777777" w:rsidR="00092BE3" w:rsidRPr="00F77760" w:rsidRDefault="00092BE3">
            <w:pPr>
              <w:pStyle w:val="CGCTableheader"/>
              <w:spacing w:before="40" w:after="40"/>
              <w:jc w:val="left"/>
              <w:rPr>
                <w:rFonts w:ascii="Open Sans Semibold" w:hAnsi="Open Sans Semibold" w:cs="Open Sans Semibold"/>
                <w:b w:val="0"/>
              </w:rPr>
            </w:pPr>
            <w:r w:rsidRPr="003B40D1">
              <w:rPr>
                <w:rFonts w:ascii="Open Sans Semibold" w:hAnsi="Open Sans Semibold" w:cs="Open Sans Semibold"/>
                <w:b w:val="0"/>
              </w:rPr>
              <w:t>COFOG-A</w:t>
            </w:r>
          </w:p>
        </w:tc>
        <w:tc>
          <w:tcPr>
            <w:tcW w:w="855" w:type="pct"/>
            <w:shd w:val="clear" w:color="auto" w:fill="006991"/>
            <w:vAlign w:val="center"/>
          </w:tcPr>
          <w:p w14:paraId="59F131BB" w14:textId="77777777" w:rsidR="00092BE3" w:rsidRPr="00F77760" w:rsidRDefault="00092BE3">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D01A0D" w:rsidRPr="001F5B96" w14:paraId="3A66EEEA" w14:textId="77777777" w:rsidTr="00F83FA0">
        <w:tc>
          <w:tcPr>
            <w:tcW w:w="5000" w:type="pct"/>
            <w:gridSpan w:val="4"/>
            <w:shd w:val="clear" w:color="auto" w:fill="D6E7F0"/>
          </w:tcPr>
          <w:p w14:paraId="4B0FDB90" w14:textId="77777777" w:rsidR="00D01A0D" w:rsidRPr="002744DB" w:rsidRDefault="00D01A0D">
            <w:pPr>
              <w:pStyle w:val="CGCTablesubhead1"/>
              <w:rPr>
                <w:rFonts w:cs="Open Sans Semibold"/>
              </w:rPr>
            </w:pPr>
            <w:r w:rsidRPr="002744DB">
              <w:rPr>
                <w:rFonts w:cs="Open Sans Semibold"/>
              </w:rPr>
              <w:t>Other transactions in non-financial non produced assets (TALC 3 Non-produced assets)</w:t>
            </w:r>
          </w:p>
        </w:tc>
      </w:tr>
      <w:tr w:rsidR="00D01A0D" w:rsidRPr="001F5B96" w14:paraId="73A51850" w14:textId="77777777" w:rsidTr="00F83FA0">
        <w:tc>
          <w:tcPr>
            <w:tcW w:w="667" w:type="pct"/>
          </w:tcPr>
          <w:p w14:paraId="19E86B6A" w14:textId="77777777" w:rsidR="00D01A0D" w:rsidRPr="00C675AE" w:rsidRDefault="00D01A0D">
            <w:pPr>
              <w:pStyle w:val="CGCTablerow"/>
              <w:rPr>
                <w:rFonts w:cs="Open Sans Light"/>
              </w:rPr>
            </w:pPr>
          </w:p>
        </w:tc>
        <w:tc>
          <w:tcPr>
            <w:tcW w:w="1330" w:type="pct"/>
          </w:tcPr>
          <w:p w14:paraId="046D8446" w14:textId="3F4EE8A1" w:rsidR="00D01A0D" w:rsidRPr="00C675AE" w:rsidRDefault="00D01A0D">
            <w:pPr>
              <w:pStyle w:val="CGCTablerow"/>
              <w:ind w:left="397" w:hanging="397"/>
              <w:rPr>
                <w:rFonts w:cs="Open Sans Light"/>
              </w:rPr>
            </w:pPr>
            <w:r w:rsidRPr="00C675AE">
              <w:rPr>
                <w:rFonts w:cs="Open Sans Light"/>
              </w:rPr>
              <w:t>4112 Acquisitions of non</w:t>
            </w:r>
            <w:r w:rsidR="004D1DC7">
              <w:rPr>
                <w:rFonts w:cs="Open Sans Light"/>
              </w:rPr>
              <w:noBreakHyphen/>
            </w:r>
            <w:r w:rsidRPr="00C675AE">
              <w:rPr>
                <w:rFonts w:cs="Open Sans Light"/>
              </w:rPr>
              <w:t>financial assets under new finance leases</w:t>
            </w:r>
          </w:p>
          <w:p w14:paraId="78781ED5" w14:textId="77777777" w:rsidR="00D01A0D" w:rsidRPr="00C675AE" w:rsidRDefault="00D01A0D">
            <w:pPr>
              <w:pStyle w:val="CGCTablerow"/>
              <w:ind w:left="397" w:hanging="397"/>
              <w:rPr>
                <w:rFonts w:cs="Open Sans Light"/>
              </w:rPr>
            </w:pPr>
            <w:r w:rsidRPr="00C675AE">
              <w:rPr>
                <w:rFonts w:cs="Open Sans Light"/>
              </w:rPr>
              <w:t>4113 Own-account capital formation</w:t>
            </w:r>
          </w:p>
          <w:p w14:paraId="3343D46E" w14:textId="77777777" w:rsidR="00D01A0D" w:rsidRPr="00C675AE" w:rsidRDefault="00D01A0D">
            <w:pPr>
              <w:pStyle w:val="CGCTablerow"/>
              <w:ind w:left="397" w:hanging="397"/>
              <w:rPr>
                <w:rFonts w:cs="Open Sans Light"/>
              </w:rPr>
            </w:pPr>
            <w:r w:rsidRPr="00C675AE">
              <w:rPr>
                <w:rFonts w:cs="Open Sans Light"/>
              </w:rPr>
              <w:t>4114 Acquisition of other new non</w:t>
            </w:r>
            <w:r w:rsidRPr="00C675AE">
              <w:rPr>
                <w:rFonts w:cs="Open Sans Light"/>
              </w:rPr>
              <w:noBreakHyphen/>
              <w:t>financial assets</w:t>
            </w:r>
          </w:p>
          <w:p w14:paraId="4C394DF6" w14:textId="135A3B31" w:rsidR="00D01A0D" w:rsidRPr="00C675AE" w:rsidRDefault="00D01A0D">
            <w:pPr>
              <w:pStyle w:val="CGCTablerow"/>
              <w:ind w:left="397" w:hanging="397"/>
              <w:rPr>
                <w:rFonts w:cs="Open Sans Light"/>
              </w:rPr>
            </w:pPr>
            <w:r w:rsidRPr="00C675AE">
              <w:rPr>
                <w:rFonts w:cs="Open Sans Light"/>
              </w:rPr>
              <w:t>4115 Acquisition of second</w:t>
            </w:r>
            <w:r w:rsidR="004D1DC7">
              <w:rPr>
                <w:rFonts w:cs="Open Sans Light"/>
              </w:rPr>
              <w:noBreakHyphen/>
            </w:r>
            <w:r w:rsidRPr="00C675AE">
              <w:rPr>
                <w:rFonts w:cs="Open Sans Light"/>
              </w:rPr>
              <w:t>hand non-financial assets</w:t>
            </w:r>
          </w:p>
          <w:p w14:paraId="77A60D1A" w14:textId="77777777" w:rsidR="00D01A0D" w:rsidRPr="00C675AE" w:rsidRDefault="00D01A0D">
            <w:pPr>
              <w:pStyle w:val="CGCTablerow"/>
              <w:ind w:left="397" w:hanging="397"/>
              <w:rPr>
                <w:rFonts w:cs="Open Sans Light"/>
              </w:rPr>
            </w:pPr>
            <w:r w:rsidRPr="00C675AE">
              <w:rPr>
                <w:rFonts w:cs="Open Sans Light"/>
              </w:rPr>
              <w:t>4211 Disposals of non-financial assets (excluding depreciation)</w:t>
            </w:r>
          </w:p>
        </w:tc>
        <w:tc>
          <w:tcPr>
            <w:tcW w:w="2148" w:type="pct"/>
          </w:tcPr>
          <w:p w14:paraId="3851A491" w14:textId="77777777" w:rsidR="00D01A0D" w:rsidRPr="00C675AE" w:rsidRDefault="00D01A0D">
            <w:pPr>
              <w:pStyle w:val="CGCTablerow"/>
              <w:rPr>
                <w:rFonts w:cs="Open Sans Light"/>
              </w:rPr>
            </w:pPr>
            <w:r w:rsidRPr="00C675AE">
              <w:rPr>
                <w:rFonts w:cs="Open Sans Light"/>
              </w:rPr>
              <w:t xml:space="preserve">COFOG-As other than </w:t>
            </w:r>
            <w:r>
              <w:rPr>
                <w:rFonts w:cs="Open Sans Light"/>
              </w:rPr>
              <w:t>h</w:t>
            </w:r>
            <w:r w:rsidRPr="00C675AE">
              <w:rPr>
                <w:rFonts w:cs="Open Sans Light"/>
              </w:rPr>
              <w:t>ousing and urban transport</w:t>
            </w:r>
          </w:p>
        </w:tc>
        <w:tc>
          <w:tcPr>
            <w:tcW w:w="855" w:type="pct"/>
          </w:tcPr>
          <w:p w14:paraId="2F232DE9" w14:textId="77777777" w:rsidR="00D01A0D" w:rsidRPr="00C675AE" w:rsidRDefault="00D01A0D">
            <w:pPr>
              <w:pStyle w:val="CGCTablerow"/>
              <w:rPr>
                <w:rFonts w:cs="Open Sans Light"/>
              </w:rPr>
            </w:pPr>
            <w:r>
              <w:rPr>
                <w:rFonts w:cs="Open Sans Light"/>
              </w:rPr>
              <w:t>≠</w:t>
            </w:r>
            <w:r w:rsidRPr="00C675AE">
              <w:rPr>
                <w:rFonts w:cs="Open Sans Light"/>
              </w:rPr>
              <w:t>"23" &amp; own JUR</w:t>
            </w:r>
          </w:p>
        </w:tc>
      </w:tr>
    </w:tbl>
    <w:p w14:paraId="0A25110A" w14:textId="34DA6900" w:rsidR="004C6846" w:rsidRDefault="004C6846" w:rsidP="00D018CD">
      <w:pPr>
        <w:pStyle w:val="CGC2025TableNote"/>
        <w:ind w:left="0" w:firstLine="0"/>
      </w:pPr>
      <w:r w:rsidRPr="009B6640">
        <w:br w:type="page"/>
      </w:r>
    </w:p>
    <w:p w14:paraId="45694C1D" w14:textId="630F1C59" w:rsidR="004C6846" w:rsidRDefault="004C6846" w:rsidP="002B2013">
      <w:pPr>
        <w:pStyle w:val="CGC2025Caption"/>
        <w:ind w:left="1418" w:hanging="1418"/>
      </w:pPr>
      <w:r>
        <w:lastRenderedPageBreak/>
        <w:t>Table A-2</w:t>
      </w:r>
      <w:r>
        <w:tab/>
        <w:t>Housing and urban transport and their relevant G</w:t>
      </w:r>
      <w:r w:rsidR="00E9074C">
        <w:t xml:space="preserve">overnment </w:t>
      </w:r>
      <w:r>
        <w:t>F</w:t>
      </w:r>
      <w:r w:rsidR="00E9074C">
        <w:t xml:space="preserve">inance </w:t>
      </w:r>
      <w:r>
        <w:t>S</w:t>
      </w:r>
      <w:r w:rsidR="00E9074C">
        <w:t>tatistics</w:t>
      </w:r>
      <w:r>
        <w:t xml:space="preserve"> codes – consolidated GG and PNFC sectors (INST=100, 300)</w:t>
      </w:r>
    </w:p>
    <w:tbl>
      <w:tblPr>
        <w:tblW w:w="8942" w:type="dxa"/>
        <w:tblInd w:w="-28" w:type="dxa"/>
        <w:tblBorders>
          <w:top w:val="single" w:sz="4" w:space="0" w:color="ADD6EA"/>
          <w:bottom w:val="single" w:sz="4" w:space="0" w:color="ADD6EA"/>
          <w:insideH w:val="single" w:sz="4" w:space="0" w:color="ADD6EA"/>
        </w:tblBorders>
        <w:tblCellMar>
          <w:left w:w="28" w:type="dxa"/>
          <w:right w:w="28" w:type="dxa"/>
        </w:tblCellMar>
        <w:tblLook w:val="0000" w:firstRow="0" w:lastRow="0" w:firstColumn="0" w:lastColumn="0" w:noHBand="0" w:noVBand="0"/>
      </w:tblPr>
      <w:tblGrid>
        <w:gridCol w:w="29"/>
        <w:gridCol w:w="1198"/>
        <w:gridCol w:w="2718"/>
        <w:gridCol w:w="3523"/>
        <w:gridCol w:w="1474"/>
      </w:tblGrid>
      <w:tr w:rsidR="004C6846" w:rsidRPr="00A84F5D" w14:paraId="2210426E" w14:textId="77777777" w:rsidTr="006C5B9C">
        <w:trPr>
          <w:gridBefore w:val="1"/>
          <w:wBefore w:w="16" w:type="pct"/>
          <w:trHeight w:val="376"/>
        </w:trPr>
        <w:tc>
          <w:tcPr>
            <w:tcW w:w="670" w:type="pct"/>
            <w:shd w:val="clear" w:color="auto" w:fill="006991"/>
            <w:vAlign w:val="center"/>
          </w:tcPr>
          <w:p w14:paraId="7399C24F"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Category</w:t>
            </w:r>
          </w:p>
        </w:tc>
        <w:tc>
          <w:tcPr>
            <w:tcW w:w="1520" w:type="pct"/>
            <w:shd w:val="clear" w:color="auto" w:fill="006991"/>
            <w:vAlign w:val="center"/>
          </w:tcPr>
          <w:p w14:paraId="6CC03F5E"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ETF</w:t>
            </w:r>
          </w:p>
        </w:tc>
        <w:tc>
          <w:tcPr>
            <w:tcW w:w="1970" w:type="pct"/>
            <w:shd w:val="clear" w:color="auto" w:fill="006991"/>
            <w:vAlign w:val="center"/>
          </w:tcPr>
          <w:p w14:paraId="264BDDEE"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COFOG-A</w:t>
            </w:r>
          </w:p>
        </w:tc>
        <w:tc>
          <w:tcPr>
            <w:tcW w:w="870" w:type="pct"/>
            <w:shd w:val="clear" w:color="auto" w:fill="006991"/>
            <w:vAlign w:val="center"/>
          </w:tcPr>
          <w:p w14:paraId="478DB2C6" w14:textId="77777777" w:rsidR="004C6846" w:rsidRPr="00F77760" w:rsidRDefault="004C6846">
            <w:pPr>
              <w:pStyle w:val="CGCTableheader"/>
              <w:spacing w:before="40" w:after="40"/>
              <w:jc w:val="left"/>
              <w:rPr>
                <w:rFonts w:ascii="Open Sans Semibold" w:hAnsi="Open Sans Semibold" w:cs="Open Sans Semibold"/>
                <w:b w:val="0"/>
              </w:rPr>
            </w:pPr>
            <w:r w:rsidRPr="00F77760">
              <w:rPr>
                <w:rFonts w:ascii="Open Sans Semibold" w:hAnsi="Open Sans Semibold" w:cs="Open Sans Semibold"/>
                <w:b w:val="0"/>
              </w:rPr>
              <w:t>SDC</w:t>
            </w:r>
          </w:p>
        </w:tc>
      </w:tr>
      <w:tr w:rsidR="004C6846" w:rsidRPr="00A84F5D" w14:paraId="47467E53" w14:textId="77777777" w:rsidTr="006C5B9C">
        <w:trPr>
          <w:gridBefore w:val="1"/>
          <w:wBefore w:w="16" w:type="pct"/>
        </w:trPr>
        <w:tc>
          <w:tcPr>
            <w:tcW w:w="870" w:type="pct"/>
            <w:gridSpan w:val="4"/>
            <w:shd w:val="clear" w:color="auto" w:fill="B6D5E4"/>
          </w:tcPr>
          <w:p w14:paraId="64D12A09" w14:textId="77777777" w:rsidR="004C6846" w:rsidRPr="002744DB" w:rsidRDefault="004C6846">
            <w:pPr>
              <w:pStyle w:val="CGCTablerow"/>
              <w:rPr>
                <w:rFonts w:ascii="Open Sans Semibold" w:hAnsi="Open Sans Semibold" w:cs="Open Sans Semibold"/>
              </w:rPr>
            </w:pPr>
            <w:r w:rsidRPr="002744DB">
              <w:rPr>
                <w:rFonts w:ascii="Open Sans Semibold" w:hAnsi="Open Sans Semibold" w:cs="Open Sans Semibold"/>
              </w:rPr>
              <w:t>Operating expenses</w:t>
            </w:r>
          </w:p>
        </w:tc>
      </w:tr>
      <w:tr w:rsidR="004C6846" w:rsidRPr="00A84F5D" w14:paraId="5BFEAB13" w14:textId="77777777" w:rsidTr="006C5B9C">
        <w:trPr>
          <w:gridBefore w:val="1"/>
          <w:wBefore w:w="16" w:type="pct"/>
        </w:trPr>
        <w:tc>
          <w:tcPr>
            <w:tcW w:w="670" w:type="pct"/>
          </w:tcPr>
          <w:p w14:paraId="766914EF" w14:textId="77777777" w:rsidR="004C6846" w:rsidRPr="00C675AE" w:rsidRDefault="004C6846">
            <w:pPr>
              <w:pStyle w:val="CGCTablerow"/>
              <w:rPr>
                <w:rFonts w:cs="Open Sans Light"/>
              </w:rPr>
            </w:pPr>
            <w:r w:rsidRPr="00C675AE">
              <w:rPr>
                <w:rFonts w:cs="Open Sans Light"/>
              </w:rPr>
              <w:t>Housing (net)</w:t>
            </w:r>
          </w:p>
        </w:tc>
        <w:tc>
          <w:tcPr>
            <w:tcW w:w="1520" w:type="pct"/>
          </w:tcPr>
          <w:p w14:paraId="38550C69" w14:textId="03126EC7" w:rsidR="004C6846" w:rsidRPr="00C675AE" w:rsidRDefault="004C6846">
            <w:pPr>
              <w:pStyle w:val="CGCTablerow"/>
              <w:rPr>
                <w:rFonts w:cs="Open Sans Light"/>
              </w:rPr>
            </w:pPr>
            <w:r w:rsidRPr="00C675AE">
              <w:rPr>
                <w:rFonts w:cs="Open Sans Light"/>
              </w:rPr>
              <w:t xml:space="preserve">Expenses </w:t>
            </w:r>
            <w:r w:rsidR="00435263">
              <w:rPr>
                <w:rFonts w:cs="Open Sans Light"/>
              </w:rPr>
              <w:t>–</w:t>
            </w:r>
            <w:r w:rsidRPr="00C675AE">
              <w:rPr>
                <w:rFonts w:cs="Open Sans Light"/>
              </w:rPr>
              <w:t xml:space="preserve"> 12*</w:t>
            </w:r>
            <w:r w:rsidR="004D23B4">
              <w:rPr>
                <w:rFonts w:cs="Open Sans Light"/>
              </w:rPr>
              <w:t>*</w:t>
            </w:r>
            <w:r w:rsidRPr="00C675AE">
              <w:rPr>
                <w:rFonts w:cs="Open Sans Light"/>
              </w:rPr>
              <w:t>, except 1241, 1242, 1271, and 1279</w:t>
            </w:r>
          </w:p>
          <w:p w14:paraId="31C9EE17" w14:textId="5E319B73" w:rsidR="004C6846" w:rsidRPr="00C675AE" w:rsidRDefault="00EE1709">
            <w:pPr>
              <w:pStyle w:val="CGCTablerow"/>
              <w:rPr>
                <w:rFonts w:cs="Open Sans Light"/>
              </w:rPr>
            </w:pPr>
            <w:r>
              <w:rPr>
                <w:rFonts w:cs="Open Sans Light"/>
              </w:rPr>
              <w:br/>
            </w:r>
            <w:r w:rsidR="004C6846" w:rsidRPr="00C675AE">
              <w:rPr>
                <w:rFonts w:cs="Open Sans Light"/>
              </w:rPr>
              <w:t xml:space="preserve">User charges </w:t>
            </w:r>
            <w:r w:rsidR="00435263">
              <w:rPr>
                <w:rFonts w:cs="Open Sans Light"/>
              </w:rPr>
              <w:t>–</w:t>
            </w:r>
            <w:r w:rsidR="004C6846" w:rsidRPr="00C675AE">
              <w:rPr>
                <w:rFonts w:cs="Open Sans Light"/>
              </w:rPr>
              <w:t xml:space="preserve"> 112* Sales of goods and services</w:t>
            </w:r>
          </w:p>
        </w:tc>
        <w:tc>
          <w:tcPr>
            <w:tcW w:w="1970" w:type="pct"/>
          </w:tcPr>
          <w:p w14:paraId="2ABFA8F2" w14:textId="77777777" w:rsidR="004C6846" w:rsidRPr="00C675AE" w:rsidRDefault="004C6846">
            <w:pPr>
              <w:pStyle w:val="CGCTablerow"/>
              <w:rPr>
                <w:rFonts w:cs="Open Sans Light"/>
              </w:rPr>
            </w:pPr>
            <w:r w:rsidRPr="00C675AE">
              <w:rPr>
                <w:rFonts w:cs="Open Sans Light"/>
              </w:rPr>
              <w:t>0611 Housing development</w:t>
            </w:r>
          </w:p>
          <w:p w14:paraId="15C1156C" w14:textId="77777777" w:rsidR="004C6846" w:rsidRPr="00C675AE" w:rsidRDefault="004C6846">
            <w:pPr>
              <w:pStyle w:val="CGCTablerow"/>
              <w:rPr>
                <w:rFonts w:cs="Open Sans Light"/>
              </w:rPr>
            </w:pPr>
            <w:r w:rsidRPr="00C675AE">
              <w:rPr>
                <w:rFonts w:cs="Open Sans Light"/>
              </w:rPr>
              <w:t xml:space="preserve">0698 Housing </w:t>
            </w:r>
            <w:proofErr w:type="spellStart"/>
            <w:r w:rsidRPr="00C675AE">
              <w:rPr>
                <w:rFonts w:cs="Open Sans Light"/>
              </w:rPr>
              <w:t>n.e.c.</w:t>
            </w:r>
            <w:proofErr w:type="spellEnd"/>
          </w:p>
          <w:p w14:paraId="2B5F8AFB" w14:textId="77777777" w:rsidR="004C6846" w:rsidRPr="00C675AE" w:rsidRDefault="004C6846">
            <w:pPr>
              <w:pStyle w:val="CGCTablerow"/>
              <w:rPr>
                <w:rFonts w:cs="Open Sans Light"/>
              </w:rPr>
            </w:pPr>
            <w:r w:rsidRPr="00C675AE">
              <w:rPr>
                <w:rFonts w:cs="Open Sans Light"/>
              </w:rPr>
              <w:t>1051 Housing</w:t>
            </w:r>
          </w:p>
        </w:tc>
        <w:tc>
          <w:tcPr>
            <w:tcW w:w="870" w:type="pct"/>
          </w:tcPr>
          <w:p w14:paraId="0B63823F" w14:textId="09F1DF0C" w:rsidR="004C6846" w:rsidRPr="00C675AE" w:rsidRDefault="00351332">
            <w:pPr>
              <w:pStyle w:val="CGCTablerow"/>
              <w:rPr>
                <w:rFonts w:cs="Open Sans Light"/>
              </w:rPr>
            </w:pPr>
            <w:r>
              <w:rPr>
                <w:rFonts w:cs="Open Sans Light"/>
              </w:rPr>
              <w:t>≠</w:t>
            </w:r>
            <w:r w:rsidR="004C6846" w:rsidRPr="00C675AE">
              <w:rPr>
                <w:rFonts w:cs="Open Sans Light"/>
              </w:rPr>
              <w:t xml:space="preserve">"23" &amp; own JUR </w:t>
            </w:r>
          </w:p>
          <w:p w14:paraId="0388742C" w14:textId="77777777" w:rsidR="004C6846" w:rsidRPr="00C675AE" w:rsidRDefault="004C6846">
            <w:pPr>
              <w:pStyle w:val="CGCTablerow"/>
              <w:rPr>
                <w:rFonts w:cs="Open Sans Light"/>
              </w:rPr>
            </w:pPr>
            <w:r w:rsidRPr="00C675AE">
              <w:rPr>
                <w:rFonts w:cs="Open Sans Light"/>
              </w:rPr>
              <w:t xml:space="preserve">and </w:t>
            </w:r>
          </w:p>
          <w:p w14:paraId="24DD61D3" w14:textId="4D8EC3E3" w:rsidR="004C6846" w:rsidRPr="00C675AE" w:rsidRDefault="00242ED9">
            <w:pPr>
              <w:pStyle w:val="CGCTablerow"/>
              <w:rPr>
                <w:rFonts w:cs="Open Sans Light"/>
              </w:rPr>
            </w:pPr>
            <w:r>
              <w:rPr>
                <w:rFonts w:cs="Open Sans Light"/>
              </w:rPr>
              <w:t>≠</w:t>
            </w:r>
            <w:r w:rsidR="004C6846" w:rsidRPr="00C675AE">
              <w:rPr>
                <w:rFonts w:cs="Open Sans Light"/>
              </w:rPr>
              <w:t>"21" &amp; own JUR</w:t>
            </w:r>
          </w:p>
        </w:tc>
      </w:tr>
      <w:tr w:rsidR="004C6846" w:rsidRPr="00A84F5D" w14:paraId="0E6AC48A" w14:textId="77777777" w:rsidTr="006C5B9C">
        <w:trPr>
          <w:gridBefore w:val="1"/>
          <w:wBefore w:w="16" w:type="pct"/>
        </w:trPr>
        <w:tc>
          <w:tcPr>
            <w:tcW w:w="670" w:type="pct"/>
          </w:tcPr>
          <w:p w14:paraId="53F5E66C" w14:textId="6199D75C" w:rsidR="004C6846" w:rsidRPr="00C675AE" w:rsidRDefault="004C6846">
            <w:pPr>
              <w:pStyle w:val="CGCTablerow"/>
              <w:rPr>
                <w:rFonts w:cs="Open Sans Light"/>
              </w:rPr>
            </w:pPr>
            <w:r w:rsidRPr="00C675AE">
              <w:rPr>
                <w:rFonts w:cs="Open Sans Light"/>
              </w:rPr>
              <w:t xml:space="preserve">Transport </w:t>
            </w:r>
            <w:r w:rsidR="00435263">
              <w:rPr>
                <w:rFonts w:cs="Open Sans Light"/>
              </w:rPr>
              <w:t>–</w:t>
            </w:r>
            <w:r w:rsidRPr="00C675AE">
              <w:rPr>
                <w:rFonts w:cs="Open Sans Light"/>
              </w:rPr>
              <w:t xml:space="preserve"> </w:t>
            </w:r>
            <w:r w:rsidRPr="00C675AE">
              <w:rPr>
                <w:rFonts w:cs="Open Sans Light"/>
              </w:rPr>
              <w:br/>
              <w:t>urban transport (net)</w:t>
            </w:r>
          </w:p>
        </w:tc>
        <w:tc>
          <w:tcPr>
            <w:tcW w:w="1520" w:type="pct"/>
          </w:tcPr>
          <w:p w14:paraId="1B959401" w14:textId="26C2855D" w:rsidR="004C6846" w:rsidRPr="00C675AE" w:rsidRDefault="004C6846">
            <w:pPr>
              <w:pStyle w:val="CGCTablerow"/>
              <w:rPr>
                <w:rFonts w:cs="Open Sans Light"/>
              </w:rPr>
            </w:pPr>
            <w:r w:rsidRPr="00C675AE">
              <w:rPr>
                <w:rFonts w:cs="Open Sans Light"/>
              </w:rPr>
              <w:t xml:space="preserve">Expenses </w:t>
            </w:r>
            <w:r w:rsidR="00B572BA">
              <w:rPr>
                <w:rFonts w:cs="Open Sans Light"/>
              </w:rPr>
              <w:t>(includ</w:t>
            </w:r>
            <w:r w:rsidR="00ED015D">
              <w:rPr>
                <w:rFonts w:cs="Open Sans Light"/>
              </w:rPr>
              <w:t>ing</w:t>
            </w:r>
            <w:r w:rsidR="00B572BA">
              <w:rPr>
                <w:rFonts w:cs="Open Sans Light"/>
              </w:rPr>
              <w:t xml:space="preserve"> depreciation)</w:t>
            </w:r>
            <w:r w:rsidR="00ED015D">
              <w:rPr>
                <w:rFonts w:cs="Open Sans Light"/>
              </w:rPr>
              <w:t xml:space="preserve"> </w:t>
            </w:r>
            <w:r w:rsidR="00435263">
              <w:rPr>
                <w:rFonts w:cs="Open Sans Light"/>
              </w:rPr>
              <w:t>–</w:t>
            </w:r>
            <w:r w:rsidRPr="00C675AE">
              <w:rPr>
                <w:rFonts w:cs="Open Sans Light"/>
              </w:rPr>
              <w:t xml:space="preserve"> 12*</w:t>
            </w:r>
            <w:r w:rsidR="004D23B4">
              <w:rPr>
                <w:rFonts w:cs="Open Sans Light"/>
              </w:rPr>
              <w:t>*</w:t>
            </w:r>
            <w:r w:rsidR="00B572BA">
              <w:rPr>
                <w:rFonts w:cs="Open Sans Light"/>
              </w:rPr>
              <w:t>,</w:t>
            </w:r>
            <w:r w:rsidR="00195B62">
              <w:rPr>
                <w:rFonts w:cs="Open Sans Light"/>
              </w:rPr>
              <w:t xml:space="preserve"> </w:t>
            </w:r>
            <w:r w:rsidRPr="00C675AE">
              <w:rPr>
                <w:rFonts w:cs="Open Sans Light"/>
              </w:rPr>
              <w:t>except 1242, 1271, and 1279</w:t>
            </w:r>
            <w:r w:rsidR="00B572BA">
              <w:rPr>
                <w:rFonts w:cs="Open Sans Light"/>
              </w:rPr>
              <w:t xml:space="preserve"> </w:t>
            </w:r>
          </w:p>
          <w:p w14:paraId="545BAAE0" w14:textId="3156D82E" w:rsidR="004C6846" w:rsidRPr="00C675AE" w:rsidRDefault="00EE1709">
            <w:pPr>
              <w:pStyle w:val="CGCTablerow"/>
              <w:rPr>
                <w:rFonts w:cs="Open Sans Light"/>
              </w:rPr>
            </w:pPr>
            <w:r>
              <w:rPr>
                <w:rFonts w:cs="Open Sans Light"/>
              </w:rPr>
              <w:br/>
            </w:r>
            <w:r w:rsidR="004C6846" w:rsidRPr="00C675AE">
              <w:rPr>
                <w:rFonts w:cs="Open Sans Light"/>
              </w:rPr>
              <w:t xml:space="preserve">User charges </w:t>
            </w:r>
            <w:r w:rsidR="00435263">
              <w:rPr>
                <w:rFonts w:cs="Open Sans Light"/>
              </w:rPr>
              <w:t>–</w:t>
            </w:r>
            <w:r w:rsidR="004C6846" w:rsidRPr="00C675AE">
              <w:rPr>
                <w:rFonts w:cs="Open Sans Light"/>
              </w:rPr>
              <w:t xml:space="preserve"> 112* Sales of goods and services</w:t>
            </w:r>
          </w:p>
        </w:tc>
        <w:tc>
          <w:tcPr>
            <w:tcW w:w="1970" w:type="pct"/>
          </w:tcPr>
          <w:p w14:paraId="01097231" w14:textId="77777777" w:rsidR="00DD3333" w:rsidRDefault="00DD3333" w:rsidP="00DD3333">
            <w:pPr>
              <w:pStyle w:val="CGCTablerow"/>
              <w:ind w:left="397" w:hanging="397"/>
              <w:rPr>
                <w:rFonts w:cs="Open Sans Light"/>
              </w:rPr>
            </w:pPr>
            <w:r>
              <w:rPr>
                <w:rFonts w:cs="Open Sans Light"/>
              </w:rPr>
              <w:t>0951 Transportation of non-urban school students</w:t>
            </w:r>
          </w:p>
          <w:p w14:paraId="1F902EA9" w14:textId="6B76AADA" w:rsidR="004C6846" w:rsidRPr="00C675AE" w:rsidRDefault="004C6846">
            <w:pPr>
              <w:pStyle w:val="CGCTablerow"/>
              <w:rPr>
                <w:rFonts w:cs="Open Sans Light"/>
              </w:rPr>
            </w:pPr>
            <w:r w:rsidRPr="00C675AE">
              <w:rPr>
                <w:rFonts w:cs="Open Sans Light"/>
              </w:rPr>
              <w:t>0952 Transportation of other students</w:t>
            </w:r>
          </w:p>
          <w:p w14:paraId="795ACC14" w14:textId="77777777" w:rsidR="004C6846" w:rsidRPr="00C675AE" w:rsidRDefault="004C6846">
            <w:pPr>
              <w:pStyle w:val="CGCTablerow"/>
              <w:rPr>
                <w:rFonts w:cs="Open Sans Light"/>
              </w:rPr>
            </w:pPr>
            <w:r w:rsidRPr="00C675AE">
              <w:rPr>
                <w:rFonts w:cs="Open Sans Light"/>
              </w:rPr>
              <w:t>1121 Urban bus transport</w:t>
            </w:r>
          </w:p>
          <w:p w14:paraId="2B540E6F" w14:textId="77777777" w:rsidR="004C6846" w:rsidRPr="00C675AE" w:rsidRDefault="004C6846">
            <w:pPr>
              <w:pStyle w:val="CGCTablerow"/>
              <w:ind w:left="397" w:hanging="397"/>
              <w:rPr>
                <w:rFonts w:cs="Open Sans Light"/>
              </w:rPr>
            </w:pPr>
            <w:r w:rsidRPr="00C675AE">
              <w:rPr>
                <w:rFonts w:cs="Open Sans Light"/>
              </w:rPr>
              <w:t>1131 Urban water transport passenger services</w:t>
            </w:r>
          </w:p>
          <w:p w14:paraId="55D49CFD" w14:textId="77777777" w:rsidR="004C6846" w:rsidRPr="00C675AE" w:rsidRDefault="004C6846">
            <w:pPr>
              <w:pStyle w:val="CGCTablerow"/>
              <w:rPr>
                <w:rFonts w:cs="Open Sans Light"/>
              </w:rPr>
            </w:pPr>
            <w:r w:rsidRPr="00C675AE">
              <w:rPr>
                <w:rFonts w:cs="Open Sans Light"/>
              </w:rPr>
              <w:t>1141 Urban railway transport services</w:t>
            </w:r>
          </w:p>
          <w:p w14:paraId="58976B8D" w14:textId="77777777" w:rsidR="004C6846" w:rsidRPr="00C675AE" w:rsidRDefault="004C6846">
            <w:pPr>
              <w:pStyle w:val="CGCTablerow"/>
              <w:rPr>
                <w:rFonts w:cs="Open Sans Light"/>
              </w:rPr>
            </w:pPr>
            <w:r w:rsidRPr="00C675AE">
              <w:rPr>
                <w:rFonts w:cs="Open Sans Light"/>
              </w:rPr>
              <w:t xml:space="preserve">1161 </w:t>
            </w:r>
            <w:proofErr w:type="gramStart"/>
            <w:r w:rsidRPr="00C675AE">
              <w:rPr>
                <w:rFonts w:cs="Open Sans Light"/>
              </w:rPr>
              <w:t>Multi-mode</w:t>
            </w:r>
            <w:proofErr w:type="gramEnd"/>
            <w:r w:rsidRPr="00C675AE">
              <w:rPr>
                <w:rFonts w:cs="Open Sans Light"/>
              </w:rPr>
              <w:t xml:space="preserve"> urban transport</w:t>
            </w:r>
          </w:p>
          <w:p w14:paraId="3314E0BF" w14:textId="77777777" w:rsidR="004C6846" w:rsidRPr="00C675AE" w:rsidRDefault="004C6846">
            <w:pPr>
              <w:pStyle w:val="CGCTablerow"/>
              <w:rPr>
                <w:rFonts w:cs="Open Sans Light"/>
              </w:rPr>
            </w:pPr>
            <w:r w:rsidRPr="00C675AE">
              <w:rPr>
                <w:rFonts w:cs="Open Sans Light"/>
              </w:rPr>
              <w:t>1181 R&amp;D – transport</w:t>
            </w:r>
          </w:p>
          <w:p w14:paraId="42FEDEFF" w14:textId="13EF8DA8" w:rsidR="004C6846" w:rsidRPr="00C675AE" w:rsidRDefault="004C6846">
            <w:pPr>
              <w:pStyle w:val="CGCTablerow"/>
              <w:rPr>
                <w:rFonts w:cs="Open Sans Light"/>
              </w:rPr>
            </w:pPr>
            <w:r w:rsidRPr="00C675AE">
              <w:rPr>
                <w:rFonts w:cs="Open Sans Light"/>
              </w:rPr>
              <w:t xml:space="preserve">1199 Transport </w:t>
            </w:r>
            <w:proofErr w:type="spellStart"/>
            <w:r w:rsidRPr="00C675AE">
              <w:rPr>
                <w:rFonts w:cs="Open Sans Light"/>
              </w:rPr>
              <w:t>n.e.c.</w:t>
            </w:r>
            <w:proofErr w:type="spellEnd"/>
          </w:p>
        </w:tc>
        <w:tc>
          <w:tcPr>
            <w:tcW w:w="870" w:type="pct"/>
          </w:tcPr>
          <w:p w14:paraId="46BDADC9" w14:textId="263DA315" w:rsidR="004C6846" w:rsidRPr="00C675AE" w:rsidRDefault="00351332">
            <w:pPr>
              <w:pStyle w:val="CGCTablerow"/>
              <w:rPr>
                <w:rFonts w:cs="Open Sans Light"/>
              </w:rPr>
            </w:pPr>
            <w:r>
              <w:rPr>
                <w:rFonts w:cs="Open Sans Light"/>
              </w:rPr>
              <w:t>≠</w:t>
            </w:r>
            <w:r w:rsidR="004C6846" w:rsidRPr="00C675AE">
              <w:rPr>
                <w:rFonts w:cs="Open Sans Light"/>
              </w:rPr>
              <w:t xml:space="preserve">"23" &amp; own JUR </w:t>
            </w:r>
          </w:p>
          <w:p w14:paraId="75C0C6FE" w14:textId="77777777" w:rsidR="004C6846" w:rsidRPr="00C675AE" w:rsidRDefault="004C6846">
            <w:pPr>
              <w:pStyle w:val="CGCTablerow"/>
              <w:rPr>
                <w:rFonts w:cs="Open Sans Light"/>
              </w:rPr>
            </w:pPr>
            <w:r w:rsidRPr="00C675AE">
              <w:rPr>
                <w:rFonts w:cs="Open Sans Light"/>
              </w:rPr>
              <w:t xml:space="preserve">and </w:t>
            </w:r>
          </w:p>
          <w:p w14:paraId="7F9EE958" w14:textId="6E2A4AE5" w:rsidR="004C6846" w:rsidRPr="00C675AE" w:rsidRDefault="00351332">
            <w:pPr>
              <w:pStyle w:val="CGCTablerow"/>
              <w:rPr>
                <w:rFonts w:cs="Open Sans Light"/>
              </w:rPr>
            </w:pPr>
            <w:r>
              <w:rPr>
                <w:rFonts w:cs="Open Sans Light"/>
              </w:rPr>
              <w:t>≠</w:t>
            </w:r>
            <w:r w:rsidR="004C6846" w:rsidRPr="00C675AE">
              <w:rPr>
                <w:rFonts w:cs="Open Sans Light"/>
              </w:rPr>
              <w:t>"21" &amp; own JUR</w:t>
            </w:r>
          </w:p>
        </w:tc>
      </w:tr>
      <w:tr w:rsidR="004C6846" w:rsidRPr="00A84F5D" w14:paraId="4DDE7490" w14:textId="77777777" w:rsidTr="006C5B9C">
        <w:trPr>
          <w:gridBefore w:val="1"/>
          <w:wBefore w:w="16" w:type="pct"/>
        </w:trPr>
        <w:tc>
          <w:tcPr>
            <w:tcW w:w="870" w:type="pct"/>
            <w:gridSpan w:val="4"/>
            <w:shd w:val="clear" w:color="auto" w:fill="B6D5E4"/>
          </w:tcPr>
          <w:p w14:paraId="3102A771" w14:textId="20E43B28" w:rsidR="004C6846" w:rsidRPr="002744DB" w:rsidRDefault="004C6846">
            <w:pPr>
              <w:pStyle w:val="CGCTablerow"/>
              <w:rPr>
                <w:rFonts w:ascii="Open Sans Semibold" w:hAnsi="Open Sans Semibold" w:cs="Open Sans Semibold"/>
              </w:rPr>
            </w:pPr>
            <w:r w:rsidRPr="002744DB">
              <w:rPr>
                <w:rFonts w:ascii="Open Sans Semibold" w:hAnsi="Open Sans Semibold" w:cs="Open Sans Semibold"/>
              </w:rPr>
              <w:t xml:space="preserve">Investment (gross for </w:t>
            </w:r>
            <w:r w:rsidR="00F973BC">
              <w:rPr>
                <w:rFonts w:ascii="Open Sans Semibold" w:hAnsi="Open Sans Semibold" w:cs="Open Sans Semibold"/>
              </w:rPr>
              <w:t>h</w:t>
            </w:r>
            <w:r w:rsidRPr="002744DB">
              <w:rPr>
                <w:rFonts w:ascii="Open Sans Semibold" w:hAnsi="Open Sans Semibold" w:cs="Open Sans Semibold"/>
              </w:rPr>
              <w:t>ousing, net for urban transport)</w:t>
            </w:r>
          </w:p>
        </w:tc>
      </w:tr>
      <w:tr w:rsidR="004C6846" w:rsidRPr="00A84F5D" w14:paraId="00A297E9" w14:textId="77777777" w:rsidTr="006C5B9C">
        <w:trPr>
          <w:gridBefore w:val="1"/>
          <w:wBefore w:w="16" w:type="pct"/>
        </w:trPr>
        <w:tc>
          <w:tcPr>
            <w:tcW w:w="870" w:type="pct"/>
            <w:gridSpan w:val="4"/>
            <w:shd w:val="clear" w:color="auto" w:fill="D6E7F0"/>
          </w:tcPr>
          <w:p w14:paraId="6A2AA255" w14:textId="29761625" w:rsidR="004C6846" w:rsidRPr="000F26BF" w:rsidRDefault="004C6846">
            <w:pPr>
              <w:pStyle w:val="CGCTablesubhead1"/>
              <w:rPr>
                <w:rFonts w:cs="Open Sans Semibold"/>
              </w:rPr>
            </w:pPr>
            <w:r w:rsidRPr="000F26BF">
              <w:rPr>
                <w:rFonts w:cs="Open Sans Semibold"/>
              </w:rPr>
              <w:t>Transactions in non-financial produced assets (TALC 1</w:t>
            </w:r>
            <w:r w:rsidR="000C48F3" w:rsidRPr="000F26BF">
              <w:rPr>
                <w:rFonts w:cs="Open Sans Semibold"/>
              </w:rPr>
              <w:t xml:space="preserve"> –</w:t>
            </w:r>
            <w:r w:rsidRPr="000F26BF">
              <w:rPr>
                <w:rFonts w:cs="Open Sans Semibold"/>
              </w:rPr>
              <w:t xml:space="preserve"> fixed produced assets and</w:t>
            </w:r>
            <w:r w:rsidR="000C48F3" w:rsidRPr="000F26BF">
              <w:rPr>
                <w:rFonts w:cs="Open Sans Semibold"/>
              </w:rPr>
              <w:t xml:space="preserve"> TALC</w:t>
            </w:r>
            <w:r w:rsidRPr="000F26BF">
              <w:rPr>
                <w:rFonts w:cs="Open Sans Semibold"/>
              </w:rPr>
              <w:t xml:space="preserve"> 2</w:t>
            </w:r>
            <w:r w:rsidR="000C48F3" w:rsidRPr="000F26BF">
              <w:rPr>
                <w:rFonts w:cs="Open Sans Semibold"/>
              </w:rPr>
              <w:t xml:space="preserve"> –</w:t>
            </w:r>
            <w:r w:rsidRPr="000F26BF">
              <w:rPr>
                <w:rFonts w:cs="Open Sans Semibold"/>
              </w:rPr>
              <w:t xml:space="preserve"> </w:t>
            </w:r>
            <w:r w:rsidR="000C48F3" w:rsidRPr="000F26BF">
              <w:rPr>
                <w:rFonts w:cs="Open Sans Semibold"/>
              </w:rPr>
              <w:t>o</w:t>
            </w:r>
            <w:r w:rsidRPr="000F26BF">
              <w:rPr>
                <w:rFonts w:cs="Open Sans Semibold"/>
              </w:rPr>
              <w:t>ther produced assets)</w:t>
            </w:r>
          </w:p>
        </w:tc>
      </w:tr>
      <w:tr w:rsidR="004C6846" w:rsidRPr="00A84F5D" w14:paraId="6C9391F3" w14:textId="77777777" w:rsidTr="006C5B9C">
        <w:trPr>
          <w:gridBefore w:val="1"/>
          <w:wBefore w:w="16" w:type="pct"/>
        </w:trPr>
        <w:tc>
          <w:tcPr>
            <w:tcW w:w="670" w:type="pct"/>
          </w:tcPr>
          <w:p w14:paraId="78AA70E0" w14:textId="77777777" w:rsidR="004C6846" w:rsidRPr="00C675AE" w:rsidRDefault="004C6846">
            <w:pPr>
              <w:pStyle w:val="CGCTablerow"/>
              <w:rPr>
                <w:rFonts w:cs="Open Sans Light"/>
              </w:rPr>
            </w:pPr>
            <w:r w:rsidRPr="00C675AE">
              <w:rPr>
                <w:rFonts w:cs="Open Sans Light"/>
              </w:rPr>
              <w:t>Housing (gross)</w:t>
            </w:r>
          </w:p>
        </w:tc>
        <w:tc>
          <w:tcPr>
            <w:tcW w:w="1520" w:type="pct"/>
          </w:tcPr>
          <w:p w14:paraId="3DB93A29" w14:textId="77777777" w:rsidR="004C6846" w:rsidRPr="00C675AE" w:rsidRDefault="004C6846">
            <w:pPr>
              <w:pStyle w:val="CGCTablerow"/>
              <w:ind w:left="397" w:hanging="397"/>
              <w:rPr>
                <w:rFonts w:cs="Open Sans Light"/>
              </w:rPr>
            </w:pPr>
            <w:r w:rsidRPr="00C675AE">
              <w:rPr>
                <w:rFonts w:cs="Open Sans Light"/>
              </w:rPr>
              <w:t xml:space="preserve">4111 Change in inventories </w:t>
            </w:r>
          </w:p>
          <w:p w14:paraId="05F914C9" w14:textId="77777777" w:rsidR="004C6846" w:rsidRPr="00C675AE" w:rsidRDefault="004C6846">
            <w:pPr>
              <w:pStyle w:val="CGCTablerow"/>
              <w:ind w:left="397" w:hanging="397"/>
              <w:rPr>
                <w:rFonts w:cs="Open Sans Light"/>
              </w:rPr>
            </w:pPr>
            <w:r w:rsidRPr="00C675AE">
              <w:rPr>
                <w:rFonts w:cs="Open Sans Light"/>
              </w:rPr>
              <w:t>4112 Acquisitions of non-financial assets under new finance leases</w:t>
            </w:r>
          </w:p>
          <w:p w14:paraId="3F9F06FC" w14:textId="77777777" w:rsidR="004C6846" w:rsidRPr="00C675AE" w:rsidRDefault="004C6846">
            <w:pPr>
              <w:pStyle w:val="CGCTablerow"/>
              <w:ind w:left="397" w:hanging="397"/>
              <w:rPr>
                <w:rFonts w:cs="Open Sans Light"/>
              </w:rPr>
            </w:pPr>
            <w:r w:rsidRPr="00C675AE">
              <w:rPr>
                <w:rFonts w:cs="Open Sans Light"/>
              </w:rPr>
              <w:t>4113 Own-account capital formation</w:t>
            </w:r>
          </w:p>
          <w:p w14:paraId="52DBD294" w14:textId="77777777" w:rsidR="004C6846" w:rsidRPr="00C675AE" w:rsidRDefault="004C6846">
            <w:pPr>
              <w:pStyle w:val="CGCTablerow"/>
              <w:ind w:left="397" w:hanging="397"/>
              <w:rPr>
                <w:rFonts w:cs="Open Sans Light"/>
              </w:rPr>
            </w:pPr>
            <w:r w:rsidRPr="00C675AE">
              <w:rPr>
                <w:rFonts w:cs="Open Sans Light"/>
              </w:rPr>
              <w:t>4114 Acquisition of other new non</w:t>
            </w:r>
            <w:r w:rsidRPr="00C675AE">
              <w:rPr>
                <w:rFonts w:cs="Open Sans Light"/>
              </w:rPr>
              <w:noBreakHyphen/>
              <w:t>financial assets</w:t>
            </w:r>
          </w:p>
          <w:p w14:paraId="562A5A38" w14:textId="64C66375" w:rsidR="004C6846" w:rsidRPr="00C675AE" w:rsidRDefault="004C6846">
            <w:pPr>
              <w:pStyle w:val="CGCTablerow"/>
              <w:ind w:left="397" w:hanging="397"/>
              <w:rPr>
                <w:rFonts w:cs="Open Sans Light"/>
              </w:rPr>
            </w:pPr>
            <w:r w:rsidRPr="00C675AE">
              <w:rPr>
                <w:rFonts w:cs="Open Sans Light"/>
              </w:rPr>
              <w:t>4115 Acquisition of second-hand non</w:t>
            </w:r>
            <w:r w:rsidR="00F87F8C">
              <w:rPr>
                <w:rFonts w:cs="Open Sans Light"/>
              </w:rPr>
              <w:noBreakHyphen/>
            </w:r>
            <w:r w:rsidRPr="00C675AE">
              <w:rPr>
                <w:rFonts w:cs="Open Sans Light"/>
              </w:rPr>
              <w:t>financial assets</w:t>
            </w:r>
          </w:p>
          <w:p w14:paraId="31D40A1C" w14:textId="77777777" w:rsidR="004C6846" w:rsidRPr="00C675AE" w:rsidRDefault="004C6846">
            <w:pPr>
              <w:pStyle w:val="CGCTablerow"/>
              <w:ind w:left="397" w:hanging="397"/>
              <w:rPr>
                <w:rFonts w:cs="Open Sans Light"/>
              </w:rPr>
            </w:pPr>
            <w:r w:rsidRPr="00C675AE">
              <w:rPr>
                <w:rFonts w:cs="Open Sans Light"/>
              </w:rPr>
              <w:t>4211 Disposals of non-financial assets (excluding depreciation)</w:t>
            </w:r>
          </w:p>
        </w:tc>
        <w:tc>
          <w:tcPr>
            <w:tcW w:w="1970" w:type="pct"/>
          </w:tcPr>
          <w:p w14:paraId="2E94A000" w14:textId="77777777" w:rsidR="004C6846" w:rsidRPr="00C675AE" w:rsidRDefault="004C6846">
            <w:pPr>
              <w:pStyle w:val="CGCTablerow"/>
              <w:rPr>
                <w:rFonts w:cs="Open Sans Light"/>
              </w:rPr>
            </w:pPr>
            <w:r w:rsidRPr="00C675AE">
              <w:rPr>
                <w:rFonts w:cs="Open Sans Light"/>
              </w:rPr>
              <w:t>0611 Housing development</w:t>
            </w:r>
          </w:p>
          <w:p w14:paraId="16CAF2F3" w14:textId="77777777" w:rsidR="004C6846" w:rsidRPr="00C675AE" w:rsidRDefault="004C6846">
            <w:pPr>
              <w:pStyle w:val="CGCTablerow"/>
              <w:rPr>
                <w:rFonts w:cs="Open Sans Light"/>
              </w:rPr>
            </w:pPr>
            <w:r w:rsidRPr="00C675AE">
              <w:rPr>
                <w:rFonts w:cs="Open Sans Light"/>
              </w:rPr>
              <w:t xml:space="preserve">0698 Housing </w:t>
            </w:r>
            <w:proofErr w:type="spellStart"/>
            <w:r w:rsidRPr="00C675AE">
              <w:rPr>
                <w:rFonts w:cs="Open Sans Light"/>
              </w:rPr>
              <w:t>n.e.c.</w:t>
            </w:r>
            <w:proofErr w:type="spellEnd"/>
          </w:p>
          <w:p w14:paraId="02D70AAE" w14:textId="77777777" w:rsidR="004C6846" w:rsidRPr="00C675AE" w:rsidRDefault="004C6846">
            <w:pPr>
              <w:pStyle w:val="CGCTablerow"/>
              <w:rPr>
                <w:rFonts w:cs="Open Sans Light"/>
              </w:rPr>
            </w:pPr>
            <w:r w:rsidRPr="00C675AE">
              <w:rPr>
                <w:rFonts w:cs="Open Sans Light"/>
              </w:rPr>
              <w:t>1051 Housing</w:t>
            </w:r>
          </w:p>
        </w:tc>
        <w:tc>
          <w:tcPr>
            <w:tcW w:w="870" w:type="pct"/>
          </w:tcPr>
          <w:p w14:paraId="0EC163BF" w14:textId="75D01DF0" w:rsidR="004C6846" w:rsidRPr="00C675AE" w:rsidRDefault="00351332">
            <w:pPr>
              <w:pStyle w:val="CGCTablerow"/>
              <w:rPr>
                <w:rFonts w:cs="Open Sans Light"/>
              </w:rPr>
            </w:pPr>
            <w:r>
              <w:rPr>
                <w:rFonts w:cs="Open Sans Light"/>
              </w:rPr>
              <w:t>≠</w:t>
            </w:r>
            <w:r w:rsidR="004C6846" w:rsidRPr="00C675AE">
              <w:rPr>
                <w:rFonts w:cs="Open Sans Light"/>
              </w:rPr>
              <w:t xml:space="preserve">"23" &amp; own JUR </w:t>
            </w:r>
          </w:p>
          <w:p w14:paraId="2C1C4226" w14:textId="77777777" w:rsidR="004C6846" w:rsidRPr="00C675AE" w:rsidRDefault="004C6846">
            <w:pPr>
              <w:pStyle w:val="CGCTablerow"/>
              <w:rPr>
                <w:rFonts w:cs="Open Sans Light"/>
              </w:rPr>
            </w:pPr>
            <w:r w:rsidRPr="00C675AE">
              <w:rPr>
                <w:rFonts w:cs="Open Sans Light"/>
              </w:rPr>
              <w:t xml:space="preserve">and </w:t>
            </w:r>
          </w:p>
          <w:p w14:paraId="53227948" w14:textId="2AA667C1" w:rsidR="004C6846" w:rsidRPr="00C675AE" w:rsidRDefault="00351332">
            <w:pPr>
              <w:pStyle w:val="CGCTablerow"/>
              <w:rPr>
                <w:rFonts w:cs="Open Sans Light"/>
              </w:rPr>
            </w:pPr>
            <w:r>
              <w:rPr>
                <w:rFonts w:cs="Open Sans Light"/>
              </w:rPr>
              <w:t>≠</w:t>
            </w:r>
            <w:r w:rsidR="004C6846" w:rsidRPr="00C675AE">
              <w:rPr>
                <w:rFonts w:cs="Open Sans Light"/>
              </w:rPr>
              <w:t>"21" &amp; own JUR</w:t>
            </w:r>
          </w:p>
        </w:tc>
      </w:tr>
      <w:tr w:rsidR="004C6846" w:rsidRPr="00A84F5D" w14:paraId="4B1C650F" w14:textId="77777777" w:rsidTr="006C5B9C">
        <w:trPr>
          <w:gridBefore w:val="1"/>
          <w:wBefore w:w="16" w:type="pct"/>
        </w:trPr>
        <w:tc>
          <w:tcPr>
            <w:tcW w:w="670" w:type="pct"/>
          </w:tcPr>
          <w:p w14:paraId="74530C76" w14:textId="77777777" w:rsidR="004C6846" w:rsidRPr="00C675AE" w:rsidRDefault="004C6846">
            <w:pPr>
              <w:pStyle w:val="CGCTablerow"/>
              <w:rPr>
                <w:rFonts w:cs="Open Sans Light"/>
              </w:rPr>
            </w:pPr>
            <w:r w:rsidRPr="00C675AE">
              <w:rPr>
                <w:rFonts w:cs="Open Sans Light"/>
              </w:rPr>
              <w:t>Urban transport (net)</w:t>
            </w:r>
            <w:r w:rsidRPr="00C675AE">
              <w:rPr>
                <w:rFonts w:cs="Open Sans Light"/>
                <w:lang w:eastAsia="en-AU"/>
              </w:rPr>
              <w:t xml:space="preserve"> </w:t>
            </w:r>
          </w:p>
        </w:tc>
        <w:tc>
          <w:tcPr>
            <w:tcW w:w="1520" w:type="pct"/>
          </w:tcPr>
          <w:p w14:paraId="31120E5E" w14:textId="77777777" w:rsidR="004C6846" w:rsidRPr="00C675AE" w:rsidRDefault="004C6846">
            <w:pPr>
              <w:pStyle w:val="CGCTablerow"/>
              <w:ind w:left="397" w:hanging="397"/>
              <w:rPr>
                <w:rFonts w:cs="Open Sans Light"/>
              </w:rPr>
            </w:pPr>
            <w:r w:rsidRPr="00C675AE">
              <w:rPr>
                <w:rFonts w:cs="Open Sans Light"/>
              </w:rPr>
              <w:t xml:space="preserve">4111 Change in inventories </w:t>
            </w:r>
          </w:p>
          <w:p w14:paraId="1CBDFD99" w14:textId="77777777" w:rsidR="004C6846" w:rsidRPr="00C675AE" w:rsidRDefault="004C6846">
            <w:pPr>
              <w:pStyle w:val="CGCTablerow"/>
              <w:ind w:left="397" w:hanging="397"/>
              <w:rPr>
                <w:rFonts w:cs="Open Sans Light"/>
              </w:rPr>
            </w:pPr>
            <w:r w:rsidRPr="00C675AE">
              <w:rPr>
                <w:rFonts w:cs="Open Sans Light"/>
              </w:rPr>
              <w:t>4112 Acquisitions of non-financial assets under new finance leases</w:t>
            </w:r>
          </w:p>
          <w:p w14:paraId="3FB69B11" w14:textId="77777777" w:rsidR="004C6846" w:rsidRPr="00C675AE" w:rsidRDefault="004C6846">
            <w:pPr>
              <w:pStyle w:val="CGCTablerow"/>
              <w:ind w:left="397" w:hanging="397"/>
              <w:rPr>
                <w:rFonts w:cs="Open Sans Light"/>
              </w:rPr>
            </w:pPr>
            <w:r w:rsidRPr="00C675AE">
              <w:rPr>
                <w:rFonts w:cs="Open Sans Light"/>
              </w:rPr>
              <w:t>4113 Own-account capital formation</w:t>
            </w:r>
          </w:p>
          <w:p w14:paraId="5B67B5C3" w14:textId="77777777" w:rsidR="004C6846" w:rsidRPr="00C675AE" w:rsidRDefault="004C6846">
            <w:pPr>
              <w:pStyle w:val="CGCTablerow"/>
              <w:ind w:left="397" w:hanging="397"/>
              <w:rPr>
                <w:rFonts w:cs="Open Sans Light"/>
              </w:rPr>
            </w:pPr>
            <w:r w:rsidRPr="00C675AE">
              <w:rPr>
                <w:rFonts w:cs="Open Sans Light"/>
              </w:rPr>
              <w:t>4114 Acquisition of other new non</w:t>
            </w:r>
            <w:r w:rsidRPr="00C675AE">
              <w:rPr>
                <w:rFonts w:cs="Open Sans Light"/>
              </w:rPr>
              <w:noBreakHyphen/>
              <w:t>financial assets</w:t>
            </w:r>
          </w:p>
          <w:p w14:paraId="34B4EAD5" w14:textId="689C0DD3" w:rsidR="004C6846" w:rsidRPr="00C675AE" w:rsidRDefault="004C6846">
            <w:pPr>
              <w:pStyle w:val="CGCTablerow"/>
              <w:ind w:left="397" w:hanging="397"/>
              <w:rPr>
                <w:rFonts w:cs="Open Sans Light"/>
              </w:rPr>
            </w:pPr>
            <w:r w:rsidRPr="00C675AE">
              <w:rPr>
                <w:rFonts w:cs="Open Sans Light"/>
              </w:rPr>
              <w:t>4115 Acquisition of second-hand non</w:t>
            </w:r>
            <w:r w:rsidR="002B0966">
              <w:rPr>
                <w:rFonts w:cs="Open Sans Light"/>
              </w:rPr>
              <w:noBreakHyphen/>
            </w:r>
            <w:r w:rsidRPr="00C675AE">
              <w:rPr>
                <w:rFonts w:cs="Open Sans Light"/>
              </w:rPr>
              <w:t>financial assets</w:t>
            </w:r>
          </w:p>
          <w:p w14:paraId="1BA1C3EC" w14:textId="77777777" w:rsidR="004C6846" w:rsidRPr="00C675AE" w:rsidRDefault="004C6846">
            <w:pPr>
              <w:pStyle w:val="CGCTablerow"/>
              <w:ind w:left="397" w:hanging="397"/>
              <w:rPr>
                <w:rFonts w:cs="Open Sans Light"/>
              </w:rPr>
            </w:pPr>
            <w:r w:rsidRPr="00C675AE">
              <w:rPr>
                <w:rFonts w:cs="Open Sans Light"/>
              </w:rPr>
              <w:t xml:space="preserve">4211 Disposals of non-financial assets (excluding depreciation) </w:t>
            </w:r>
          </w:p>
          <w:p w14:paraId="27E606B5" w14:textId="77777777" w:rsidR="004C6846" w:rsidRPr="00C675AE" w:rsidRDefault="004C6846">
            <w:pPr>
              <w:pStyle w:val="CGCTablerow"/>
              <w:ind w:left="397" w:hanging="397"/>
              <w:rPr>
                <w:rFonts w:cs="Open Sans Light"/>
              </w:rPr>
            </w:pPr>
            <w:r w:rsidRPr="00C675AE">
              <w:rPr>
                <w:rFonts w:cs="Open Sans Light"/>
              </w:rPr>
              <w:t>4212 Reductions in non-financial assets due to depreciation</w:t>
            </w:r>
          </w:p>
        </w:tc>
        <w:tc>
          <w:tcPr>
            <w:tcW w:w="1970" w:type="pct"/>
          </w:tcPr>
          <w:p w14:paraId="1EC03644" w14:textId="064441B7" w:rsidR="00751790" w:rsidRDefault="00751790">
            <w:pPr>
              <w:pStyle w:val="CGCTablerow"/>
              <w:ind w:left="397" w:hanging="397"/>
              <w:rPr>
                <w:rFonts w:cs="Open Sans Light"/>
              </w:rPr>
            </w:pPr>
            <w:r>
              <w:rPr>
                <w:rFonts w:cs="Open Sans Light"/>
              </w:rPr>
              <w:t>0951</w:t>
            </w:r>
            <w:r w:rsidR="0004496F">
              <w:rPr>
                <w:rFonts w:cs="Open Sans Light"/>
              </w:rPr>
              <w:t xml:space="preserve"> Transportation of non-urban school students</w:t>
            </w:r>
          </w:p>
          <w:p w14:paraId="060416C7" w14:textId="10D0364F" w:rsidR="004C6846" w:rsidRPr="00C675AE" w:rsidRDefault="004C6846">
            <w:pPr>
              <w:pStyle w:val="CGCTablerow"/>
              <w:ind w:left="397" w:hanging="397"/>
              <w:rPr>
                <w:rFonts w:cs="Open Sans Light"/>
              </w:rPr>
            </w:pPr>
            <w:r w:rsidRPr="00C675AE">
              <w:rPr>
                <w:rFonts w:cs="Open Sans Light"/>
              </w:rPr>
              <w:t>0952 Transportation of other students</w:t>
            </w:r>
          </w:p>
          <w:p w14:paraId="65EA772E" w14:textId="77777777" w:rsidR="004C6846" w:rsidRPr="00C675AE" w:rsidRDefault="004C6846">
            <w:pPr>
              <w:pStyle w:val="CGCTablerow"/>
              <w:ind w:left="397" w:hanging="397"/>
              <w:rPr>
                <w:rFonts w:cs="Open Sans Light"/>
              </w:rPr>
            </w:pPr>
            <w:r w:rsidRPr="00C675AE">
              <w:rPr>
                <w:rFonts w:cs="Open Sans Light"/>
              </w:rPr>
              <w:t>1121 Urban bus transport</w:t>
            </w:r>
          </w:p>
          <w:p w14:paraId="6EEB03F6" w14:textId="77777777" w:rsidR="004C6846" w:rsidRPr="00C675AE" w:rsidRDefault="004C6846">
            <w:pPr>
              <w:pStyle w:val="CGCTablerow"/>
              <w:ind w:left="397" w:hanging="397"/>
              <w:rPr>
                <w:rFonts w:cs="Open Sans Light"/>
              </w:rPr>
            </w:pPr>
            <w:r w:rsidRPr="00C675AE">
              <w:rPr>
                <w:rFonts w:cs="Open Sans Light"/>
              </w:rPr>
              <w:t>1131 Urban water transport passenger services</w:t>
            </w:r>
          </w:p>
          <w:p w14:paraId="37FE1475" w14:textId="77777777" w:rsidR="004C6846" w:rsidRPr="00C675AE" w:rsidRDefault="004C6846">
            <w:pPr>
              <w:pStyle w:val="CGCTablerow"/>
              <w:rPr>
                <w:rFonts w:cs="Open Sans Light"/>
              </w:rPr>
            </w:pPr>
            <w:r w:rsidRPr="00C675AE">
              <w:rPr>
                <w:rFonts w:cs="Open Sans Light"/>
              </w:rPr>
              <w:t>1141 Urban railway transport services</w:t>
            </w:r>
          </w:p>
          <w:p w14:paraId="2963AF69" w14:textId="77777777" w:rsidR="004C6846" w:rsidRPr="00C675AE" w:rsidRDefault="004C6846">
            <w:pPr>
              <w:pStyle w:val="CGCTablerow"/>
              <w:rPr>
                <w:rFonts w:cs="Open Sans Light"/>
              </w:rPr>
            </w:pPr>
            <w:r w:rsidRPr="00C675AE">
              <w:rPr>
                <w:rFonts w:cs="Open Sans Light"/>
              </w:rPr>
              <w:t xml:space="preserve">1161 </w:t>
            </w:r>
            <w:proofErr w:type="gramStart"/>
            <w:r w:rsidRPr="00C675AE">
              <w:rPr>
                <w:rFonts w:cs="Open Sans Light"/>
              </w:rPr>
              <w:t>Multi-mode</w:t>
            </w:r>
            <w:proofErr w:type="gramEnd"/>
            <w:r w:rsidRPr="00C675AE">
              <w:rPr>
                <w:rFonts w:cs="Open Sans Light"/>
              </w:rPr>
              <w:t xml:space="preserve"> urban transport</w:t>
            </w:r>
          </w:p>
          <w:p w14:paraId="59D12CBD" w14:textId="77777777" w:rsidR="004C6846" w:rsidRPr="00C675AE" w:rsidRDefault="004C6846">
            <w:pPr>
              <w:pStyle w:val="CGCTablerow"/>
              <w:rPr>
                <w:rFonts w:cs="Open Sans Light"/>
              </w:rPr>
            </w:pPr>
            <w:r w:rsidRPr="00C675AE">
              <w:rPr>
                <w:rFonts w:cs="Open Sans Light"/>
              </w:rPr>
              <w:t>1181 R&amp;D - transport</w:t>
            </w:r>
          </w:p>
          <w:p w14:paraId="48AE2401" w14:textId="77777777" w:rsidR="004C6846" w:rsidRPr="00C675AE" w:rsidRDefault="004C6846">
            <w:pPr>
              <w:pStyle w:val="CGCTablerow"/>
              <w:rPr>
                <w:rFonts w:cs="Open Sans Light"/>
              </w:rPr>
            </w:pPr>
            <w:r w:rsidRPr="00C675AE">
              <w:rPr>
                <w:rFonts w:cs="Open Sans Light"/>
              </w:rPr>
              <w:t xml:space="preserve">1199 Transport </w:t>
            </w:r>
            <w:proofErr w:type="spellStart"/>
            <w:r w:rsidRPr="00C675AE">
              <w:rPr>
                <w:rFonts w:cs="Open Sans Light"/>
              </w:rPr>
              <w:t>n.e.c.</w:t>
            </w:r>
            <w:proofErr w:type="spellEnd"/>
          </w:p>
        </w:tc>
        <w:tc>
          <w:tcPr>
            <w:tcW w:w="870" w:type="pct"/>
          </w:tcPr>
          <w:p w14:paraId="5BA80FEE" w14:textId="605F8DE8" w:rsidR="004C6846" w:rsidRPr="00C675AE" w:rsidRDefault="00351332">
            <w:pPr>
              <w:pStyle w:val="CGCTablerow"/>
              <w:rPr>
                <w:rFonts w:cs="Open Sans Light"/>
              </w:rPr>
            </w:pPr>
            <w:r>
              <w:rPr>
                <w:rFonts w:cs="Open Sans Light"/>
              </w:rPr>
              <w:t>≠</w:t>
            </w:r>
            <w:r w:rsidR="004C6846" w:rsidRPr="00C675AE">
              <w:rPr>
                <w:rFonts w:cs="Open Sans Light"/>
              </w:rPr>
              <w:t xml:space="preserve">"23" &amp; own JUR </w:t>
            </w:r>
          </w:p>
          <w:p w14:paraId="597807EF" w14:textId="77777777" w:rsidR="004C6846" w:rsidRPr="00C675AE" w:rsidRDefault="004C6846">
            <w:pPr>
              <w:pStyle w:val="CGCTablerow"/>
              <w:rPr>
                <w:rFonts w:cs="Open Sans Light"/>
              </w:rPr>
            </w:pPr>
            <w:r w:rsidRPr="00C675AE">
              <w:rPr>
                <w:rFonts w:cs="Open Sans Light"/>
              </w:rPr>
              <w:t xml:space="preserve">and </w:t>
            </w:r>
          </w:p>
          <w:p w14:paraId="6CD539EF" w14:textId="06F37D87" w:rsidR="004C6846" w:rsidRPr="00C675AE" w:rsidRDefault="00351332">
            <w:pPr>
              <w:pStyle w:val="CGCTablerow"/>
              <w:rPr>
                <w:rFonts w:cs="Open Sans Light"/>
              </w:rPr>
            </w:pPr>
            <w:r>
              <w:rPr>
                <w:rFonts w:cs="Open Sans Light"/>
              </w:rPr>
              <w:t>≠</w:t>
            </w:r>
            <w:r w:rsidR="004C6846" w:rsidRPr="00C675AE">
              <w:rPr>
                <w:rFonts w:cs="Open Sans Light"/>
              </w:rPr>
              <w:t>"21" &amp; own JUR</w:t>
            </w:r>
          </w:p>
        </w:tc>
      </w:tr>
      <w:tr w:rsidR="00F56C03" w:rsidRPr="00C675AE" w14:paraId="1CEFA472" w14:textId="77777777" w:rsidTr="006C5B9C">
        <w:tc>
          <w:tcPr>
            <w:tcW w:w="870" w:type="pct"/>
            <w:gridSpan w:val="5"/>
            <w:shd w:val="clear" w:color="auto" w:fill="D6E7F0"/>
          </w:tcPr>
          <w:p w14:paraId="7CCE99CF" w14:textId="77777777" w:rsidR="00F56C03" w:rsidRPr="000F26BF" w:rsidRDefault="00F56C03">
            <w:pPr>
              <w:pStyle w:val="CGCTablesubhead1"/>
              <w:rPr>
                <w:rFonts w:cs="Open Sans Semibold"/>
              </w:rPr>
            </w:pPr>
            <w:r w:rsidRPr="000F26BF">
              <w:rPr>
                <w:rFonts w:cs="Open Sans Semibold"/>
              </w:rPr>
              <w:t>Other transactions in non-financial non produced assets (TALC 3 – non-produced assets)</w:t>
            </w:r>
          </w:p>
        </w:tc>
      </w:tr>
      <w:tr w:rsidR="005C7F58" w:rsidRPr="00C675AE" w14:paraId="7EFBF434" w14:textId="19806508" w:rsidTr="006C5B9C">
        <w:tc>
          <w:tcPr>
            <w:tcW w:w="670" w:type="pct"/>
            <w:gridSpan w:val="2"/>
          </w:tcPr>
          <w:p w14:paraId="2D72A3E9" w14:textId="2B9811AC" w:rsidR="007879A9" w:rsidRPr="005C7F58" w:rsidRDefault="007879A9" w:rsidP="007879A9">
            <w:pPr>
              <w:pStyle w:val="CGCTablerow"/>
              <w:ind w:left="397" w:hanging="397"/>
              <w:rPr>
                <w:rFonts w:cs="Open Sans Light"/>
                <w:szCs w:val="16"/>
              </w:rPr>
            </w:pPr>
          </w:p>
        </w:tc>
        <w:tc>
          <w:tcPr>
            <w:tcW w:w="1520" w:type="pct"/>
          </w:tcPr>
          <w:p w14:paraId="5D1C7124" w14:textId="77777777" w:rsidR="007879A9" w:rsidRPr="005C7F58" w:rsidRDefault="007879A9" w:rsidP="007879A9">
            <w:pPr>
              <w:pStyle w:val="CGCTablerow"/>
              <w:ind w:left="397" w:hanging="397"/>
              <w:rPr>
                <w:szCs w:val="16"/>
              </w:rPr>
            </w:pPr>
            <w:r w:rsidRPr="005C7F58">
              <w:rPr>
                <w:szCs w:val="16"/>
              </w:rPr>
              <w:t>4112 Acquisitions of non-financial assets under new finance leases</w:t>
            </w:r>
          </w:p>
          <w:p w14:paraId="272D4FF7" w14:textId="77777777" w:rsidR="007879A9" w:rsidRPr="005C7F58" w:rsidRDefault="007879A9" w:rsidP="007879A9">
            <w:pPr>
              <w:pStyle w:val="CGCTablerow"/>
              <w:ind w:left="397" w:hanging="397"/>
              <w:rPr>
                <w:szCs w:val="16"/>
              </w:rPr>
            </w:pPr>
            <w:r w:rsidRPr="005C7F58">
              <w:rPr>
                <w:szCs w:val="16"/>
              </w:rPr>
              <w:t>4113 Own-account capital formation</w:t>
            </w:r>
          </w:p>
          <w:p w14:paraId="10618110" w14:textId="77777777" w:rsidR="007879A9" w:rsidRPr="005C7F58" w:rsidRDefault="007879A9" w:rsidP="007879A9">
            <w:pPr>
              <w:pStyle w:val="CGCTablerow"/>
              <w:ind w:left="397" w:hanging="397"/>
              <w:rPr>
                <w:szCs w:val="16"/>
              </w:rPr>
            </w:pPr>
            <w:r w:rsidRPr="005C7F58">
              <w:rPr>
                <w:szCs w:val="16"/>
              </w:rPr>
              <w:t>4114 Acquisition of other new non</w:t>
            </w:r>
            <w:r w:rsidRPr="005C7F58">
              <w:rPr>
                <w:szCs w:val="16"/>
              </w:rPr>
              <w:noBreakHyphen/>
              <w:t>financial assets</w:t>
            </w:r>
          </w:p>
          <w:p w14:paraId="07A0FD7C" w14:textId="2291F9C7" w:rsidR="007879A9" w:rsidRPr="005C7F58" w:rsidRDefault="007879A9" w:rsidP="007879A9">
            <w:pPr>
              <w:pStyle w:val="CGCTablerow"/>
              <w:ind w:left="397" w:hanging="397"/>
              <w:rPr>
                <w:szCs w:val="16"/>
              </w:rPr>
            </w:pPr>
            <w:r w:rsidRPr="005C7F58">
              <w:rPr>
                <w:szCs w:val="16"/>
              </w:rPr>
              <w:t>4115 Acquisition of second-hand non</w:t>
            </w:r>
            <w:r w:rsidR="002B0966">
              <w:rPr>
                <w:szCs w:val="16"/>
              </w:rPr>
              <w:noBreakHyphen/>
            </w:r>
            <w:r w:rsidRPr="005C7F58">
              <w:rPr>
                <w:szCs w:val="16"/>
              </w:rPr>
              <w:t>financial assets</w:t>
            </w:r>
          </w:p>
          <w:p w14:paraId="143389A5" w14:textId="36A8447B" w:rsidR="007879A9" w:rsidRPr="005C7F58" w:rsidRDefault="007879A9" w:rsidP="007879A9">
            <w:pPr>
              <w:pStyle w:val="CGCTablerow"/>
              <w:ind w:left="397" w:hanging="397"/>
              <w:rPr>
                <w:rFonts w:cs="Open Sans Light"/>
                <w:szCs w:val="16"/>
              </w:rPr>
            </w:pPr>
            <w:r w:rsidRPr="005C7F58">
              <w:rPr>
                <w:szCs w:val="16"/>
              </w:rPr>
              <w:t>4211 Disposals of non-financial assets (excluding depreciation)</w:t>
            </w:r>
          </w:p>
        </w:tc>
        <w:tc>
          <w:tcPr>
            <w:tcW w:w="1970" w:type="pct"/>
          </w:tcPr>
          <w:p w14:paraId="7865EA88" w14:textId="77777777" w:rsidR="007879A9" w:rsidRPr="005C7F58" w:rsidRDefault="007879A9" w:rsidP="007879A9">
            <w:pPr>
              <w:pStyle w:val="CGCTablerow"/>
              <w:ind w:left="397" w:hanging="397"/>
              <w:rPr>
                <w:szCs w:val="16"/>
              </w:rPr>
            </w:pPr>
            <w:r w:rsidRPr="005C7F58">
              <w:rPr>
                <w:szCs w:val="16"/>
              </w:rPr>
              <w:t>0611 Housing development</w:t>
            </w:r>
          </w:p>
          <w:p w14:paraId="78E3669A" w14:textId="77777777" w:rsidR="007879A9" w:rsidRPr="005C7F58" w:rsidRDefault="007879A9" w:rsidP="007879A9">
            <w:pPr>
              <w:pStyle w:val="CGCTablerow"/>
              <w:ind w:left="397" w:hanging="397"/>
              <w:rPr>
                <w:szCs w:val="16"/>
              </w:rPr>
            </w:pPr>
            <w:r w:rsidRPr="005C7F58">
              <w:rPr>
                <w:szCs w:val="16"/>
              </w:rPr>
              <w:t xml:space="preserve">0698 Housing </w:t>
            </w:r>
            <w:proofErr w:type="spellStart"/>
            <w:r w:rsidRPr="005C7F58">
              <w:rPr>
                <w:szCs w:val="16"/>
              </w:rPr>
              <w:t>n.e.c.</w:t>
            </w:r>
            <w:proofErr w:type="spellEnd"/>
          </w:p>
          <w:p w14:paraId="46E4243F" w14:textId="77777777" w:rsidR="007879A9" w:rsidRPr="005C7F58" w:rsidRDefault="007879A9" w:rsidP="007879A9">
            <w:pPr>
              <w:pStyle w:val="CGCTablerow"/>
              <w:ind w:left="397" w:hanging="397"/>
              <w:rPr>
                <w:szCs w:val="16"/>
              </w:rPr>
            </w:pPr>
            <w:r w:rsidRPr="005C7F58">
              <w:rPr>
                <w:szCs w:val="16"/>
              </w:rPr>
              <w:t>1051 Housing</w:t>
            </w:r>
          </w:p>
          <w:p w14:paraId="394F59EE" w14:textId="77777777" w:rsidR="007879A9" w:rsidRPr="005C7F58" w:rsidRDefault="007879A9" w:rsidP="007879A9">
            <w:pPr>
              <w:pStyle w:val="CGCTablerow"/>
              <w:ind w:left="397" w:hanging="397"/>
              <w:rPr>
                <w:szCs w:val="16"/>
              </w:rPr>
            </w:pPr>
            <w:r w:rsidRPr="005C7F58">
              <w:rPr>
                <w:szCs w:val="16"/>
              </w:rPr>
              <w:t>0951 Transportation of non-urban school students</w:t>
            </w:r>
          </w:p>
          <w:p w14:paraId="3439DF85" w14:textId="77777777" w:rsidR="007879A9" w:rsidRPr="005C7F58" w:rsidRDefault="007879A9" w:rsidP="007879A9">
            <w:pPr>
              <w:pStyle w:val="CGCTablerow"/>
              <w:ind w:left="397" w:hanging="397"/>
              <w:rPr>
                <w:szCs w:val="16"/>
              </w:rPr>
            </w:pPr>
            <w:r w:rsidRPr="005C7F58">
              <w:rPr>
                <w:szCs w:val="16"/>
              </w:rPr>
              <w:t>0952 Transportation of other students</w:t>
            </w:r>
          </w:p>
          <w:p w14:paraId="2B40C5E9" w14:textId="77777777" w:rsidR="007879A9" w:rsidRPr="005C7F58" w:rsidRDefault="007879A9" w:rsidP="007879A9">
            <w:pPr>
              <w:pStyle w:val="CGCTablerow"/>
              <w:ind w:left="397" w:hanging="397"/>
              <w:rPr>
                <w:szCs w:val="16"/>
              </w:rPr>
            </w:pPr>
            <w:r w:rsidRPr="005C7F58">
              <w:rPr>
                <w:szCs w:val="16"/>
              </w:rPr>
              <w:t>1121 Urban bus transport</w:t>
            </w:r>
          </w:p>
          <w:p w14:paraId="6EF55841" w14:textId="77777777" w:rsidR="007879A9" w:rsidRPr="005C7F58" w:rsidRDefault="007879A9" w:rsidP="007879A9">
            <w:pPr>
              <w:pStyle w:val="CGCTablerow"/>
              <w:ind w:left="397" w:hanging="397"/>
              <w:rPr>
                <w:szCs w:val="16"/>
              </w:rPr>
            </w:pPr>
            <w:r w:rsidRPr="005C7F58">
              <w:rPr>
                <w:szCs w:val="16"/>
              </w:rPr>
              <w:t>1131 Urban water transport passenger services</w:t>
            </w:r>
          </w:p>
          <w:p w14:paraId="38428543" w14:textId="77777777" w:rsidR="007879A9" w:rsidRPr="005C7F58" w:rsidRDefault="007879A9" w:rsidP="007879A9">
            <w:pPr>
              <w:pStyle w:val="CGCTablerow"/>
              <w:ind w:left="397" w:hanging="397"/>
              <w:rPr>
                <w:szCs w:val="16"/>
              </w:rPr>
            </w:pPr>
            <w:r w:rsidRPr="005C7F58">
              <w:rPr>
                <w:szCs w:val="16"/>
              </w:rPr>
              <w:t>1141 Urban railway transport services</w:t>
            </w:r>
          </w:p>
          <w:p w14:paraId="6AFF3E65" w14:textId="77777777" w:rsidR="007879A9" w:rsidRPr="005C7F58" w:rsidRDefault="007879A9" w:rsidP="007879A9">
            <w:pPr>
              <w:pStyle w:val="CGCTablerow"/>
              <w:ind w:left="397" w:hanging="397"/>
              <w:rPr>
                <w:szCs w:val="16"/>
              </w:rPr>
            </w:pPr>
            <w:r w:rsidRPr="005C7F58">
              <w:rPr>
                <w:szCs w:val="16"/>
              </w:rPr>
              <w:t xml:space="preserve">1161 </w:t>
            </w:r>
            <w:proofErr w:type="gramStart"/>
            <w:r w:rsidRPr="005C7F58">
              <w:rPr>
                <w:szCs w:val="16"/>
              </w:rPr>
              <w:t>Multi-mode</w:t>
            </w:r>
            <w:proofErr w:type="gramEnd"/>
            <w:r w:rsidRPr="005C7F58">
              <w:rPr>
                <w:szCs w:val="16"/>
              </w:rPr>
              <w:t xml:space="preserve"> urban transport</w:t>
            </w:r>
          </w:p>
          <w:p w14:paraId="519F249E" w14:textId="77777777" w:rsidR="007879A9" w:rsidRPr="005C7F58" w:rsidRDefault="007879A9" w:rsidP="007879A9">
            <w:pPr>
              <w:pStyle w:val="CGCTablerow"/>
              <w:ind w:left="397" w:hanging="397"/>
              <w:rPr>
                <w:szCs w:val="16"/>
              </w:rPr>
            </w:pPr>
            <w:r w:rsidRPr="005C7F58">
              <w:rPr>
                <w:szCs w:val="16"/>
              </w:rPr>
              <w:t>1181 R&amp;D - transport</w:t>
            </w:r>
          </w:p>
          <w:p w14:paraId="261B4392" w14:textId="614C9E4F" w:rsidR="007879A9" w:rsidRPr="005C7F58" w:rsidRDefault="007879A9" w:rsidP="007879A9">
            <w:pPr>
              <w:pStyle w:val="CGCTablerow"/>
              <w:rPr>
                <w:rFonts w:cs="Open Sans Light"/>
                <w:szCs w:val="16"/>
              </w:rPr>
            </w:pPr>
            <w:r w:rsidRPr="005C7F58">
              <w:rPr>
                <w:szCs w:val="16"/>
              </w:rPr>
              <w:t xml:space="preserve">1199 Transport </w:t>
            </w:r>
            <w:proofErr w:type="spellStart"/>
            <w:r w:rsidRPr="005C7F58">
              <w:rPr>
                <w:szCs w:val="16"/>
              </w:rPr>
              <w:t>n.e.c.</w:t>
            </w:r>
            <w:proofErr w:type="spellEnd"/>
          </w:p>
        </w:tc>
        <w:tc>
          <w:tcPr>
            <w:tcW w:w="870" w:type="pct"/>
          </w:tcPr>
          <w:p w14:paraId="53621F87" w14:textId="372570C8" w:rsidR="007879A9" w:rsidRPr="005C7F58" w:rsidRDefault="005C7F58" w:rsidP="007879A9">
            <w:pPr>
              <w:pStyle w:val="CGCTablerow"/>
              <w:rPr>
                <w:szCs w:val="16"/>
              </w:rPr>
            </w:pPr>
            <w:r w:rsidRPr="005C7F58">
              <w:rPr>
                <w:rFonts w:cs="Open Sans Light"/>
                <w:szCs w:val="16"/>
              </w:rPr>
              <w:t>≠</w:t>
            </w:r>
            <w:r w:rsidR="007879A9" w:rsidRPr="005C7F58">
              <w:rPr>
                <w:szCs w:val="16"/>
              </w:rPr>
              <w:t xml:space="preserve">"23" &amp; own JUR </w:t>
            </w:r>
          </w:p>
          <w:p w14:paraId="76606E48" w14:textId="77777777" w:rsidR="007879A9" w:rsidRPr="005C7F58" w:rsidRDefault="007879A9" w:rsidP="007879A9">
            <w:pPr>
              <w:pStyle w:val="CGCTablerow"/>
              <w:rPr>
                <w:szCs w:val="16"/>
              </w:rPr>
            </w:pPr>
            <w:r w:rsidRPr="005C7F58">
              <w:rPr>
                <w:szCs w:val="16"/>
              </w:rPr>
              <w:t xml:space="preserve">and </w:t>
            </w:r>
          </w:p>
          <w:p w14:paraId="6DB09D86" w14:textId="0ED0615B" w:rsidR="007879A9" w:rsidRPr="005C7F58" w:rsidRDefault="005C7F58" w:rsidP="007879A9">
            <w:pPr>
              <w:tabs>
                <w:tab w:val="clear" w:pos="567"/>
              </w:tabs>
              <w:spacing w:before="0" w:after="200" w:line="276" w:lineRule="auto"/>
              <w:rPr>
                <w:sz w:val="16"/>
                <w:szCs w:val="16"/>
              </w:rPr>
            </w:pPr>
            <w:r w:rsidRPr="005C7F58">
              <w:rPr>
                <w:rFonts w:cs="Open Sans Light"/>
                <w:sz w:val="16"/>
                <w:szCs w:val="16"/>
              </w:rPr>
              <w:t>≠</w:t>
            </w:r>
            <w:r w:rsidR="007879A9" w:rsidRPr="005C7F58">
              <w:rPr>
                <w:sz w:val="16"/>
                <w:szCs w:val="16"/>
              </w:rPr>
              <w:t>"21" &amp; own JUR</w:t>
            </w:r>
          </w:p>
        </w:tc>
      </w:tr>
    </w:tbl>
    <w:p w14:paraId="7762D359" w14:textId="77777777" w:rsidR="004C6846" w:rsidRDefault="004C6846" w:rsidP="004C6846">
      <w:pPr>
        <w:tabs>
          <w:tab w:val="clear" w:pos="567"/>
        </w:tabs>
        <w:spacing w:before="0" w:after="200" w:line="276" w:lineRule="auto"/>
        <w:rPr>
          <w:rFonts w:ascii="Montserrat Ultra Light" w:hAnsi="Montserrat Ultra Light"/>
          <w:b/>
          <w:szCs w:val="20"/>
        </w:rPr>
      </w:pPr>
      <w:r>
        <w:br w:type="page"/>
      </w:r>
    </w:p>
    <w:p w14:paraId="11B5F79C" w14:textId="77777777" w:rsidR="00A544E4" w:rsidRDefault="00A544E4" w:rsidP="004B0D45">
      <w:pPr>
        <w:sectPr w:rsidR="00A544E4" w:rsidSect="000E190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283" w:gutter="0"/>
          <w:cols w:space="720"/>
          <w:docGrid w:linePitch="272"/>
        </w:sectPr>
      </w:pPr>
    </w:p>
    <w:p w14:paraId="44E9E7B0" w14:textId="00A7E4D6" w:rsidR="00A544E4" w:rsidRPr="0032592F" w:rsidRDefault="00A544E4" w:rsidP="00A544E4">
      <w:pPr>
        <w:pStyle w:val="Heading2"/>
      </w:pPr>
      <w:r w:rsidRPr="0032592F">
        <w:rPr>
          <w:rFonts w:eastAsiaTheme="minorHAnsi"/>
        </w:rPr>
        <w:lastRenderedPageBreak/>
        <w:t xml:space="preserve">Attachment </w:t>
      </w:r>
      <w:r>
        <w:rPr>
          <w:rFonts w:eastAsiaTheme="minorHAnsi"/>
        </w:rPr>
        <w:t>B</w:t>
      </w:r>
      <w:r w:rsidRPr="0032592F">
        <w:rPr>
          <w:rFonts w:eastAsiaTheme="minorHAnsi"/>
        </w:rPr>
        <w:t>:</w:t>
      </w:r>
      <w:r w:rsidRPr="00DB7A2E">
        <w:t xml:space="preserve"> </w:t>
      </w:r>
      <w:r>
        <w:rPr>
          <w:rStyle w:val="Heading2Char"/>
          <w:rFonts w:eastAsiaTheme="minorHAnsi"/>
        </w:rPr>
        <w:t xml:space="preserve">Adjustments </w:t>
      </w:r>
      <w:r w:rsidR="000A0154">
        <w:rPr>
          <w:rStyle w:val="Heading2Char"/>
          <w:rFonts w:eastAsiaTheme="minorHAnsi"/>
        </w:rPr>
        <w:t xml:space="preserve">made to Government Finance Statistics </w:t>
      </w:r>
      <w:r w:rsidR="006C34ED">
        <w:rPr>
          <w:rStyle w:val="Heading2Char"/>
          <w:rFonts w:eastAsiaTheme="minorHAnsi"/>
        </w:rPr>
        <w:t>data,</w:t>
      </w:r>
      <w:r>
        <w:rPr>
          <w:rStyle w:val="Heading2Char"/>
          <w:rFonts w:eastAsiaTheme="minorHAnsi"/>
        </w:rPr>
        <w:t xml:space="preserve"> 2025 Review</w:t>
      </w:r>
      <w:r w:rsidRPr="0032592F">
        <w:rPr>
          <w:b w:val="0"/>
        </w:rPr>
        <w:t xml:space="preserve"> </w:t>
      </w:r>
    </w:p>
    <w:p w14:paraId="293098F8" w14:textId="21FD7FC3" w:rsidR="000A0154" w:rsidRPr="005631B1" w:rsidRDefault="000A0154" w:rsidP="002B2013">
      <w:pPr>
        <w:pStyle w:val="CGC2025Caption"/>
        <w:ind w:left="1418" w:hanging="1418"/>
        <w:rPr>
          <w:rStyle w:val="Heading2Char"/>
          <w:rFonts w:eastAsiaTheme="minorHAnsi"/>
          <w:b/>
          <w:bCs w:val="0"/>
          <w:color w:val="FF0000"/>
          <w:sz w:val="22"/>
          <w:szCs w:val="22"/>
        </w:rPr>
      </w:pPr>
      <w:r>
        <w:t>Table B-1</w:t>
      </w:r>
      <w:r>
        <w:tab/>
      </w:r>
      <w:r w:rsidRPr="00716CF9">
        <w:t xml:space="preserve">Adjustments made to Government Finance Statistics data, </w:t>
      </w:r>
      <w:r>
        <w:t>2025 Review</w:t>
      </w:r>
      <w:r w:rsidRPr="00716CF9">
        <w:t xml:space="preserve"> </w:t>
      </w:r>
    </w:p>
    <w:tbl>
      <w:tblPr>
        <w:tblW w:w="8942" w:type="dxa"/>
        <w:tblInd w:w="28" w:type="dxa"/>
        <w:tblBorders>
          <w:top w:val="single" w:sz="4" w:space="0" w:color="ADD6EA"/>
          <w:bottom w:val="single" w:sz="4" w:space="0" w:color="ADD6EA"/>
          <w:insideH w:val="single" w:sz="4" w:space="0" w:color="ADD6EA"/>
        </w:tblBorders>
        <w:tblLayout w:type="fixed"/>
        <w:tblLook w:val="04A0" w:firstRow="1" w:lastRow="0" w:firstColumn="1" w:lastColumn="0" w:noHBand="0" w:noVBand="1"/>
      </w:tblPr>
      <w:tblGrid>
        <w:gridCol w:w="2234"/>
        <w:gridCol w:w="6708"/>
      </w:tblGrid>
      <w:tr w:rsidR="00C11DDE" w:rsidRPr="00C035EB" w14:paraId="3944DD89" w14:textId="77777777" w:rsidTr="009A1EE4">
        <w:trPr>
          <w:trHeight w:val="374"/>
          <w:tblHeader/>
        </w:trPr>
        <w:tc>
          <w:tcPr>
            <w:tcW w:w="2234" w:type="dxa"/>
            <w:shd w:val="clear" w:color="auto" w:fill="006991"/>
            <w:vAlign w:val="center"/>
            <w:hideMark/>
          </w:tcPr>
          <w:p w14:paraId="150D7F4A" w14:textId="77777777" w:rsidR="00C11DDE" w:rsidRPr="00BA267D" w:rsidRDefault="00C11DDE">
            <w:pPr>
              <w:tabs>
                <w:tab w:val="clear" w:pos="567"/>
              </w:tabs>
              <w:spacing w:before="0" w:line="240" w:lineRule="auto"/>
              <w:rPr>
                <w:rFonts w:ascii="Open Sans Semibold" w:eastAsia="Times New Roman" w:hAnsi="Open Sans Semibold" w:cs="Open Sans Semibold"/>
                <w:color w:val="FFFFFF" w:themeColor="background1"/>
                <w:sz w:val="16"/>
                <w:szCs w:val="16"/>
                <w:lang w:eastAsia="en-AU"/>
              </w:rPr>
            </w:pPr>
            <w:r w:rsidRPr="00BA267D">
              <w:rPr>
                <w:rFonts w:ascii="Open Sans Semibold" w:eastAsia="Times New Roman" w:hAnsi="Open Sans Semibold" w:cs="Open Sans Semibold"/>
                <w:color w:val="FFFFFF" w:themeColor="background1"/>
                <w:sz w:val="16"/>
                <w:szCs w:val="16"/>
                <w:lang w:eastAsia="en-AU"/>
              </w:rPr>
              <w:t xml:space="preserve">Adjustment Name </w:t>
            </w:r>
          </w:p>
        </w:tc>
        <w:tc>
          <w:tcPr>
            <w:tcW w:w="6708" w:type="dxa"/>
            <w:shd w:val="clear" w:color="auto" w:fill="006991"/>
            <w:noWrap/>
            <w:vAlign w:val="center"/>
            <w:hideMark/>
          </w:tcPr>
          <w:p w14:paraId="41D8E7E4" w14:textId="77777777" w:rsidR="00C11DDE" w:rsidRPr="00BA267D" w:rsidRDefault="00C11DDE">
            <w:pPr>
              <w:tabs>
                <w:tab w:val="clear" w:pos="567"/>
              </w:tabs>
              <w:spacing w:before="0" w:line="240" w:lineRule="auto"/>
              <w:rPr>
                <w:rFonts w:ascii="Open Sans Semibold" w:eastAsia="Times New Roman" w:hAnsi="Open Sans Semibold" w:cs="Open Sans Semibold"/>
                <w:color w:val="FFFFFF" w:themeColor="background1"/>
                <w:sz w:val="16"/>
                <w:szCs w:val="16"/>
                <w:lang w:eastAsia="en-AU"/>
              </w:rPr>
            </w:pPr>
            <w:r w:rsidRPr="00BA267D">
              <w:rPr>
                <w:rFonts w:ascii="Open Sans Semibold" w:eastAsia="Times New Roman" w:hAnsi="Open Sans Semibold" w:cs="Open Sans Semibold"/>
                <w:color w:val="FFFFFF" w:themeColor="background1"/>
                <w:sz w:val="16"/>
                <w:szCs w:val="16"/>
                <w:lang w:eastAsia="en-AU"/>
              </w:rPr>
              <w:t xml:space="preserve">Description </w:t>
            </w:r>
          </w:p>
        </w:tc>
      </w:tr>
      <w:tr w:rsidR="00C11DDE" w:rsidRPr="00C035EB" w14:paraId="3482BA91" w14:textId="77777777" w:rsidTr="00A9550C">
        <w:trPr>
          <w:trHeight w:val="944"/>
        </w:trPr>
        <w:tc>
          <w:tcPr>
            <w:tcW w:w="2234" w:type="dxa"/>
            <w:shd w:val="clear" w:color="auto" w:fill="auto"/>
            <w:vAlign w:val="center"/>
            <w:hideMark/>
          </w:tcPr>
          <w:p w14:paraId="21F3A418" w14:textId="77777777" w:rsidR="00C11DDE" w:rsidRPr="00BA267D" w:rsidRDefault="00C11DDE">
            <w:pPr>
              <w:tabs>
                <w:tab w:val="clear" w:pos="567"/>
              </w:tabs>
              <w:spacing w:before="0" w:after="240" w:line="240" w:lineRule="auto"/>
              <w:rPr>
                <w:rFonts w:eastAsia="Times New Roman" w:cs="Open Sans Light"/>
                <w:color w:val="000000"/>
                <w:sz w:val="16"/>
                <w:szCs w:val="16"/>
                <w:lang w:eastAsia="en-AU"/>
              </w:rPr>
            </w:pPr>
            <w:r w:rsidRPr="00BA267D">
              <w:rPr>
                <w:rFonts w:eastAsia="Times New Roman" w:cs="Open Sans Light"/>
                <w:color w:val="000000"/>
                <w:sz w:val="16"/>
                <w:szCs w:val="16"/>
                <w:lang w:eastAsia="en-AU"/>
              </w:rPr>
              <w:t xml:space="preserve">Investment – roads and transport </w:t>
            </w:r>
          </w:p>
        </w:tc>
        <w:tc>
          <w:tcPr>
            <w:tcW w:w="6708" w:type="dxa"/>
            <w:shd w:val="clear" w:color="auto" w:fill="auto"/>
            <w:vAlign w:val="center"/>
            <w:hideMark/>
          </w:tcPr>
          <w:p w14:paraId="62BE2AF4" w14:textId="11A28BBD" w:rsidR="00C11DDE" w:rsidRPr="00BA267D" w:rsidRDefault="00C11DDE" w:rsidP="00181D93">
            <w:pPr>
              <w:pStyle w:val="CGCTablerow"/>
              <w:rPr>
                <w:rFonts w:cs="Open Sans Light"/>
                <w:szCs w:val="16"/>
                <w:lang w:eastAsia="en-AU"/>
              </w:rPr>
            </w:pPr>
            <w:r w:rsidRPr="00BA267D">
              <w:rPr>
                <w:rFonts w:cs="Open Sans Light"/>
                <w:szCs w:val="16"/>
                <w:lang w:eastAsia="en-AU"/>
              </w:rPr>
              <w:t xml:space="preserve">This adjustment </w:t>
            </w:r>
            <w:r w:rsidR="00053756">
              <w:rPr>
                <w:rFonts w:cs="Open Sans Light"/>
                <w:szCs w:val="16"/>
                <w:lang w:eastAsia="en-AU"/>
              </w:rPr>
              <w:t>allocates</w:t>
            </w:r>
            <w:r w:rsidRPr="00BA267D">
              <w:rPr>
                <w:rFonts w:cs="Open Sans Light"/>
                <w:szCs w:val="16"/>
                <w:lang w:eastAsia="en-AU"/>
              </w:rPr>
              <w:t xml:space="preserve"> </w:t>
            </w:r>
            <w:r w:rsidR="00E353FE">
              <w:rPr>
                <w:rFonts w:cs="Open Sans Light"/>
                <w:szCs w:val="16"/>
                <w:lang w:eastAsia="en-AU"/>
              </w:rPr>
              <w:t>a</w:t>
            </w:r>
            <w:r w:rsidR="00DB32D2">
              <w:rPr>
                <w:rFonts w:cs="Open Sans Light"/>
                <w:szCs w:val="16"/>
                <w:lang w:eastAsia="en-AU"/>
              </w:rPr>
              <w:t xml:space="preserve"> state’s </w:t>
            </w:r>
            <w:r w:rsidRPr="00BA267D">
              <w:rPr>
                <w:rFonts w:cs="Open Sans Light"/>
                <w:szCs w:val="16"/>
                <w:lang w:eastAsia="en-AU"/>
              </w:rPr>
              <w:t>urban transport investment expenses into</w:t>
            </w:r>
            <w:r w:rsidR="00365F71">
              <w:rPr>
                <w:rFonts w:cs="Open Sans Light"/>
                <w:szCs w:val="16"/>
                <w:lang w:eastAsia="en-AU"/>
              </w:rPr>
              <w:t xml:space="preserve"> the</w:t>
            </w:r>
            <w:r w:rsidR="00181D93">
              <w:rPr>
                <w:rFonts w:cs="Open Sans Light"/>
                <w:szCs w:val="16"/>
                <w:lang w:eastAsia="en-AU"/>
              </w:rPr>
              <w:t xml:space="preserve"> </w:t>
            </w:r>
            <w:r w:rsidRPr="00BA267D">
              <w:rPr>
                <w:rFonts w:cs="Open Sans Light"/>
                <w:szCs w:val="16"/>
                <w:lang w:eastAsia="en-AU"/>
              </w:rPr>
              <w:t>roads</w:t>
            </w:r>
            <w:r w:rsidR="00181D93">
              <w:rPr>
                <w:rFonts w:cs="Open Sans Light"/>
                <w:szCs w:val="16"/>
                <w:lang w:eastAsia="en-AU"/>
              </w:rPr>
              <w:t xml:space="preserve">, </w:t>
            </w:r>
            <w:r w:rsidRPr="00BA267D">
              <w:rPr>
                <w:rFonts w:cs="Open Sans Light"/>
                <w:szCs w:val="16"/>
                <w:lang w:eastAsia="en-AU"/>
              </w:rPr>
              <w:t xml:space="preserve">urban </w:t>
            </w:r>
            <w:r w:rsidR="00181D93" w:rsidRPr="00BA267D">
              <w:rPr>
                <w:rFonts w:cs="Open Sans Light"/>
                <w:szCs w:val="16"/>
                <w:lang w:eastAsia="en-AU"/>
              </w:rPr>
              <w:t>transport</w:t>
            </w:r>
            <w:r w:rsidRPr="00BA267D">
              <w:rPr>
                <w:rFonts w:cs="Open Sans Light"/>
                <w:szCs w:val="16"/>
                <w:lang w:eastAsia="en-AU"/>
              </w:rPr>
              <w:t xml:space="preserve"> </w:t>
            </w:r>
            <w:r w:rsidR="00181D93">
              <w:rPr>
                <w:rFonts w:cs="Open Sans Light"/>
                <w:szCs w:val="16"/>
                <w:lang w:eastAsia="en-AU"/>
              </w:rPr>
              <w:t xml:space="preserve">and </w:t>
            </w:r>
            <w:r w:rsidRPr="00BA267D">
              <w:rPr>
                <w:rFonts w:cs="Open Sans Light"/>
                <w:szCs w:val="16"/>
                <w:lang w:eastAsia="en-AU"/>
              </w:rPr>
              <w:t>non-urban transport</w:t>
            </w:r>
            <w:r w:rsidR="00365F71">
              <w:rPr>
                <w:rFonts w:cs="Open Sans Light"/>
                <w:szCs w:val="16"/>
                <w:lang w:eastAsia="en-AU"/>
              </w:rPr>
              <w:t xml:space="preserve"> investment components</w:t>
            </w:r>
            <w:r w:rsidRPr="00BA267D">
              <w:rPr>
                <w:rFonts w:cs="Open Sans Light"/>
                <w:szCs w:val="16"/>
                <w:lang w:eastAsia="en-AU"/>
              </w:rPr>
              <w:t>.</w:t>
            </w:r>
            <w:r w:rsidR="00006AF0">
              <w:rPr>
                <w:rFonts w:cs="Open Sans Light"/>
                <w:szCs w:val="16"/>
                <w:lang w:eastAsia="en-AU"/>
              </w:rPr>
              <w:t xml:space="preserve"> </w:t>
            </w:r>
            <w:r w:rsidR="0017118B">
              <w:rPr>
                <w:rFonts w:cs="Open Sans Light"/>
                <w:szCs w:val="16"/>
                <w:lang w:eastAsia="en-AU"/>
              </w:rPr>
              <w:t>The</w:t>
            </w:r>
            <w:r w:rsidR="00006AF0" w:rsidRPr="00BA267D">
              <w:rPr>
                <w:rFonts w:cs="Open Sans Light"/>
                <w:szCs w:val="16"/>
                <w:lang w:eastAsia="en-AU"/>
              </w:rPr>
              <w:t xml:space="preserve"> state </w:t>
            </w:r>
            <w:r w:rsidR="0017118B">
              <w:rPr>
                <w:rFonts w:cs="Open Sans Light"/>
                <w:szCs w:val="16"/>
                <w:lang w:eastAsia="en-AU"/>
              </w:rPr>
              <w:t>classifies</w:t>
            </w:r>
            <w:r w:rsidR="00006AF0" w:rsidRPr="00BA267D">
              <w:rPr>
                <w:rFonts w:cs="Open Sans Light"/>
                <w:szCs w:val="16"/>
                <w:lang w:eastAsia="en-AU"/>
              </w:rPr>
              <w:t xml:space="preserve"> all investment expenses for roads, urban </w:t>
            </w:r>
            <w:r w:rsidR="00B547F7" w:rsidRPr="00BA267D">
              <w:rPr>
                <w:rFonts w:cs="Open Sans Light"/>
                <w:szCs w:val="16"/>
                <w:lang w:eastAsia="en-AU"/>
              </w:rPr>
              <w:t>transport</w:t>
            </w:r>
            <w:r w:rsidR="00F74442">
              <w:rPr>
                <w:rFonts w:cs="Open Sans Light"/>
                <w:szCs w:val="16"/>
                <w:lang w:eastAsia="en-AU"/>
              </w:rPr>
              <w:t>,</w:t>
            </w:r>
            <w:r w:rsidR="00006AF0" w:rsidRPr="00BA267D">
              <w:rPr>
                <w:rFonts w:cs="Open Sans Light"/>
                <w:szCs w:val="16"/>
                <w:lang w:eastAsia="en-AU"/>
              </w:rPr>
              <w:t xml:space="preserve"> and non</w:t>
            </w:r>
            <w:r w:rsidR="00006AF0" w:rsidRPr="00BA267D">
              <w:rPr>
                <w:rFonts w:cs="Open Sans Light"/>
                <w:szCs w:val="16"/>
                <w:lang w:eastAsia="en-AU"/>
              </w:rPr>
              <w:noBreakHyphen/>
              <w:t xml:space="preserve">urban transport </w:t>
            </w:r>
            <w:r w:rsidR="00F74442">
              <w:rPr>
                <w:rFonts w:cs="Open Sans Light"/>
                <w:szCs w:val="16"/>
                <w:lang w:eastAsia="en-AU"/>
              </w:rPr>
              <w:t>as</w:t>
            </w:r>
            <w:r w:rsidR="00006AF0" w:rsidRPr="00BA267D">
              <w:rPr>
                <w:rFonts w:cs="Open Sans Light"/>
                <w:szCs w:val="16"/>
                <w:lang w:eastAsia="en-AU"/>
              </w:rPr>
              <w:t xml:space="preserve"> urban transport</w:t>
            </w:r>
            <w:r w:rsidR="00F74442">
              <w:rPr>
                <w:rFonts w:cs="Open Sans Light"/>
                <w:szCs w:val="16"/>
                <w:lang w:eastAsia="en-AU"/>
              </w:rPr>
              <w:t xml:space="preserve"> investment</w:t>
            </w:r>
            <w:r w:rsidR="00006AF0" w:rsidRPr="00BA267D">
              <w:rPr>
                <w:rFonts w:cs="Open Sans Light"/>
                <w:szCs w:val="16"/>
                <w:lang w:eastAsia="en-AU"/>
              </w:rPr>
              <w:t>.</w:t>
            </w:r>
          </w:p>
        </w:tc>
      </w:tr>
      <w:tr w:rsidR="00C11DDE" w:rsidRPr="00C035EB" w14:paraId="4CE6981F" w14:textId="77777777" w:rsidTr="00B417B5">
        <w:trPr>
          <w:trHeight w:val="830"/>
        </w:trPr>
        <w:tc>
          <w:tcPr>
            <w:tcW w:w="2234" w:type="dxa"/>
            <w:shd w:val="clear" w:color="auto" w:fill="auto"/>
            <w:vAlign w:val="center"/>
            <w:hideMark/>
          </w:tcPr>
          <w:p w14:paraId="163C240C" w14:textId="77777777" w:rsidR="00C11DDE" w:rsidRPr="00BA267D" w:rsidRDefault="00C11DDE">
            <w:pPr>
              <w:tabs>
                <w:tab w:val="clear" w:pos="567"/>
              </w:tabs>
              <w:spacing w:before="0" w:line="240" w:lineRule="auto"/>
              <w:rPr>
                <w:rFonts w:eastAsia="Times New Roman" w:cs="Open Sans Light"/>
                <w:color w:val="000000"/>
                <w:sz w:val="16"/>
                <w:szCs w:val="16"/>
                <w:lang w:eastAsia="en-AU"/>
              </w:rPr>
            </w:pPr>
            <w:r w:rsidRPr="00BA267D">
              <w:rPr>
                <w:rFonts w:eastAsia="Times New Roman" w:cs="Open Sans Light"/>
                <w:color w:val="000000"/>
                <w:sz w:val="16"/>
                <w:szCs w:val="16"/>
                <w:lang w:eastAsia="en-AU"/>
              </w:rPr>
              <w:t>Investment – AASB16 adjustment</w:t>
            </w:r>
          </w:p>
        </w:tc>
        <w:tc>
          <w:tcPr>
            <w:tcW w:w="6708" w:type="dxa"/>
            <w:shd w:val="clear" w:color="auto" w:fill="auto"/>
            <w:vAlign w:val="center"/>
            <w:hideMark/>
          </w:tcPr>
          <w:p w14:paraId="1C3F8BE5" w14:textId="543F8709" w:rsidR="00C11DDE" w:rsidRPr="00BA267D" w:rsidRDefault="00B91386">
            <w:pPr>
              <w:pStyle w:val="CGCTablerow"/>
              <w:rPr>
                <w:rFonts w:cs="Open Sans Light"/>
                <w:szCs w:val="16"/>
                <w:lang w:eastAsia="en-AU"/>
              </w:rPr>
            </w:pPr>
            <w:r>
              <w:rPr>
                <w:rFonts w:cs="Open Sans Light"/>
                <w:szCs w:val="16"/>
                <w:lang w:eastAsia="en-AU"/>
              </w:rPr>
              <w:t>An</w:t>
            </w:r>
            <w:r w:rsidR="00C11DDE" w:rsidRPr="00BA267D">
              <w:rPr>
                <w:rFonts w:cs="Open Sans Light"/>
                <w:szCs w:val="16"/>
                <w:lang w:eastAsia="en-AU"/>
              </w:rPr>
              <w:t xml:space="preserve"> adjustment </w:t>
            </w:r>
            <w:r w:rsidR="0043174D">
              <w:rPr>
                <w:rFonts w:cs="Open Sans Light"/>
                <w:szCs w:val="16"/>
                <w:lang w:eastAsia="en-AU"/>
              </w:rPr>
              <w:t>i</w:t>
            </w:r>
            <w:r w:rsidR="00C11DDE" w:rsidRPr="00BA267D">
              <w:rPr>
                <w:rFonts w:cs="Open Sans Light"/>
                <w:szCs w:val="16"/>
                <w:lang w:eastAsia="en-AU"/>
              </w:rPr>
              <w:t xml:space="preserve">s </w:t>
            </w:r>
            <w:r>
              <w:rPr>
                <w:rFonts w:cs="Open Sans Light"/>
                <w:szCs w:val="16"/>
                <w:lang w:eastAsia="en-AU"/>
              </w:rPr>
              <w:t>made</w:t>
            </w:r>
            <w:r w:rsidR="00E672E6">
              <w:rPr>
                <w:rFonts w:cs="Open Sans Light"/>
                <w:szCs w:val="16"/>
                <w:lang w:eastAsia="en-AU"/>
              </w:rPr>
              <w:t xml:space="preserve"> to</w:t>
            </w:r>
            <w:r>
              <w:rPr>
                <w:rFonts w:cs="Open Sans Light"/>
                <w:szCs w:val="16"/>
                <w:lang w:eastAsia="en-AU"/>
              </w:rPr>
              <w:t xml:space="preserve"> </w:t>
            </w:r>
            <w:r w:rsidR="00C11DDE" w:rsidRPr="00BA267D">
              <w:rPr>
                <w:rFonts w:cs="Open Sans Light"/>
                <w:szCs w:val="16"/>
                <w:lang w:eastAsia="en-AU"/>
              </w:rPr>
              <w:t xml:space="preserve">include </w:t>
            </w:r>
            <w:r w:rsidR="00B417B5" w:rsidRPr="00BA267D">
              <w:rPr>
                <w:rFonts w:cs="Open Sans Light"/>
                <w:szCs w:val="16"/>
                <w:lang w:eastAsia="en-AU"/>
              </w:rPr>
              <w:t>the Australian Accounting Standard Board (AASB16) leases standard</w:t>
            </w:r>
            <w:r w:rsidR="00C11DDE" w:rsidRPr="00BA267D">
              <w:rPr>
                <w:rFonts w:cs="Open Sans Light"/>
                <w:szCs w:val="16"/>
                <w:lang w:eastAsia="en-AU"/>
              </w:rPr>
              <w:t xml:space="preserve"> in </w:t>
            </w:r>
            <w:r w:rsidR="00B417B5">
              <w:rPr>
                <w:rFonts w:cs="Open Sans Light"/>
                <w:szCs w:val="16"/>
                <w:lang w:eastAsia="en-AU"/>
              </w:rPr>
              <w:t>ABS</w:t>
            </w:r>
            <w:r w:rsidR="00A96B2E">
              <w:rPr>
                <w:rFonts w:cs="Open Sans Light"/>
                <w:szCs w:val="16"/>
                <w:lang w:eastAsia="en-AU"/>
              </w:rPr>
              <w:t xml:space="preserve"> final</w:t>
            </w:r>
            <w:r w:rsidR="00C11DDE" w:rsidRPr="00BA267D">
              <w:rPr>
                <w:rFonts w:cs="Open Sans Light"/>
                <w:szCs w:val="16"/>
                <w:lang w:eastAsia="en-AU"/>
              </w:rPr>
              <w:t xml:space="preserve"> G</w:t>
            </w:r>
            <w:r w:rsidR="00F34AE1">
              <w:rPr>
                <w:rFonts w:cs="Open Sans Light"/>
                <w:szCs w:val="16"/>
                <w:lang w:eastAsia="en-AU"/>
              </w:rPr>
              <w:t>overnment</w:t>
            </w:r>
            <w:r w:rsidR="00C11DDE" w:rsidRPr="00BA267D">
              <w:rPr>
                <w:rFonts w:cs="Open Sans Light"/>
                <w:szCs w:val="16"/>
                <w:lang w:eastAsia="en-AU"/>
              </w:rPr>
              <w:t xml:space="preserve"> Finance Statistics data</w:t>
            </w:r>
            <w:r w:rsidR="00893F3F">
              <w:rPr>
                <w:rFonts w:cs="Open Sans Light"/>
                <w:szCs w:val="16"/>
                <w:lang w:eastAsia="en-AU"/>
              </w:rPr>
              <w:t xml:space="preserve">. </w:t>
            </w:r>
            <w:r w:rsidR="00C11DDE" w:rsidRPr="00BA267D">
              <w:rPr>
                <w:rFonts w:cs="Open Sans Light"/>
                <w:szCs w:val="16"/>
                <w:lang w:eastAsia="en-AU"/>
              </w:rPr>
              <w:t xml:space="preserve">An adjustment </w:t>
            </w:r>
            <w:r w:rsidR="00070B8E">
              <w:rPr>
                <w:rFonts w:cs="Open Sans Light"/>
                <w:szCs w:val="16"/>
                <w:lang w:eastAsia="en-AU"/>
              </w:rPr>
              <w:t>i</w:t>
            </w:r>
            <w:r w:rsidR="00C11DDE" w:rsidRPr="00BA267D">
              <w:rPr>
                <w:rFonts w:cs="Open Sans Light"/>
                <w:szCs w:val="16"/>
                <w:lang w:eastAsia="en-AU"/>
              </w:rPr>
              <w:t xml:space="preserve">s also required for year 3 </w:t>
            </w:r>
            <w:r w:rsidR="00F16702">
              <w:rPr>
                <w:rFonts w:cs="Open Sans Light"/>
                <w:szCs w:val="16"/>
                <w:lang w:eastAsia="en-AU"/>
              </w:rPr>
              <w:t xml:space="preserve">preliminary </w:t>
            </w:r>
            <w:r w:rsidR="00037891">
              <w:rPr>
                <w:rFonts w:cs="Open Sans Light"/>
                <w:szCs w:val="16"/>
                <w:lang w:eastAsia="en-AU"/>
              </w:rPr>
              <w:t>ABS</w:t>
            </w:r>
            <w:r w:rsidR="00C11DDE" w:rsidRPr="00BA267D">
              <w:rPr>
                <w:rFonts w:cs="Open Sans Light"/>
                <w:szCs w:val="16"/>
                <w:lang w:eastAsia="en-AU"/>
              </w:rPr>
              <w:t xml:space="preserve"> data if they did not include the AASB16 standard.</w:t>
            </w:r>
          </w:p>
        </w:tc>
      </w:tr>
      <w:tr w:rsidR="00283D00" w:rsidRPr="00C035EB" w14:paraId="7BDDED4B" w14:textId="77777777" w:rsidTr="00854A3F">
        <w:trPr>
          <w:trHeight w:val="842"/>
        </w:trPr>
        <w:tc>
          <w:tcPr>
            <w:tcW w:w="2234" w:type="dxa"/>
            <w:shd w:val="clear" w:color="auto" w:fill="auto"/>
            <w:vAlign w:val="center"/>
            <w:hideMark/>
          </w:tcPr>
          <w:p w14:paraId="4566C57D" w14:textId="7568FD2F" w:rsidR="00283D00" w:rsidRPr="00BA267D" w:rsidRDefault="00283D00">
            <w:pPr>
              <w:tabs>
                <w:tab w:val="clear" w:pos="567"/>
              </w:tabs>
              <w:spacing w:before="0" w:line="240" w:lineRule="auto"/>
              <w:rPr>
                <w:rFonts w:eastAsia="Times New Roman" w:cs="Open Sans Light"/>
                <w:color w:val="000000"/>
                <w:sz w:val="16"/>
                <w:szCs w:val="16"/>
                <w:lang w:eastAsia="en-AU"/>
              </w:rPr>
            </w:pPr>
            <w:r w:rsidRPr="00BA267D">
              <w:rPr>
                <w:rFonts w:eastAsia="Times New Roman" w:cs="Open Sans Light"/>
                <w:sz w:val="16"/>
                <w:szCs w:val="16"/>
                <w:lang w:eastAsia="en-AU"/>
              </w:rPr>
              <w:t>Non-government schools Commonwealth payment adjustment</w:t>
            </w:r>
          </w:p>
        </w:tc>
        <w:tc>
          <w:tcPr>
            <w:tcW w:w="6708" w:type="dxa"/>
            <w:shd w:val="clear" w:color="auto" w:fill="auto"/>
            <w:vAlign w:val="center"/>
            <w:hideMark/>
          </w:tcPr>
          <w:p w14:paraId="12B3194A" w14:textId="64C0C92C" w:rsidR="00283D00" w:rsidRPr="00BA267D" w:rsidRDefault="00283D00">
            <w:pPr>
              <w:pStyle w:val="CGCTablerow"/>
              <w:rPr>
                <w:rFonts w:cs="Open Sans Light"/>
                <w:szCs w:val="16"/>
                <w:lang w:eastAsia="en-AU"/>
              </w:rPr>
            </w:pPr>
            <w:r w:rsidRPr="00BA267D">
              <w:rPr>
                <w:rFonts w:cs="Open Sans Light"/>
                <w:szCs w:val="16"/>
                <w:lang w:eastAsia="en-AU"/>
              </w:rPr>
              <w:t>This adjustment remove</w:t>
            </w:r>
            <w:r w:rsidR="0043174D">
              <w:rPr>
                <w:rFonts w:cs="Open Sans Light"/>
                <w:szCs w:val="16"/>
                <w:lang w:eastAsia="en-AU"/>
              </w:rPr>
              <w:t>s</w:t>
            </w:r>
            <w:r w:rsidRPr="00BA267D">
              <w:rPr>
                <w:rFonts w:cs="Open Sans Light"/>
                <w:szCs w:val="16"/>
                <w:lang w:eastAsia="en-AU"/>
              </w:rPr>
              <w:t xml:space="preserve"> the non-government schools’ proportion of the Quality Schools funding from year 3 </w:t>
            </w:r>
            <w:r w:rsidR="00D80F22">
              <w:rPr>
                <w:rFonts w:cs="Open Sans Light"/>
                <w:szCs w:val="16"/>
                <w:lang w:eastAsia="en-AU"/>
              </w:rPr>
              <w:t>preliminary ABS</w:t>
            </w:r>
            <w:r w:rsidRPr="00BA267D">
              <w:rPr>
                <w:rFonts w:cs="Open Sans Light"/>
                <w:szCs w:val="16"/>
                <w:lang w:eastAsia="en-AU"/>
              </w:rPr>
              <w:t xml:space="preserve"> data. </w:t>
            </w:r>
            <w:r w:rsidR="0077488D">
              <w:rPr>
                <w:rFonts w:cs="Open Sans Light"/>
                <w:szCs w:val="16"/>
                <w:lang w:eastAsia="en-AU"/>
              </w:rPr>
              <w:t>This funding</w:t>
            </w:r>
            <w:r w:rsidRPr="00BA267D">
              <w:rPr>
                <w:rFonts w:cs="Open Sans Light"/>
                <w:szCs w:val="16"/>
                <w:lang w:eastAsia="en-AU"/>
              </w:rPr>
              <w:t xml:space="preserve"> no longer appears in states’</w:t>
            </w:r>
            <w:r w:rsidRPr="00BA267D" w:rsidDel="00773BE3">
              <w:rPr>
                <w:rFonts w:cs="Open Sans Light"/>
                <w:szCs w:val="16"/>
                <w:lang w:eastAsia="en-AU"/>
              </w:rPr>
              <w:t xml:space="preserve"> </w:t>
            </w:r>
            <w:r w:rsidRPr="00BA267D">
              <w:rPr>
                <w:rFonts w:cs="Open Sans Light"/>
                <w:szCs w:val="16"/>
                <w:lang w:eastAsia="en-AU"/>
              </w:rPr>
              <w:t>ABS</w:t>
            </w:r>
            <w:r w:rsidR="00A96B2E">
              <w:rPr>
                <w:rFonts w:cs="Open Sans Light"/>
                <w:szCs w:val="16"/>
                <w:lang w:eastAsia="en-AU"/>
              </w:rPr>
              <w:t xml:space="preserve"> final</w:t>
            </w:r>
            <w:r w:rsidRPr="00BA267D">
              <w:rPr>
                <w:rFonts w:cs="Open Sans Light"/>
                <w:szCs w:val="16"/>
                <w:lang w:eastAsia="en-AU"/>
              </w:rPr>
              <w:t xml:space="preserve"> Government Finance Statistics data. </w:t>
            </w:r>
          </w:p>
        </w:tc>
      </w:tr>
      <w:tr w:rsidR="00283D00" w:rsidRPr="00C035EB" w14:paraId="40A5A984" w14:textId="77777777" w:rsidTr="00854A3F">
        <w:trPr>
          <w:trHeight w:val="840"/>
        </w:trPr>
        <w:tc>
          <w:tcPr>
            <w:tcW w:w="2234" w:type="dxa"/>
            <w:shd w:val="clear" w:color="auto" w:fill="auto"/>
            <w:vAlign w:val="center"/>
            <w:hideMark/>
          </w:tcPr>
          <w:p w14:paraId="0BE5460B" w14:textId="5CCD1F4A" w:rsidR="00283D00" w:rsidRPr="00BA267D" w:rsidRDefault="00283D00">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Public non-financial corporation</w:t>
            </w:r>
            <w:r w:rsidRPr="00BA267D">
              <w:rPr>
                <w:rFonts w:eastAsia="Times New Roman" w:cs="Open Sans Light"/>
                <w:b/>
                <w:bCs/>
                <w:sz w:val="16"/>
                <w:szCs w:val="16"/>
                <w:lang w:eastAsia="en-AU"/>
              </w:rPr>
              <w:t xml:space="preserve"> </w:t>
            </w:r>
            <w:r w:rsidRPr="00BA267D">
              <w:rPr>
                <w:rFonts w:eastAsia="Times New Roman" w:cs="Open Sans Light"/>
                <w:sz w:val="16"/>
                <w:szCs w:val="16"/>
                <w:lang w:eastAsia="en-AU"/>
              </w:rPr>
              <w:t>adjustments</w:t>
            </w:r>
          </w:p>
        </w:tc>
        <w:tc>
          <w:tcPr>
            <w:tcW w:w="6708" w:type="dxa"/>
            <w:shd w:val="clear" w:color="auto" w:fill="auto"/>
            <w:vAlign w:val="center"/>
            <w:hideMark/>
          </w:tcPr>
          <w:p w14:paraId="0FB22798" w14:textId="3CEB14D0" w:rsidR="00283D00" w:rsidRPr="00BA267D" w:rsidRDefault="00283D00" w:rsidP="00130765">
            <w:pPr>
              <w:pStyle w:val="CGCTablerow"/>
              <w:rPr>
                <w:rFonts w:cs="Open Sans Light"/>
                <w:szCs w:val="16"/>
                <w:lang w:eastAsia="en-AU"/>
              </w:rPr>
            </w:pPr>
            <w:r w:rsidRPr="00BA267D">
              <w:rPr>
                <w:rFonts w:cs="Open Sans Light"/>
                <w:szCs w:val="16"/>
                <w:lang w:eastAsia="en-AU"/>
              </w:rPr>
              <w:t xml:space="preserve">These adjustments </w:t>
            </w:r>
            <w:r w:rsidR="005F353A" w:rsidRPr="00BA267D">
              <w:rPr>
                <w:rFonts w:cs="Open Sans Light"/>
                <w:szCs w:val="16"/>
                <w:lang w:eastAsia="en-AU"/>
              </w:rPr>
              <w:t>reclassify</w:t>
            </w:r>
            <w:r w:rsidRPr="00BA267D">
              <w:rPr>
                <w:rFonts w:cs="Open Sans Light"/>
                <w:szCs w:val="16"/>
                <w:lang w:eastAsia="en-AU"/>
              </w:rPr>
              <w:t xml:space="preserve"> some ABS public non-financial corporation data to the appropriate category and component. </w:t>
            </w:r>
            <w:r w:rsidR="00FA415D" w:rsidRPr="00FA415D">
              <w:rPr>
                <w:rFonts w:cs="Open Sans Light"/>
                <w:szCs w:val="16"/>
                <w:lang w:eastAsia="en-AU"/>
              </w:rPr>
              <w:t>This adjustment mainly affect</w:t>
            </w:r>
            <w:r w:rsidR="00FA415D">
              <w:rPr>
                <w:rFonts w:cs="Open Sans Light"/>
                <w:szCs w:val="16"/>
                <w:lang w:eastAsia="en-AU"/>
              </w:rPr>
              <w:t>s</w:t>
            </w:r>
            <w:r w:rsidR="00FA415D" w:rsidRPr="00FA415D">
              <w:rPr>
                <w:rFonts w:cs="Open Sans Light"/>
                <w:szCs w:val="16"/>
                <w:lang w:eastAsia="en-AU"/>
              </w:rPr>
              <w:t xml:space="preserve"> the </w:t>
            </w:r>
            <w:r w:rsidR="00FA415D">
              <w:rPr>
                <w:rFonts w:cs="Open Sans Light"/>
                <w:szCs w:val="16"/>
                <w:lang w:eastAsia="en-AU"/>
              </w:rPr>
              <w:t>housing</w:t>
            </w:r>
            <w:r w:rsidR="00FA415D" w:rsidRPr="00FA415D">
              <w:rPr>
                <w:rFonts w:cs="Open Sans Light"/>
                <w:szCs w:val="16"/>
                <w:lang w:eastAsia="en-AU"/>
              </w:rPr>
              <w:t xml:space="preserve"> category.</w:t>
            </w:r>
          </w:p>
        </w:tc>
      </w:tr>
      <w:tr w:rsidR="00283D00" w:rsidRPr="00C035EB" w14:paraId="19C346E5" w14:textId="77777777" w:rsidTr="00541EF5">
        <w:trPr>
          <w:trHeight w:val="838"/>
        </w:trPr>
        <w:tc>
          <w:tcPr>
            <w:tcW w:w="2234" w:type="dxa"/>
            <w:shd w:val="clear" w:color="auto" w:fill="auto"/>
            <w:vAlign w:val="center"/>
            <w:hideMark/>
          </w:tcPr>
          <w:p w14:paraId="2E6508BE" w14:textId="4025E429" w:rsidR="00283D00" w:rsidRPr="00BA267D" w:rsidRDefault="00283D00">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 xml:space="preserve">Local government and roads grants adjustment </w:t>
            </w:r>
          </w:p>
        </w:tc>
        <w:tc>
          <w:tcPr>
            <w:tcW w:w="6708" w:type="dxa"/>
            <w:shd w:val="clear" w:color="auto" w:fill="auto"/>
            <w:vAlign w:val="center"/>
            <w:hideMark/>
          </w:tcPr>
          <w:p w14:paraId="1E861AEA" w14:textId="42DB5E16" w:rsidR="00283D00" w:rsidRPr="00BA267D" w:rsidRDefault="00283D00" w:rsidP="00130765">
            <w:pPr>
              <w:pStyle w:val="CGCTablerow"/>
              <w:rPr>
                <w:rFonts w:cs="Open Sans Light"/>
                <w:szCs w:val="16"/>
                <w:lang w:eastAsia="en-AU"/>
              </w:rPr>
            </w:pPr>
            <w:r w:rsidRPr="00BA267D">
              <w:rPr>
                <w:rFonts w:cs="Open Sans Light"/>
                <w:szCs w:val="16"/>
                <w:lang w:eastAsia="en-AU"/>
              </w:rPr>
              <w:t xml:space="preserve">The </w:t>
            </w:r>
            <w:r w:rsidR="00AC3A86">
              <w:rPr>
                <w:rFonts w:cs="Open Sans Light"/>
                <w:szCs w:val="16"/>
                <w:lang w:eastAsia="en-AU"/>
              </w:rPr>
              <w:t>a</w:t>
            </w:r>
            <w:r w:rsidR="00E07DB5">
              <w:rPr>
                <w:rFonts w:cs="Open Sans Light"/>
                <w:szCs w:val="16"/>
                <w:lang w:eastAsia="en-AU"/>
              </w:rPr>
              <w:t>djustment</w:t>
            </w:r>
            <w:r w:rsidRPr="00BA267D">
              <w:rPr>
                <w:rFonts w:cs="Open Sans Light"/>
                <w:szCs w:val="16"/>
                <w:lang w:eastAsia="en-AU"/>
              </w:rPr>
              <w:t xml:space="preserve"> reclassifie</w:t>
            </w:r>
            <w:r w:rsidR="00D525EA">
              <w:rPr>
                <w:rFonts w:cs="Open Sans Light"/>
                <w:szCs w:val="16"/>
                <w:lang w:eastAsia="en-AU"/>
              </w:rPr>
              <w:t>s</w:t>
            </w:r>
            <w:r w:rsidRPr="00BA267D">
              <w:rPr>
                <w:rFonts w:cs="Open Sans Light"/>
                <w:szCs w:val="16"/>
                <w:lang w:eastAsia="en-AU"/>
              </w:rPr>
              <w:t xml:space="preserve"> </w:t>
            </w:r>
            <w:r w:rsidR="00E07DB5">
              <w:rPr>
                <w:rFonts w:cs="Open Sans Light"/>
                <w:szCs w:val="16"/>
                <w:lang w:eastAsia="en-AU"/>
              </w:rPr>
              <w:t xml:space="preserve">some local government </w:t>
            </w:r>
            <w:r w:rsidR="00CF05F0">
              <w:rPr>
                <w:rFonts w:cs="Open Sans Light"/>
                <w:szCs w:val="16"/>
                <w:lang w:eastAsia="en-AU"/>
              </w:rPr>
              <w:t>and roads grant</w:t>
            </w:r>
            <w:r w:rsidRPr="00BA267D">
              <w:rPr>
                <w:rFonts w:cs="Open Sans Light"/>
                <w:szCs w:val="16"/>
                <w:lang w:eastAsia="en-AU"/>
              </w:rPr>
              <w:t xml:space="preserve"> expenses </w:t>
            </w:r>
            <w:r w:rsidR="00CF05F0">
              <w:rPr>
                <w:rFonts w:cs="Open Sans Light"/>
                <w:szCs w:val="16"/>
                <w:lang w:eastAsia="en-AU"/>
              </w:rPr>
              <w:t>to the appropriate category and component.</w:t>
            </w:r>
            <w:r w:rsidRPr="00BA267D">
              <w:rPr>
                <w:rFonts w:cs="Open Sans Light"/>
                <w:szCs w:val="16"/>
                <w:lang w:eastAsia="en-AU"/>
              </w:rPr>
              <w:t xml:space="preserve"> </w:t>
            </w:r>
            <w:r w:rsidR="00462271">
              <w:rPr>
                <w:rFonts w:cs="Open Sans Light"/>
                <w:szCs w:val="16"/>
                <w:lang w:eastAsia="en-AU"/>
              </w:rPr>
              <w:t xml:space="preserve">This adjustment mainly affects the </w:t>
            </w:r>
            <w:r w:rsidRPr="00BA267D">
              <w:rPr>
                <w:rFonts w:cs="Open Sans Light"/>
                <w:szCs w:val="16"/>
                <w:lang w:eastAsia="en-AU"/>
              </w:rPr>
              <w:t xml:space="preserve">roads </w:t>
            </w:r>
            <w:r w:rsidR="00462271">
              <w:rPr>
                <w:rFonts w:cs="Open Sans Light"/>
                <w:szCs w:val="16"/>
                <w:lang w:eastAsia="en-AU"/>
              </w:rPr>
              <w:t xml:space="preserve">and </w:t>
            </w:r>
            <w:r w:rsidRPr="00BA267D">
              <w:rPr>
                <w:rFonts w:cs="Open Sans Light"/>
                <w:szCs w:val="16"/>
                <w:lang w:eastAsia="en-AU"/>
              </w:rPr>
              <w:t>other expenses categor</w:t>
            </w:r>
            <w:r w:rsidR="00462271">
              <w:rPr>
                <w:rFonts w:cs="Open Sans Light"/>
                <w:szCs w:val="16"/>
                <w:lang w:eastAsia="en-AU"/>
              </w:rPr>
              <w:t>ies</w:t>
            </w:r>
            <w:r w:rsidRPr="00BA267D">
              <w:rPr>
                <w:rFonts w:cs="Open Sans Light"/>
                <w:szCs w:val="16"/>
                <w:lang w:eastAsia="en-AU"/>
              </w:rPr>
              <w:t>.</w:t>
            </w:r>
            <w:r w:rsidRPr="00BA267D">
              <w:rPr>
                <w:rFonts w:cs="Open Sans Light"/>
                <w:szCs w:val="16"/>
                <w:lang w:eastAsia="en-AU"/>
              </w:rPr>
              <w:br/>
            </w:r>
          </w:p>
        </w:tc>
      </w:tr>
      <w:tr w:rsidR="00283D00" w:rsidRPr="00C035EB" w14:paraId="640AC86D" w14:textId="77777777" w:rsidTr="00501BB0">
        <w:trPr>
          <w:trHeight w:val="632"/>
        </w:trPr>
        <w:tc>
          <w:tcPr>
            <w:tcW w:w="2234" w:type="dxa"/>
            <w:shd w:val="clear" w:color="auto" w:fill="auto"/>
            <w:vAlign w:val="center"/>
            <w:hideMark/>
          </w:tcPr>
          <w:p w14:paraId="73838865" w14:textId="7D972838" w:rsidR="00283D00" w:rsidRPr="00BA267D" w:rsidRDefault="00283D00">
            <w:pPr>
              <w:tabs>
                <w:tab w:val="clear" w:pos="567"/>
              </w:tabs>
              <w:spacing w:before="0" w:after="240" w:line="240" w:lineRule="auto"/>
              <w:rPr>
                <w:rFonts w:eastAsia="Times New Roman" w:cs="Open Sans Light"/>
                <w:sz w:val="16"/>
                <w:szCs w:val="16"/>
                <w:lang w:eastAsia="en-AU"/>
              </w:rPr>
            </w:pPr>
            <w:r w:rsidRPr="00BA267D">
              <w:rPr>
                <w:rFonts w:eastAsia="Times New Roman" w:cs="Open Sans Light"/>
                <w:sz w:val="16"/>
                <w:szCs w:val="16"/>
                <w:lang w:eastAsia="en-AU"/>
              </w:rPr>
              <w:t>Concessions</w:t>
            </w:r>
          </w:p>
        </w:tc>
        <w:tc>
          <w:tcPr>
            <w:tcW w:w="6708" w:type="dxa"/>
            <w:shd w:val="clear" w:color="auto" w:fill="auto"/>
            <w:vAlign w:val="center"/>
            <w:hideMark/>
          </w:tcPr>
          <w:p w14:paraId="1814764B" w14:textId="70D3434A" w:rsidR="00283D00" w:rsidRPr="00BA267D" w:rsidRDefault="00283D00">
            <w:pPr>
              <w:pStyle w:val="CGCTablerow"/>
              <w:rPr>
                <w:rFonts w:cs="Open Sans Light"/>
                <w:szCs w:val="16"/>
                <w:lang w:eastAsia="en-AU"/>
              </w:rPr>
            </w:pPr>
            <w:r w:rsidRPr="00BA267D">
              <w:rPr>
                <w:rFonts w:cs="Open Sans Light"/>
                <w:szCs w:val="16"/>
                <w:lang w:eastAsia="en-AU"/>
              </w:rPr>
              <w:t>This adjustment move</w:t>
            </w:r>
            <w:r w:rsidR="0095585E">
              <w:rPr>
                <w:rFonts w:cs="Open Sans Light"/>
                <w:szCs w:val="16"/>
                <w:lang w:eastAsia="en-AU"/>
              </w:rPr>
              <w:t>s</w:t>
            </w:r>
            <w:r w:rsidRPr="00BA267D">
              <w:rPr>
                <w:rFonts w:cs="Open Sans Light"/>
                <w:szCs w:val="16"/>
                <w:lang w:eastAsia="en-AU"/>
              </w:rPr>
              <w:t xml:space="preserve"> several concession expenses to the appropriate category and component. This adjustment mainly affect</w:t>
            </w:r>
            <w:r w:rsidR="0095585E">
              <w:rPr>
                <w:rFonts w:cs="Open Sans Light"/>
                <w:szCs w:val="16"/>
                <w:lang w:eastAsia="en-AU"/>
              </w:rPr>
              <w:t>s</w:t>
            </w:r>
            <w:r w:rsidRPr="00BA267D">
              <w:rPr>
                <w:rFonts w:cs="Open Sans Light"/>
                <w:szCs w:val="16"/>
                <w:lang w:eastAsia="en-AU"/>
              </w:rPr>
              <w:t xml:space="preserve"> the welfare category.</w:t>
            </w:r>
          </w:p>
        </w:tc>
      </w:tr>
      <w:tr w:rsidR="00090280" w:rsidRPr="00C035EB" w14:paraId="7102DB65" w14:textId="77777777" w:rsidTr="00A9550C">
        <w:trPr>
          <w:trHeight w:val="633"/>
        </w:trPr>
        <w:tc>
          <w:tcPr>
            <w:tcW w:w="2234" w:type="dxa"/>
            <w:shd w:val="clear" w:color="auto" w:fill="auto"/>
            <w:vAlign w:val="center"/>
          </w:tcPr>
          <w:p w14:paraId="5770E8DE" w14:textId="6090A9A9" w:rsidR="00090280" w:rsidRPr="00BA267D" w:rsidRDefault="007E3526">
            <w:pPr>
              <w:tabs>
                <w:tab w:val="clear" w:pos="567"/>
              </w:tabs>
              <w:spacing w:before="0" w:after="240" w:line="240" w:lineRule="auto"/>
              <w:rPr>
                <w:rFonts w:eastAsia="Times New Roman" w:cs="Open Sans Light"/>
                <w:sz w:val="16"/>
                <w:szCs w:val="16"/>
                <w:lang w:eastAsia="en-AU"/>
              </w:rPr>
            </w:pPr>
            <w:r w:rsidRPr="00BA267D">
              <w:rPr>
                <w:rFonts w:eastAsia="Times New Roman" w:cs="Open Sans Light"/>
                <w:sz w:val="16"/>
                <w:szCs w:val="16"/>
                <w:lang w:eastAsia="en-AU"/>
              </w:rPr>
              <w:t>Homelessness</w:t>
            </w:r>
          </w:p>
        </w:tc>
        <w:tc>
          <w:tcPr>
            <w:tcW w:w="6708" w:type="dxa"/>
            <w:shd w:val="clear" w:color="auto" w:fill="auto"/>
            <w:vAlign w:val="center"/>
          </w:tcPr>
          <w:p w14:paraId="21A278D9" w14:textId="0E9766AB" w:rsidR="00090280" w:rsidRPr="00BA267D" w:rsidRDefault="007E3526">
            <w:pPr>
              <w:pStyle w:val="CGCTablerow"/>
              <w:rPr>
                <w:rFonts w:cs="Open Sans Light"/>
                <w:szCs w:val="16"/>
                <w:lang w:eastAsia="en-AU"/>
              </w:rPr>
            </w:pPr>
            <w:r w:rsidRPr="00BA267D">
              <w:rPr>
                <w:rFonts w:cs="Open Sans Light"/>
                <w:szCs w:val="16"/>
                <w:lang w:eastAsia="en-AU"/>
              </w:rPr>
              <w:t>This adjustment move</w:t>
            </w:r>
            <w:r w:rsidR="00A07D0A">
              <w:rPr>
                <w:rFonts w:cs="Open Sans Light"/>
                <w:szCs w:val="16"/>
                <w:lang w:eastAsia="en-AU"/>
              </w:rPr>
              <w:t>s</w:t>
            </w:r>
            <w:r w:rsidRPr="00BA267D">
              <w:rPr>
                <w:rFonts w:cs="Open Sans Light"/>
                <w:szCs w:val="16"/>
                <w:lang w:eastAsia="en-AU"/>
              </w:rPr>
              <w:t xml:space="preserve"> several homelessness expenses to the appropriate category and component. This adjustment mainly affect</w:t>
            </w:r>
            <w:r w:rsidR="00BC361C">
              <w:rPr>
                <w:rFonts w:cs="Open Sans Light"/>
                <w:szCs w:val="16"/>
                <w:lang w:eastAsia="en-AU"/>
              </w:rPr>
              <w:t>s</w:t>
            </w:r>
            <w:r w:rsidRPr="00BA267D">
              <w:rPr>
                <w:rFonts w:cs="Open Sans Light"/>
                <w:szCs w:val="16"/>
                <w:lang w:eastAsia="en-AU"/>
              </w:rPr>
              <w:t xml:space="preserve"> the welfare category.</w:t>
            </w:r>
          </w:p>
        </w:tc>
      </w:tr>
      <w:tr w:rsidR="004954FF" w:rsidRPr="00C035EB" w14:paraId="35547C2F" w14:textId="77777777" w:rsidTr="00152A96">
        <w:trPr>
          <w:trHeight w:val="709"/>
        </w:trPr>
        <w:tc>
          <w:tcPr>
            <w:tcW w:w="2234" w:type="dxa"/>
            <w:shd w:val="clear" w:color="auto" w:fill="auto"/>
            <w:vAlign w:val="center"/>
            <w:hideMark/>
          </w:tcPr>
          <w:p w14:paraId="0CB7EBBF" w14:textId="570360CC"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 xml:space="preserve">Natural disasters adjustment </w:t>
            </w:r>
          </w:p>
        </w:tc>
        <w:tc>
          <w:tcPr>
            <w:tcW w:w="6708" w:type="dxa"/>
            <w:shd w:val="clear" w:color="auto" w:fill="auto"/>
            <w:vAlign w:val="center"/>
            <w:hideMark/>
          </w:tcPr>
          <w:p w14:paraId="06DBB251" w14:textId="71F572BB" w:rsidR="004954FF" w:rsidRPr="00BA267D" w:rsidRDefault="004954FF">
            <w:pPr>
              <w:pStyle w:val="CGCTablerow"/>
              <w:rPr>
                <w:rFonts w:cs="Open Sans Light"/>
                <w:szCs w:val="16"/>
                <w:lang w:eastAsia="en-AU"/>
              </w:rPr>
            </w:pPr>
            <w:r w:rsidRPr="00BA267D">
              <w:rPr>
                <w:rFonts w:cs="Open Sans Light"/>
                <w:szCs w:val="16"/>
                <w:lang w:eastAsia="en-AU"/>
              </w:rPr>
              <w:t>The natural disasters adjustment reclassifi</w:t>
            </w:r>
            <w:r w:rsidR="006034E9">
              <w:rPr>
                <w:rFonts w:cs="Open Sans Light"/>
                <w:szCs w:val="16"/>
                <w:lang w:eastAsia="en-AU"/>
              </w:rPr>
              <w:t>es</w:t>
            </w:r>
            <w:r w:rsidRPr="00BA267D">
              <w:rPr>
                <w:rFonts w:cs="Open Sans Light"/>
                <w:szCs w:val="16"/>
                <w:lang w:eastAsia="en-AU"/>
              </w:rPr>
              <w:t xml:space="preserve"> the relevant natural disaster expenses of a state’s reconstruction authority to other expenses.</w:t>
            </w:r>
          </w:p>
        </w:tc>
      </w:tr>
      <w:tr w:rsidR="004954FF" w:rsidRPr="00C035EB" w14:paraId="28257B57" w14:textId="77777777" w:rsidTr="00B43881">
        <w:trPr>
          <w:trHeight w:val="818"/>
        </w:trPr>
        <w:tc>
          <w:tcPr>
            <w:tcW w:w="2234" w:type="dxa"/>
            <w:shd w:val="clear" w:color="auto" w:fill="auto"/>
            <w:vAlign w:val="center"/>
            <w:hideMark/>
          </w:tcPr>
          <w:p w14:paraId="052CD7BE" w14:textId="07AE5EC3"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 xml:space="preserve">Stamp duty adjustments </w:t>
            </w:r>
          </w:p>
        </w:tc>
        <w:tc>
          <w:tcPr>
            <w:tcW w:w="6708" w:type="dxa"/>
            <w:shd w:val="clear" w:color="auto" w:fill="auto"/>
            <w:vAlign w:val="center"/>
            <w:hideMark/>
          </w:tcPr>
          <w:p w14:paraId="245D3E23" w14:textId="122FE27E" w:rsidR="004954FF" w:rsidRPr="00BA267D" w:rsidRDefault="004954FF">
            <w:pPr>
              <w:pStyle w:val="CGCTablerow"/>
              <w:rPr>
                <w:rFonts w:cs="Open Sans Light"/>
                <w:szCs w:val="16"/>
                <w:lang w:eastAsia="en-AU"/>
              </w:rPr>
            </w:pPr>
            <w:r w:rsidRPr="00BA267D">
              <w:rPr>
                <w:rFonts w:cs="Open Sans Light"/>
                <w:szCs w:val="16"/>
                <w:lang w:eastAsia="en-AU"/>
              </w:rPr>
              <w:t>The stamp duty adjustment</w:t>
            </w:r>
            <w:r w:rsidR="007E4288">
              <w:rPr>
                <w:rFonts w:cs="Open Sans Light"/>
                <w:szCs w:val="16"/>
                <w:lang w:eastAsia="en-AU"/>
              </w:rPr>
              <w:t>s</w:t>
            </w:r>
            <w:r w:rsidRPr="00BA267D">
              <w:rPr>
                <w:rFonts w:cs="Open Sans Light"/>
                <w:szCs w:val="16"/>
                <w:lang w:eastAsia="en-AU"/>
              </w:rPr>
              <w:t xml:space="preserve"> relocate stamp duties from the sale of major state assets, corporate reconstructions and non-real property from the stamp duty on conveyances to the other revenue category.</w:t>
            </w:r>
          </w:p>
        </w:tc>
      </w:tr>
      <w:tr w:rsidR="004954FF" w:rsidRPr="00C035EB" w14:paraId="4BB70513" w14:textId="77777777" w:rsidTr="00A9550C">
        <w:trPr>
          <w:trHeight w:val="565"/>
        </w:trPr>
        <w:tc>
          <w:tcPr>
            <w:tcW w:w="2234" w:type="dxa"/>
            <w:shd w:val="clear" w:color="auto" w:fill="auto"/>
            <w:vAlign w:val="center"/>
            <w:hideMark/>
          </w:tcPr>
          <w:p w14:paraId="40F97C0B" w14:textId="1A16BB7F"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 xml:space="preserve">Transport adjustments </w:t>
            </w:r>
          </w:p>
        </w:tc>
        <w:tc>
          <w:tcPr>
            <w:tcW w:w="6708" w:type="dxa"/>
            <w:shd w:val="clear" w:color="auto" w:fill="auto"/>
            <w:vAlign w:val="center"/>
            <w:hideMark/>
          </w:tcPr>
          <w:p w14:paraId="3E1877C1" w14:textId="6E33A84A" w:rsidR="004954FF" w:rsidRPr="00BA267D" w:rsidRDefault="0000793E">
            <w:pPr>
              <w:pStyle w:val="CGCTablerow"/>
              <w:rPr>
                <w:rFonts w:cs="Open Sans Light"/>
                <w:szCs w:val="16"/>
                <w:lang w:eastAsia="en-AU"/>
              </w:rPr>
            </w:pPr>
            <w:r>
              <w:rPr>
                <w:rFonts w:cs="Open Sans Light"/>
                <w:szCs w:val="16"/>
                <w:lang w:eastAsia="en-AU"/>
              </w:rPr>
              <w:t>The transport adjust</w:t>
            </w:r>
            <w:r w:rsidR="00B93E89">
              <w:rPr>
                <w:rFonts w:cs="Open Sans Light"/>
                <w:szCs w:val="16"/>
                <w:lang w:eastAsia="en-AU"/>
              </w:rPr>
              <w:t>ment</w:t>
            </w:r>
            <w:r w:rsidR="00A72D04">
              <w:rPr>
                <w:rFonts w:cs="Open Sans Light"/>
                <w:szCs w:val="16"/>
                <w:lang w:eastAsia="en-AU"/>
              </w:rPr>
              <w:t>s</w:t>
            </w:r>
            <w:r w:rsidR="004954FF" w:rsidRPr="00BA267D">
              <w:rPr>
                <w:rFonts w:cs="Open Sans Light"/>
                <w:szCs w:val="16"/>
                <w:lang w:eastAsia="en-AU"/>
              </w:rPr>
              <w:t xml:space="preserve"> </w:t>
            </w:r>
            <w:r w:rsidR="008B66AB">
              <w:rPr>
                <w:rFonts w:cs="Open Sans Light"/>
                <w:szCs w:val="16"/>
                <w:lang w:eastAsia="en-AU"/>
              </w:rPr>
              <w:t>move</w:t>
            </w:r>
            <w:r w:rsidR="004954FF" w:rsidRPr="00BA267D">
              <w:rPr>
                <w:rFonts w:cs="Open Sans Light"/>
                <w:szCs w:val="16"/>
                <w:lang w:eastAsia="en-AU"/>
              </w:rPr>
              <w:t xml:space="preserve"> </w:t>
            </w:r>
            <w:r w:rsidR="006E45C1">
              <w:rPr>
                <w:rFonts w:cs="Open Sans Light"/>
                <w:szCs w:val="16"/>
                <w:lang w:eastAsia="en-AU"/>
              </w:rPr>
              <w:t xml:space="preserve">some </w:t>
            </w:r>
            <w:r w:rsidR="004954FF" w:rsidRPr="00BA267D">
              <w:rPr>
                <w:rFonts w:cs="Open Sans Light"/>
                <w:szCs w:val="16"/>
                <w:lang w:eastAsia="en-AU"/>
              </w:rPr>
              <w:t xml:space="preserve">transport </w:t>
            </w:r>
            <w:r w:rsidR="00B93E89">
              <w:rPr>
                <w:rFonts w:cs="Open Sans Light"/>
                <w:szCs w:val="16"/>
                <w:lang w:eastAsia="en-AU"/>
              </w:rPr>
              <w:t>expense</w:t>
            </w:r>
            <w:r w:rsidR="00AF1347">
              <w:rPr>
                <w:rFonts w:cs="Open Sans Light"/>
                <w:szCs w:val="16"/>
                <w:lang w:eastAsia="en-AU"/>
              </w:rPr>
              <w:t>s</w:t>
            </w:r>
            <w:r w:rsidR="004954FF" w:rsidRPr="00BA267D">
              <w:rPr>
                <w:rFonts w:cs="Open Sans Light"/>
                <w:szCs w:val="16"/>
                <w:lang w:eastAsia="en-AU"/>
              </w:rPr>
              <w:t xml:space="preserve"> </w:t>
            </w:r>
            <w:r w:rsidR="009810E5">
              <w:rPr>
                <w:rFonts w:cs="Open Sans Light"/>
                <w:szCs w:val="16"/>
                <w:lang w:eastAsia="en-AU"/>
              </w:rPr>
              <w:t>between</w:t>
            </w:r>
            <w:r w:rsidR="004954FF" w:rsidRPr="00BA267D">
              <w:rPr>
                <w:rFonts w:cs="Open Sans Light"/>
                <w:szCs w:val="16"/>
                <w:lang w:eastAsia="en-AU"/>
              </w:rPr>
              <w:t xml:space="preserve"> urban </w:t>
            </w:r>
            <w:r w:rsidR="009810E5">
              <w:rPr>
                <w:rFonts w:cs="Open Sans Light"/>
                <w:szCs w:val="16"/>
                <w:lang w:eastAsia="en-AU"/>
              </w:rPr>
              <w:t>and</w:t>
            </w:r>
            <w:r w:rsidR="004954FF" w:rsidRPr="00BA267D">
              <w:rPr>
                <w:rFonts w:cs="Open Sans Light"/>
                <w:szCs w:val="16"/>
                <w:lang w:eastAsia="en-AU"/>
              </w:rPr>
              <w:t xml:space="preserve"> non</w:t>
            </w:r>
            <w:r w:rsidR="004954FF" w:rsidRPr="00BA267D">
              <w:rPr>
                <w:rFonts w:cs="Open Sans Light"/>
                <w:szCs w:val="16"/>
                <w:lang w:eastAsia="en-AU"/>
              </w:rPr>
              <w:noBreakHyphen/>
              <w:t>urban transport.</w:t>
            </w:r>
          </w:p>
        </w:tc>
      </w:tr>
      <w:tr w:rsidR="004954FF" w:rsidRPr="00C035EB" w14:paraId="38001B85" w14:textId="77777777" w:rsidTr="00DE5D56">
        <w:trPr>
          <w:trHeight w:val="556"/>
        </w:trPr>
        <w:tc>
          <w:tcPr>
            <w:tcW w:w="2234" w:type="dxa"/>
            <w:shd w:val="clear" w:color="auto" w:fill="auto"/>
            <w:vAlign w:val="center"/>
            <w:hideMark/>
          </w:tcPr>
          <w:p w14:paraId="474A7B33" w14:textId="2D058A67"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Water extraction charge</w:t>
            </w:r>
          </w:p>
        </w:tc>
        <w:tc>
          <w:tcPr>
            <w:tcW w:w="6708" w:type="dxa"/>
            <w:shd w:val="clear" w:color="auto" w:fill="auto"/>
            <w:vAlign w:val="center"/>
            <w:hideMark/>
          </w:tcPr>
          <w:p w14:paraId="0F653071" w14:textId="555D2479" w:rsidR="004954FF" w:rsidRPr="00BA267D" w:rsidRDefault="004954FF" w:rsidP="00450075">
            <w:pPr>
              <w:pStyle w:val="CGCTablerow"/>
              <w:rPr>
                <w:rFonts w:cs="Open Sans Light"/>
                <w:szCs w:val="16"/>
                <w:lang w:eastAsia="en-AU"/>
              </w:rPr>
            </w:pPr>
            <w:r w:rsidRPr="00BA267D">
              <w:rPr>
                <w:rFonts w:cs="Open Sans Light"/>
                <w:szCs w:val="16"/>
                <w:lang w:eastAsia="en-AU"/>
              </w:rPr>
              <w:t>This adjustment reclassifie</w:t>
            </w:r>
            <w:r w:rsidR="00A121A4">
              <w:rPr>
                <w:rFonts w:cs="Open Sans Light"/>
                <w:szCs w:val="16"/>
                <w:lang w:eastAsia="en-AU"/>
              </w:rPr>
              <w:t>s</w:t>
            </w:r>
            <w:r w:rsidRPr="00BA267D">
              <w:rPr>
                <w:rFonts w:cs="Open Sans Light"/>
                <w:szCs w:val="16"/>
                <w:lang w:eastAsia="en-AU"/>
              </w:rPr>
              <w:t xml:space="preserve"> a state’s water abstraction charges from mining to other revenue.</w:t>
            </w:r>
          </w:p>
        </w:tc>
      </w:tr>
      <w:tr w:rsidR="004954FF" w:rsidRPr="00C035EB" w14:paraId="21B1A8A5" w14:textId="77777777" w:rsidTr="00DE5D56">
        <w:trPr>
          <w:trHeight w:val="748"/>
        </w:trPr>
        <w:tc>
          <w:tcPr>
            <w:tcW w:w="2234" w:type="dxa"/>
            <w:shd w:val="clear" w:color="auto" w:fill="auto"/>
            <w:vAlign w:val="center"/>
            <w:hideMark/>
          </w:tcPr>
          <w:p w14:paraId="772C8731" w14:textId="2CA871AA"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Mining expenses</w:t>
            </w:r>
            <w:r w:rsidR="00A0642A" w:rsidRPr="00BA267D">
              <w:rPr>
                <w:rFonts w:eastAsia="Times New Roman" w:cs="Open Sans Light"/>
                <w:sz w:val="16"/>
                <w:szCs w:val="16"/>
                <w:lang w:eastAsia="en-AU"/>
              </w:rPr>
              <w:t xml:space="preserve"> adjustments</w:t>
            </w:r>
          </w:p>
        </w:tc>
        <w:tc>
          <w:tcPr>
            <w:tcW w:w="6708" w:type="dxa"/>
            <w:shd w:val="clear" w:color="auto" w:fill="auto"/>
            <w:vAlign w:val="center"/>
            <w:hideMark/>
          </w:tcPr>
          <w:p w14:paraId="024B66C1" w14:textId="3DFD2E1A" w:rsidR="004954FF" w:rsidRPr="00BA267D" w:rsidRDefault="004954FF">
            <w:pPr>
              <w:pStyle w:val="CGCTablerow"/>
              <w:rPr>
                <w:rFonts w:cs="Open Sans Light"/>
                <w:szCs w:val="16"/>
                <w:lang w:eastAsia="en-AU"/>
              </w:rPr>
            </w:pPr>
            <w:r w:rsidRPr="00BA267D">
              <w:rPr>
                <w:rFonts w:cs="Open Sans Light"/>
                <w:szCs w:val="16"/>
                <w:lang w:eastAsia="en-AU"/>
              </w:rPr>
              <w:t>The mining expenses adjustment</w:t>
            </w:r>
            <w:r w:rsidR="00181569" w:rsidRPr="00BA267D">
              <w:rPr>
                <w:rFonts w:cs="Open Sans Light"/>
                <w:szCs w:val="16"/>
                <w:lang w:eastAsia="en-AU"/>
              </w:rPr>
              <w:t>s</w:t>
            </w:r>
            <w:r w:rsidRPr="00BA267D">
              <w:rPr>
                <w:rFonts w:cs="Open Sans Light"/>
                <w:szCs w:val="16"/>
                <w:lang w:eastAsia="en-AU"/>
              </w:rPr>
              <w:t xml:space="preserve"> reclassifie</w:t>
            </w:r>
            <w:r w:rsidR="004B2F9D">
              <w:rPr>
                <w:rFonts w:cs="Open Sans Light"/>
                <w:szCs w:val="16"/>
                <w:lang w:eastAsia="en-AU"/>
              </w:rPr>
              <w:t>s</w:t>
            </w:r>
            <w:r w:rsidR="00FC0639" w:rsidRPr="00BA267D">
              <w:rPr>
                <w:rFonts w:cs="Open Sans Light"/>
                <w:szCs w:val="16"/>
                <w:lang w:eastAsia="en-AU"/>
              </w:rPr>
              <w:t xml:space="preserve"> </w:t>
            </w:r>
            <w:r w:rsidR="00520249" w:rsidRPr="00BA267D">
              <w:rPr>
                <w:rFonts w:cs="Open Sans Light"/>
                <w:szCs w:val="16"/>
                <w:lang w:eastAsia="en-AU"/>
              </w:rPr>
              <w:t>min</w:t>
            </w:r>
            <w:r w:rsidR="005D01BC" w:rsidRPr="00BA267D">
              <w:rPr>
                <w:rFonts w:cs="Open Sans Light"/>
                <w:szCs w:val="16"/>
                <w:lang w:eastAsia="en-AU"/>
              </w:rPr>
              <w:t xml:space="preserve">ing expenses to the </w:t>
            </w:r>
            <w:r w:rsidR="00124D01" w:rsidRPr="00BA267D">
              <w:rPr>
                <w:rFonts w:cs="Open Sans Light"/>
                <w:szCs w:val="16"/>
                <w:lang w:eastAsia="en-AU"/>
              </w:rPr>
              <w:t xml:space="preserve">appropriate </w:t>
            </w:r>
            <w:r w:rsidR="00475657" w:rsidRPr="00BA267D">
              <w:rPr>
                <w:rFonts w:cs="Open Sans Light"/>
                <w:szCs w:val="16"/>
                <w:lang w:eastAsia="en-AU"/>
              </w:rPr>
              <w:t xml:space="preserve">category and component. </w:t>
            </w:r>
            <w:r w:rsidR="00755F32" w:rsidRPr="00BA267D">
              <w:rPr>
                <w:rFonts w:cs="Open Sans Light"/>
                <w:szCs w:val="16"/>
                <w:lang w:eastAsia="en-AU"/>
              </w:rPr>
              <w:t>Th</w:t>
            </w:r>
            <w:r w:rsidR="004B2F9D">
              <w:rPr>
                <w:rFonts w:cs="Open Sans Light"/>
                <w:szCs w:val="16"/>
                <w:lang w:eastAsia="en-AU"/>
              </w:rPr>
              <w:t>e</w:t>
            </w:r>
            <w:r w:rsidR="00755F32" w:rsidRPr="00BA267D">
              <w:rPr>
                <w:rFonts w:cs="Open Sans Light"/>
                <w:szCs w:val="16"/>
                <w:lang w:eastAsia="en-AU"/>
              </w:rPr>
              <w:t>s</w:t>
            </w:r>
            <w:r w:rsidR="004B2F9D">
              <w:rPr>
                <w:rFonts w:cs="Open Sans Light"/>
                <w:szCs w:val="16"/>
                <w:lang w:eastAsia="en-AU"/>
              </w:rPr>
              <w:t>e</w:t>
            </w:r>
            <w:r w:rsidR="00755F32" w:rsidRPr="00BA267D">
              <w:rPr>
                <w:rFonts w:cs="Open Sans Light"/>
                <w:szCs w:val="16"/>
                <w:lang w:eastAsia="en-AU"/>
              </w:rPr>
              <w:t xml:space="preserve"> adjustment</w:t>
            </w:r>
            <w:r w:rsidR="004B2F9D">
              <w:rPr>
                <w:rFonts w:cs="Open Sans Light"/>
                <w:szCs w:val="16"/>
                <w:lang w:eastAsia="en-AU"/>
              </w:rPr>
              <w:t>s</w:t>
            </w:r>
            <w:r w:rsidR="00755F32" w:rsidRPr="00BA267D">
              <w:rPr>
                <w:rFonts w:cs="Open Sans Light"/>
                <w:szCs w:val="16"/>
                <w:lang w:eastAsia="en-AU"/>
              </w:rPr>
              <w:t xml:space="preserve"> mainly affect</w:t>
            </w:r>
            <w:r w:rsidR="00E42951">
              <w:rPr>
                <w:rFonts w:cs="Open Sans Light"/>
                <w:szCs w:val="16"/>
                <w:lang w:eastAsia="en-AU"/>
              </w:rPr>
              <w:t xml:space="preserve"> </w:t>
            </w:r>
            <w:r w:rsidR="00755F32" w:rsidRPr="00BA267D">
              <w:rPr>
                <w:rFonts w:cs="Open Sans Light"/>
                <w:szCs w:val="16"/>
                <w:lang w:eastAsia="en-AU"/>
              </w:rPr>
              <w:t xml:space="preserve">the </w:t>
            </w:r>
            <w:r w:rsidR="00CA0608" w:rsidRPr="00BA267D">
              <w:rPr>
                <w:rFonts w:cs="Open Sans Light"/>
                <w:szCs w:val="16"/>
                <w:lang w:eastAsia="en-AU"/>
              </w:rPr>
              <w:t xml:space="preserve">services to </w:t>
            </w:r>
            <w:r w:rsidR="00973D3A" w:rsidRPr="00BA267D">
              <w:rPr>
                <w:rFonts w:cs="Open Sans Light"/>
                <w:szCs w:val="16"/>
                <w:lang w:eastAsia="en-AU"/>
              </w:rPr>
              <w:t>industry</w:t>
            </w:r>
            <w:r w:rsidR="00755F32" w:rsidRPr="00BA267D">
              <w:rPr>
                <w:rFonts w:cs="Open Sans Light"/>
                <w:szCs w:val="16"/>
                <w:lang w:eastAsia="en-AU"/>
              </w:rPr>
              <w:t xml:space="preserve"> categor</w:t>
            </w:r>
            <w:r w:rsidR="00CA0608" w:rsidRPr="00BA267D">
              <w:rPr>
                <w:rFonts w:cs="Open Sans Light"/>
                <w:szCs w:val="16"/>
                <w:lang w:eastAsia="en-AU"/>
              </w:rPr>
              <w:t>y</w:t>
            </w:r>
            <w:r w:rsidR="00755F32" w:rsidRPr="00BA267D">
              <w:rPr>
                <w:rFonts w:cs="Open Sans Light"/>
                <w:szCs w:val="16"/>
                <w:lang w:eastAsia="en-AU"/>
              </w:rPr>
              <w:t>.</w:t>
            </w:r>
          </w:p>
        </w:tc>
      </w:tr>
      <w:tr w:rsidR="004954FF" w:rsidRPr="00C035EB" w14:paraId="1F7E6277" w14:textId="77777777" w:rsidTr="00A9550C">
        <w:trPr>
          <w:trHeight w:val="365"/>
        </w:trPr>
        <w:tc>
          <w:tcPr>
            <w:tcW w:w="2234" w:type="dxa"/>
            <w:shd w:val="clear" w:color="auto" w:fill="auto"/>
            <w:vAlign w:val="center"/>
            <w:hideMark/>
          </w:tcPr>
          <w:p w14:paraId="379F9411" w14:textId="5216F9E6" w:rsidR="004954FF" w:rsidRPr="00BA267D" w:rsidRDefault="004954FF">
            <w:pPr>
              <w:tabs>
                <w:tab w:val="clear" w:pos="567"/>
              </w:tabs>
              <w:spacing w:before="0" w:line="240" w:lineRule="auto"/>
              <w:rPr>
                <w:rFonts w:eastAsia="Times New Roman" w:cs="Open Sans Light"/>
                <w:sz w:val="16"/>
                <w:szCs w:val="16"/>
                <w:lang w:eastAsia="en-AU"/>
              </w:rPr>
            </w:pPr>
            <w:r w:rsidRPr="00BA267D">
              <w:rPr>
                <w:rFonts w:eastAsia="Times New Roman" w:cs="Open Sans Light"/>
                <w:sz w:val="16"/>
                <w:szCs w:val="16"/>
                <w:lang w:eastAsia="en-AU"/>
              </w:rPr>
              <w:t>Mental health levy</w:t>
            </w:r>
          </w:p>
        </w:tc>
        <w:tc>
          <w:tcPr>
            <w:tcW w:w="6708" w:type="dxa"/>
            <w:shd w:val="clear" w:color="auto" w:fill="auto"/>
            <w:vAlign w:val="center"/>
            <w:hideMark/>
          </w:tcPr>
          <w:p w14:paraId="00001DA8" w14:textId="28E3E6A3" w:rsidR="004954FF" w:rsidRPr="00BA267D" w:rsidRDefault="004954FF">
            <w:pPr>
              <w:pStyle w:val="CGCTablerow"/>
              <w:rPr>
                <w:rFonts w:cs="Open Sans Light"/>
                <w:szCs w:val="16"/>
                <w:lang w:eastAsia="en-AU"/>
              </w:rPr>
            </w:pPr>
            <w:r w:rsidRPr="00BA267D">
              <w:rPr>
                <w:rFonts w:cs="Open Sans Light"/>
                <w:szCs w:val="16"/>
                <w:lang w:eastAsia="en-AU"/>
              </w:rPr>
              <w:t xml:space="preserve">This adjustment </w:t>
            </w:r>
            <w:r w:rsidR="00C42740">
              <w:rPr>
                <w:rFonts w:cs="Open Sans Light"/>
                <w:szCs w:val="16"/>
                <w:lang w:eastAsia="en-AU"/>
              </w:rPr>
              <w:t>re</w:t>
            </w:r>
            <w:r w:rsidRPr="00BA267D">
              <w:rPr>
                <w:rFonts w:cs="Open Sans Light"/>
                <w:szCs w:val="16"/>
                <w:lang w:eastAsia="en-AU"/>
              </w:rPr>
              <w:t>classif</w:t>
            </w:r>
            <w:r w:rsidR="00D92FC6">
              <w:rPr>
                <w:rFonts w:cs="Open Sans Light"/>
                <w:szCs w:val="16"/>
                <w:lang w:eastAsia="en-AU"/>
              </w:rPr>
              <w:t>ies</w:t>
            </w:r>
            <w:r w:rsidRPr="00BA267D">
              <w:rPr>
                <w:rFonts w:cs="Open Sans Light"/>
                <w:szCs w:val="16"/>
                <w:lang w:eastAsia="en-AU"/>
              </w:rPr>
              <w:t xml:space="preserve"> a state’s mental health levy from other revenue to payroll tax.</w:t>
            </w:r>
          </w:p>
        </w:tc>
      </w:tr>
      <w:tr w:rsidR="005D0547" w:rsidRPr="00025D0B" w14:paraId="2E8AFD1E" w14:textId="77777777" w:rsidTr="00F42B21">
        <w:trPr>
          <w:trHeight w:val="555"/>
        </w:trPr>
        <w:tc>
          <w:tcPr>
            <w:tcW w:w="2234" w:type="dxa"/>
            <w:shd w:val="clear" w:color="auto" w:fill="auto"/>
            <w:vAlign w:val="center"/>
          </w:tcPr>
          <w:p w14:paraId="49D4F65E" w14:textId="331029FA" w:rsidR="005D0547" w:rsidRPr="00BA267D" w:rsidRDefault="00A40834">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 xml:space="preserve">Transfer of </w:t>
            </w:r>
            <w:r w:rsidR="006D5A3B">
              <w:rPr>
                <w:rFonts w:eastAsia="Times New Roman" w:cs="Open Sans Light"/>
                <w:sz w:val="16"/>
                <w:szCs w:val="16"/>
                <w:lang w:eastAsia="en-AU"/>
              </w:rPr>
              <w:t>u</w:t>
            </w:r>
            <w:r w:rsidR="00CA6E9A">
              <w:rPr>
                <w:rFonts w:eastAsia="Times New Roman" w:cs="Open Sans Light"/>
                <w:sz w:val="16"/>
                <w:szCs w:val="16"/>
                <w:lang w:eastAsia="en-AU"/>
              </w:rPr>
              <w:t xml:space="preserve">rban transport </w:t>
            </w:r>
            <w:r>
              <w:rPr>
                <w:rFonts w:eastAsia="Times New Roman" w:cs="Open Sans Light"/>
                <w:sz w:val="16"/>
                <w:szCs w:val="16"/>
                <w:lang w:eastAsia="en-AU"/>
              </w:rPr>
              <w:t>asset</w:t>
            </w:r>
            <w:r w:rsidR="000C063C">
              <w:rPr>
                <w:rFonts w:eastAsia="Times New Roman" w:cs="Open Sans Light"/>
                <w:sz w:val="16"/>
                <w:szCs w:val="16"/>
                <w:lang w:eastAsia="en-AU"/>
              </w:rPr>
              <w:t>s</w:t>
            </w:r>
          </w:p>
        </w:tc>
        <w:tc>
          <w:tcPr>
            <w:tcW w:w="6708" w:type="dxa"/>
            <w:shd w:val="clear" w:color="auto" w:fill="auto"/>
            <w:vAlign w:val="center"/>
          </w:tcPr>
          <w:p w14:paraId="09FC490C" w14:textId="53CE0BA9" w:rsidR="005D0547" w:rsidRPr="00F42B21" w:rsidRDefault="00413EB0" w:rsidP="006E1F5F">
            <w:pPr>
              <w:pStyle w:val="CGCTablerow"/>
              <w:rPr>
                <w:rFonts w:eastAsia="Times New Roman" w:cs="Open Sans Light"/>
                <w:szCs w:val="16"/>
                <w:lang w:eastAsia="en-AU"/>
              </w:rPr>
            </w:pPr>
            <w:r w:rsidRPr="006E1F5F">
              <w:rPr>
                <w:rFonts w:cs="Open Sans Light"/>
                <w:szCs w:val="16"/>
                <w:lang w:eastAsia="en-AU"/>
              </w:rPr>
              <w:t xml:space="preserve">This adjustment reclassifies the sign of a </w:t>
            </w:r>
            <w:r w:rsidR="00445B1C" w:rsidRPr="006E1F5F">
              <w:rPr>
                <w:rFonts w:cs="Open Sans Light"/>
                <w:szCs w:val="16"/>
                <w:lang w:eastAsia="en-AU"/>
              </w:rPr>
              <w:t>state</w:t>
            </w:r>
            <w:r w:rsidR="00060B83" w:rsidRPr="006E1F5F">
              <w:rPr>
                <w:rFonts w:cs="Open Sans Light"/>
                <w:szCs w:val="16"/>
                <w:lang w:eastAsia="en-AU"/>
              </w:rPr>
              <w:t>’</w:t>
            </w:r>
            <w:r w:rsidR="00445B1C" w:rsidRPr="006E1F5F">
              <w:rPr>
                <w:rFonts w:cs="Open Sans Light"/>
                <w:szCs w:val="16"/>
                <w:lang w:eastAsia="en-AU"/>
              </w:rPr>
              <w:t xml:space="preserve">s </w:t>
            </w:r>
            <w:r w:rsidR="000C063C" w:rsidRPr="00F42B21">
              <w:rPr>
                <w:rFonts w:cs="Open Sans Light"/>
                <w:szCs w:val="16"/>
                <w:lang w:eastAsia="en-AU"/>
              </w:rPr>
              <w:t xml:space="preserve">asset </w:t>
            </w:r>
            <w:r w:rsidRPr="006E1F5F">
              <w:rPr>
                <w:rFonts w:cs="Open Sans Light"/>
                <w:szCs w:val="16"/>
                <w:lang w:eastAsia="en-AU"/>
              </w:rPr>
              <w:t>transfer</w:t>
            </w:r>
            <w:r w:rsidR="00A541B7" w:rsidRPr="006E1F5F">
              <w:rPr>
                <w:rFonts w:cs="Open Sans Light"/>
                <w:szCs w:val="16"/>
                <w:lang w:eastAsia="en-AU"/>
              </w:rPr>
              <w:t xml:space="preserve"> between GG and PNFC sectors to ensure it does not impact expenditure.</w:t>
            </w:r>
          </w:p>
        </w:tc>
      </w:tr>
    </w:tbl>
    <w:p w14:paraId="63107B32" w14:textId="2232796A" w:rsidR="006F211C" w:rsidRPr="004C1E31" w:rsidRDefault="006F211C" w:rsidP="004C1E31">
      <w:pPr>
        <w:rPr>
          <w:sz w:val="2"/>
          <w:szCs w:val="2"/>
        </w:rPr>
      </w:pPr>
    </w:p>
    <w:sectPr w:rsidR="006F211C" w:rsidRPr="004C1E31" w:rsidSect="000E1909">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8603" w14:textId="77777777" w:rsidR="00360CA8" w:rsidRDefault="00360CA8">
      <w:r>
        <w:separator/>
      </w:r>
    </w:p>
    <w:p w14:paraId="1CC0F5D6" w14:textId="77777777" w:rsidR="00360CA8" w:rsidRDefault="00360CA8"/>
  </w:endnote>
  <w:endnote w:type="continuationSeparator" w:id="0">
    <w:p w14:paraId="7579272C" w14:textId="77777777" w:rsidR="00360CA8" w:rsidRDefault="00360CA8">
      <w:r>
        <w:continuationSeparator/>
      </w:r>
    </w:p>
    <w:p w14:paraId="43E0C476" w14:textId="77777777" w:rsidR="00360CA8" w:rsidRDefault="00360CA8"/>
  </w:endnote>
  <w:endnote w:type="continuationNotice" w:id="1">
    <w:p w14:paraId="74E545B3" w14:textId="77777777" w:rsidR="00360CA8" w:rsidRDefault="00360CA8">
      <w:pPr>
        <w:spacing w:before="0" w:line="240" w:lineRule="auto"/>
      </w:pPr>
    </w:p>
    <w:p w14:paraId="1AAFDEFD" w14:textId="77777777" w:rsidR="00360CA8" w:rsidRDefault="0036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712F" w14:textId="0DF81607" w:rsidR="00B328C9" w:rsidRDefault="00B328C9">
    <w:pPr>
      <w:pStyle w:val="Footer"/>
    </w:pPr>
    <w:r>
      <w:rPr>
        <w:noProof/>
      </w:rPr>
      <mc:AlternateContent>
        <mc:Choice Requires="wps">
          <w:drawing>
            <wp:anchor distT="0" distB="0" distL="0" distR="0" simplePos="0" relativeHeight="251658247" behindDoc="0" locked="0" layoutInCell="1" allowOverlap="1" wp14:anchorId="0171B927" wp14:editId="432580D8">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88805" w14:textId="1FA6E9FB"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1B927" id="_x0000_t202" coordsize="21600,21600" o:spt="202" path="m,l,21600r21600,l21600,xe">
              <v:stroke joinstyle="miter"/>
              <v:path gradientshapeok="t" o:connecttype="rect"/>
            </v:shapetype>
            <v:shape id="Text Box 10" o:spid="_x0000_s1027"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988805" w14:textId="1FA6E9FB"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FA3B" w14:textId="7DDA73EB" w:rsidR="006F4DAE" w:rsidRDefault="006F4DAE" w:rsidP="00FB5BE4">
    <w:pPr>
      <w:pStyle w:val="Footer"/>
      <w:jc w:val="left"/>
      <w:rPr>
        <w:rFonts w:ascii="Open Sans" w:hAnsi="Open Sans" w:cs="Open Sans"/>
        <w:sz w:val="14"/>
        <w:szCs w:val="14"/>
      </w:rPr>
    </w:pPr>
  </w:p>
  <w:sdt>
    <w:sdtPr>
      <w:rPr>
        <w:rFonts w:ascii="Open Sans" w:hAnsi="Open Sans" w:cs="Open Sans"/>
        <w:sz w:val="14"/>
        <w:szCs w:val="14"/>
      </w:rPr>
      <w:id w:val="1031994399"/>
      <w:docPartObj>
        <w:docPartGallery w:val="Page Numbers (Bottom of Page)"/>
        <w:docPartUnique/>
      </w:docPartObj>
    </w:sdtPr>
    <w:sdtEndPr>
      <w:rPr>
        <w:noProof/>
      </w:rPr>
    </w:sdtEndPr>
    <w:sdtContent>
      <w:p w14:paraId="4718E243" w14:textId="5AAD9A22" w:rsidR="00FB5BE4" w:rsidRPr="002C3F7A" w:rsidRDefault="00000000" w:rsidP="00FB5BE4">
        <w:pPr>
          <w:pStyle w:val="Footer"/>
          <w:jc w:val="left"/>
          <w:rPr>
            <w:rFonts w:ascii="Open Sans" w:hAnsi="Open Sans" w:cs="Open Sans"/>
            <w:b w:val="0"/>
            <w:bCs/>
            <w:color w:val="auto"/>
            <w:sz w:val="14"/>
            <w:szCs w:val="14"/>
          </w:rPr>
        </w:pPr>
        <w:sdt>
          <w:sdtPr>
            <w:rPr>
              <w:rFonts w:ascii="Open Sans" w:hAnsi="Open Sans" w:cs="Open Sans"/>
              <w:sz w:val="14"/>
              <w:szCs w:val="14"/>
            </w:rPr>
            <w:id w:val="762880608"/>
            <w:docPartObj>
              <w:docPartGallery w:val="Page Numbers (Bottom of Page)"/>
              <w:docPartUnique/>
            </w:docPartObj>
          </w:sdtPr>
          <w:sdtEndPr>
            <w:rPr>
              <w:b w:val="0"/>
              <w:noProof/>
              <w:color w:val="auto"/>
            </w:rPr>
          </w:sdtEndPr>
          <w:sdtContent>
            <w:r w:rsidR="00FB5BE4" w:rsidRPr="002C3F7A">
              <w:rPr>
                <w:rFonts w:ascii="Open Sans" w:hAnsi="Open Sans" w:cs="Open Sans"/>
                <w:b w:val="0"/>
                <w:bCs/>
                <w:color w:val="006991"/>
                <w:sz w:val="14"/>
                <w:szCs w:val="14"/>
              </w:rPr>
              <w:t>Commonwealth Grants Commission</w:t>
            </w:r>
            <w:r w:rsidR="00FB5BE4" w:rsidRPr="002C3F7A">
              <w:rPr>
                <w:rFonts w:ascii="Open Sans" w:hAnsi="Open Sans" w:cs="Open Sans"/>
                <w:color w:val="006991"/>
                <w:sz w:val="14"/>
                <w:szCs w:val="14"/>
              </w:rPr>
              <w:t xml:space="preserve"> </w:t>
            </w:r>
            <w:r w:rsidR="00552A46">
              <w:rPr>
                <w:rFonts w:ascii="Open Sans" w:hAnsi="Open Sans" w:cs="Open Sans"/>
                <w:b w:val="0"/>
                <w:bCs/>
                <w:color w:val="auto"/>
                <w:sz w:val="14"/>
                <w:szCs w:val="14"/>
              </w:rPr>
              <w:t>Commission’s</w:t>
            </w:r>
            <w:r w:rsidR="0080239A">
              <w:rPr>
                <w:rFonts w:ascii="Open Sans" w:hAnsi="Open Sans" w:cs="Open Sans"/>
                <w:b w:val="0"/>
                <w:bCs/>
                <w:color w:val="auto"/>
                <w:sz w:val="14"/>
                <w:szCs w:val="14"/>
              </w:rPr>
              <w:t xml:space="preserve"> </w:t>
            </w:r>
            <w:r w:rsidR="00133636">
              <w:rPr>
                <w:rFonts w:ascii="Open Sans" w:hAnsi="Open Sans" w:cs="Open Sans"/>
                <w:b w:val="0"/>
                <w:bCs/>
                <w:color w:val="auto"/>
                <w:sz w:val="14"/>
                <w:szCs w:val="14"/>
              </w:rPr>
              <w:t>A</w:t>
            </w:r>
            <w:r w:rsidR="0080239A">
              <w:rPr>
                <w:rFonts w:ascii="Open Sans" w:hAnsi="Open Sans" w:cs="Open Sans"/>
                <w:b w:val="0"/>
                <w:bCs/>
                <w:color w:val="auto"/>
                <w:sz w:val="14"/>
                <w:szCs w:val="14"/>
              </w:rPr>
              <w:t xml:space="preserve">ssessment </w:t>
            </w:r>
            <w:r w:rsidR="00133636">
              <w:rPr>
                <w:rFonts w:ascii="Open Sans" w:hAnsi="Open Sans" w:cs="Open Sans"/>
                <w:b w:val="0"/>
                <w:bCs/>
                <w:color w:val="auto"/>
                <w:sz w:val="14"/>
                <w:szCs w:val="14"/>
              </w:rPr>
              <w:t>M</w:t>
            </w:r>
            <w:r w:rsidR="0080239A">
              <w:rPr>
                <w:rFonts w:ascii="Open Sans" w:hAnsi="Open Sans" w:cs="Open Sans"/>
                <w:b w:val="0"/>
                <w:bCs/>
                <w:color w:val="auto"/>
                <w:sz w:val="14"/>
                <w:szCs w:val="14"/>
              </w:rPr>
              <w:t>ethodology</w:t>
            </w:r>
            <w:r w:rsidR="00FB5BE4" w:rsidRPr="002C3F7A">
              <w:rPr>
                <w:rFonts w:ascii="Open Sans" w:hAnsi="Open Sans" w:cs="Open Sans"/>
                <w:b w:val="0"/>
                <w:bCs/>
                <w:color w:val="auto"/>
                <w:sz w:val="14"/>
                <w:szCs w:val="14"/>
              </w:rPr>
              <w:tab/>
            </w:r>
          </w:sdtContent>
        </w:sdt>
      </w:p>
      <w:p w14:paraId="432E4589" w14:textId="537FF1FB" w:rsidR="004C6846" w:rsidRPr="002C3F7A" w:rsidRDefault="00000000" w:rsidP="00FB5BE4">
        <w:pPr>
          <w:pStyle w:val="Footer"/>
          <w:jc w:val="center"/>
          <w:rPr>
            <w:rFonts w:ascii="Open Sans" w:hAnsi="Open Sans" w:cs="Open Sans"/>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4A74" w14:textId="24EA9622" w:rsidR="00B328C9" w:rsidRDefault="00B328C9">
    <w:pPr>
      <w:pStyle w:val="Footer"/>
    </w:pPr>
    <w:r>
      <w:rPr>
        <w:noProof/>
      </w:rPr>
      <mc:AlternateContent>
        <mc:Choice Requires="wps">
          <w:drawing>
            <wp:anchor distT="0" distB="0" distL="0" distR="0" simplePos="0" relativeHeight="251658246" behindDoc="0" locked="0" layoutInCell="1" allowOverlap="1" wp14:anchorId="568E50F2" wp14:editId="56169687">
              <wp:simplePos x="635" y="63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01001" w14:textId="0462CCE9"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E50F2"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B01001" w14:textId="0462CCE9"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1AC2" w14:textId="24EF2BB6" w:rsidR="00B328C9" w:rsidRDefault="00B328C9">
    <w:pPr>
      <w:pStyle w:val="Footer"/>
    </w:pPr>
    <w:r>
      <w:rPr>
        <w:noProof/>
      </w:rPr>
      <mc:AlternateContent>
        <mc:Choice Requires="wps">
          <w:drawing>
            <wp:anchor distT="0" distB="0" distL="0" distR="0" simplePos="0" relativeHeight="251658250" behindDoc="0" locked="0" layoutInCell="1" allowOverlap="1" wp14:anchorId="066CA077" wp14:editId="589C14B7">
              <wp:simplePos x="635" y="635"/>
              <wp:positionH relativeFrom="page">
                <wp:align>center</wp:align>
              </wp:positionH>
              <wp:positionV relativeFrom="page">
                <wp:align>bottom</wp:align>
              </wp:positionV>
              <wp:extent cx="443865" cy="443865"/>
              <wp:effectExtent l="0" t="0" r="635"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7DBDD" w14:textId="675A6089"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CA077" id="_x0000_t202" coordsize="21600,21600" o:spt="202" path="m,l,21600r21600,l21600,xe">
              <v:stroke joinstyle="miter"/>
              <v:path gradientshapeok="t" o:connecttype="rect"/>
            </v:shapetype>
            <v:shape id="Text Box 20" o:spid="_x0000_s1032" type="#_x0000_t202" alt="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D17DBDD" w14:textId="675A6089"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316DA7A7" w:rsidR="00E035E0" w:rsidRPr="00E035E0" w:rsidRDefault="00B328C9" w:rsidP="000E1909">
    <w:pPr>
      <w:pStyle w:val="Footer"/>
      <w:jc w:val="left"/>
      <w:rPr>
        <w:rFonts w:ascii="Work Sans" w:hAnsi="Work Sans"/>
        <w:b w:val="0"/>
        <w:bCs/>
        <w:color w:val="auto"/>
        <w:sz w:val="14"/>
        <w:szCs w:val="14"/>
      </w:rPr>
    </w:pPr>
    <w:r>
      <w:rPr>
        <w:noProof/>
      </w:rPr>
      <mc:AlternateContent>
        <mc:Choice Requires="wps">
          <w:drawing>
            <wp:anchor distT="0" distB="0" distL="0" distR="0" simplePos="0" relativeHeight="251658251" behindDoc="0" locked="0" layoutInCell="1" allowOverlap="1" wp14:anchorId="51273972" wp14:editId="19EDF3B1">
              <wp:simplePos x="635" y="635"/>
              <wp:positionH relativeFrom="page">
                <wp:align>center</wp:align>
              </wp:positionH>
              <wp:positionV relativeFrom="page">
                <wp:align>bottom</wp:align>
              </wp:positionV>
              <wp:extent cx="443865" cy="443865"/>
              <wp:effectExtent l="0" t="0" r="635"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ABC3C" w14:textId="7164553C"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73972" id="_x0000_t202" coordsize="21600,21600" o:spt="202" path="m,l,21600r21600,l21600,xe">
              <v:stroke joinstyle="miter"/>
              <v:path gradientshapeok="t" o:connecttype="rect"/>
            </v:shapetype>
            <v:shape id="Text Box 21" o:spid="_x0000_s1033" type="#_x0000_t202" alt="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C8ABC3C" w14:textId="7164553C"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sdt>
      <w:sdtPr>
        <w:id w:val="418995667"/>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334022">
          <w:rPr>
            <w:rFonts w:ascii="Open Sans" w:hAnsi="Open Sans" w:cs="Open Sans"/>
            <w:b w:val="0"/>
            <w:bCs/>
            <w:color w:val="auto"/>
            <w:sz w:val="14"/>
            <w:szCs w:val="14"/>
          </w:rPr>
          <w:t xml:space="preserve">Commission’s </w:t>
        </w:r>
        <w:r w:rsidR="00133636">
          <w:rPr>
            <w:rFonts w:ascii="Open Sans" w:hAnsi="Open Sans" w:cs="Open Sans"/>
            <w:b w:val="0"/>
            <w:bCs/>
            <w:color w:val="auto"/>
            <w:sz w:val="14"/>
            <w:szCs w:val="14"/>
          </w:rPr>
          <w:t>A</w:t>
        </w:r>
        <w:r w:rsidR="00334022">
          <w:rPr>
            <w:rFonts w:ascii="Open Sans" w:hAnsi="Open Sans" w:cs="Open Sans"/>
            <w:b w:val="0"/>
            <w:bCs/>
            <w:color w:val="auto"/>
            <w:sz w:val="14"/>
            <w:szCs w:val="14"/>
          </w:rPr>
          <w:t xml:space="preserve">ssessment </w:t>
        </w:r>
        <w:r w:rsidR="00133636">
          <w:rPr>
            <w:rFonts w:ascii="Open Sans" w:hAnsi="Open Sans" w:cs="Open Sans"/>
            <w:b w:val="0"/>
            <w:bCs/>
            <w:color w:val="auto"/>
            <w:sz w:val="14"/>
            <w:szCs w:val="14"/>
          </w:rPr>
          <w:t>M</w:t>
        </w:r>
        <w:r w:rsidR="00334022">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34C0" w14:textId="01B896A7" w:rsidR="00B328C9" w:rsidRDefault="00B328C9">
    <w:pPr>
      <w:pStyle w:val="Footer"/>
    </w:pPr>
    <w:r>
      <w:rPr>
        <w:noProof/>
      </w:rPr>
      <mc:AlternateContent>
        <mc:Choice Requires="wps">
          <w:drawing>
            <wp:anchor distT="0" distB="0" distL="0" distR="0" simplePos="0" relativeHeight="251658249" behindDoc="0" locked="0" layoutInCell="1" allowOverlap="1" wp14:anchorId="2178323A" wp14:editId="642AD05E">
              <wp:simplePos x="635" y="635"/>
              <wp:positionH relativeFrom="page">
                <wp:align>center</wp:align>
              </wp:positionH>
              <wp:positionV relativeFrom="page">
                <wp:align>bottom</wp:align>
              </wp:positionV>
              <wp:extent cx="443865" cy="443865"/>
              <wp:effectExtent l="0" t="0" r="635"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7F499" w14:textId="13FF8E31"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8323A" id="_x0000_t202" coordsize="21600,21600" o:spt="202" path="m,l,21600r21600,l21600,xe">
              <v:stroke joinstyle="miter"/>
              <v:path gradientshapeok="t" o:connecttype="rect"/>
            </v:shapetype>
            <v:shape id="Text Box 23" o:spid="_x0000_s1035"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AC7F499" w14:textId="13FF8E31"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BE63" w14:textId="77777777" w:rsidR="00360CA8" w:rsidRPr="00A7252D" w:rsidRDefault="00360CA8">
      <w:pPr>
        <w:rPr>
          <w:color w:val="ADD6EA"/>
        </w:rPr>
      </w:pPr>
      <w:r w:rsidRPr="001C1AC5">
        <w:rPr>
          <w:color w:val="ADD6EA"/>
        </w:rPr>
        <w:separator/>
      </w:r>
    </w:p>
  </w:footnote>
  <w:footnote w:type="continuationSeparator" w:id="0">
    <w:p w14:paraId="548B5049" w14:textId="77777777" w:rsidR="00360CA8" w:rsidRDefault="00360CA8">
      <w:r>
        <w:continuationSeparator/>
      </w:r>
    </w:p>
    <w:p w14:paraId="7F93EFA2" w14:textId="77777777" w:rsidR="00360CA8" w:rsidRDefault="00360CA8"/>
  </w:footnote>
  <w:footnote w:type="continuationNotice" w:id="1">
    <w:p w14:paraId="35E26435" w14:textId="77777777" w:rsidR="00360CA8" w:rsidRDefault="00360CA8">
      <w:pPr>
        <w:spacing w:before="0" w:line="240" w:lineRule="auto"/>
      </w:pPr>
    </w:p>
    <w:p w14:paraId="492B18B9" w14:textId="77777777" w:rsidR="00360CA8" w:rsidRDefault="00360CA8"/>
  </w:footnote>
  <w:footnote w:id="2">
    <w:p w14:paraId="01ADD334" w14:textId="3197AAF8" w:rsidR="00A60B88" w:rsidRDefault="00A60B88" w:rsidP="00300919">
      <w:pPr>
        <w:pStyle w:val="FootnoteText"/>
        <w:spacing w:before="0"/>
      </w:pPr>
      <w:r>
        <w:rPr>
          <w:rStyle w:val="FootnoteReference"/>
        </w:rPr>
        <w:footnoteRef/>
      </w:r>
      <w:r>
        <w:t xml:space="preserve"> </w:t>
      </w:r>
      <w:r w:rsidR="00B66BAA">
        <w:t xml:space="preserve"> </w:t>
      </w:r>
      <w:r>
        <w:t>Under the 202</w:t>
      </w:r>
      <w:r w:rsidR="00C8326A">
        <w:t>5</w:t>
      </w:r>
      <w:r>
        <w:t xml:space="preserve"> Review approach, activities of</w:t>
      </w:r>
      <w:r w:rsidRPr="00CA17A7">
        <w:rPr>
          <w:lang w:val="en-US"/>
        </w:rPr>
        <w:t xml:space="preserve"> the Commonwealth, local government</w:t>
      </w:r>
      <w:r w:rsidR="00A76085">
        <w:rPr>
          <w:lang w:val="en-US"/>
        </w:rPr>
        <w:t xml:space="preserve"> (except </w:t>
      </w:r>
      <w:r w:rsidR="0078145F">
        <w:rPr>
          <w:lang w:val="en-US"/>
        </w:rPr>
        <w:t xml:space="preserve">for </w:t>
      </w:r>
      <w:r w:rsidR="00A76085">
        <w:rPr>
          <w:lang w:val="en-US"/>
        </w:rPr>
        <w:t>the ACT)</w:t>
      </w:r>
      <w:r w:rsidRPr="00CA17A7">
        <w:rPr>
          <w:lang w:val="en-US"/>
        </w:rPr>
        <w:t xml:space="preserve">, </w:t>
      </w:r>
      <w:r>
        <w:rPr>
          <w:lang w:val="en-US"/>
        </w:rPr>
        <w:t>s</w:t>
      </w:r>
      <w:r w:rsidRPr="00CA17A7">
        <w:rPr>
          <w:lang w:val="en-US"/>
        </w:rPr>
        <w:t xml:space="preserve">tate </w:t>
      </w:r>
      <w:r>
        <w:rPr>
          <w:lang w:val="en-US"/>
        </w:rPr>
        <w:t>p</w:t>
      </w:r>
      <w:r w:rsidRPr="009B7255">
        <w:rPr>
          <w:lang w:val="en-US"/>
        </w:rPr>
        <w:t xml:space="preserve">ublic </w:t>
      </w:r>
      <w:r>
        <w:rPr>
          <w:lang w:val="en-US"/>
        </w:rPr>
        <w:t>n</w:t>
      </w:r>
      <w:r w:rsidRPr="009B7255">
        <w:rPr>
          <w:lang w:val="en-US"/>
        </w:rPr>
        <w:t>on</w:t>
      </w:r>
      <w:r w:rsidR="00774D06">
        <w:rPr>
          <w:lang w:val="en-US"/>
        </w:rPr>
        <w:noBreakHyphen/>
      </w:r>
      <w:r>
        <w:rPr>
          <w:lang w:val="en-US"/>
        </w:rPr>
        <w:t>f</w:t>
      </w:r>
      <w:r w:rsidRPr="009B7255">
        <w:rPr>
          <w:lang w:val="en-US"/>
        </w:rPr>
        <w:t xml:space="preserve">inancial </w:t>
      </w:r>
      <w:r>
        <w:rPr>
          <w:lang w:val="en-US"/>
        </w:rPr>
        <w:t>c</w:t>
      </w:r>
      <w:r w:rsidRPr="009B7255">
        <w:rPr>
          <w:lang w:val="en-US"/>
        </w:rPr>
        <w:t>orporation</w:t>
      </w:r>
      <w:r>
        <w:rPr>
          <w:lang w:val="en-US"/>
        </w:rPr>
        <w:t>s</w:t>
      </w:r>
      <w:r w:rsidRPr="009B7255">
        <w:rPr>
          <w:lang w:val="en-US"/>
        </w:rPr>
        <w:t xml:space="preserve"> </w:t>
      </w:r>
      <w:r w:rsidRPr="00CA17A7">
        <w:rPr>
          <w:lang w:val="en-US"/>
        </w:rPr>
        <w:t>other than those for social housing and urban transport</w:t>
      </w:r>
      <w:r>
        <w:rPr>
          <w:lang w:val="en-US"/>
        </w:rPr>
        <w:t>,</w:t>
      </w:r>
      <w:r w:rsidRPr="00CA17A7">
        <w:rPr>
          <w:lang w:val="en-US"/>
        </w:rPr>
        <w:t xml:space="preserve"> </w:t>
      </w:r>
      <w:r>
        <w:rPr>
          <w:lang w:val="en-US"/>
        </w:rPr>
        <w:t>state public financial corporations,</w:t>
      </w:r>
      <w:r w:rsidRPr="00CA17A7">
        <w:rPr>
          <w:lang w:val="en-US"/>
        </w:rPr>
        <w:t xml:space="preserve"> and non-government entities are not included in the adjusted budget.</w:t>
      </w:r>
      <w:r w:rsidRPr="00CA17A7">
        <w:rPr>
          <w:rStyle w:val="FootnoteReference"/>
        </w:rPr>
        <w:t xml:space="preserve"> </w:t>
      </w:r>
      <w:r>
        <w:t xml:space="preserve">However, </w:t>
      </w:r>
      <w:r w:rsidRPr="000305CF">
        <w:t>the adjusted budget includes transactions between these sectors and the state sector. Also,</w:t>
      </w:r>
      <w:r>
        <w:t xml:space="preserve"> some types of </w:t>
      </w:r>
      <w:r>
        <w:rPr>
          <w:lang w:val="en-US"/>
        </w:rPr>
        <w:t>non</w:t>
      </w:r>
      <w:r>
        <w:rPr>
          <w:lang w:val="en-US"/>
        </w:rPr>
        <w:noBreakHyphen/>
        <w:t xml:space="preserve">state spending affect the amount states need to spend. For example, the schools and health assessments </w:t>
      </w:r>
      <w:proofErr w:type="spellStart"/>
      <w:r>
        <w:rPr>
          <w:lang w:val="en-US"/>
        </w:rPr>
        <w:t>recognise</w:t>
      </w:r>
      <w:proofErr w:type="spellEnd"/>
      <w:r>
        <w:rPr>
          <w:lang w:val="en-US"/>
        </w:rPr>
        <w:t xml:space="preserve"> the influence of non</w:t>
      </w:r>
      <w:r>
        <w:rPr>
          <w:lang w:val="en-US"/>
        </w:rPr>
        <w:noBreakHyphen/>
        <w:t>state sector spending.</w:t>
      </w:r>
      <w:r>
        <w:br/>
        <w:t>The reason for including h</w:t>
      </w:r>
      <w:r w:rsidRPr="001B1681">
        <w:t xml:space="preserve">ousing and urban transport services </w:t>
      </w:r>
      <w:r>
        <w:t>public non-financial corporations (instead of all public non</w:t>
      </w:r>
      <w:r>
        <w:noBreakHyphen/>
        <w:t xml:space="preserve">financial corporations) </w:t>
      </w:r>
      <w:r w:rsidR="000429BB">
        <w:t>i</w:t>
      </w:r>
      <w:r>
        <w:t xml:space="preserve">s due to these 2 sectors </w:t>
      </w:r>
      <w:r w:rsidRPr="001B1681">
        <w:t>hav</w:t>
      </w:r>
      <w:r>
        <w:t>ing</w:t>
      </w:r>
      <w:r w:rsidRPr="001B1681">
        <w:t xml:space="preserve"> strong similarities to the services provided by general government agencies. They are not fully commercial and depend on government funds to meet recurrent expenses and investment</w:t>
      </w:r>
      <w:r>
        <w:t>. T</w:t>
      </w:r>
      <w:r w:rsidRPr="001B1681">
        <w:t>he</w:t>
      </w:r>
      <w:r>
        <w:t>ir</w:t>
      </w:r>
      <w:r w:rsidRPr="001B1681">
        <w:t xml:space="preserve"> services stem from social policy objectives, and governments make the major policies on service delivery and charges</w:t>
      </w:r>
      <w:r>
        <w:t>.</w:t>
      </w:r>
    </w:p>
  </w:footnote>
  <w:footnote w:id="3">
    <w:p w14:paraId="048C170F" w14:textId="77777777" w:rsidR="00A60B88" w:rsidRDefault="00A60B88" w:rsidP="00300919">
      <w:pPr>
        <w:pStyle w:val="FootnoteText"/>
        <w:spacing w:before="0"/>
      </w:pPr>
      <w:r>
        <w:rPr>
          <w:rStyle w:val="FootnoteReference"/>
        </w:rPr>
        <w:footnoteRef/>
      </w:r>
      <w:bookmarkStart w:id="4" w:name="_Hlk145506918"/>
      <w:r>
        <w:t xml:space="preserve"> </w:t>
      </w:r>
      <w:bookmarkEnd w:id="4"/>
      <w:r>
        <w:t xml:space="preserve">Transactions in non-financial assets mainly include acquisitions of non-financial assets including change in inventories, </w:t>
      </w:r>
      <w:r>
        <w:rPr>
          <w:shd w:val="clear" w:color="auto" w:fill="FFFFFF"/>
        </w:rPr>
        <w:t>acquisitions of non-financial assets under new finance leases, own-account capital formation, acquisitions of other new non</w:t>
      </w:r>
      <w:r>
        <w:rPr>
          <w:shd w:val="clear" w:color="auto" w:fill="FFFFFF"/>
        </w:rPr>
        <w:noBreakHyphen/>
        <w:t xml:space="preserve">financial assets, and acquisitions of second-hand non-financial assets. They also include disposals of non-financial assets </w:t>
      </w:r>
      <w:r w:rsidRPr="00F604FC">
        <w:rPr>
          <w:shd w:val="clear" w:color="auto" w:fill="FFFFFF"/>
        </w:rPr>
        <w:t>(excluding depreciation</w:t>
      </w:r>
      <w:r>
        <w:rPr>
          <w:shd w:val="clear" w:color="auto" w:fill="FFFFFF"/>
        </w:rPr>
        <w:t>), which are netted off acquisitions.</w:t>
      </w:r>
    </w:p>
  </w:footnote>
  <w:footnote w:id="4">
    <w:p w14:paraId="6B7974B3" w14:textId="08F6D6F3" w:rsidR="00B866AB" w:rsidRDefault="00B866AB" w:rsidP="00300919">
      <w:pPr>
        <w:pStyle w:val="FootnoteText"/>
        <w:spacing w:before="0"/>
      </w:pPr>
      <w:r>
        <w:rPr>
          <w:rStyle w:val="FootnoteReference"/>
        </w:rPr>
        <w:footnoteRef/>
      </w:r>
      <w:r w:rsidR="002329D8">
        <w:t xml:space="preserve"> In the </w:t>
      </w:r>
      <w:r w:rsidR="007C5B01">
        <w:t>o</w:t>
      </w:r>
      <w:r w:rsidR="002329D8">
        <w:t xml:space="preserve">ther expenses </w:t>
      </w:r>
      <w:r w:rsidR="00C233F4">
        <w:t>assessment,</w:t>
      </w:r>
      <w:r w:rsidR="002329D8">
        <w:t xml:space="preserve"> a r</w:t>
      </w:r>
      <w:r w:rsidR="00DC554E">
        <w:t>egional</w:t>
      </w:r>
      <w:r w:rsidR="000456E8">
        <w:t xml:space="preserve"> and wage </w:t>
      </w:r>
      <w:r w:rsidR="002329D8">
        <w:t xml:space="preserve">cost adjustment is applied to a share of expenses. </w:t>
      </w:r>
      <w:r w:rsidR="00C233F4">
        <w:t>Therefore,</w:t>
      </w:r>
      <w:r w:rsidR="00E12242">
        <w:t xml:space="preserve"> there is a small impact on GST needs. Other revenue is assessed </w:t>
      </w:r>
      <w:r w:rsidR="00A83AFB">
        <w:t>equal per capita</w:t>
      </w:r>
      <w:r w:rsidR="00C233F4">
        <w:t xml:space="preserve"> and has no impact on GST needs.</w:t>
      </w:r>
    </w:p>
  </w:footnote>
  <w:footnote w:id="5">
    <w:p w14:paraId="066F88B6" w14:textId="69724C6C" w:rsidR="00527DC7" w:rsidRDefault="00527DC7" w:rsidP="00964A60">
      <w:pPr>
        <w:pStyle w:val="FootnoteText"/>
      </w:pPr>
      <w:r>
        <w:rPr>
          <w:rStyle w:val="FootnoteReference"/>
        </w:rPr>
        <w:footnoteRef/>
      </w:r>
      <w:r>
        <w:t xml:space="preserve"> Data from </w:t>
      </w:r>
      <w:r w:rsidR="003D5CE4">
        <w:t>year minus 1 and year 0</w:t>
      </w:r>
      <w:r>
        <w:t xml:space="preserve"> are used to derive factors for the investment assessment and for analysis of why a state’s assessed GST needs change between updates.</w:t>
      </w:r>
    </w:p>
  </w:footnote>
  <w:footnote w:id="6">
    <w:p w14:paraId="7FDC657C" w14:textId="672442D6" w:rsidR="00527DC7" w:rsidRDefault="00527DC7" w:rsidP="00964A60">
      <w:pPr>
        <w:pStyle w:val="FootnoteText"/>
      </w:pPr>
      <w:r>
        <w:rPr>
          <w:rStyle w:val="FootnoteReference"/>
        </w:rPr>
        <w:footnoteRef/>
      </w:r>
      <w:r>
        <w:t xml:space="preserve"> The Commission typically receives the final ABS Government Finance Statistics data</w:t>
      </w:r>
      <w:r w:rsidR="00AC4CCC">
        <w:t>,</w:t>
      </w:r>
      <w:r w:rsidR="000C42D7">
        <w:t xml:space="preserve"> </w:t>
      </w:r>
      <w:r w:rsidR="00DE27BB">
        <w:t>for</w:t>
      </w:r>
      <w:r>
        <w:t xml:space="preserve"> the financial year</w:t>
      </w:r>
      <w:r w:rsidR="00DE27BB">
        <w:t xml:space="preserve"> ending in </w:t>
      </w:r>
      <w:r w:rsidR="007378B4" w:rsidDel="00B40D70">
        <w:t xml:space="preserve">the </w:t>
      </w:r>
      <w:r w:rsidR="00DE27BB">
        <w:t xml:space="preserve">previous </w:t>
      </w:r>
      <w:r w:rsidR="00A078D5">
        <w:t>calendar</w:t>
      </w:r>
      <w:r w:rsidR="00DE27BB">
        <w:t xml:space="preserve"> year</w:t>
      </w:r>
      <w:r w:rsidR="00A078D5">
        <w:t xml:space="preserve"> (year 2)</w:t>
      </w:r>
      <w:r w:rsidR="000C42D7">
        <w:t>,</w:t>
      </w:r>
      <w:r>
        <w:t xml:space="preserve"> in</w:t>
      </w:r>
      <w:r w:rsidR="006C6B48">
        <w:t xml:space="preserve"> </w:t>
      </w:r>
      <w:r>
        <w:t>April or May</w:t>
      </w:r>
      <w:r w:rsidR="00E47D6F">
        <w:t xml:space="preserve">. </w:t>
      </w:r>
    </w:p>
  </w:footnote>
  <w:footnote w:id="7">
    <w:p w14:paraId="452E4F2A" w14:textId="0DAC830F" w:rsidR="00527DC7" w:rsidRDefault="00527DC7" w:rsidP="00964A60">
      <w:pPr>
        <w:pStyle w:val="FootnoteText"/>
      </w:pPr>
      <w:r>
        <w:rPr>
          <w:rStyle w:val="FootnoteReference"/>
        </w:rPr>
        <w:footnoteRef/>
      </w:r>
      <w:r>
        <w:t xml:space="preserve"> ABS</w:t>
      </w:r>
      <w:r w:rsidRPr="006036D8">
        <w:t xml:space="preserve">, </w:t>
      </w:r>
      <w:hyperlink r:id="rId1" w:history="1">
        <w:r w:rsidRPr="007C3973">
          <w:rPr>
            <w:rStyle w:val="Hyperlink"/>
            <w:i/>
            <w:iCs/>
          </w:rPr>
          <w:t>Glossary, Australian System of Government Finance Statistics: Concepts, Sources and Methods</w:t>
        </w:r>
      </w:hyperlink>
      <w:r>
        <w:t xml:space="preserve">, </w:t>
      </w:r>
      <w:r w:rsidRPr="00CE6CC5">
        <w:t>ABS website,</w:t>
      </w:r>
      <w:r>
        <w:t xml:space="preserve"> 2015,</w:t>
      </w:r>
      <w:r w:rsidRPr="00D21F21">
        <w:t xml:space="preserve"> </w:t>
      </w:r>
      <w:r>
        <w:t>accessed 5 September 2023.</w:t>
      </w:r>
    </w:p>
  </w:footnote>
  <w:footnote w:id="8">
    <w:p w14:paraId="7875AE5C" w14:textId="77777777" w:rsidR="000E6580" w:rsidRDefault="000E6580" w:rsidP="00964A60">
      <w:pPr>
        <w:pStyle w:val="FootnoteText"/>
      </w:pPr>
      <w:r>
        <w:rPr>
          <w:rStyle w:val="FootnoteReference"/>
        </w:rPr>
        <w:footnoteRef/>
      </w:r>
      <w:r>
        <w:t xml:space="preserve"> Categories relate to areas of state spending or state revenue activity. The Commission has identified 12 expenditure categories and 7 revenue categories </w:t>
      </w:r>
      <w:r w:rsidRPr="00CA02C4">
        <w:t>(see Attachment A).</w:t>
      </w:r>
    </w:p>
  </w:footnote>
  <w:footnote w:id="9">
    <w:p w14:paraId="55AEFD00" w14:textId="45F1EFD1" w:rsidR="000E6580" w:rsidRDefault="000E6580" w:rsidP="00964A60">
      <w:pPr>
        <w:pStyle w:val="FootnoteText"/>
      </w:pPr>
      <w:r>
        <w:rPr>
          <w:rStyle w:val="FootnoteReference"/>
        </w:rPr>
        <w:footnoteRef/>
      </w:r>
      <w:r>
        <w:t xml:space="preserve"> A component refers to a particular area of spending within a broader category. For example, there are </w:t>
      </w:r>
      <w:r w:rsidR="00743509">
        <w:t>4</w:t>
      </w:r>
      <w:r>
        <w:t xml:space="preserve"> components</w:t>
      </w:r>
      <w:r w:rsidRPr="006105B7">
        <w:t xml:space="preserve"> </w:t>
      </w:r>
      <w:r>
        <w:t xml:space="preserve">within the </w:t>
      </w:r>
      <w:r w:rsidR="00296011">
        <w:t>justice</w:t>
      </w:r>
      <w:r>
        <w:t xml:space="preserve"> category. These are </w:t>
      </w:r>
      <w:r w:rsidR="00070B6F">
        <w:t>p</w:t>
      </w:r>
      <w:r w:rsidR="00296011">
        <w:t>olice</w:t>
      </w:r>
      <w:r w:rsidR="00743509">
        <w:t xml:space="preserve">, </w:t>
      </w:r>
      <w:r w:rsidR="00070B6F">
        <w:t>c</w:t>
      </w:r>
      <w:r w:rsidR="00990158">
        <w:t>riminal c</w:t>
      </w:r>
      <w:r w:rsidR="00743509">
        <w:t xml:space="preserve">ourts, </w:t>
      </w:r>
      <w:r w:rsidR="00070B6F">
        <w:t>o</w:t>
      </w:r>
      <w:r w:rsidR="00990158">
        <w:t>ther legal services</w:t>
      </w:r>
      <w:r w:rsidR="00D5135A">
        <w:t xml:space="preserve"> and </w:t>
      </w:r>
      <w:r w:rsidR="00070B6F">
        <w:t>p</w:t>
      </w:r>
      <w:r w:rsidR="00D5135A">
        <w:t>risons</w:t>
      </w:r>
      <w:r>
        <w:t>.</w:t>
      </w:r>
    </w:p>
  </w:footnote>
  <w:footnote w:id="10">
    <w:p w14:paraId="3C52ED4B" w14:textId="0B89D1E5" w:rsidR="001A302E" w:rsidRDefault="001A302E" w:rsidP="00964A60">
      <w:pPr>
        <w:pStyle w:val="FootnoteText"/>
      </w:pPr>
      <w:r>
        <w:rPr>
          <w:rStyle w:val="FootnoteReference"/>
        </w:rPr>
        <w:footnoteRef/>
      </w:r>
      <w:r>
        <w:t xml:space="preserve"> Preliminary ABS data are used to derive component expenditure because investment is too volatile to estimate using year 2 ABS </w:t>
      </w:r>
      <w:r w:rsidRPr="005878DA">
        <w:t>data.</w:t>
      </w:r>
    </w:p>
  </w:footnote>
  <w:footnote w:id="11">
    <w:p w14:paraId="050162C9" w14:textId="116F3180" w:rsidR="00DF35F1" w:rsidRDefault="00DF35F1" w:rsidP="00964A60">
      <w:pPr>
        <w:pStyle w:val="FootnoteText"/>
      </w:pPr>
      <w:r w:rsidRPr="00812980">
        <w:rPr>
          <w:rStyle w:val="FootnoteReference"/>
        </w:rPr>
        <w:footnoteRef/>
      </w:r>
      <w:r w:rsidRPr="00812980">
        <w:t xml:space="preserve"> </w:t>
      </w:r>
      <w:r w:rsidR="0052476A" w:rsidRPr="00812980">
        <w:t xml:space="preserve">Preliminary ABS data are used to create the component split for year 3 in the 2025 Review as the </w:t>
      </w:r>
      <w:r w:rsidR="006E2786" w:rsidRPr="00812980">
        <w:t>2023</w:t>
      </w:r>
      <w:r w:rsidR="00A322D2">
        <w:t>–</w:t>
      </w:r>
      <w:r w:rsidR="006E2786" w:rsidRPr="00812980">
        <w:t xml:space="preserve">24 </w:t>
      </w:r>
      <w:r w:rsidR="0052476A" w:rsidRPr="00812980">
        <w:t xml:space="preserve">assessment year </w:t>
      </w:r>
      <w:r w:rsidR="008E33AA" w:rsidRPr="00812980">
        <w:t xml:space="preserve">data </w:t>
      </w:r>
      <w:r w:rsidR="006E2786" w:rsidRPr="00812980">
        <w:t xml:space="preserve">may still contain residual </w:t>
      </w:r>
      <w:r w:rsidR="00D116E6" w:rsidRPr="00812980">
        <w:t xml:space="preserve">amounts of </w:t>
      </w:r>
      <w:r w:rsidR="008E33AA" w:rsidRPr="00812980">
        <w:t>COVID</w:t>
      </w:r>
      <w:r w:rsidR="00643B2A">
        <w:noBreakHyphen/>
      </w:r>
      <w:r w:rsidR="008E46C2">
        <w:t>19</w:t>
      </w:r>
      <w:r w:rsidR="008E33AA" w:rsidRPr="00812980">
        <w:t xml:space="preserve"> payments</w:t>
      </w:r>
      <w:r w:rsidR="006754DC" w:rsidRPr="00812980">
        <w:t>.</w:t>
      </w:r>
      <w:r w:rsidR="00AE04A8" w:rsidRPr="00812980">
        <w:t xml:space="preserve"> If it is found that no COVID</w:t>
      </w:r>
      <w:r w:rsidR="00421AFD">
        <w:t>-19</w:t>
      </w:r>
      <w:r w:rsidR="00AE04A8" w:rsidRPr="00812980">
        <w:t xml:space="preserve"> payments are being included in the </w:t>
      </w:r>
      <w:r w:rsidR="00E735F0" w:rsidRPr="00812980">
        <w:t>preliminary ABS data</w:t>
      </w:r>
      <w:r w:rsidR="00D5373F" w:rsidRPr="00812980">
        <w:t xml:space="preserve"> going forward</w:t>
      </w:r>
      <w:r w:rsidR="00E735F0" w:rsidRPr="00812980">
        <w:t xml:space="preserve">, </w:t>
      </w:r>
      <w:r w:rsidR="00A350A5" w:rsidRPr="00812980">
        <w:t>components can revert to being based on final ABS year 2 proportions.</w:t>
      </w:r>
    </w:p>
  </w:footnote>
  <w:footnote w:id="12">
    <w:p w14:paraId="0DE474C0" w14:textId="48BEBE39" w:rsidR="00525BDF" w:rsidRDefault="00525BDF" w:rsidP="00964A60">
      <w:pPr>
        <w:pStyle w:val="FootnoteText"/>
      </w:pPr>
      <w:r w:rsidRPr="00E173CC">
        <w:rPr>
          <w:rStyle w:val="FootnoteReference"/>
        </w:rPr>
        <w:footnoteRef/>
      </w:r>
      <w:r w:rsidRPr="00E173CC">
        <w:t xml:space="preserve"> </w:t>
      </w:r>
      <w:r w:rsidR="00ED72C7" w:rsidRPr="00E173CC">
        <w:t>New adjustments a</w:t>
      </w:r>
      <w:r w:rsidR="00FE22F3" w:rsidRPr="00E173CC">
        <w:t xml:space="preserve">re made to all </w:t>
      </w:r>
      <w:r w:rsidR="00882951" w:rsidRPr="00E173CC">
        <w:t xml:space="preserve">relevant assessment years in the </w:t>
      </w:r>
      <w:r w:rsidR="00737079" w:rsidRPr="00E173CC">
        <w:t xml:space="preserve">current review or update. </w:t>
      </w:r>
      <w:r w:rsidR="00A335E3" w:rsidRPr="00E173CC">
        <w:t>New a</w:t>
      </w:r>
      <w:r w:rsidR="00737079" w:rsidRPr="00E173CC">
        <w:t>djustments are not applied retrospectively</w:t>
      </w:r>
      <w:r w:rsidR="00001E9B" w:rsidRPr="00E173CC">
        <w:t>.</w:t>
      </w:r>
    </w:p>
  </w:footnote>
  <w:footnote w:id="13">
    <w:p w14:paraId="6FE996E6" w14:textId="6A7E793D" w:rsidR="004C6846" w:rsidRDefault="004C6846" w:rsidP="00964A60">
      <w:pPr>
        <w:pStyle w:val="FootnoteText"/>
      </w:pPr>
      <w:r>
        <w:rPr>
          <w:rStyle w:val="FootnoteReference"/>
        </w:rPr>
        <w:footnoteRef/>
      </w:r>
      <w:r w:rsidR="00AB431F">
        <w:t xml:space="preserve"> </w:t>
      </w:r>
      <w:r>
        <w:t xml:space="preserve">Refer to ABS catalogue </w:t>
      </w:r>
      <w:r>
        <w:rPr>
          <w:i/>
        </w:rPr>
        <w:t>Australian System of Government Finance Statistics: Concepts, Sources and Methods 2015</w:t>
      </w:r>
      <w:r w:rsidRPr="00D239F3">
        <w:t xml:space="preserve"> </w:t>
      </w:r>
      <w:r>
        <w:t xml:space="preserve">for details of </w:t>
      </w:r>
      <w:r w:rsidRPr="00E06E03">
        <w:t>G</w:t>
      </w:r>
      <w:r>
        <w:t xml:space="preserve">overnment </w:t>
      </w:r>
      <w:r w:rsidRPr="00E06E03">
        <w:t>F</w:t>
      </w:r>
      <w:r>
        <w:t xml:space="preserve">inancial </w:t>
      </w:r>
      <w:r w:rsidRPr="00E06E03">
        <w:t>S</w:t>
      </w:r>
      <w:r>
        <w:t xml:space="preserve">tatistics concepts and definition of </w:t>
      </w:r>
      <w:r w:rsidRPr="00AD5306">
        <w:t>Government Financial Statistics</w:t>
      </w:r>
      <w:r>
        <w:t xml:space="preserve">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1708" w14:textId="11CB9713" w:rsidR="00B328C9" w:rsidRDefault="00B328C9">
    <w:pPr>
      <w:pStyle w:val="Header"/>
    </w:pPr>
    <w:r>
      <w:rPr>
        <w:noProof/>
      </w:rPr>
      <mc:AlternateContent>
        <mc:Choice Requires="wps">
          <w:drawing>
            <wp:anchor distT="0" distB="0" distL="0" distR="0" simplePos="0" relativeHeight="251658241" behindDoc="0" locked="0" layoutInCell="1" allowOverlap="1" wp14:anchorId="4A6F7B02" wp14:editId="31478907">
              <wp:simplePos x="635" y="635"/>
              <wp:positionH relativeFrom="page">
                <wp:align>center</wp:align>
              </wp:positionH>
              <wp:positionV relativeFrom="page">
                <wp:align>top</wp:align>
              </wp:positionV>
              <wp:extent cx="443865" cy="443865"/>
              <wp:effectExtent l="0" t="0" r="635" b="1270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B1D9E" w14:textId="351C2691"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F7B02"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2B1D9E" w14:textId="351C2691"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451" w14:textId="7FBC0149" w:rsidR="00B328C9" w:rsidRDefault="00B328C9">
    <w:pPr>
      <w:pStyle w:val="Header"/>
    </w:pPr>
    <w:r>
      <w:rPr>
        <w:noProof/>
      </w:rPr>
      <mc:AlternateContent>
        <mc:Choice Requires="wps">
          <w:drawing>
            <wp:anchor distT="0" distB="0" distL="0" distR="0" simplePos="0" relativeHeight="251658240" behindDoc="0" locked="0" layoutInCell="1" allowOverlap="1" wp14:anchorId="6A8A4939" wp14:editId="3667573B">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7E5F0" w14:textId="21BD07CC"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A4939"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77E5F0" w14:textId="21BD07CC"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095A" w14:textId="2840CFF2" w:rsidR="00B328C9" w:rsidRDefault="00B328C9">
    <w:pPr>
      <w:pStyle w:val="Header"/>
    </w:pPr>
    <w:r>
      <w:rPr>
        <w:noProof/>
      </w:rPr>
      <mc:AlternateContent>
        <mc:Choice Requires="wps">
          <w:drawing>
            <wp:anchor distT="0" distB="0" distL="0" distR="0" simplePos="0" relativeHeight="251658244" behindDoc="0" locked="0" layoutInCell="1" allowOverlap="1" wp14:anchorId="59764789" wp14:editId="6BD57944">
              <wp:simplePos x="635" y="635"/>
              <wp:positionH relativeFrom="page">
                <wp:align>center</wp:align>
              </wp:positionH>
              <wp:positionV relativeFrom="page">
                <wp:align>top</wp:align>
              </wp:positionV>
              <wp:extent cx="443865" cy="443865"/>
              <wp:effectExtent l="0" t="0" r="635" b="1270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C0E6F" w14:textId="25C268F4"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64789" id="_x0000_t202" coordsize="21600,21600" o:spt="202" path="m,l,21600r21600,l21600,xe">
              <v:stroke joinstyle="miter"/>
              <v:path gradientshapeok="t" o:connecttype="rect"/>
            </v:shapetype>
            <v:shape id="Text Box 18" o:spid="_x0000_s1030"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9FC0E6F" w14:textId="25C268F4"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BC4F" w14:textId="577D6F6D" w:rsidR="00B328C9" w:rsidRDefault="00B328C9">
    <w:pPr>
      <w:pStyle w:val="Header"/>
    </w:pPr>
    <w:r>
      <w:rPr>
        <w:noProof/>
      </w:rPr>
      <mc:AlternateContent>
        <mc:Choice Requires="wps">
          <w:drawing>
            <wp:anchor distT="0" distB="0" distL="0" distR="0" simplePos="0" relativeHeight="251658245" behindDoc="0" locked="0" layoutInCell="1" allowOverlap="1" wp14:anchorId="0228970C" wp14:editId="3212EAA3">
              <wp:simplePos x="635" y="635"/>
              <wp:positionH relativeFrom="page">
                <wp:align>center</wp:align>
              </wp:positionH>
              <wp:positionV relativeFrom="page">
                <wp:align>top</wp:align>
              </wp:positionV>
              <wp:extent cx="443865" cy="443865"/>
              <wp:effectExtent l="0" t="0" r="635" b="1270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9868D" w14:textId="581BAEE8"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28970C" id="_x0000_t202" coordsize="21600,21600" o:spt="202" path="m,l,21600r21600,l21600,xe">
              <v:stroke joinstyle="miter"/>
              <v:path gradientshapeok="t" o:connecttype="rect"/>
            </v:shapetype>
            <v:shape id="Text Box 19" o:spid="_x0000_s1031"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9868D" w14:textId="581BAEE8"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1AA5" w14:textId="48EA0939" w:rsidR="00B328C9" w:rsidRDefault="00B328C9">
    <w:pPr>
      <w:pStyle w:val="Header"/>
    </w:pPr>
    <w:r>
      <w:rPr>
        <w:noProof/>
      </w:rPr>
      <mc:AlternateContent>
        <mc:Choice Requires="wps">
          <w:drawing>
            <wp:anchor distT="0" distB="0" distL="0" distR="0" simplePos="0" relativeHeight="251658243" behindDoc="0" locked="0" layoutInCell="1" allowOverlap="1" wp14:anchorId="5570A799" wp14:editId="6517F201">
              <wp:simplePos x="635" y="635"/>
              <wp:positionH relativeFrom="page">
                <wp:align>center</wp:align>
              </wp:positionH>
              <wp:positionV relativeFrom="page">
                <wp:align>top</wp:align>
              </wp:positionV>
              <wp:extent cx="443865" cy="443865"/>
              <wp:effectExtent l="0" t="0" r="635" b="1270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9C60F" w14:textId="20B02E67"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0A799" id="_x0000_t202" coordsize="21600,21600" o:spt="202" path="m,l,21600r21600,l21600,xe">
              <v:stroke joinstyle="miter"/>
              <v:path gradientshapeok="t" o:connecttype="rect"/>
            </v:shapetype>
            <v:shape id="Text Box 22" o:spid="_x0000_s1034"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E79C60F" w14:textId="20B02E67" w:rsidR="00B328C9" w:rsidRPr="00B328C9" w:rsidRDefault="00B328C9" w:rsidP="00B328C9">
                    <w:pPr>
                      <w:rPr>
                        <w:rFonts w:ascii="Calibri" w:eastAsia="Calibri" w:hAnsi="Calibri" w:cs="Calibri"/>
                        <w:noProof/>
                        <w:color w:val="FF0000"/>
                        <w:sz w:val="24"/>
                        <w:szCs w:val="24"/>
                      </w:rPr>
                    </w:pPr>
                    <w:r w:rsidRPr="00B328C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2782C"/>
    <w:multiLevelType w:val="hybridMultilevel"/>
    <w:tmpl w:val="22E4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4063E"/>
    <w:multiLevelType w:val="hybridMultilevel"/>
    <w:tmpl w:val="18A4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867EE"/>
    <w:multiLevelType w:val="hybridMultilevel"/>
    <w:tmpl w:val="1376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7" w15:restartNumberingAfterBreak="0">
    <w:nsid w:val="1F6E03D7"/>
    <w:multiLevelType w:val="multilevel"/>
    <w:tmpl w:val="E35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6A656D"/>
    <w:multiLevelType w:val="hybridMultilevel"/>
    <w:tmpl w:val="212AA4AC"/>
    <w:lvl w:ilvl="0" w:tplc="FEEE9A4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C3CDC"/>
    <w:multiLevelType w:val="hybridMultilevel"/>
    <w:tmpl w:val="F75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9" w15:restartNumberingAfterBreak="0">
    <w:nsid w:val="628E3CBE"/>
    <w:multiLevelType w:val="hybridMultilevel"/>
    <w:tmpl w:val="E4E84CB2"/>
    <w:lvl w:ilvl="0" w:tplc="D242B7E6">
      <w:start w:val="1"/>
      <w:numFmt w:val="decimal"/>
      <w:lvlText w:val="%1)"/>
      <w:lvlJc w:val="left"/>
      <w:pPr>
        <w:ind w:left="1020" w:hanging="360"/>
      </w:pPr>
    </w:lvl>
    <w:lvl w:ilvl="1" w:tplc="635E66CC">
      <w:start w:val="1"/>
      <w:numFmt w:val="decimal"/>
      <w:lvlText w:val="%2)"/>
      <w:lvlJc w:val="left"/>
      <w:pPr>
        <w:ind w:left="1020" w:hanging="360"/>
      </w:pPr>
    </w:lvl>
    <w:lvl w:ilvl="2" w:tplc="F95E413A">
      <w:start w:val="1"/>
      <w:numFmt w:val="decimal"/>
      <w:lvlText w:val="%3)"/>
      <w:lvlJc w:val="left"/>
      <w:pPr>
        <w:ind w:left="1020" w:hanging="360"/>
      </w:pPr>
    </w:lvl>
    <w:lvl w:ilvl="3" w:tplc="D144B1B8">
      <w:start w:val="1"/>
      <w:numFmt w:val="decimal"/>
      <w:lvlText w:val="%4)"/>
      <w:lvlJc w:val="left"/>
      <w:pPr>
        <w:ind w:left="1020" w:hanging="360"/>
      </w:pPr>
    </w:lvl>
    <w:lvl w:ilvl="4" w:tplc="7FB0EC62">
      <w:start w:val="1"/>
      <w:numFmt w:val="decimal"/>
      <w:lvlText w:val="%5)"/>
      <w:lvlJc w:val="left"/>
      <w:pPr>
        <w:ind w:left="1020" w:hanging="360"/>
      </w:pPr>
    </w:lvl>
    <w:lvl w:ilvl="5" w:tplc="307C642A">
      <w:start w:val="1"/>
      <w:numFmt w:val="decimal"/>
      <w:lvlText w:val="%6)"/>
      <w:lvlJc w:val="left"/>
      <w:pPr>
        <w:ind w:left="1020" w:hanging="360"/>
      </w:pPr>
    </w:lvl>
    <w:lvl w:ilvl="6" w:tplc="1A686AB2">
      <w:start w:val="1"/>
      <w:numFmt w:val="decimal"/>
      <w:lvlText w:val="%7)"/>
      <w:lvlJc w:val="left"/>
      <w:pPr>
        <w:ind w:left="1020" w:hanging="360"/>
      </w:pPr>
    </w:lvl>
    <w:lvl w:ilvl="7" w:tplc="A8822EB0">
      <w:start w:val="1"/>
      <w:numFmt w:val="decimal"/>
      <w:lvlText w:val="%8)"/>
      <w:lvlJc w:val="left"/>
      <w:pPr>
        <w:ind w:left="1020" w:hanging="360"/>
      </w:pPr>
    </w:lvl>
    <w:lvl w:ilvl="8" w:tplc="5EA2DFC6">
      <w:start w:val="1"/>
      <w:numFmt w:val="decimal"/>
      <w:lvlText w:val="%9)"/>
      <w:lvlJc w:val="left"/>
      <w:pPr>
        <w:ind w:left="1020" w:hanging="360"/>
      </w:p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6F9C7F05"/>
    <w:multiLevelType w:val="multilevel"/>
    <w:tmpl w:val="B5561550"/>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617D7"/>
    <w:multiLevelType w:val="hybridMultilevel"/>
    <w:tmpl w:val="A3FE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357354">
    <w:abstractNumId w:val="8"/>
  </w:num>
  <w:num w:numId="2" w16cid:durableId="1003897054">
    <w:abstractNumId w:val="23"/>
  </w:num>
  <w:num w:numId="3" w16cid:durableId="1334529044">
    <w:abstractNumId w:val="6"/>
  </w:num>
  <w:num w:numId="4" w16cid:durableId="1514761234">
    <w:abstractNumId w:val="5"/>
  </w:num>
  <w:num w:numId="5" w16cid:durableId="920797300">
    <w:abstractNumId w:val="0"/>
  </w:num>
  <w:num w:numId="6" w16cid:durableId="1807814447">
    <w:abstractNumId w:val="20"/>
  </w:num>
  <w:num w:numId="7" w16cid:durableId="801770153">
    <w:abstractNumId w:val="11"/>
  </w:num>
  <w:num w:numId="8" w16cid:durableId="1737627722">
    <w:abstractNumId w:val="21"/>
  </w:num>
  <w:num w:numId="9" w16cid:durableId="176697617">
    <w:abstractNumId w:val="4"/>
  </w:num>
  <w:num w:numId="10" w16cid:durableId="1408111535">
    <w:abstractNumId w:val="15"/>
  </w:num>
  <w:num w:numId="11" w16cid:durableId="2080126907">
    <w:abstractNumId w:val="16"/>
  </w:num>
  <w:num w:numId="12" w16cid:durableId="58332428">
    <w:abstractNumId w:val="9"/>
  </w:num>
  <w:num w:numId="13" w16cid:durableId="548763162">
    <w:abstractNumId w:val="18"/>
  </w:num>
  <w:num w:numId="14" w16cid:durableId="1168401533">
    <w:abstractNumId w:val="12"/>
  </w:num>
  <w:num w:numId="15" w16cid:durableId="1946618260">
    <w:abstractNumId w:val="22"/>
  </w:num>
  <w:num w:numId="16" w16cid:durableId="332336816">
    <w:abstractNumId w:val="17"/>
  </w:num>
  <w:num w:numId="17" w16cid:durableId="2120252341">
    <w:abstractNumId w:val="10"/>
  </w:num>
  <w:num w:numId="18" w16cid:durableId="558368312">
    <w:abstractNumId w:val="14"/>
  </w:num>
  <w:num w:numId="19" w16cid:durableId="507718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973056">
    <w:abstractNumId w:val="24"/>
  </w:num>
  <w:num w:numId="21" w16cid:durableId="2143493752">
    <w:abstractNumId w:val="3"/>
  </w:num>
  <w:num w:numId="22" w16cid:durableId="1707173788">
    <w:abstractNumId w:val="7"/>
  </w:num>
  <w:num w:numId="23" w16cid:durableId="1492210239">
    <w:abstractNumId w:val="1"/>
  </w:num>
  <w:num w:numId="24" w16cid:durableId="1339574787">
    <w:abstractNumId w:val="2"/>
  </w:num>
  <w:num w:numId="25" w16cid:durableId="677538417">
    <w:abstractNumId w:val="13"/>
  </w:num>
  <w:num w:numId="26" w16cid:durableId="73959321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56A"/>
    <w:rsid w:val="000009EF"/>
    <w:rsid w:val="00000AB2"/>
    <w:rsid w:val="00000BBA"/>
    <w:rsid w:val="00000C9F"/>
    <w:rsid w:val="00001078"/>
    <w:rsid w:val="00001182"/>
    <w:rsid w:val="000014F2"/>
    <w:rsid w:val="00001882"/>
    <w:rsid w:val="000019C0"/>
    <w:rsid w:val="00001D3C"/>
    <w:rsid w:val="00001D6F"/>
    <w:rsid w:val="00001DA2"/>
    <w:rsid w:val="00001E8B"/>
    <w:rsid w:val="00001E9B"/>
    <w:rsid w:val="00001F60"/>
    <w:rsid w:val="00002144"/>
    <w:rsid w:val="000021B7"/>
    <w:rsid w:val="000021F8"/>
    <w:rsid w:val="00002343"/>
    <w:rsid w:val="00002356"/>
    <w:rsid w:val="000025E6"/>
    <w:rsid w:val="00002626"/>
    <w:rsid w:val="00002923"/>
    <w:rsid w:val="00002ECC"/>
    <w:rsid w:val="00002F86"/>
    <w:rsid w:val="000032B9"/>
    <w:rsid w:val="000036D8"/>
    <w:rsid w:val="00003799"/>
    <w:rsid w:val="00003B1C"/>
    <w:rsid w:val="0000427F"/>
    <w:rsid w:val="000042F1"/>
    <w:rsid w:val="000043F9"/>
    <w:rsid w:val="00004719"/>
    <w:rsid w:val="0000485A"/>
    <w:rsid w:val="00004B1A"/>
    <w:rsid w:val="00004C67"/>
    <w:rsid w:val="00004E0A"/>
    <w:rsid w:val="000053F8"/>
    <w:rsid w:val="00005ADD"/>
    <w:rsid w:val="00005D6D"/>
    <w:rsid w:val="00005EEE"/>
    <w:rsid w:val="0000618C"/>
    <w:rsid w:val="0000644C"/>
    <w:rsid w:val="0000648D"/>
    <w:rsid w:val="00006AF0"/>
    <w:rsid w:val="00006C9A"/>
    <w:rsid w:val="00006E30"/>
    <w:rsid w:val="00006EC6"/>
    <w:rsid w:val="00006F3D"/>
    <w:rsid w:val="000073AC"/>
    <w:rsid w:val="00007455"/>
    <w:rsid w:val="00007847"/>
    <w:rsid w:val="00007899"/>
    <w:rsid w:val="0000793E"/>
    <w:rsid w:val="00007AB8"/>
    <w:rsid w:val="00007B11"/>
    <w:rsid w:val="00007C9F"/>
    <w:rsid w:val="00007FD5"/>
    <w:rsid w:val="000105A1"/>
    <w:rsid w:val="00010711"/>
    <w:rsid w:val="00010A07"/>
    <w:rsid w:val="00010B75"/>
    <w:rsid w:val="00010CEC"/>
    <w:rsid w:val="00010CFF"/>
    <w:rsid w:val="00010E22"/>
    <w:rsid w:val="00010F5B"/>
    <w:rsid w:val="0001108A"/>
    <w:rsid w:val="000112A8"/>
    <w:rsid w:val="00011683"/>
    <w:rsid w:val="000117B4"/>
    <w:rsid w:val="00011BB3"/>
    <w:rsid w:val="00011C73"/>
    <w:rsid w:val="00011D1A"/>
    <w:rsid w:val="00011DA8"/>
    <w:rsid w:val="00011F7D"/>
    <w:rsid w:val="000120A6"/>
    <w:rsid w:val="0001218F"/>
    <w:rsid w:val="000126DF"/>
    <w:rsid w:val="00012967"/>
    <w:rsid w:val="00012AC0"/>
    <w:rsid w:val="00012ACA"/>
    <w:rsid w:val="00012B67"/>
    <w:rsid w:val="00012C74"/>
    <w:rsid w:val="00012EB0"/>
    <w:rsid w:val="00013B63"/>
    <w:rsid w:val="00014145"/>
    <w:rsid w:val="000141E3"/>
    <w:rsid w:val="00014225"/>
    <w:rsid w:val="00014864"/>
    <w:rsid w:val="000148C5"/>
    <w:rsid w:val="0001491F"/>
    <w:rsid w:val="00014AA2"/>
    <w:rsid w:val="00014B98"/>
    <w:rsid w:val="00014CB0"/>
    <w:rsid w:val="000150BF"/>
    <w:rsid w:val="00015283"/>
    <w:rsid w:val="000154B6"/>
    <w:rsid w:val="00015500"/>
    <w:rsid w:val="000156B2"/>
    <w:rsid w:val="0001570C"/>
    <w:rsid w:val="00015818"/>
    <w:rsid w:val="00015A97"/>
    <w:rsid w:val="00015C57"/>
    <w:rsid w:val="00015D0B"/>
    <w:rsid w:val="00015DA7"/>
    <w:rsid w:val="00015F28"/>
    <w:rsid w:val="00016101"/>
    <w:rsid w:val="000162E7"/>
    <w:rsid w:val="00016307"/>
    <w:rsid w:val="0001698B"/>
    <w:rsid w:val="00016C62"/>
    <w:rsid w:val="00016FE0"/>
    <w:rsid w:val="00016FE9"/>
    <w:rsid w:val="00017386"/>
    <w:rsid w:val="00017640"/>
    <w:rsid w:val="000176D7"/>
    <w:rsid w:val="0001770B"/>
    <w:rsid w:val="000178EF"/>
    <w:rsid w:val="000179C8"/>
    <w:rsid w:val="00017C33"/>
    <w:rsid w:val="00017DD9"/>
    <w:rsid w:val="00017E5B"/>
    <w:rsid w:val="00017EB6"/>
    <w:rsid w:val="0002041C"/>
    <w:rsid w:val="000204C9"/>
    <w:rsid w:val="00020669"/>
    <w:rsid w:val="00020799"/>
    <w:rsid w:val="00020D21"/>
    <w:rsid w:val="00020EA3"/>
    <w:rsid w:val="000211BB"/>
    <w:rsid w:val="00021271"/>
    <w:rsid w:val="00021727"/>
    <w:rsid w:val="00021827"/>
    <w:rsid w:val="00021C7A"/>
    <w:rsid w:val="00021E88"/>
    <w:rsid w:val="00022166"/>
    <w:rsid w:val="00022C1B"/>
    <w:rsid w:val="00022CE0"/>
    <w:rsid w:val="00022EA9"/>
    <w:rsid w:val="00022F81"/>
    <w:rsid w:val="00023068"/>
    <w:rsid w:val="00023137"/>
    <w:rsid w:val="00023634"/>
    <w:rsid w:val="00023AE7"/>
    <w:rsid w:val="00023B03"/>
    <w:rsid w:val="00023BDB"/>
    <w:rsid w:val="00023DB6"/>
    <w:rsid w:val="00024069"/>
    <w:rsid w:val="000246BA"/>
    <w:rsid w:val="000246EB"/>
    <w:rsid w:val="00024745"/>
    <w:rsid w:val="00024A4B"/>
    <w:rsid w:val="00024CD0"/>
    <w:rsid w:val="00024D5F"/>
    <w:rsid w:val="00025158"/>
    <w:rsid w:val="000251CC"/>
    <w:rsid w:val="00025242"/>
    <w:rsid w:val="00025612"/>
    <w:rsid w:val="00025B1F"/>
    <w:rsid w:val="00025CB3"/>
    <w:rsid w:val="00025D0B"/>
    <w:rsid w:val="00025D1C"/>
    <w:rsid w:val="00025E94"/>
    <w:rsid w:val="00026337"/>
    <w:rsid w:val="00026522"/>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862"/>
    <w:rsid w:val="00027ABE"/>
    <w:rsid w:val="00030205"/>
    <w:rsid w:val="00030516"/>
    <w:rsid w:val="00030595"/>
    <w:rsid w:val="00030629"/>
    <w:rsid w:val="00030C3F"/>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32A"/>
    <w:rsid w:val="000344F5"/>
    <w:rsid w:val="00034622"/>
    <w:rsid w:val="00034916"/>
    <w:rsid w:val="00034DBB"/>
    <w:rsid w:val="00034F08"/>
    <w:rsid w:val="0003520F"/>
    <w:rsid w:val="000354A8"/>
    <w:rsid w:val="000355D9"/>
    <w:rsid w:val="00035F2E"/>
    <w:rsid w:val="000361BA"/>
    <w:rsid w:val="000363C5"/>
    <w:rsid w:val="0003642D"/>
    <w:rsid w:val="000364B2"/>
    <w:rsid w:val="000364E9"/>
    <w:rsid w:val="00036C51"/>
    <w:rsid w:val="00036F1C"/>
    <w:rsid w:val="0003709D"/>
    <w:rsid w:val="000370C8"/>
    <w:rsid w:val="0003719B"/>
    <w:rsid w:val="000372BA"/>
    <w:rsid w:val="000376F9"/>
    <w:rsid w:val="0003775E"/>
    <w:rsid w:val="00037891"/>
    <w:rsid w:val="00037B34"/>
    <w:rsid w:val="00037D04"/>
    <w:rsid w:val="00040135"/>
    <w:rsid w:val="000402A1"/>
    <w:rsid w:val="00040571"/>
    <w:rsid w:val="00040601"/>
    <w:rsid w:val="00040630"/>
    <w:rsid w:val="0004099C"/>
    <w:rsid w:val="00040CCA"/>
    <w:rsid w:val="00040D48"/>
    <w:rsid w:val="000410C8"/>
    <w:rsid w:val="0004123E"/>
    <w:rsid w:val="00041299"/>
    <w:rsid w:val="0004156A"/>
    <w:rsid w:val="00041748"/>
    <w:rsid w:val="00041E1B"/>
    <w:rsid w:val="00041E84"/>
    <w:rsid w:val="00042271"/>
    <w:rsid w:val="0004236F"/>
    <w:rsid w:val="000424EA"/>
    <w:rsid w:val="0004258C"/>
    <w:rsid w:val="000429BB"/>
    <w:rsid w:val="00042E37"/>
    <w:rsid w:val="00042E9E"/>
    <w:rsid w:val="000435A8"/>
    <w:rsid w:val="00043611"/>
    <w:rsid w:val="00043725"/>
    <w:rsid w:val="00043B5D"/>
    <w:rsid w:val="00043CB1"/>
    <w:rsid w:val="00043CFE"/>
    <w:rsid w:val="000442AA"/>
    <w:rsid w:val="00044479"/>
    <w:rsid w:val="0004456B"/>
    <w:rsid w:val="0004496F"/>
    <w:rsid w:val="000451DA"/>
    <w:rsid w:val="0004569D"/>
    <w:rsid w:val="000456E8"/>
    <w:rsid w:val="00045736"/>
    <w:rsid w:val="00045C11"/>
    <w:rsid w:val="00045F82"/>
    <w:rsid w:val="00046397"/>
    <w:rsid w:val="00046506"/>
    <w:rsid w:val="000465BD"/>
    <w:rsid w:val="00046664"/>
    <w:rsid w:val="00046859"/>
    <w:rsid w:val="00046A37"/>
    <w:rsid w:val="00046B06"/>
    <w:rsid w:val="000470A2"/>
    <w:rsid w:val="00047216"/>
    <w:rsid w:val="000472A2"/>
    <w:rsid w:val="000472DB"/>
    <w:rsid w:val="00047690"/>
    <w:rsid w:val="00047812"/>
    <w:rsid w:val="00047856"/>
    <w:rsid w:val="00047951"/>
    <w:rsid w:val="00047AB0"/>
    <w:rsid w:val="00047DF1"/>
    <w:rsid w:val="00047E5A"/>
    <w:rsid w:val="0005017B"/>
    <w:rsid w:val="00050549"/>
    <w:rsid w:val="000508D3"/>
    <w:rsid w:val="0005105B"/>
    <w:rsid w:val="00051114"/>
    <w:rsid w:val="0005122E"/>
    <w:rsid w:val="00051B92"/>
    <w:rsid w:val="00051F3C"/>
    <w:rsid w:val="000520AF"/>
    <w:rsid w:val="0005213A"/>
    <w:rsid w:val="000525F5"/>
    <w:rsid w:val="0005267D"/>
    <w:rsid w:val="0005289F"/>
    <w:rsid w:val="00052A01"/>
    <w:rsid w:val="00052DA0"/>
    <w:rsid w:val="00052EF2"/>
    <w:rsid w:val="00053480"/>
    <w:rsid w:val="00053497"/>
    <w:rsid w:val="00053512"/>
    <w:rsid w:val="00053581"/>
    <w:rsid w:val="000536D3"/>
    <w:rsid w:val="00053756"/>
    <w:rsid w:val="0005377C"/>
    <w:rsid w:val="0005381C"/>
    <w:rsid w:val="00053846"/>
    <w:rsid w:val="00053C36"/>
    <w:rsid w:val="00053D7B"/>
    <w:rsid w:val="00053F80"/>
    <w:rsid w:val="000540CC"/>
    <w:rsid w:val="0005410D"/>
    <w:rsid w:val="000541B6"/>
    <w:rsid w:val="00054309"/>
    <w:rsid w:val="00054311"/>
    <w:rsid w:val="0005440A"/>
    <w:rsid w:val="0005450F"/>
    <w:rsid w:val="0005451C"/>
    <w:rsid w:val="00054C3B"/>
    <w:rsid w:val="000554BF"/>
    <w:rsid w:val="000555DB"/>
    <w:rsid w:val="00055A2D"/>
    <w:rsid w:val="00055F5A"/>
    <w:rsid w:val="00056371"/>
    <w:rsid w:val="00056373"/>
    <w:rsid w:val="0005670B"/>
    <w:rsid w:val="000568F5"/>
    <w:rsid w:val="000569CD"/>
    <w:rsid w:val="00056E89"/>
    <w:rsid w:val="00057762"/>
    <w:rsid w:val="00057A4E"/>
    <w:rsid w:val="00057A71"/>
    <w:rsid w:val="00057AED"/>
    <w:rsid w:val="00057D13"/>
    <w:rsid w:val="00057E0B"/>
    <w:rsid w:val="00060163"/>
    <w:rsid w:val="000604C7"/>
    <w:rsid w:val="0006050F"/>
    <w:rsid w:val="000607C2"/>
    <w:rsid w:val="00060A59"/>
    <w:rsid w:val="00060B83"/>
    <w:rsid w:val="00060CA5"/>
    <w:rsid w:val="00060FD3"/>
    <w:rsid w:val="0006104A"/>
    <w:rsid w:val="00061111"/>
    <w:rsid w:val="00061233"/>
    <w:rsid w:val="00061532"/>
    <w:rsid w:val="00061535"/>
    <w:rsid w:val="0006177C"/>
    <w:rsid w:val="00061933"/>
    <w:rsid w:val="00061993"/>
    <w:rsid w:val="00061A6D"/>
    <w:rsid w:val="00061B8C"/>
    <w:rsid w:val="00061C8F"/>
    <w:rsid w:val="00062143"/>
    <w:rsid w:val="00062267"/>
    <w:rsid w:val="00062330"/>
    <w:rsid w:val="000624BB"/>
    <w:rsid w:val="00062C57"/>
    <w:rsid w:val="00062C8A"/>
    <w:rsid w:val="00062D47"/>
    <w:rsid w:val="00062EE9"/>
    <w:rsid w:val="000633E8"/>
    <w:rsid w:val="00063437"/>
    <w:rsid w:val="0006366E"/>
    <w:rsid w:val="00063A65"/>
    <w:rsid w:val="00063F52"/>
    <w:rsid w:val="000641EB"/>
    <w:rsid w:val="00064557"/>
    <w:rsid w:val="000648E8"/>
    <w:rsid w:val="00064BB3"/>
    <w:rsid w:val="00064CE5"/>
    <w:rsid w:val="00064FAA"/>
    <w:rsid w:val="0006519E"/>
    <w:rsid w:val="000651D2"/>
    <w:rsid w:val="000653F5"/>
    <w:rsid w:val="000656EC"/>
    <w:rsid w:val="000657A7"/>
    <w:rsid w:val="00065890"/>
    <w:rsid w:val="00065BF3"/>
    <w:rsid w:val="000665AB"/>
    <w:rsid w:val="00066C63"/>
    <w:rsid w:val="00066D82"/>
    <w:rsid w:val="00066E63"/>
    <w:rsid w:val="00066F8C"/>
    <w:rsid w:val="00066FC9"/>
    <w:rsid w:val="0006731D"/>
    <w:rsid w:val="00067789"/>
    <w:rsid w:val="00067964"/>
    <w:rsid w:val="000679BC"/>
    <w:rsid w:val="000702C3"/>
    <w:rsid w:val="000706DC"/>
    <w:rsid w:val="00070862"/>
    <w:rsid w:val="00070B45"/>
    <w:rsid w:val="00070B6F"/>
    <w:rsid w:val="00070B8E"/>
    <w:rsid w:val="00070D3C"/>
    <w:rsid w:val="00070D80"/>
    <w:rsid w:val="00070EA5"/>
    <w:rsid w:val="0007102B"/>
    <w:rsid w:val="00071067"/>
    <w:rsid w:val="000715CE"/>
    <w:rsid w:val="00071749"/>
    <w:rsid w:val="0007176E"/>
    <w:rsid w:val="000717CB"/>
    <w:rsid w:val="0007185D"/>
    <w:rsid w:val="0007191B"/>
    <w:rsid w:val="000719A2"/>
    <w:rsid w:val="00071EF7"/>
    <w:rsid w:val="00071F1E"/>
    <w:rsid w:val="00072271"/>
    <w:rsid w:val="00072373"/>
    <w:rsid w:val="00072699"/>
    <w:rsid w:val="00072886"/>
    <w:rsid w:val="00072B41"/>
    <w:rsid w:val="00072CBE"/>
    <w:rsid w:val="0007310A"/>
    <w:rsid w:val="000731C5"/>
    <w:rsid w:val="0007335C"/>
    <w:rsid w:val="000733B7"/>
    <w:rsid w:val="000733D6"/>
    <w:rsid w:val="00073423"/>
    <w:rsid w:val="0007360C"/>
    <w:rsid w:val="000738EB"/>
    <w:rsid w:val="00073944"/>
    <w:rsid w:val="00073BF5"/>
    <w:rsid w:val="00073D9D"/>
    <w:rsid w:val="00073E21"/>
    <w:rsid w:val="00073E85"/>
    <w:rsid w:val="00073E92"/>
    <w:rsid w:val="000742AD"/>
    <w:rsid w:val="0007476E"/>
    <w:rsid w:val="00074A1E"/>
    <w:rsid w:val="00075051"/>
    <w:rsid w:val="00075593"/>
    <w:rsid w:val="0007582F"/>
    <w:rsid w:val="00075BB5"/>
    <w:rsid w:val="00076434"/>
    <w:rsid w:val="00076DA5"/>
    <w:rsid w:val="000772B1"/>
    <w:rsid w:val="000772DF"/>
    <w:rsid w:val="00077354"/>
    <w:rsid w:val="000773FA"/>
    <w:rsid w:val="000779DC"/>
    <w:rsid w:val="00077AAF"/>
    <w:rsid w:val="00077ADE"/>
    <w:rsid w:val="00077C46"/>
    <w:rsid w:val="00077FB1"/>
    <w:rsid w:val="00080439"/>
    <w:rsid w:val="000805C9"/>
    <w:rsid w:val="00080824"/>
    <w:rsid w:val="00080895"/>
    <w:rsid w:val="00080936"/>
    <w:rsid w:val="00080A84"/>
    <w:rsid w:val="000812ED"/>
    <w:rsid w:val="00081636"/>
    <w:rsid w:val="00081696"/>
    <w:rsid w:val="000816E0"/>
    <w:rsid w:val="00081905"/>
    <w:rsid w:val="000819A8"/>
    <w:rsid w:val="00081AD7"/>
    <w:rsid w:val="00081DDA"/>
    <w:rsid w:val="00081E45"/>
    <w:rsid w:val="00081F57"/>
    <w:rsid w:val="00081FAD"/>
    <w:rsid w:val="0008208B"/>
    <w:rsid w:val="00082090"/>
    <w:rsid w:val="000826D0"/>
    <w:rsid w:val="000827AD"/>
    <w:rsid w:val="0008283D"/>
    <w:rsid w:val="00082971"/>
    <w:rsid w:val="00082DEF"/>
    <w:rsid w:val="00083021"/>
    <w:rsid w:val="00083022"/>
    <w:rsid w:val="00083837"/>
    <w:rsid w:val="00083842"/>
    <w:rsid w:val="00083B06"/>
    <w:rsid w:val="000840C3"/>
    <w:rsid w:val="00084494"/>
    <w:rsid w:val="0008456B"/>
    <w:rsid w:val="000845B9"/>
    <w:rsid w:val="000847BF"/>
    <w:rsid w:val="00084B80"/>
    <w:rsid w:val="00084E96"/>
    <w:rsid w:val="00084EE0"/>
    <w:rsid w:val="00085305"/>
    <w:rsid w:val="000854AC"/>
    <w:rsid w:val="0008559A"/>
    <w:rsid w:val="000855F4"/>
    <w:rsid w:val="00085693"/>
    <w:rsid w:val="00085729"/>
    <w:rsid w:val="00085C92"/>
    <w:rsid w:val="00085D0E"/>
    <w:rsid w:val="00085DD9"/>
    <w:rsid w:val="00085EA1"/>
    <w:rsid w:val="00085FE3"/>
    <w:rsid w:val="00086045"/>
    <w:rsid w:val="000861D9"/>
    <w:rsid w:val="0008677E"/>
    <w:rsid w:val="000867DC"/>
    <w:rsid w:val="000869E1"/>
    <w:rsid w:val="000869F6"/>
    <w:rsid w:val="00086A5C"/>
    <w:rsid w:val="00086B04"/>
    <w:rsid w:val="00086C42"/>
    <w:rsid w:val="00086CBB"/>
    <w:rsid w:val="00086E69"/>
    <w:rsid w:val="00086EBC"/>
    <w:rsid w:val="0008779D"/>
    <w:rsid w:val="00087963"/>
    <w:rsid w:val="00087F7D"/>
    <w:rsid w:val="00087FC4"/>
    <w:rsid w:val="00090280"/>
    <w:rsid w:val="00090362"/>
    <w:rsid w:val="0009057E"/>
    <w:rsid w:val="00090781"/>
    <w:rsid w:val="000907C2"/>
    <w:rsid w:val="00090DBA"/>
    <w:rsid w:val="000910DA"/>
    <w:rsid w:val="00091AD2"/>
    <w:rsid w:val="00091C4F"/>
    <w:rsid w:val="00091D6E"/>
    <w:rsid w:val="00092805"/>
    <w:rsid w:val="000928AF"/>
    <w:rsid w:val="00092B65"/>
    <w:rsid w:val="00092BE3"/>
    <w:rsid w:val="00093188"/>
    <w:rsid w:val="00093603"/>
    <w:rsid w:val="00093796"/>
    <w:rsid w:val="00093910"/>
    <w:rsid w:val="000939CA"/>
    <w:rsid w:val="00094010"/>
    <w:rsid w:val="000943A8"/>
    <w:rsid w:val="000944B7"/>
    <w:rsid w:val="00094531"/>
    <w:rsid w:val="00094676"/>
    <w:rsid w:val="00094CFC"/>
    <w:rsid w:val="00094D6E"/>
    <w:rsid w:val="000950A8"/>
    <w:rsid w:val="00095321"/>
    <w:rsid w:val="0009567D"/>
    <w:rsid w:val="0009569E"/>
    <w:rsid w:val="0009586A"/>
    <w:rsid w:val="000958FB"/>
    <w:rsid w:val="00095E57"/>
    <w:rsid w:val="0009650F"/>
    <w:rsid w:val="00096616"/>
    <w:rsid w:val="000966F2"/>
    <w:rsid w:val="00096896"/>
    <w:rsid w:val="00096A17"/>
    <w:rsid w:val="00096C06"/>
    <w:rsid w:val="00096C31"/>
    <w:rsid w:val="00096E12"/>
    <w:rsid w:val="00096E4E"/>
    <w:rsid w:val="000970BA"/>
    <w:rsid w:val="00097131"/>
    <w:rsid w:val="00097192"/>
    <w:rsid w:val="00097245"/>
    <w:rsid w:val="0009745B"/>
    <w:rsid w:val="00097626"/>
    <w:rsid w:val="00097790"/>
    <w:rsid w:val="000977BA"/>
    <w:rsid w:val="00097BBE"/>
    <w:rsid w:val="00097CF0"/>
    <w:rsid w:val="00097D78"/>
    <w:rsid w:val="00097F09"/>
    <w:rsid w:val="000A00A2"/>
    <w:rsid w:val="000A011D"/>
    <w:rsid w:val="000A0154"/>
    <w:rsid w:val="000A04D9"/>
    <w:rsid w:val="000A07C9"/>
    <w:rsid w:val="000A09ED"/>
    <w:rsid w:val="000A0C19"/>
    <w:rsid w:val="000A0C33"/>
    <w:rsid w:val="000A0D9F"/>
    <w:rsid w:val="000A14F8"/>
    <w:rsid w:val="000A17C5"/>
    <w:rsid w:val="000A17F1"/>
    <w:rsid w:val="000A1954"/>
    <w:rsid w:val="000A1B09"/>
    <w:rsid w:val="000A1DED"/>
    <w:rsid w:val="000A2395"/>
    <w:rsid w:val="000A28B9"/>
    <w:rsid w:val="000A29FC"/>
    <w:rsid w:val="000A2E24"/>
    <w:rsid w:val="000A3130"/>
    <w:rsid w:val="000A336C"/>
    <w:rsid w:val="000A346F"/>
    <w:rsid w:val="000A3898"/>
    <w:rsid w:val="000A3C2F"/>
    <w:rsid w:val="000A470A"/>
    <w:rsid w:val="000A487A"/>
    <w:rsid w:val="000A4B79"/>
    <w:rsid w:val="000A4D38"/>
    <w:rsid w:val="000A52A1"/>
    <w:rsid w:val="000A5557"/>
    <w:rsid w:val="000A55E7"/>
    <w:rsid w:val="000A581E"/>
    <w:rsid w:val="000A5824"/>
    <w:rsid w:val="000A595F"/>
    <w:rsid w:val="000A5AFE"/>
    <w:rsid w:val="000A5DB9"/>
    <w:rsid w:val="000A5EB6"/>
    <w:rsid w:val="000A5F92"/>
    <w:rsid w:val="000A60B7"/>
    <w:rsid w:val="000A60D1"/>
    <w:rsid w:val="000A633D"/>
    <w:rsid w:val="000A6389"/>
    <w:rsid w:val="000A6392"/>
    <w:rsid w:val="000A646A"/>
    <w:rsid w:val="000A6922"/>
    <w:rsid w:val="000A6C2D"/>
    <w:rsid w:val="000A6D67"/>
    <w:rsid w:val="000A7143"/>
    <w:rsid w:val="000A74C3"/>
    <w:rsid w:val="000A756F"/>
    <w:rsid w:val="000A7591"/>
    <w:rsid w:val="000A7AA9"/>
    <w:rsid w:val="000A7C5E"/>
    <w:rsid w:val="000A7E55"/>
    <w:rsid w:val="000A7E96"/>
    <w:rsid w:val="000A7FA6"/>
    <w:rsid w:val="000B04AF"/>
    <w:rsid w:val="000B079F"/>
    <w:rsid w:val="000B08F0"/>
    <w:rsid w:val="000B0A33"/>
    <w:rsid w:val="000B0D24"/>
    <w:rsid w:val="000B0DE2"/>
    <w:rsid w:val="000B16CB"/>
    <w:rsid w:val="000B1905"/>
    <w:rsid w:val="000B2042"/>
    <w:rsid w:val="000B2490"/>
    <w:rsid w:val="000B2754"/>
    <w:rsid w:val="000B286B"/>
    <w:rsid w:val="000B2942"/>
    <w:rsid w:val="000B2944"/>
    <w:rsid w:val="000B2AF2"/>
    <w:rsid w:val="000B2CFB"/>
    <w:rsid w:val="000B2DCD"/>
    <w:rsid w:val="000B2DD9"/>
    <w:rsid w:val="000B2E2A"/>
    <w:rsid w:val="000B2F0F"/>
    <w:rsid w:val="000B3097"/>
    <w:rsid w:val="000B347A"/>
    <w:rsid w:val="000B3488"/>
    <w:rsid w:val="000B34CF"/>
    <w:rsid w:val="000B3557"/>
    <w:rsid w:val="000B3623"/>
    <w:rsid w:val="000B39A0"/>
    <w:rsid w:val="000B3BB2"/>
    <w:rsid w:val="000B3DC4"/>
    <w:rsid w:val="000B3EA1"/>
    <w:rsid w:val="000B3F0A"/>
    <w:rsid w:val="000B3F3E"/>
    <w:rsid w:val="000B4179"/>
    <w:rsid w:val="000B41CB"/>
    <w:rsid w:val="000B442C"/>
    <w:rsid w:val="000B486A"/>
    <w:rsid w:val="000B4935"/>
    <w:rsid w:val="000B4D0E"/>
    <w:rsid w:val="000B5042"/>
    <w:rsid w:val="000B5110"/>
    <w:rsid w:val="000B5227"/>
    <w:rsid w:val="000B53C0"/>
    <w:rsid w:val="000B53FD"/>
    <w:rsid w:val="000B56FE"/>
    <w:rsid w:val="000B5744"/>
    <w:rsid w:val="000B5997"/>
    <w:rsid w:val="000B5B36"/>
    <w:rsid w:val="000B5C2F"/>
    <w:rsid w:val="000B5C49"/>
    <w:rsid w:val="000B5CB1"/>
    <w:rsid w:val="000B60C2"/>
    <w:rsid w:val="000B61DE"/>
    <w:rsid w:val="000B638D"/>
    <w:rsid w:val="000B64E3"/>
    <w:rsid w:val="000B689B"/>
    <w:rsid w:val="000B73C6"/>
    <w:rsid w:val="000B75B9"/>
    <w:rsid w:val="000B7685"/>
    <w:rsid w:val="000B7A30"/>
    <w:rsid w:val="000B7CB8"/>
    <w:rsid w:val="000B7DC3"/>
    <w:rsid w:val="000B7F93"/>
    <w:rsid w:val="000C0300"/>
    <w:rsid w:val="000C063C"/>
    <w:rsid w:val="000C06A4"/>
    <w:rsid w:val="000C0BBD"/>
    <w:rsid w:val="000C0F3A"/>
    <w:rsid w:val="000C0FAC"/>
    <w:rsid w:val="000C1231"/>
    <w:rsid w:val="000C1575"/>
    <w:rsid w:val="000C1940"/>
    <w:rsid w:val="000C19C8"/>
    <w:rsid w:val="000C1C46"/>
    <w:rsid w:val="000C1D7C"/>
    <w:rsid w:val="000C1E53"/>
    <w:rsid w:val="000C1F18"/>
    <w:rsid w:val="000C21BB"/>
    <w:rsid w:val="000C23CA"/>
    <w:rsid w:val="000C2987"/>
    <w:rsid w:val="000C2EA9"/>
    <w:rsid w:val="000C2EC1"/>
    <w:rsid w:val="000C3283"/>
    <w:rsid w:val="000C32BB"/>
    <w:rsid w:val="000C354C"/>
    <w:rsid w:val="000C3927"/>
    <w:rsid w:val="000C3A76"/>
    <w:rsid w:val="000C3B22"/>
    <w:rsid w:val="000C4063"/>
    <w:rsid w:val="000C42D7"/>
    <w:rsid w:val="000C4432"/>
    <w:rsid w:val="000C48F3"/>
    <w:rsid w:val="000C4BB7"/>
    <w:rsid w:val="000C4DFC"/>
    <w:rsid w:val="000C50B3"/>
    <w:rsid w:val="000C5110"/>
    <w:rsid w:val="000C53E9"/>
    <w:rsid w:val="000C5486"/>
    <w:rsid w:val="000C5B52"/>
    <w:rsid w:val="000C5F7E"/>
    <w:rsid w:val="000C604F"/>
    <w:rsid w:val="000C68CA"/>
    <w:rsid w:val="000C68D6"/>
    <w:rsid w:val="000C6936"/>
    <w:rsid w:val="000C6B82"/>
    <w:rsid w:val="000C6D5B"/>
    <w:rsid w:val="000C6DA3"/>
    <w:rsid w:val="000C6E9F"/>
    <w:rsid w:val="000C6F7D"/>
    <w:rsid w:val="000C76F8"/>
    <w:rsid w:val="000C776D"/>
    <w:rsid w:val="000C782D"/>
    <w:rsid w:val="000C7A85"/>
    <w:rsid w:val="000C7AE7"/>
    <w:rsid w:val="000C7F62"/>
    <w:rsid w:val="000D01AA"/>
    <w:rsid w:val="000D05B3"/>
    <w:rsid w:val="000D0672"/>
    <w:rsid w:val="000D0A89"/>
    <w:rsid w:val="000D0ACF"/>
    <w:rsid w:val="000D0B77"/>
    <w:rsid w:val="000D0BB6"/>
    <w:rsid w:val="000D0C8D"/>
    <w:rsid w:val="000D0CDF"/>
    <w:rsid w:val="000D11CA"/>
    <w:rsid w:val="000D1354"/>
    <w:rsid w:val="000D149C"/>
    <w:rsid w:val="000D16C0"/>
    <w:rsid w:val="000D1DEA"/>
    <w:rsid w:val="000D1EA8"/>
    <w:rsid w:val="000D1F5C"/>
    <w:rsid w:val="000D1FAF"/>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065"/>
    <w:rsid w:val="000D4101"/>
    <w:rsid w:val="000D41CA"/>
    <w:rsid w:val="000D4342"/>
    <w:rsid w:val="000D43B8"/>
    <w:rsid w:val="000D4457"/>
    <w:rsid w:val="000D48C0"/>
    <w:rsid w:val="000D48FF"/>
    <w:rsid w:val="000D4C24"/>
    <w:rsid w:val="000D4FEC"/>
    <w:rsid w:val="000D533D"/>
    <w:rsid w:val="000D535B"/>
    <w:rsid w:val="000D5667"/>
    <w:rsid w:val="000D571F"/>
    <w:rsid w:val="000D57A8"/>
    <w:rsid w:val="000D5C58"/>
    <w:rsid w:val="000D659F"/>
    <w:rsid w:val="000D65F5"/>
    <w:rsid w:val="000D66C3"/>
    <w:rsid w:val="000D6B91"/>
    <w:rsid w:val="000D6C93"/>
    <w:rsid w:val="000D6DB3"/>
    <w:rsid w:val="000D6DCC"/>
    <w:rsid w:val="000D70AE"/>
    <w:rsid w:val="000D70D7"/>
    <w:rsid w:val="000D7200"/>
    <w:rsid w:val="000D73A4"/>
    <w:rsid w:val="000D7498"/>
    <w:rsid w:val="000D763B"/>
    <w:rsid w:val="000D772C"/>
    <w:rsid w:val="000D7A2E"/>
    <w:rsid w:val="000D7C54"/>
    <w:rsid w:val="000D7E36"/>
    <w:rsid w:val="000E0210"/>
    <w:rsid w:val="000E03CA"/>
    <w:rsid w:val="000E093D"/>
    <w:rsid w:val="000E0E03"/>
    <w:rsid w:val="000E0E78"/>
    <w:rsid w:val="000E0FA8"/>
    <w:rsid w:val="000E1007"/>
    <w:rsid w:val="000E15F1"/>
    <w:rsid w:val="000E1757"/>
    <w:rsid w:val="000E1767"/>
    <w:rsid w:val="000E17A7"/>
    <w:rsid w:val="000E184C"/>
    <w:rsid w:val="000E1909"/>
    <w:rsid w:val="000E1940"/>
    <w:rsid w:val="000E1979"/>
    <w:rsid w:val="000E1A53"/>
    <w:rsid w:val="000E1B78"/>
    <w:rsid w:val="000E1FF7"/>
    <w:rsid w:val="000E20EE"/>
    <w:rsid w:val="000E2245"/>
    <w:rsid w:val="000E2595"/>
    <w:rsid w:val="000E26C1"/>
    <w:rsid w:val="000E2C66"/>
    <w:rsid w:val="000E3109"/>
    <w:rsid w:val="000E311B"/>
    <w:rsid w:val="000E3592"/>
    <w:rsid w:val="000E35A0"/>
    <w:rsid w:val="000E3868"/>
    <w:rsid w:val="000E38BA"/>
    <w:rsid w:val="000E3922"/>
    <w:rsid w:val="000E3BE1"/>
    <w:rsid w:val="000E3D1F"/>
    <w:rsid w:val="000E3D68"/>
    <w:rsid w:val="000E3E15"/>
    <w:rsid w:val="000E3E7D"/>
    <w:rsid w:val="000E41D5"/>
    <w:rsid w:val="000E423E"/>
    <w:rsid w:val="000E4342"/>
    <w:rsid w:val="000E47B0"/>
    <w:rsid w:val="000E4B37"/>
    <w:rsid w:val="000E4CED"/>
    <w:rsid w:val="000E4EBC"/>
    <w:rsid w:val="000E4FF4"/>
    <w:rsid w:val="000E5031"/>
    <w:rsid w:val="000E5032"/>
    <w:rsid w:val="000E53C5"/>
    <w:rsid w:val="000E5404"/>
    <w:rsid w:val="000E5420"/>
    <w:rsid w:val="000E5C21"/>
    <w:rsid w:val="000E6391"/>
    <w:rsid w:val="000E63B0"/>
    <w:rsid w:val="000E64D6"/>
    <w:rsid w:val="000E6580"/>
    <w:rsid w:val="000E6774"/>
    <w:rsid w:val="000E6817"/>
    <w:rsid w:val="000E6AA5"/>
    <w:rsid w:val="000E6F90"/>
    <w:rsid w:val="000E7041"/>
    <w:rsid w:val="000E7650"/>
    <w:rsid w:val="000E798E"/>
    <w:rsid w:val="000E7BAB"/>
    <w:rsid w:val="000E7F56"/>
    <w:rsid w:val="000F0293"/>
    <w:rsid w:val="000F03DA"/>
    <w:rsid w:val="000F050F"/>
    <w:rsid w:val="000F0674"/>
    <w:rsid w:val="000F077C"/>
    <w:rsid w:val="000F0879"/>
    <w:rsid w:val="000F0AC1"/>
    <w:rsid w:val="000F0B55"/>
    <w:rsid w:val="000F1300"/>
    <w:rsid w:val="000F178B"/>
    <w:rsid w:val="000F1981"/>
    <w:rsid w:val="000F19C5"/>
    <w:rsid w:val="000F1CDA"/>
    <w:rsid w:val="000F1EE5"/>
    <w:rsid w:val="000F21D7"/>
    <w:rsid w:val="000F232B"/>
    <w:rsid w:val="000F269B"/>
    <w:rsid w:val="000F26BF"/>
    <w:rsid w:val="000F28B5"/>
    <w:rsid w:val="000F29FF"/>
    <w:rsid w:val="000F2A34"/>
    <w:rsid w:val="000F2AF6"/>
    <w:rsid w:val="000F2B0F"/>
    <w:rsid w:val="000F2F04"/>
    <w:rsid w:val="000F2F0E"/>
    <w:rsid w:val="000F2F2D"/>
    <w:rsid w:val="000F2F8D"/>
    <w:rsid w:val="000F3314"/>
    <w:rsid w:val="000F3632"/>
    <w:rsid w:val="000F38A4"/>
    <w:rsid w:val="000F39ED"/>
    <w:rsid w:val="000F3CBF"/>
    <w:rsid w:val="000F3FBF"/>
    <w:rsid w:val="000F40A9"/>
    <w:rsid w:val="000F414B"/>
    <w:rsid w:val="000F44AD"/>
    <w:rsid w:val="000F49F4"/>
    <w:rsid w:val="000F4C4F"/>
    <w:rsid w:val="000F4D3A"/>
    <w:rsid w:val="000F5017"/>
    <w:rsid w:val="000F58BC"/>
    <w:rsid w:val="000F594C"/>
    <w:rsid w:val="000F5A35"/>
    <w:rsid w:val="000F5D3A"/>
    <w:rsid w:val="000F5E36"/>
    <w:rsid w:val="000F5F7F"/>
    <w:rsid w:val="000F6337"/>
    <w:rsid w:val="000F649F"/>
    <w:rsid w:val="000F6700"/>
    <w:rsid w:val="000F6914"/>
    <w:rsid w:val="000F6DF1"/>
    <w:rsid w:val="000F7631"/>
    <w:rsid w:val="000F7694"/>
    <w:rsid w:val="000F7787"/>
    <w:rsid w:val="000F781E"/>
    <w:rsid w:val="000F78B7"/>
    <w:rsid w:val="000F7C51"/>
    <w:rsid w:val="000F7F56"/>
    <w:rsid w:val="000F7F5B"/>
    <w:rsid w:val="0010003A"/>
    <w:rsid w:val="0010018B"/>
    <w:rsid w:val="001002D2"/>
    <w:rsid w:val="00100409"/>
    <w:rsid w:val="00100583"/>
    <w:rsid w:val="0010076D"/>
    <w:rsid w:val="00100C7D"/>
    <w:rsid w:val="00100E6F"/>
    <w:rsid w:val="001013EE"/>
    <w:rsid w:val="001015BA"/>
    <w:rsid w:val="0010173F"/>
    <w:rsid w:val="001017E3"/>
    <w:rsid w:val="00101C90"/>
    <w:rsid w:val="00101F87"/>
    <w:rsid w:val="00101FC6"/>
    <w:rsid w:val="00102135"/>
    <w:rsid w:val="001021D7"/>
    <w:rsid w:val="001028E4"/>
    <w:rsid w:val="00102AFD"/>
    <w:rsid w:val="00102B29"/>
    <w:rsid w:val="00102BE0"/>
    <w:rsid w:val="00102CEC"/>
    <w:rsid w:val="00102F76"/>
    <w:rsid w:val="00102FEB"/>
    <w:rsid w:val="00103339"/>
    <w:rsid w:val="001033A9"/>
    <w:rsid w:val="001034E3"/>
    <w:rsid w:val="00103774"/>
    <w:rsid w:val="001039C2"/>
    <w:rsid w:val="00103B00"/>
    <w:rsid w:val="00103C7F"/>
    <w:rsid w:val="00103CBC"/>
    <w:rsid w:val="00103DFF"/>
    <w:rsid w:val="00103F1C"/>
    <w:rsid w:val="001040AD"/>
    <w:rsid w:val="0010422B"/>
    <w:rsid w:val="00104272"/>
    <w:rsid w:val="00104960"/>
    <w:rsid w:val="001049F2"/>
    <w:rsid w:val="00104EDD"/>
    <w:rsid w:val="001053D9"/>
    <w:rsid w:val="0010567A"/>
    <w:rsid w:val="00105A17"/>
    <w:rsid w:val="00105BE4"/>
    <w:rsid w:val="00105C56"/>
    <w:rsid w:val="00105DA4"/>
    <w:rsid w:val="00105F5B"/>
    <w:rsid w:val="001060B0"/>
    <w:rsid w:val="0010630B"/>
    <w:rsid w:val="001064A4"/>
    <w:rsid w:val="001064DB"/>
    <w:rsid w:val="00106826"/>
    <w:rsid w:val="00106C91"/>
    <w:rsid w:val="00106CB2"/>
    <w:rsid w:val="00106CEE"/>
    <w:rsid w:val="0010739F"/>
    <w:rsid w:val="00107739"/>
    <w:rsid w:val="00107B24"/>
    <w:rsid w:val="00107B43"/>
    <w:rsid w:val="00107E52"/>
    <w:rsid w:val="00110091"/>
    <w:rsid w:val="001103B6"/>
    <w:rsid w:val="00110417"/>
    <w:rsid w:val="001107F1"/>
    <w:rsid w:val="00110824"/>
    <w:rsid w:val="00110996"/>
    <w:rsid w:val="00110DC5"/>
    <w:rsid w:val="0011178C"/>
    <w:rsid w:val="0011187D"/>
    <w:rsid w:val="00111924"/>
    <w:rsid w:val="00111ABA"/>
    <w:rsid w:val="00111AE7"/>
    <w:rsid w:val="00111EB7"/>
    <w:rsid w:val="00111EC2"/>
    <w:rsid w:val="001120B0"/>
    <w:rsid w:val="00112139"/>
    <w:rsid w:val="00112183"/>
    <w:rsid w:val="001121D0"/>
    <w:rsid w:val="0011243C"/>
    <w:rsid w:val="001125AB"/>
    <w:rsid w:val="001125E7"/>
    <w:rsid w:val="00112988"/>
    <w:rsid w:val="00112A57"/>
    <w:rsid w:val="00112CF0"/>
    <w:rsid w:val="00112D27"/>
    <w:rsid w:val="00112E1E"/>
    <w:rsid w:val="001130E7"/>
    <w:rsid w:val="00113626"/>
    <w:rsid w:val="001136C6"/>
    <w:rsid w:val="00113DF9"/>
    <w:rsid w:val="0011408D"/>
    <w:rsid w:val="0011428D"/>
    <w:rsid w:val="00114AC8"/>
    <w:rsid w:val="00114CF1"/>
    <w:rsid w:val="00114D9B"/>
    <w:rsid w:val="00114DA1"/>
    <w:rsid w:val="00114EA0"/>
    <w:rsid w:val="00114EB4"/>
    <w:rsid w:val="00114F65"/>
    <w:rsid w:val="00115085"/>
    <w:rsid w:val="00115235"/>
    <w:rsid w:val="001154AD"/>
    <w:rsid w:val="00115672"/>
    <w:rsid w:val="001157AB"/>
    <w:rsid w:val="0011585E"/>
    <w:rsid w:val="00115ADE"/>
    <w:rsid w:val="00115C9E"/>
    <w:rsid w:val="00116062"/>
    <w:rsid w:val="001165D2"/>
    <w:rsid w:val="00116702"/>
    <w:rsid w:val="0011698F"/>
    <w:rsid w:val="0011699D"/>
    <w:rsid w:val="00116D3E"/>
    <w:rsid w:val="00116EE4"/>
    <w:rsid w:val="00116EED"/>
    <w:rsid w:val="0011729F"/>
    <w:rsid w:val="001172BD"/>
    <w:rsid w:val="001178E4"/>
    <w:rsid w:val="00117AA2"/>
    <w:rsid w:val="00117CE1"/>
    <w:rsid w:val="00117CFD"/>
    <w:rsid w:val="0012020C"/>
    <w:rsid w:val="00120241"/>
    <w:rsid w:val="001202B4"/>
    <w:rsid w:val="00120583"/>
    <w:rsid w:val="00120B1E"/>
    <w:rsid w:val="00120D7A"/>
    <w:rsid w:val="001211AB"/>
    <w:rsid w:val="001214BE"/>
    <w:rsid w:val="001218B8"/>
    <w:rsid w:val="00121A72"/>
    <w:rsid w:val="00121DB7"/>
    <w:rsid w:val="00121F79"/>
    <w:rsid w:val="001220B7"/>
    <w:rsid w:val="001221D7"/>
    <w:rsid w:val="00122457"/>
    <w:rsid w:val="00122478"/>
    <w:rsid w:val="0012251F"/>
    <w:rsid w:val="00122774"/>
    <w:rsid w:val="001227C5"/>
    <w:rsid w:val="001228A1"/>
    <w:rsid w:val="00122A7E"/>
    <w:rsid w:val="00123194"/>
    <w:rsid w:val="00123325"/>
    <w:rsid w:val="001233B7"/>
    <w:rsid w:val="00123740"/>
    <w:rsid w:val="00123BC6"/>
    <w:rsid w:val="00123C9A"/>
    <w:rsid w:val="00123DA3"/>
    <w:rsid w:val="001241A0"/>
    <w:rsid w:val="00124730"/>
    <w:rsid w:val="00124826"/>
    <w:rsid w:val="00124B73"/>
    <w:rsid w:val="00124CF6"/>
    <w:rsid w:val="00124D01"/>
    <w:rsid w:val="00124ED1"/>
    <w:rsid w:val="00125222"/>
    <w:rsid w:val="0012523D"/>
    <w:rsid w:val="00125341"/>
    <w:rsid w:val="001253D9"/>
    <w:rsid w:val="0012542D"/>
    <w:rsid w:val="001254EE"/>
    <w:rsid w:val="0012561A"/>
    <w:rsid w:val="001256FB"/>
    <w:rsid w:val="0012573E"/>
    <w:rsid w:val="00125806"/>
    <w:rsid w:val="001258EF"/>
    <w:rsid w:val="00125B33"/>
    <w:rsid w:val="001260B6"/>
    <w:rsid w:val="001260E3"/>
    <w:rsid w:val="001261C9"/>
    <w:rsid w:val="00126201"/>
    <w:rsid w:val="0012652B"/>
    <w:rsid w:val="001266EE"/>
    <w:rsid w:val="00126AD1"/>
    <w:rsid w:val="00126FB4"/>
    <w:rsid w:val="001272E6"/>
    <w:rsid w:val="001274DE"/>
    <w:rsid w:val="00127687"/>
    <w:rsid w:val="001277C7"/>
    <w:rsid w:val="00127C8B"/>
    <w:rsid w:val="00127E95"/>
    <w:rsid w:val="0013006B"/>
    <w:rsid w:val="00130214"/>
    <w:rsid w:val="00130303"/>
    <w:rsid w:val="00130740"/>
    <w:rsid w:val="00130765"/>
    <w:rsid w:val="001307A8"/>
    <w:rsid w:val="00130DCA"/>
    <w:rsid w:val="001312CB"/>
    <w:rsid w:val="0013139C"/>
    <w:rsid w:val="00131B42"/>
    <w:rsid w:val="00131BAD"/>
    <w:rsid w:val="00131D5F"/>
    <w:rsid w:val="001322D2"/>
    <w:rsid w:val="00132503"/>
    <w:rsid w:val="00132E0B"/>
    <w:rsid w:val="0013327F"/>
    <w:rsid w:val="001333F9"/>
    <w:rsid w:val="00133636"/>
    <w:rsid w:val="00133882"/>
    <w:rsid w:val="00133AC4"/>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380"/>
    <w:rsid w:val="001356C7"/>
    <w:rsid w:val="0013601E"/>
    <w:rsid w:val="0013623B"/>
    <w:rsid w:val="001362B6"/>
    <w:rsid w:val="00136352"/>
    <w:rsid w:val="00136497"/>
    <w:rsid w:val="001365B4"/>
    <w:rsid w:val="001369BF"/>
    <w:rsid w:val="00136B1A"/>
    <w:rsid w:val="00136E9D"/>
    <w:rsid w:val="00136F29"/>
    <w:rsid w:val="00136F6F"/>
    <w:rsid w:val="00137D83"/>
    <w:rsid w:val="00137D90"/>
    <w:rsid w:val="00140D09"/>
    <w:rsid w:val="00140DA5"/>
    <w:rsid w:val="001414E0"/>
    <w:rsid w:val="00141BD1"/>
    <w:rsid w:val="00141DF6"/>
    <w:rsid w:val="001423B0"/>
    <w:rsid w:val="00142B21"/>
    <w:rsid w:val="00142B86"/>
    <w:rsid w:val="00143228"/>
    <w:rsid w:val="001433C4"/>
    <w:rsid w:val="00143553"/>
    <w:rsid w:val="001436A6"/>
    <w:rsid w:val="001438E0"/>
    <w:rsid w:val="00143B25"/>
    <w:rsid w:val="00143C4D"/>
    <w:rsid w:val="00143D52"/>
    <w:rsid w:val="00143F85"/>
    <w:rsid w:val="001441DA"/>
    <w:rsid w:val="00144383"/>
    <w:rsid w:val="001449CF"/>
    <w:rsid w:val="00144A22"/>
    <w:rsid w:val="00144C8A"/>
    <w:rsid w:val="00145106"/>
    <w:rsid w:val="001453E9"/>
    <w:rsid w:val="001455CC"/>
    <w:rsid w:val="00145604"/>
    <w:rsid w:val="0014616B"/>
    <w:rsid w:val="001468C2"/>
    <w:rsid w:val="00146B48"/>
    <w:rsid w:val="00146E48"/>
    <w:rsid w:val="00146E62"/>
    <w:rsid w:val="00147115"/>
    <w:rsid w:val="001471DD"/>
    <w:rsid w:val="001472B0"/>
    <w:rsid w:val="0014740D"/>
    <w:rsid w:val="00147461"/>
    <w:rsid w:val="001477CE"/>
    <w:rsid w:val="0014784F"/>
    <w:rsid w:val="0014788B"/>
    <w:rsid w:val="001478AD"/>
    <w:rsid w:val="00147B51"/>
    <w:rsid w:val="00147BCC"/>
    <w:rsid w:val="00147F4D"/>
    <w:rsid w:val="00150404"/>
    <w:rsid w:val="0015040C"/>
    <w:rsid w:val="00150440"/>
    <w:rsid w:val="00150B89"/>
    <w:rsid w:val="00150C35"/>
    <w:rsid w:val="00150ECB"/>
    <w:rsid w:val="00151316"/>
    <w:rsid w:val="00151384"/>
    <w:rsid w:val="0015167D"/>
    <w:rsid w:val="001516A9"/>
    <w:rsid w:val="001517E0"/>
    <w:rsid w:val="001519C7"/>
    <w:rsid w:val="00151DFB"/>
    <w:rsid w:val="00151E86"/>
    <w:rsid w:val="00151F3C"/>
    <w:rsid w:val="00152123"/>
    <w:rsid w:val="00152244"/>
    <w:rsid w:val="001522FC"/>
    <w:rsid w:val="0015233A"/>
    <w:rsid w:val="0015241F"/>
    <w:rsid w:val="00152611"/>
    <w:rsid w:val="00152807"/>
    <w:rsid w:val="00152A96"/>
    <w:rsid w:val="00152AD5"/>
    <w:rsid w:val="00152BE0"/>
    <w:rsid w:val="00152C3D"/>
    <w:rsid w:val="00152ED6"/>
    <w:rsid w:val="00152F88"/>
    <w:rsid w:val="00152FED"/>
    <w:rsid w:val="001534CB"/>
    <w:rsid w:val="0015360F"/>
    <w:rsid w:val="00153AA7"/>
    <w:rsid w:val="00153CA7"/>
    <w:rsid w:val="00153D48"/>
    <w:rsid w:val="0015401A"/>
    <w:rsid w:val="00154604"/>
    <w:rsid w:val="0015477C"/>
    <w:rsid w:val="00154A35"/>
    <w:rsid w:val="00154A9A"/>
    <w:rsid w:val="00154C17"/>
    <w:rsid w:val="00154CD2"/>
    <w:rsid w:val="00154CE5"/>
    <w:rsid w:val="001550A3"/>
    <w:rsid w:val="0015510B"/>
    <w:rsid w:val="00155424"/>
    <w:rsid w:val="00155469"/>
    <w:rsid w:val="00155746"/>
    <w:rsid w:val="00155A6B"/>
    <w:rsid w:val="00155E10"/>
    <w:rsid w:val="00155EAF"/>
    <w:rsid w:val="00156419"/>
    <w:rsid w:val="001566BE"/>
    <w:rsid w:val="0015686A"/>
    <w:rsid w:val="00156AE3"/>
    <w:rsid w:val="00156C80"/>
    <w:rsid w:val="00157000"/>
    <w:rsid w:val="001573BC"/>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2A"/>
    <w:rsid w:val="00160877"/>
    <w:rsid w:val="00160EA4"/>
    <w:rsid w:val="00160F3F"/>
    <w:rsid w:val="0016108C"/>
    <w:rsid w:val="001610AC"/>
    <w:rsid w:val="00161391"/>
    <w:rsid w:val="00161616"/>
    <w:rsid w:val="001618DB"/>
    <w:rsid w:val="00161A1F"/>
    <w:rsid w:val="00161B12"/>
    <w:rsid w:val="00161B45"/>
    <w:rsid w:val="00161CE5"/>
    <w:rsid w:val="00161DCE"/>
    <w:rsid w:val="001620CB"/>
    <w:rsid w:val="001622B1"/>
    <w:rsid w:val="00162533"/>
    <w:rsid w:val="001625EC"/>
    <w:rsid w:val="00162780"/>
    <w:rsid w:val="00162999"/>
    <w:rsid w:val="00163442"/>
    <w:rsid w:val="0016349B"/>
    <w:rsid w:val="00163983"/>
    <w:rsid w:val="001639A5"/>
    <w:rsid w:val="00163BC8"/>
    <w:rsid w:val="00163C45"/>
    <w:rsid w:val="00163E35"/>
    <w:rsid w:val="00163EC7"/>
    <w:rsid w:val="00164202"/>
    <w:rsid w:val="00164483"/>
    <w:rsid w:val="001648DF"/>
    <w:rsid w:val="00164A92"/>
    <w:rsid w:val="00164AE3"/>
    <w:rsid w:val="00164B4B"/>
    <w:rsid w:val="00164DDD"/>
    <w:rsid w:val="00164ECE"/>
    <w:rsid w:val="001652C2"/>
    <w:rsid w:val="0016534B"/>
    <w:rsid w:val="001654B0"/>
    <w:rsid w:val="001654D9"/>
    <w:rsid w:val="001657CF"/>
    <w:rsid w:val="00165907"/>
    <w:rsid w:val="00165D47"/>
    <w:rsid w:val="00165D94"/>
    <w:rsid w:val="00165EF1"/>
    <w:rsid w:val="00165FF0"/>
    <w:rsid w:val="00166098"/>
    <w:rsid w:val="001660AA"/>
    <w:rsid w:val="00166711"/>
    <w:rsid w:val="0016688E"/>
    <w:rsid w:val="0016689D"/>
    <w:rsid w:val="00166BE5"/>
    <w:rsid w:val="00166CAC"/>
    <w:rsid w:val="00166E24"/>
    <w:rsid w:val="00166F83"/>
    <w:rsid w:val="001670C7"/>
    <w:rsid w:val="00167169"/>
    <w:rsid w:val="0016723A"/>
    <w:rsid w:val="001672D1"/>
    <w:rsid w:val="00167335"/>
    <w:rsid w:val="001674FA"/>
    <w:rsid w:val="00167AA3"/>
    <w:rsid w:val="001700F3"/>
    <w:rsid w:val="00170100"/>
    <w:rsid w:val="0017034B"/>
    <w:rsid w:val="001704CF"/>
    <w:rsid w:val="001706E4"/>
    <w:rsid w:val="00170DC9"/>
    <w:rsid w:val="0017118B"/>
    <w:rsid w:val="00171335"/>
    <w:rsid w:val="00171373"/>
    <w:rsid w:val="001714A2"/>
    <w:rsid w:val="0017181D"/>
    <w:rsid w:val="001718C4"/>
    <w:rsid w:val="00171A05"/>
    <w:rsid w:val="00171D48"/>
    <w:rsid w:val="001725BB"/>
    <w:rsid w:val="0017269A"/>
    <w:rsid w:val="00172E17"/>
    <w:rsid w:val="00172E28"/>
    <w:rsid w:val="00172EC4"/>
    <w:rsid w:val="00172F3A"/>
    <w:rsid w:val="00172F6C"/>
    <w:rsid w:val="001730A3"/>
    <w:rsid w:val="001730FD"/>
    <w:rsid w:val="0017311D"/>
    <w:rsid w:val="00173483"/>
    <w:rsid w:val="00173557"/>
    <w:rsid w:val="001735B1"/>
    <w:rsid w:val="00173798"/>
    <w:rsid w:val="00173A84"/>
    <w:rsid w:val="00173BE6"/>
    <w:rsid w:val="00173DA5"/>
    <w:rsid w:val="00173E72"/>
    <w:rsid w:val="00173E9E"/>
    <w:rsid w:val="00174762"/>
    <w:rsid w:val="001749B8"/>
    <w:rsid w:val="00174FBA"/>
    <w:rsid w:val="00175091"/>
    <w:rsid w:val="00175209"/>
    <w:rsid w:val="0017547E"/>
    <w:rsid w:val="0017572D"/>
    <w:rsid w:val="001759DB"/>
    <w:rsid w:val="00175AA2"/>
    <w:rsid w:val="00175ACB"/>
    <w:rsid w:val="001760FF"/>
    <w:rsid w:val="0017645D"/>
    <w:rsid w:val="00176738"/>
    <w:rsid w:val="00176A4A"/>
    <w:rsid w:val="00176C7F"/>
    <w:rsid w:val="00176E42"/>
    <w:rsid w:val="00176E9A"/>
    <w:rsid w:val="00176F4D"/>
    <w:rsid w:val="00177263"/>
    <w:rsid w:val="00177341"/>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11DE"/>
    <w:rsid w:val="00181569"/>
    <w:rsid w:val="001818CC"/>
    <w:rsid w:val="00181B43"/>
    <w:rsid w:val="00181D93"/>
    <w:rsid w:val="00182487"/>
    <w:rsid w:val="00182595"/>
    <w:rsid w:val="001826CB"/>
    <w:rsid w:val="001827AC"/>
    <w:rsid w:val="0018284E"/>
    <w:rsid w:val="00182899"/>
    <w:rsid w:val="00183166"/>
    <w:rsid w:val="001831E8"/>
    <w:rsid w:val="001832B0"/>
    <w:rsid w:val="0018349C"/>
    <w:rsid w:val="00183562"/>
    <w:rsid w:val="00183649"/>
    <w:rsid w:val="0018378E"/>
    <w:rsid w:val="00183970"/>
    <w:rsid w:val="00183C19"/>
    <w:rsid w:val="00183C35"/>
    <w:rsid w:val="00183F25"/>
    <w:rsid w:val="001843C4"/>
    <w:rsid w:val="00184519"/>
    <w:rsid w:val="001845F7"/>
    <w:rsid w:val="001849C6"/>
    <w:rsid w:val="00184A83"/>
    <w:rsid w:val="00184BB9"/>
    <w:rsid w:val="00185037"/>
    <w:rsid w:val="0018537D"/>
    <w:rsid w:val="001853A5"/>
    <w:rsid w:val="00185A8A"/>
    <w:rsid w:val="00185DB5"/>
    <w:rsid w:val="00185E79"/>
    <w:rsid w:val="00186261"/>
    <w:rsid w:val="001862DA"/>
    <w:rsid w:val="00186608"/>
    <w:rsid w:val="001866D1"/>
    <w:rsid w:val="001868A3"/>
    <w:rsid w:val="00186A8A"/>
    <w:rsid w:val="00186C67"/>
    <w:rsid w:val="00186DD6"/>
    <w:rsid w:val="00186EB8"/>
    <w:rsid w:val="00187063"/>
    <w:rsid w:val="00187145"/>
    <w:rsid w:val="001874F4"/>
    <w:rsid w:val="00187552"/>
    <w:rsid w:val="00187613"/>
    <w:rsid w:val="0018790C"/>
    <w:rsid w:val="00187DA4"/>
    <w:rsid w:val="001904D5"/>
    <w:rsid w:val="00190BA5"/>
    <w:rsid w:val="00190D0C"/>
    <w:rsid w:val="0019104D"/>
    <w:rsid w:val="001916F8"/>
    <w:rsid w:val="00191778"/>
    <w:rsid w:val="001918C2"/>
    <w:rsid w:val="001918E9"/>
    <w:rsid w:val="00191A77"/>
    <w:rsid w:val="00191BBE"/>
    <w:rsid w:val="00191DB3"/>
    <w:rsid w:val="00191F60"/>
    <w:rsid w:val="00191FD5"/>
    <w:rsid w:val="001921EA"/>
    <w:rsid w:val="001923ED"/>
    <w:rsid w:val="00192813"/>
    <w:rsid w:val="00192824"/>
    <w:rsid w:val="00192B90"/>
    <w:rsid w:val="00192BFE"/>
    <w:rsid w:val="00192CCE"/>
    <w:rsid w:val="00192D0D"/>
    <w:rsid w:val="00193260"/>
    <w:rsid w:val="00193689"/>
    <w:rsid w:val="0019374B"/>
    <w:rsid w:val="00193A90"/>
    <w:rsid w:val="00193B10"/>
    <w:rsid w:val="00193EE3"/>
    <w:rsid w:val="00194098"/>
    <w:rsid w:val="001943EA"/>
    <w:rsid w:val="00194915"/>
    <w:rsid w:val="00194995"/>
    <w:rsid w:val="00194A95"/>
    <w:rsid w:val="00194FCC"/>
    <w:rsid w:val="00195332"/>
    <w:rsid w:val="00195476"/>
    <w:rsid w:val="001957C3"/>
    <w:rsid w:val="0019587A"/>
    <w:rsid w:val="00195B49"/>
    <w:rsid w:val="00195B62"/>
    <w:rsid w:val="00195CD2"/>
    <w:rsid w:val="00196167"/>
    <w:rsid w:val="0019620C"/>
    <w:rsid w:val="00196480"/>
    <w:rsid w:val="00196526"/>
    <w:rsid w:val="00196594"/>
    <w:rsid w:val="00196609"/>
    <w:rsid w:val="00196703"/>
    <w:rsid w:val="00196963"/>
    <w:rsid w:val="00196ACB"/>
    <w:rsid w:val="00196B93"/>
    <w:rsid w:val="00196BA3"/>
    <w:rsid w:val="001970F9"/>
    <w:rsid w:val="00197350"/>
    <w:rsid w:val="00197BC3"/>
    <w:rsid w:val="00197DCD"/>
    <w:rsid w:val="00197E78"/>
    <w:rsid w:val="001A0038"/>
    <w:rsid w:val="001A00D2"/>
    <w:rsid w:val="001A0386"/>
    <w:rsid w:val="001A0649"/>
    <w:rsid w:val="001A0968"/>
    <w:rsid w:val="001A0A27"/>
    <w:rsid w:val="001A0AA7"/>
    <w:rsid w:val="001A0B04"/>
    <w:rsid w:val="001A0F0C"/>
    <w:rsid w:val="001A0F6B"/>
    <w:rsid w:val="001A1476"/>
    <w:rsid w:val="001A1720"/>
    <w:rsid w:val="001A192B"/>
    <w:rsid w:val="001A2109"/>
    <w:rsid w:val="001A2466"/>
    <w:rsid w:val="001A26F5"/>
    <w:rsid w:val="001A27E6"/>
    <w:rsid w:val="001A2AF9"/>
    <w:rsid w:val="001A2B98"/>
    <w:rsid w:val="001A2DDC"/>
    <w:rsid w:val="001A2F36"/>
    <w:rsid w:val="001A2FCD"/>
    <w:rsid w:val="001A302E"/>
    <w:rsid w:val="001A372B"/>
    <w:rsid w:val="001A3771"/>
    <w:rsid w:val="001A3991"/>
    <w:rsid w:val="001A3EB6"/>
    <w:rsid w:val="001A4103"/>
    <w:rsid w:val="001A419B"/>
    <w:rsid w:val="001A4304"/>
    <w:rsid w:val="001A4336"/>
    <w:rsid w:val="001A4780"/>
    <w:rsid w:val="001A49F9"/>
    <w:rsid w:val="001A4A6E"/>
    <w:rsid w:val="001A4CCB"/>
    <w:rsid w:val="001A4E22"/>
    <w:rsid w:val="001A4EB6"/>
    <w:rsid w:val="001A5372"/>
    <w:rsid w:val="001A5419"/>
    <w:rsid w:val="001A55A2"/>
    <w:rsid w:val="001A5705"/>
    <w:rsid w:val="001A585E"/>
    <w:rsid w:val="001A592C"/>
    <w:rsid w:val="001A5D64"/>
    <w:rsid w:val="001A620B"/>
    <w:rsid w:val="001A63F2"/>
    <w:rsid w:val="001A6496"/>
    <w:rsid w:val="001A6575"/>
    <w:rsid w:val="001A6E6B"/>
    <w:rsid w:val="001A7346"/>
    <w:rsid w:val="001A7386"/>
    <w:rsid w:val="001A7442"/>
    <w:rsid w:val="001A751B"/>
    <w:rsid w:val="001A7605"/>
    <w:rsid w:val="001A7971"/>
    <w:rsid w:val="001A7A89"/>
    <w:rsid w:val="001A7A9E"/>
    <w:rsid w:val="001A7B28"/>
    <w:rsid w:val="001A7BFE"/>
    <w:rsid w:val="001A7E01"/>
    <w:rsid w:val="001A7E31"/>
    <w:rsid w:val="001A7FFD"/>
    <w:rsid w:val="001B002E"/>
    <w:rsid w:val="001B0110"/>
    <w:rsid w:val="001B03C5"/>
    <w:rsid w:val="001B043B"/>
    <w:rsid w:val="001B0511"/>
    <w:rsid w:val="001B0765"/>
    <w:rsid w:val="001B090D"/>
    <w:rsid w:val="001B098E"/>
    <w:rsid w:val="001B09E3"/>
    <w:rsid w:val="001B0AC4"/>
    <w:rsid w:val="001B0BE8"/>
    <w:rsid w:val="001B0C0A"/>
    <w:rsid w:val="001B0D7E"/>
    <w:rsid w:val="001B0F33"/>
    <w:rsid w:val="001B105E"/>
    <w:rsid w:val="001B10FE"/>
    <w:rsid w:val="001B1324"/>
    <w:rsid w:val="001B1729"/>
    <w:rsid w:val="001B1C24"/>
    <w:rsid w:val="001B1FAD"/>
    <w:rsid w:val="001B208A"/>
    <w:rsid w:val="001B20B2"/>
    <w:rsid w:val="001B3048"/>
    <w:rsid w:val="001B334F"/>
    <w:rsid w:val="001B3826"/>
    <w:rsid w:val="001B3961"/>
    <w:rsid w:val="001B3F33"/>
    <w:rsid w:val="001B40CB"/>
    <w:rsid w:val="001B40E7"/>
    <w:rsid w:val="001B42E4"/>
    <w:rsid w:val="001B436F"/>
    <w:rsid w:val="001B4A6B"/>
    <w:rsid w:val="001B4E90"/>
    <w:rsid w:val="001B4F3F"/>
    <w:rsid w:val="001B5291"/>
    <w:rsid w:val="001B5426"/>
    <w:rsid w:val="001B563F"/>
    <w:rsid w:val="001B571B"/>
    <w:rsid w:val="001B5797"/>
    <w:rsid w:val="001B582D"/>
    <w:rsid w:val="001B5890"/>
    <w:rsid w:val="001B59A9"/>
    <w:rsid w:val="001B5C8D"/>
    <w:rsid w:val="001B5CD5"/>
    <w:rsid w:val="001B5D3A"/>
    <w:rsid w:val="001B5D41"/>
    <w:rsid w:val="001B5EB0"/>
    <w:rsid w:val="001B5F37"/>
    <w:rsid w:val="001B6421"/>
    <w:rsid w:val="001B691A"/>
    <w:rsid w:val="001B696E"/>
    <w:rsid w:val="001B6A56"/>
    <w:rsid w:val="001B6BA0"/>
    <w:rsid w:val="001B7191"/>
    <w:rsid w:val="001B71B9"/>
    <w:rsid w:val="001B7243"/>
    <w:rsid w:val="001B7302"/>
    <w:rsid w:val="001B76A8"/>
    <w:rsid w:val="001B782D"/>
    <w:rsid w:val="001B78AE"/>
    <w:rsid w:val="001C00F2"/>
    <w:rsid w:val="001C05BE"/>
    <w:rsid w:val="001C0963"/>
    <w:rsid w:val="001C09D9"/>
    <w:rsid w:val="001C1121"/>
    <w:rsid w:val="001C14EA"/>
    <w:rsid w:val="001C17D8"/>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897"/>
    <w:rsid w:val="001C2A03"/>
    <w:rsid w:val="001C3063"/>
    <w:rsid w:val="001C30D2"/>
    <w:rsid w:val="001C3915"/>
    <w:rsid w:val="001C39E8"/>
    <w:rsid w:val="001C3A22"/>
    <w:rsid w:val="001C3BC6"/>
    <w:rsid w:val="001C3CD8"/>
    <w:rsid w:val="001C3D31"/>
    <w:rsid w:val="001C3F63"/>
    <w:rsid w:val="001C44E0"/>
    <w:rsid w:val="001C4542"/>
    <w:rsid w:val="001C4553"/>
    <w:rsid w:val="001C4619"/>
    <w:rsid w:val="001C4623"/>
    <w:rsid w:val="001C4632"/>
    <w:rsid w:val="001C469B"/>
    <w:rsid w:val="001C49A8"/>
    <w:rsid w:val="001C4A0B"/>
    <w:rsid w:val="001C4B75"/>
    <w:rsid w:val="001C4C45"/>
    <w:rsid w:val="001C4C8C"/>
    <w:rsid w:val="001C4CF3"/>
    <w:rsid w:val="001C4DA4"/>
    <w:rsid w:val="001C504B"/>
    <w:rsid w:val="001C5193"/>
    <w:rsid w:val="001C532B"/>
    <w:rsid w:val="001C54F5"/>
    <w:rsid w:val="001C559E"/>
    <w:rsid w:val="001C55F6"/>
    <w:rsid w:val="001C5D2D"/>
    <w:rsid w:val="001C5D8B"/>
    <w:rsid w:val="001C5DF2"/>
    <w:rsid w:val="001C5FC4"/>
    <w:rsid w:val="001C6086"/>
    <w:rsid w:val="001C6252"/>
    <w:rsid w:val="001C62B4"/>
    <w:rsid w:val="001C6311"/>
    <w:rsid w:val="001C6442"/>
    <w:rsid w:val="001C6504"/>
    <w:rsid w:val="001C6758"/>
    <w:rsid w:val="001C681D"/>
    <w:rsid w:val="001C6954"/>
    <w:rsid w:val="001C69B9"/>
    <w:rsid w:val="001C6A71"/>
    <w:rsid w:val="001C6BE9"/>
    <w:rsid w:val="001C6BFC"/>
    <w:rsid w:val="001C6F3B"/>
    <w:rsid w:val="001C71AA"/>
    <w:rsid w:val="001C73F8"/>
    <w:rsid w:val="001C75AB"/>
    <w:rsid w:val="001C75B2"/>
    <w:rsid w:val="001C776C"/>
    <w:rsid w:val="001C77E1"/>
    <w:rsid w:val="001C79DA"/>
    <w:rsid w:val="001C7ABB"/>
    <w:rsid w:val="001C7C88"/>
    <w:rsid w:val="001C7F9B"/>
    <w:rsid w:val="001D0C92"/>
    <w:rsid w:val="001D112B"/>
    <w:rsid w:val="001D11B3"/>
    <w:rsid w:val="001D1597"/>
    <w:rsid w:val="001D19A8"/>
    <w:rsid w:val="001D1C06"/>
    <w:rsid w:val="001D1E91"/>
    <w:rsid w:val="001D232C"/>
    <w:rsid w:val="001D240E"/>
    <w:rsid w:val="001D26ED"/>
    <w:rsid w:val="001D28B3"/>
    <w:rsid w:val="001D2A73"/>
    <w:rsid w:val="001D2D33"/>
    <w:rsid w:val="001D30B4"/>
    <w:rsid w:val="001D30D9"/>
    <w:rsid w:val="001D3318"/>
    <w:rsid w:val="001D33AD"/>
    <w:rsid w:val="001D342F"/>
    <w:rsid w:val="001D3608"/>
    <w:rsid w:val="001D3D79"/>
    <w:rsid w:val="001D3E84"/>
    <w:rsid w:val="001D43A5"/>
    <w:rsid w:val="001D45A8"/>
    <w:rsid w:val="001D48E5"/>
    <w:rsid w:val="001D4E2C"/>
    <w:rsid w:val="001D5257"/>
    <w:rsid w:val="001D5280"/>
    <w:rsid w:val="001D5774"/>
    <w:rsid w:val="001D5963"/>
    <w:rsid w:val="001D5CAD"/>
    <w:rsid w:val="001D5D71"/>
    <w:rsid w:val="001D62F5"/>
    <w:rsid w:val="001D638B"/>
    <w:rsid w:val="001D6488"/>
    <w:rsid w:val="001D64CE"/>
    <w:rsid w:val="001D6CCE"/>
    <w:rsid w:val="001D6DFA"/>
    <w:rsid w:val="001D70C1"/>
    <w:rsid w:val="001D7159"/>
    <w:rsid w:val="001D742D"/>
    <w:rsid w:val="001D7798"/>
    <w:rsid w:val="001D79EF"/>
    <w:rsid w:val="001D7B9D"/>
    <w:rsid w:val="001E004B"/>
    <w:rsid w:val="001E059E"/>
    <w:rsid w:val="001E069D"/>
    <w:rsid w:val="001E0741"/>
    <w:rsid w:val="001E08D8"/>
    <w:rsid w:val="001E08DD"/>
    <w:rsid w:val="001E0916"/>
    <w:rsid w:val="001E127B"/>
    <w:rsid w:val="001E1901"/>
    <w:rsid w:val="001E19D3"/>
    <w:rsid w:val="001E1F97"/>
    <w:rsid w:val="001E23D1"/>
    <w:rsid w:val="001E2428"/>
    <w:rsid w:val="001E252F"/>
    <w:rsid w:val="001E26BD"/>
    <w:rsid w:val="001E28E6"/>
    <w:rsid w:val="001E2908"/>
    <w:rsid w:val="001E2A8E"/>
    <w:rsid w:val="001E38A8"/>
    <w:rsid w:val="001E3982"/>
    <w:rsid w:val="001E490F"/>
    <w:rsid w:val="001E4D92"/>
    <w:rsid w:val="001E53CD"/>
    <w:rsid w:val="001E53F7"/>
    <w:rsid w:val="001E580B"/>
    <w:rsid w:val="001E5BBB"/>
    <w:rsid w:val="001E5D60"/>
    <w:rsid w:val="001E5D75"/>
    <w:rsid w:val="001E5E04"/>
    <w:rsid w:val="001E5F64"/>
    <w:rsid w:val="001E6180"/>
    <w:rsid w:val="001E6288"/>
    <w:rsid w:val="001E6512"/>
    <w:rsid w:val="001E65B5"/>
    <w:rsid w:val="001E674B"/>
    <w:rsid w:val="001E68FC"/>
    <w:rsid w:val="001E69EF"/>
    <w:rsid w:val="001E6C2D"/>
    <w:rsid w:val="001E6C52"/>
    <w:rsid w:val="001E6D8E"/>
    <w:rsid w:val="001E714A"/>
    <w:rsid w:val="001E72B6"/>
    <w:rsid w:val="001E7396"/>
    <w:rsid w:val="001E7569"/>
    <w:rsid w:val="001E7600"/>
    <w:rsid w:val="001E77CE"/>
    <w:rsid w:val="001E7878"/>
    <w:rsid w:val="001E7F25"/>
    <w:rsid w:val="001F0379"/>
    <w:rsid w:val="001F0766"/>
    <w:rsid w:val="001F0B30"/>
    <w:rsid w:val="001F0BFF"/>
    <w:rsid w:val="001F0C39"/>
    <w:rsid w:val="001F0CBE"/>
    <w:rsid w:val="001F0EE5"/>
    <w:rsid w:val="001F111D"/>
    <w:rsid w:val="001F140D"/>
    <w:rsid w:val="001F16FB"/>
    <w:rsid w:val="001F1761"/>
    <w:rsid w:val="001F1844"/>
    <w:rsid w:val="001F1A09"/>
    <w:rsid w:val="001F1BC4"/>
    <w:rsid w:val="001F2178"/>
    <w:rsid w:val="001F22CC"/>
    <w:rsid w:val="001F25E0"/>
    <w:rsid w:val="001F2977"/>
    <w:rsid w:val="001F2DF7"/>
    <w:rsid w:val="001F3189"/>
    <w:rsid w:val="001F371E"/>
    <w:rsid w:val="001F3790"/>
    <w:rsid w:val="001F3C5F"/>
    <w:rsid w:val="001F458A"/>
    <w:rsid w:val="001F4AF8"/>
    <w:rsid w:val="001F4B1F"/>
    <w:rsid w:val="001F4F5A"/>
    <w:rsid w:val="001F5145"/>
    <w:rsid w:val="001F514A"/>
    <w:rsid w:val="001F5293"/>
    <w:rsid w:val="001F5574"/>
    <w:rsid w:val="001F61FE"/>
    <w:rsid w:val="001F646F"/>
    <w:rsid w:val="001F666B"/>
    <w:rsid w:val="001F66DE"/>
    <w:rsid w:val="001F68BC"/>
    <w:rsid w:val="001F6BF7"/>
    <w:rsid w:val="001F6C87"/>
    <w:rsid w:val="001F6EA3"/>
    <w:rsid w:val="001F6EC5"/>
    <w:rsid w:val="001F705D"/>
    <w:rsid w:val="001F7246"/>
    <w:rsid w:val="001F7971"/>
    <w:rsid w:val="001F7ACA"/>
    <w:rsid w:val="001F7D00"/>
    <w:rsid w:val="0020066A"/>
    <w:rsid w:val="00200807"/>
    <w:rsid w:val="0020094A"/>
    <w:rsid w:val="00200A6B"/>
    <w:rsid w:val="00200CAC"/>
    <w:rsid w:val="00200D92"/>
    <w:rsid w:val="0020124F"/>
    <w:rsid w:val="002014D8"/>
    <w:rsid w:val="002014E7"/>
    <w:rsid w:val="00201A05"/>
    <w:rsid w:val="00201B9B"/>
    <w:rsid w:val="00202046"/>
    <w:rsid w:val="00202576"/>
    <w:rsid w:val="002025B5"/>
    <w:rsid w:val="00202746"/>
    <w:rsid w:val="0020279F"/>
    <w:rsid w:val="00202966"/>
    <w:rsid w:val="00202A9E"/>
    <w:rsid w:val="00202AA8"/>
    <w:rsid w:val="00202D81"/>
    <w:rsid w:val="00202DC0"/>
    <w:rsid w:val="00202E80"/>
    <w:rsid w:val="00202EB6"/>
    <w:rsid w:val="00203893"/>
    <w:rsid w:val="00203A3C"/>
    <w:rsid w:val="00203AFE"/>
    <w:rsid w:val="00203B02"/>
    <w:rsid w:val="00203C62"/>
    <w:rsid w:val="00203F7B"/>
    <w:rsid w:val="00203F82"/>
    <w:rsid w:val="00204026"/>
    <w:rsid w:val="0020456B"/>
    <w:rsid w:val="002048BC"/>
    <w:rsid w:val="00205060"/>
    <w:rsid w:val="002051EE"/>
    <w:rsid w:val="00205413"/>
    <w:rsid w:val="00205507"/>
    <w:rsid w:val="00205642"/>
    <w:rsid w:val="00205644"/>
    <w:rsid w:val="002058B3"/>
    <w:rsid w:val="00205A9F"/>
    <w:rsid w:val="00205B0E"/>
    <w:rsid w:val="00205B1F"/>
    <w:rsid w:val="00205FEA"/>
    <w:rsid w:val="002061CA"/>
    <w:rsid w:val="0020626C"/>
    <w:rsid w:val="0020689C"/>
    <w:rsid w:val="00206926"/>
    <w:rsid w:val="00206929"/>
    <w:rsid w:val="002069A6"/>
    <w:rsid w:val="002069BC"/>
    <w:rsid w:val="00206E13"/>
    <w:rsid w:val="00206F7F"/>
    <w:rsid w:val="0020718C"/>
    <w:rsid w:val="00207205"/>
    <w:rsid w:val="00207223"/>
    <w:rsid w:val="00207408"/>
    <w:rsid w:val="00207526"/>
    <w:rsid w:val="0020761D"/>
    <w:rsid w:val="0020762E"/>
    <w:rsid w:val="00207675"/>
    <w:rsid w:val="00207FF8"/>
    <w:rsid w:val="0021000D"/>
    <w:rsid w:val="002101DD"/>
    <w:rsid w:val="0021021A"/>
    <w:rsid w:val="0021033E"/>
    <w:rsid w:val="00210679"/>
    <w:rsid w:val="002106D6"/>
    <w:rsid w:val="00210901"/>
    <w:rsid w:val="00210954"/>
    <w:rsid w:val="00210C4B"/>
    <w:rsid w:val="00210D6E"/>
    <w:rsid w:val="00210D9C"/>
    <w:rsid w:val="00210DCC"/>
    <w:rsid w:val="00210DCD"/>
    <w:rsid w:val="002114BC"/>
    <w:rsid w:val="0021198D"/>
    <w:rsid w:val="002119BF"/>
    <w:rsid w:val="00211C52"/>
    <w:rsid w:val="00211D3D"/>
    <w:rsid w:val="0021225B"/>
    <w:rsid w:val="0021226C"/>
    <w:rsid w:val="002126B2"/>
    <w:rsid w:val="00212948"/>
    <w:rsid w:val="00212BFF"/>
    <w:rsid w:val="00212C4F"/>
    <w:rsid w:val="002134A1"/>
    <w:rsid w:val="002134CF"/>
    <w:rsid w:val="00213889"/>
    <w:rsid w:val="00213A9B"/>
    <w:rsid w:val="00213E70"/>
    <w:rsid w:val="00213E74"/>
    <w:rsid w:val="00214036"/>
    <w:rsid w:val="00214433"/>
    <w:rsid w:val="002145B9"/>
    <w:rsid w:val="00214BD4"/>
    <w:rsid w:val="00214E39"/>
    <w:rsid w:val="00214FCF"/>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7423"/>
    <w:rsid w:val="00217839"/>
    <w:rsid w:val="0021786F"/>
    <w:rsid w:val="002178DF"/>
    <w:rsid w:val="00217A35"/>
    <w:rsid w:val="00217BBD"/>
    <w:rsid w:val="00217E30"/>
    <w:rsid w:val="0022067E"/>
    <w:rsid w:val="002208DA"/>
    <w:rsid w:val="00220A06"/>
    <w:rsid w:val="00220BD6"/>
    <w:rsid w:val="00220D43"/>
    <w:rsid w:val="00221037"/>
    <w:rsid w:val="00221197"/>
    <w:rsid w:val="00221201"/>
    <w:rsid w:val="00221282"/>
    <w:rsid w:val="002213B3"/>
    <w:rsid w:val="002213F7"/>
    <w:rsid w:val="00221402"/>
    <w:rsid w:val="0022195B"/>
    <w:rsid w:val="00221B1E"/>
    <w:rsid w:val="00221D4B"/>
    <w:rsid w:val="00222087"/>
    <w:rsid w:val="0022224C"/>
    <w:rsid w:val="00222392"/>
    <w:rsid w:val="002223C1"/>
    <w:rsid w:val="002224C1"/>
    <w:rsid w:val="002226A7"/>
    <w:rsid w:val="00222865"/>
    <w:rsid w:val="0022296C"/>
    <w:rsid w:val="00222B85"/>
    <w:rsid w:val="00222D4A"/>
    <w:rsid w:val="00222D97"/>
    <w:rsid w:val="00222DF5"/>
    <w:rsid w:val="0022389B"/>
    <w:rsid w:val="00223A5B"/>
    <w:rsid w:val="00223E9D"/>
    <w:rsid w:val="002240C5"/>
    <w:rsid w:val="002244A6"/>
    <w:rsid w:val="0022463E"/>
    <w:rsid w:val="00224F0D"/>
    <w:rsid w:val="00224FD6"/>
    <w:rsid w:val="00225495"/>
    <w:rsid w:val="002256E4"/>
    <w:rsid w:val="00225A3B"/>
    <w:rsid w:val="00225A8C"/>
    <w:rsid w:val="00225BD8"/>
    <w:rsid w:val="00225CFE"/>
    <w:rsid w:val="00225E41"/>
    <w:rsid w:val="00225F34"/>
    <w:rsid w:val="00226058"/>
    <w:rsid w:val="00226081"/>
    <w:rsid w:val="00226223"/>
    <w:rsid w:val="002263A4"/>
    <w:rsid w:val="002264E2"/>
    <w:rsid w:val="002267CE"/>
    <w:rsid w:val="00226999"/>
    <w:rsid w:val="00226A34"/>
    <w:rsid w:val="00226A73"/>
    <w:rsid w:val="00226AF7"/>
    <w:rsid w:val="00226CF3"/>
    <w:rsid w:val="002276A5"/>
    <w:rsid w:val="002277B0"/>
    <w:rsid w:val="00227917"/>
    <w:rsid w:val="0022799E"/>
    <w:rsid w:val="00227A3F"/>
    <w:rsid w:val="00227AA6"/>
    <w:rsid w:val="00227B4A"/>
    <w:rsid w:val="00227C91"/>
    <w:rsid w:val="00227CDE"/>
    <w:rsid w:val="00227F05"/>
    <w:rsid w:val="00227FDC"/>
    <w:rsid w:val="002303A5"/>
    <w:rsid w:val="00230817"/>
    <w:rsid w:val="0023081D"/>
    <w:rsid w:val="00230A9B"/>
    <w:rsid w:val="00230DCC"/>
    <w:rsid w:val="00230F31"/>
    <w:rsid w:val="00230FA0"/>
    <w:rsid w:val="00230FE7"/>
    <w:rsid w:val="00231417"/>
    <w:rsid w:val="00231611"/>
    <w:rsid w:val="002316D0"/>
    <w:rsid w:val="002317CA"/>
    <w:rsid w:val="00231960"/>
    <w:rsid w:val="00231D69"/>
    <w:rsid w:val="00231E84"/>
    <w:rsid w:val="00231F26"/>
    <w:rsid w:val="002324E3"/>
    <w:rsid w:val="002326C4"/>
    <w:rsid w:val="002328DE"/>
    <w:rsid w:val="00232917"/>
    <w:rsid w:val="002329D8"/>
    <w:rsid w:val="002329E5"/>
    <w:rsid w:val="00232FEC"/>
    <w:rsid w:val="0023329C"/>
    <w:rsid w:val="00233355"/>
    <w:rsid w:val="00233586"/>
    <w:rsid w:val="00233808"/>
    <w:rsid w:val="00233812"/>
    <w:rsid w:val="00233868"/>
    <w:rsid w:val="00233B0C"/>
    <w:rsid w:val="00233BC0"/>
    <w:rsid w:val="00233D92"/>
    <w:rsid w:val="00233E7B"/>
    <w:rsid w:val="00233F01"/>
    <w:rsid w:val="00233FBB"/>
    <w:rsid w:val="00233FF1"/>
    <w:rsid w:val="002342B8"/>
    <w:rsid w:val="00234B4F"/>
    <w:rsid w:val="00234E72"/>
    <w:rsid w:val="0023511A"/>
    <w:rsid w:val="002353C1"/>
    <w:rsid w:val="00235412"/>
    <w:rsid w:val="00235529"/>
    <w:rsid w:val="00235985"/>
    <w:rsid w:val="00235BEF"/>
    <w:rsid w:val="00235F4B"/>
    <w:rsid w:val="00236244"/>
    <w:rsid w:val="00236656"/>
    <w:rsid w:val="0023669A"/>
    <w:rsid w:val="00236CD2"/>
    <w:rsid w:val="00236DC0"/>
    <w:rsid w:val="00236F4C"/>
    <w:rsid w:val="002373A2"/>
    <w:rsid w:val="00237773"/>
    <w:rsid w:val="002379F5"/>
    <w:rsid w:val="00237A0A"/>
    <w:rsid w:val="00237D7E"/>
    <w:rsid w:val="00237EAC"/>
    <w:rsid w:val="002400B7"/>
    <w:rsid w:val="002400E9"/>
    <w:rsid w:val="002402F3"/>
    <w:rsid w:val="00240461"/>
    <w:rsid w:val="002407CC"/>
    <w:rsid w:val="00240853"/>
    <w:rsid w:val="002409E3"/>
    <w:rsid w:val="002410C2"/>
    <w:rsid w:val="0024113D"/>
    <w:rsid w:val="002411C6"/>
    <w:rsid w:val="00241394"/>
    <w:rsid w:val="002415CE"/>
    <w:rsid w:val="00241D72"/>
    <w:rsid w:val="00242487"/>
    <w:rsid w:val="00242517"/>
    <w:rsid w:val="0024260B"/>
    <w:rsid w:val="00242C9D"/>
    <w:rsid w:val="00242ED9"/>
    <w:rsid w:val="00243446"/>
    <w:rsid w:val="002439B0"/>
    <w:rsid w:val="00243BD2"/>
    <w:rsid w:val="00243CFC"/>
    <w:rsid w:val="00243D63"/>
    <w:rsid w:val="0024401F"/>
    <w:rsid w:val="00244085"/>
    <w:rsid w:val="00244685"/>
    <w:rsid w:val="002447E9"/>
    <w:rsid w:val="002447FC"/>
    <w:rsid w:val="002448E6"/>
    <w:rsid w:val="002448F3"/>
    <w:rsid w:val="00244A56"/>
    <w:rsid w:val="00244ACE"/>
    <w:rsid w:val="00244EE7"/>
    <w:rsid w:val="0024536C"/>
    <w:rsid w:val="002453BE"/>
    <w:rsid w:val="002455C3"/>
    <w:rsid w:val="0024569B"/>
    <w:rsid w:val="0024580A"/>
    <w:rsid w:val="00245A3F"/>
    <w:rsid w:val="00245BB2"/>
    <w:rsid w:val="00245FE1"/>
    <w:rsid w:val="00246686"/>
    <w:rsid w:val="00246967"/>
    <w:rsid w:val="00246C0C"/>
    <w:rsid w:val="00246FBA"/>
    <w:rsid w:val="00247177"/>
    <w:rsid w:val="0024736E"/>
    <w:rsid w:val="0024799C"/>
    <w:rsid w:val="00247B4D"/>
    <w:rsid w:val="00247CA1"/>
    <w:rsid w:val="00247E32"/>
    <w:rsid w:val="00247EE8"/>
    <w:rsid w:val="00250386"/>
    <w:rsid w:val="00250527"/>
    <w:rsid w:val="00250A38"/>
    <w:rsid w:val="00250BFD"/>
    <w:rsid w:val="00250C60"/>
    <w:rsid w:val="0025106D"/>
    <w:rsid w:val="002513AE"/>
    <w:rsid w:val="00251BAD"/>
    <w:rsid w:val="00251CAD"/>
    <w:rsid w:val="00251CFF"/>
    <w:rsid w:val="00251FB0"/>
    <w:rsid w:val="002521E1"/>
    <w:rsid w:val="00252225"/>
    <w:rsid w:val="002527A2"/>
    <w:rsid w:val="00252EEE"/>
    <w:rsid w:val="0025309F"/>
    <w:rsid w:val="002530F3"/>
    <w:rsid w:val="00253468"/>
    <w:rsid w:val="002534F4"/>
    <w:rsid w:val="0025351B"/>
    <w:rsid w:val="002535CE"/>
    <w:rsid w:val="00253724"/>
    <w:rsid w:val="00253781"/>
    <w:rsid w:val="002538BC"/>
    <w:rsid w:val="002539E6"/>
    <w:rsid w:val="00253DFE"/>
    <w:rsid w:val="00254114"/>
    <w:rsid w:val="00254247"/>
    <w:rsid w:val="002542B2"/>
    <w:rsid w:val="002543BC"/>
    <w:rsid w:val="0025447C"/>
    <w:rsid w:val="00254681"/>
    <w:rsid w:val="00254B08"/>
    <w:rsid w:val="00254B81"/>
    <w:rsid w:val="0025506E"/>
    <w:rsid w:val="00255399"/>
    <w:rsid w:val="002559B3"/>
    <w:rsid w:val="00255A84"/>
    <w:rsid w:val="00255B5A"/>
    <w:rsid w:val="00255F7F"/>
    <w:rsid w:val="002561C5"/>
    <w:rsid w:val="00256777"/>
    <w:rsid w:val="00256795"/>
    <w:rsid w:val="0025684E"/>
    <w:rsid w:val="0025698E"/>
    <w:rsid w:val="00256CAD"/>
    <w:rsid w:val="002573AF"/>
    <w:rsid w:val="002574AF"/>
    <w:rsid w:val="002578E2"/>
    <w:rsid w:val="00257AAA"/>
    <w:rsid w:val="00257C41"/>
    <w:rsid w:val="00260132"/>
    <w:rsid w:val="00260448"/>
    <w:rsid w:val="002609A0"/>
    <w:rsid w:val="00260BA6"/>
    <w:rsid w:val="00260C35"/>
    <w:rsid w:val="00260CA5"/>
    <w:rsid w:val="00260E48"/>
    <w:rsid w:val="0026114B"/>
    <w:rsid w:val="0026115B"/>
    <w:rsid w:val="0026123A"/>
    <w:rsid w:val="00261391"/>
    <w:rsid w:val="0026169D"/>
    <w:rsid w:val="00261972"/>
    <w:rsid w:val="00261C8B"/>
    <w:rsid w:val="00261CF1"/>
    <w:rsid w:val="00261DA5"/>
    <w:rsid w:val="00261E56"/>
    <w:rsid w:val="00262293"/>
    <w:rsid w:val="002623B7"/>
    <w:rsid w:val="00262869"/>
    <w:rsid w:val="002628F6"/>
    <w:rsid w:val="00262DCF"/>
    <w:rsid w:val="00262EBA"/>
    <w:rsid w:val="002634EA"/>
    <w:rsid w:val="00263558"/>
    <w:rsid w:val="002636CF"/>
    <w:rsid w:val="002637CF"/>
    <w:rsid w:val="00263AF8"/>
    <w:rsid w:val="00263C4A"/>
    <w:rsid w:val="00263CD1"/>
    <w:rsid w:val="00264303"/>
    <w:rsid w:val="002645C7"/>
    <w:rsid w:val="002646FE"/>
    <w:rsid w:val="00264795"/>
    <w:rsid w:val="002648EE"/>
    <w:rsid w:val="002649F5"/>
    <w:rsid w:val="00264B3D"/>
    <w:rsid w:val="00264C1F"/>
    <w:rsid w:val="00264C66"/>
    <w:rsid w:val="00264D11"/>
    <w:rsid w:val="00264FD6"/>
    <w:rsid w:val="00265127"/>
    <w:rsid w:val="002656C7"/>
    <w:rsid w:val="0026587A"/>
    <w:rsid w:val="00265AC3"/>
    <w:rsid w:val="00265BFC"/>
    <w:rsid w:val="00265CEF"/>
    <w:rsid w:val="00265D3C"/>
    <w:rsid w:val="00266730"/>
    <w:rsid w:val="00266D29"/>
    <w:rsid w:val="00266E9A"/>
    <w:rsid w:val="00266ED2"/>
    <w:rsid w:val="002671A2"/>
    <w:rsid w:val="0026722A"/>
    <w:rsid w:val="00267496"/>
    <w:rsid w:val="00267522"/>
    <w:rsid w:val="00267A28"/>
    <w:rsid w:val="00267A7C"/>
    <w:rsid w:val="00267B57"/>
    <w:rsid w:val="00267F66"/>
    <w:rsid w:val="00270169"/>
    <w:rsid w:val="0027028E"/>
    <w:rsid w:val="002702D2"/>
    <w:rsid w:val="00270370"/>
    <w:rsid w:val="002708A2"/>
    <w:rsid w:val="00270996"/>
    <w:rsid w:val="00270E19"/>
    <w:rsid w:val="00271610"/>
    <w:rsid w:val="0027170E"/>
    <w:rsid w:val="00271B4D"/>
    <w:rsid w:val="00271BE4"/>
    <w:rsid w:val="00271FEF"/>
    <w:rsid w:val="002720DA"/>
    <w:rsid w:val="00272164"/>
    <w:rsid w:val="00272499"/>
    <w:rsid w:val="00272623"/>
    <w:rsid w:val="00272960"/>
    <w:rsid w:val="00272A65"/>
    <w:rsid w:val="00272ABA"/>
    <w:rsid w:val="00272BCC"/>
    <w:rsid w:val="00272DBE"/>
    <w:rsid w:val="00272DDF"/>
    <w:rsid w:val="0027304A"/>
    <w:rsid w:val="0027304D"/>
    <w:rsid w:val="00273102"/>
    <w:rsid w:val="0027349A"/>
    <w:rsid w:val="00273CB2"/>
    <w:rsid w:val="002742FE"/>
    <w:rsid w:val="002746AB"/>
    <w:rsid w:val="002749FD"/>
    <w:rsid w:val="00274C4D"/>
    <w:rsid w:val="00274EFA"/>
    <w:rsid w:val="00275025"/>
    <w:rsid w:val="002755F0"/>
    <w:rsid w:val="00275704"/>
    <w:rsid w:val="0027590D"/>
    <w:rsid w:val="0027596A"/>
    <w:rsid w:val="002759C0"/>
    <w:rsid w:val="00275B68"/>
    <w:rsid w:val="00275C43"/>
    <w:rsid w:val="00275D7A"/>
    <w:rsid w:val="00275F13"/>
    <w:rsid w:val="00275F9E"/>
    <w:rsid w:val="002761BD"/>
    <w:rsid w:val="002764B9"/>
    <w:rsid w:val="0027652E"/>
    <w:rsid w:val="00276546"/>
    <w:rsid w:val="00276884"/>
    <w:rsid w:val="002772AF"/>
    <w:rsid w:val="002776BF"/>
    <w:rsid w:val="0027780B"/>
    <w:rsid w:val="00277A86"/>
    <w:rsid w:val="00277B7E"/>
    <w:rsid w:val="00277EC0"/>
    <w:rsid w:val="002800C9"/>
    <w:rsid w:val="002801E3"/>
    <w:rsid w:val="0028025F"/>
    <w:rsid w:val="0028035B"/>
    <w:rsid w:val="00280B6C"/>
    <w:rsid w:val="00280CBA"/>
    <w:rsid w:val="00280D5B"/>
    <w:rsid w:val="00280EA4"/>
    <w:rsid w:val="00281007"/>
    <w:rsid w:val="002810A6"/>
    <w:rsid w:val="002810CD"/>
    <w:rsid w:val="002811B7"/>
    <w:rsid w:val="00281364"/>
    <w:rsid w:val="0028165A"/>
    <w:rsid w:val="00281819"/>
    <w:rsid w:val="002819CC"/>
    <w:rsid w:val="00281DA0"/>
    <w:rsid w:val="002822C7"/>
    <w:rsid w:val="00282372"/>
    <w:rsid w:val="002827F9"/>
    <w:rsid w:val="00282BAE"/>
    <w:rsid w:val="00282D05"/>
    <w:rsid w:val="00282DAC"/>
    <w:rsid w:val="00282DBE"/>
    <w:rsid w:val="00282EE5"/>
    <w:rsid w:val="002834C9"/>
    <w:rsid w:val="0028357B"/>
    <w:rsid w:val="0028357D"/>
    <w:rsid w:val="002835A6"/>
    <w:rsid w:val="002837C2"/>
    <w:rsid w:val="0028399A"/>
    <w:rsid w:val="002839FB"/>
    <w:rsid w:val="00283BB4"/>
    <w:rsid w:val="00283D00"/>
    <w:rsid w:val="00283D4E"/>
    <w:rsid w:val="00284036"/>
    <w:rsid w:val="002840ED"/>
    <w:rsid w:val="00284162"/>
    <w:rsid w:val="002844AC"/>
    <w:rsid w:val="00284521"/>
    <w:rsid w:val="002845EA"/>
    <w:rsid w:val="00284709"/>
    <w:rsid w:val="002848C8"/>
    <w:rsid w:val="002848CF"/>
    <w:rsid w:val="00284B22"/>
    <w:rsid w:val="00285036"/>
    <w:rsid w:val="0028523A"/>
    <w:rsid w:val="00285309"/>
    <w:rsid w:val="0028551B"/>
    <w:rsid w:val="00285A8C"/>
    <w:rsid w:val="00285DF6"/>
    <w:rsid w:val="00285F0C"/>
    <w:rsid w:val="00285F61"/>
    <w:rsid w:val="00286154"/>
    <w:rsid w:val="00286229"/>
    <w:rsid w:val="0028670B"/>
    <w:rsid w:val="00286894"/>
    <w:rsid w:val="00286B1C"/>
    <w:rsid w:val="00286DCB"/>
    <w:rsid w:val="00286EBE"/>
    <w:rsid w:val="00286FB0"/>
    <w:rsid w:val="0028718B"/>
    <w:rsid w:val="00287699"/>
    <w:rsid w:val="0028783E"/>
    <w:rsid w:val="00287A37"/>
    <w:rsid w:val="00287E43"/>
    <w:rsid w:val="0029008E"/>
    <w:rsid w:val="0029029E"/>
    <w:rsid w:val="00290588"/>
    <w:rsid w:val="002907BC"/>
    <w:rsid w:val="00290A1A"/>
    <w:rsid w:val="00290B3C"/>
    <w:rsid w:val="00290B67"/>
    <w:rsid w:val="00290C68"/>
    <w:rsid w:val="00290D74"/>
    <w:rsid w:val="00290F8B"/>
    <w:rsid w:val="0029134D"/>
    <w:rsid w:val="00291779"/>
    <w:rsid w:val="002919DB"/>
    <w:rsid w:val="00291C46"/>
    <w:rsid w:val="002920C7"/>
    <w:rsid w:val="00292228"/>
    <w:rsid w:val="0029236F"/>
    <w:rsid w:val="002929D8"/>
    <w:rsid w:val="002929F8"/>
    <w:rsid w:val="00292B9F"/>
    <w:rsid w:val="00292C19"/>
    <w:rsid w:val="00292F4E"/>
    <w:rsid w:val="00293109"/>
    <w:rsid w:val="002938EF"/>
    <w:rsid w:val="0029396F"/>
    <w:rsid w:val="00293B12"/>
    <w:rsid w:val="00293C63"/>
    <w:rsid w:val="00293E47"/>
    <w:rsid w:val="00293F3D"/>
    <w:rsid w:val="0029417B"/>
    <w:rsid w:val="00294251"/>
    <w:rsid w:val="0029467A"/>
    <w:rsid w:val="00294744"/>
    <w:rsid w:val="002948F5"/>
    <w:rsid w:val="002949F3"/>
    <w:rsid w:val="00294A58"/>
    <w:rsid w:val="00294B49"/>
    <w:rsid w:val="00294D2F"/>
    <w:rsid w:val="0029502E"/>
    <w:rsid w:val="00295274"/>
    <w:rsid w:val="00295358"/>
    <w:rsid w:val="0029581A"/>
    <w:rsid w:val="002958DE"/>
    <w:rsid w:val="00295B6E"/>
    <w:rsid w:val="00295B70"/>
    <w:rsid w:val="00295EEF"/>
    <w:rsid w:val="00296011"/>
    <w:rsid w:val="002963DD"/>
    <w:rsid w:val="0029648D"/>
    <w:rsid w:val="0029655A"/>
    <w:rsid w:val="00296E93"/>
    <w:rsid w:val="00296F47"/>
    <w:rsid w:val="00297289"/>
    <w:rsid w:val="0029733E"/>
    <w:rsid w:val="00297514"/>
    <w:rsid w:val="0029799C"/>
    <w:rsid w:val="00297A08"/>
    <w:rsid w:val="00297ACE"/>
    <w:rsid w:val="00297ECD"/>
    <w:rsid w:val="002A03B0"/>
    <w:rsid w:val="002A04E2"/>
    <w:rsid w:val="002A0545"/>
    <w:rsid w:val="002A0662"/>
    <w:rsid w:val="002A06E7"/>
    <w:rsid w:val="002A0CF5"/>
    <w:rsid w:val="002A0E02"/>
    <w:rsid w:val="002A0E79"/>
    <w:rsid w:val="002A0E94"/>
    <w:rsid w:val="002A10E6"/>
    <w:rsid w:val="002A115B"/>
    <w:rsid w:val="002A1170"/>
    <w:rsid w:val="002A1231"/>
    <w:rsid w:val="002A1263"/>
    <w:rsid w:val="002A134F"/>
    <w:rsid w:val="002A1451"/>
    <w:rsid w:val="002A18FE"/>
    <w:rsid w:val="002A19F7"/>
    <w:rsid w:val="002A1AAE"/>
    <w:rsid w:val="002A1B9E"/>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EDA"/>
    <w:rsid w:val="002A3FF6"/>
    <w:rsid w:val="002A4101"/>
    <w:rsid w:val="002A4113"/>
    <w:rsid w:val="002A4266"/>
    <w:rsid w:val="002A449A"/>
    <w:rsid w:val="002A44A0"/>
    <w:rsid w:val="002A45B1"/>
    <w:rsid w:val="002A46C8"/>
    <w:rsid w:val="002A47DF"/>
    <w:rsid w:val="002A496E"/>
    <w:rsid w:val="002A4E42"/>
    <w:rsid w:val="002A5379"/>
    <w:rsid w:val="002A556F"/>
    <w:rsid w:val="002A598E"/>
    <w:rsid w:val="002A5C92"/>
    <w:rsid w:val="002A5DA7"/>
    <w:rsid w:val="002A61A5"/>
    <w:rsid w:val="002A61B1"/>
    <w:rsid w:val="002A6439"/>
    <w:rsid w:val="002A648D"/>
    <w:rsid w:val="002A6700"/>
    <w:rsid w:val="002A6996"/>
    <w:rsid w:val="002A7199"/>
    <w:rsid w:val="002A7418"/>
    <w:rsid w:val="002A7615"/>
    <w:rsid w:val="002A7682"/>
    <w:rsid w:val="002A77C3"/>
    <w:rsid w:val="002A79D9"/>
    <w:rsid w:val="002A7AD7"/>
    <w:rsid w:val="002A7BAF"/>
    <w:rsid w:val="002A7BBD"/>
    <w:rsid w:val="002A7F3D"/>
    <w:rsid w:val="002B0188"/>
    <w:rsid w:val="002B05A8"/>
    <w:rsid w:val="002B0966"/>
    <w:rsid w:val="002B09C1"/>
    <w:rsid w:val="002B0D6E"/>
    <w:rsid w:val="002B0E61"/>
    <w:rsid w:val="002B0F38"/>
    <w:rsid w:val="002B10B0"/>
    <w:rsid w:val="002B10B8"/>
    <w:rsid w:val="002B1106"/>
    <w:rsid w:val="002B1225"/>
    <w:rsid w:val="002B12AB"/>
    <w:rsid w:val="002B13F3"/>
    <w:rsid w:val="002B1437"/>
    <w:rsid w:val="002B14DB"/>
    <w:rsid w:val="002B169C"/>
    <w:rsid w:val="002B1838"/>
    <w:rsid w:val="002B1940"/>
    <w:rsid w:val="002B1F89"/>
    <w:rsid w:val="002B2013"/>
    <w:rsid w:val="002B21BB"/>
    <w:rsid w:val="002B2260"/>
    <w:rsid w:val="002B22F5"/>
    <w:rsid w:val="002B25F8"/>
    <w:rsid w:val="002B274C"/>
    <w:rsid w:val="002B279F"/>
    <w:rsid w:val="002B2868"/>
    <w:rsid w:val="002B2D4C"/>
    <w:rsid w:val="002B2E9F"/>
    <w:rsid w:val="002B2F77"/>
    <w:rsid w:val="002B3428"/>
    <w:rsid w:val="002B3462"/>
    <w:rsid w:val="002B3529"/>
    <w:rsid w:val="002B3596"/>
    <w:rsid w:val="002B3B7E"/>
    <w:rsid w:val="002B43B3"/>
    <w:rsid w:val="002B4804"/>
    <w:rsid w:val="002B4C45"/>
    <w:rsid w:val="002B4D60"/>
    <w:rsid w:val="002B4FAD"/>
    <w:rsid w:val="002B538D"/>
    <w:rsid w:val="002B563D"/>
    <w:rsid w:val="002B5841"/>
    <w:rsid w:val="002B5A1C"/>
    <w:rsid w:val="002B5B61"/>
    <w:rsid w:val="002B5CA1"/>
    <w:rsid w:val="002B6031"/>
    <w:rsid w:val="002B6411"/>
    <w:rsid w:val="002B65C0"/>
    <w:rsid w:val="002B6699"/>
    <w:rsid w:val="002B6716"/>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CBF"/>
    <w:rsid w:val="002C1D9C"/>
    <w:rsid w:val="002C1EFA"/>
    <w:rsid w:val="002C22C5"/>
    <w:rsid w:val="002C2421"/>
    <w:rsid w:val="002C2806"/>
    <w:rsid w:val="002C2A46"/>
    <w:rsid w:val="002C2BD3"/>
    <w:rsid w:val="002C2BEB"/>
    <w:rsid w:val="002C30A4"/>
    <w:rsid w:val="002C30D3"/>
    <w:rsid w:val="002C333E"/>
    <w:rsid w:val="002C3360"/>
    <w:rsid w:val="002C34B2"/>
    <w:rsid w:val="002C366F"/>
    <w:rsid w:val="002C3894"/>
    <w:rsid w:val="002C3B54"/>
    <w:rsid w:val="002C3D9B"/>
    <w:rsid w:val="002C3E6A"/>
    <w:rsid w:val="002C3F7A"/>
    <w:rsid w:val="002C40EF"/>
    <w:rsid w:val="002C4467"/>
    <w:rsid w:val="002C488D"/>
    <w:rsid w:val="002C4A81"/>
    <w:rsid w:val="002C4B78"/>
    <w:rsid w:val="002C4B93"/>
    <w:rsid w:val="002C4C01"/>
    <w:rsid w:val="002C4C27"/>
    <w:rsid w:val="002C4CA9"/>
    <w:rsid w:val="002C4CB2"/>
    <w:rsid w:val="002C4D71"/>
    <w:rsid w:val="002C5112"/>
    <w:rsid w:val="002C5453"/>
    <w:rsid w:val="002C561B"/>
    <w:rsid w:val="002C57BD"/>
    <w:rsid w:val="002C5961"/>
    <w:rsid w:val="002C5A5C"/>
    <w:rsid w:val="002C5BFE"/>
    <w:rsid w:val="002C5F0D"/>
    <w:rsid w:val="002C6477"/>
    <w:rsid w:val="002C64F8"/>
    <w:rsid w:val="002C6686"/>
    <w:rsid w:val="002C68E5"/>
    <w:rsid w:val="002C6DEF"/>
    <w:rsid w:val="002C7016"/>
    <w:rsid w:val="002C70A3"/>
    <w:rsid w:val="002C7173"/>
    <w:rsid w:val="002C7301"/>
    <w:rsid w:val="002C753C"/>
    <w:rsid w:val="002C75E6"/>
    <w:rsid w:val="002C7C0A"/>
    <w:rsid w:val="002C7C9C"/>
    <w:rsid w:val="002C7FF4"/>
    <w:rsid w:val="002D04C5"/>
    <w:rsid w:val="002D059D"/>
    <w:rsid w:val="002D0727"/>
    <w:rsid w:val="002D098C"/>
    <w:rsid w:val="002D100C"/>
    <w:rsid w:val="002D1768"/>
    <w:rsid w:val="002D1B36"/>
    <w:rsid w:val="002D1B96"/>
    <w:rsid w:val="002D1CCB"/>
    <w:rsid w:val="002D2270"/>
    <w:rsid w:val="002D237F"/>
    <w:rsid w:val="002D2C77"/>
    <w:rsid w:val="002D2E4C"/>
    <w:rsid w:val="002D2EC4"/>
    <w:rsid w:val="002D319A"/>
    <w:rsid w:val="002D32AF"/>
    <w:rsid w:val="002D32B8"/>
    <w:rsid w:val="002D3306"/>
    <w:rsid w:val="002D3568"/>
    <w:rsid w:val="002D370D"/>
    <w:rsid w:val="002D3790"/>
    <w:rsid w:val="002D37C1"/>
    <w:rsid w:val="002D3921"/>
    <w:rsid w:val="002D3AD4"/>
    <w:rsid w:val="002D4074"/>
    <w:rsid w:val="002D42F1"/>
    <w:rsid w:val="002D4487"/>
    <w:rsid w:val="002D473D"/>
    <w:rsid w:val="002D4830"/>
    <w:rsid w:val="002D4A0A"/>
    <w:rsid w:val="002D4A43"/>
    <w:rsid w:val="002D5041"/>
    <w:rsid w:val="002D5136"/>
    <w:rsid w:val="002D52BF"/>
    <w:rsid w:val="002D607F"/>
    <w:rsid w:val="002D60C9"/>
    <w:rsid w:val="002D65B4"/>
    <w:rsid w:val="002D68CE"/>
    <w:rsid w:val="002D69F9"/>
    <w:rsid w:val="002D6C61"/>
    <w:rsid w:val="002D6D06"/>
    <w:rsid w:val="002D6EF0"/>
    <w:rsid w:val="002D7072"/>
    <w:rsid w:val="002D7146"/>
    <w:rsid w:val="002D72F7"/>
    <w:rsid w:val="002D7AC4"/>
    <w:rsid w:val="002D7EC5"/>
    <w:rsid w:val="002E0315"/>
    <w:rsid w:val="002E0403"/>
    <w:rsid w:val="002E05D6"/>
    <w:rsid w:val="002E0903"/>
    <w:rsid w:val="002E0C71"/>
    <w:rsid w:val="002E0C9E"/>
    <w:rsid w:val="002E0D26"/>
    <w:rsid w:val="002E0D8B"/>
    <w:rsid w:val="002E10FA"/>
    <w:rsid w:val="002E1279"/>
    <w:rsid w:val="002E128F"/>
    <w:rsid w:val="002E158A"/>
    <w:rsid w:val="002E1658"/>
    <w:rsid w:val="002E192E"/>
    <w:rsid w:val="002E21D1"/>
    <w:rsid w:val="002E229D"/>
    <w:rsid w:val="002E25A8"/>
    <w:rsid w:val="002E279A"/>
    <w:rsid w:val="002E2BE7"/>
    <w:rsid w:val="002E2C2C"/>
    <w:rsid w:val="002E323E"/>
    <w:rsid w:val="002E3397"/>
    <w:rsid w:val="002E34CF"/>
    <w:rsid w:val="002E3832"/>
    <w:rsid w:val="002E399E"/>
    <w:rsid w:val="002E3B08"/>
    <w:rsid w:val="002E3B49"/>
    <w:rsid w:val="002E3CE5"/>
    <w:rsid w:val="002E3DC8"/>
    <w:rsid w:val="002E4089"/>
    <w:rsid w:val="002E4118"/>
    <w:rsid w:val="002E41F3"/>
    <w:rsid w:val="002E42D7"/>
    <w:rsid w:val="002E4505"/>
    <w:rsid w:val="002E4518"/>
    <w:rsid w:val="002E4519"/>
    <w:rsid w:val="002E4C6F"/>
    <w:rsid w:val="002E5038"/>
    <w:rsid w:val="002E533C"/>
    <w:rsid w:val="002E557C"/>
    <w:rsid w:val="002E55A5"/>
    <w:rsid w:val="002E5BB9"/>
    <w:rsid w:val="002E60A1"/>
    <w:rsid w:val="002E6116"/>
    <w:rsid w:val="002E67E6"/>
    <w:rsid w:val="002E69B3"/>
    <w:rsid w:val="002E6DBB"/>
    <w:rsid w:val="002E6E7C"/>
    <w:rsid w:val="002E6F44"/>
    <w:rsid w:val="002E6F72"/>
    <w:rsid w:val="002E7881"/>
    <w:rsid w:val="002E7B0D"/>
    <w:rsid w:val="002E7CBE"/>
    <w:rsid w:val="002F04DE"/>
    <w:rsid w:val="002F06A0"/>
    <w:rsid w:val="002F089E"/>
    <w:rsid w:val="002F092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6EC"/>
    <w:rsid w:val="002F279C"/>
    <w:rsid w:val="002F283F"/>
    <w:rsid w:val="002F2BB2"/>
    <w:rsid w:val="002F332E"/>
    <w:rsid w:val="002F35B3"/>
    <w:rsid w:val="002F3A93"/>
    <w:rsid w:val="002F3AFA"/>
    <w:rsid w:val="002F41A4"/>
    <w:rsid w:val="002F4355"/>
    <w:rsid w:val="002F435E"/>
    <w:rsid w:val="002F4417"/>
    <w:rsid w:val="002F4444"/>
    <w:rsid w:val="002F4777"/>
    <w:rsid w:val="002F48E3"/>
    <w:rsid w:val="002F4969"/>
    <w:rsid w:val="002F4B24"/>
    <w:rsid w:val="002F4BEA"/>
    <w:rsid w:val="002F4E5F"/>
    <w:rsid w:val="002F4FC0"/>
    <w:rsid w:val="002F54B6"/>
    <w:rsid w:val="002F5629"/>
    <w:rsid w:val="002F5674"/>
    <w:rsid w:val="002F5FC7"/>
    <w:rsid w:val="002F61FE"/>
    <w:rsid w:val="002F65E5"/>
    <w:rsid w:val="002F6615"/>
    <w:rsid w:val="002F6A6F"/>
    <w:rsid w:val="002F6B24"/>
    <w:rsid w:val="002F6D7E"/>
    <w:rsid w:val="002F6E28"/>
    <w:rsid w:val="002F70BA"/>
    <w:rsid w:val="002F71E3"/>
    <w:rsid w:val="002F725F"/>
    <w:rsid w:val="002F759F"/>
    <w:rsid w:val="002F764B"/>
    <w:rsid w:val="002F782B"/>
    <w:rsid w:val="002F7A88"/>
    <w:rsid w:val="002F7A99"/>
    <w:rsid w:val="002F7C08"/>
    <w:rsid w:val="002F7E68"/>
    <w:rsid w:val="002F7F86"/>
    <w:rsid w:val="003001EF"/>
    <w:rsid w:val="00300560"/>
    <w:rsid w:val="003007DE"/>
    <w:rsid w:val="00300919"/>
    <w:rsid w:val="003009A4"/>
    <w:rsid w:val="00300A82"/>
    <w:rsid w:val="00300A84"/>
    <w:rsid w:val="00300BF1"/>
    <w:rsid w:val="00300C9E"/>
    <w:rsid w:val="00300DCA"/>
    <w:rsid w:val="00300E39"/>
    <w:rsid w:val="00300EE8"/>
    <w:rsid w:val="00300F72"/>
    <w:rsid w:val="00300F95"/>
    <w:rsid w:val="0030101C"/>
    <w:rsid w:val="0030107F"/>
    <w:rsid w:val="003011A6"/>
    <w:rsid w:val="003013EF"/>
    <w:rsid w:val="003016B6"/>
    <w:rsid w:val="00301D7B"/>
    <w:rsid w:val="00301DD5"/>
    <w:rsid w:val="00302306"/>
    <w:rsid w:val="003023C2"/>
    <w:rsid w:val="003024FE"/>
    <w:rsid w:val="003025F2"/>
    <w:rsid w:val="003027F0"/>
    <w:rsid w:val="003028E2"/>
    <w:rsid w:val="0030294F"/>
    <w:rsid w:val="00302C24"/>
    <w:rsid w:val="00302E5E"/>
    <w:rsid w:val="00302EA1"/>
    <w:rsid w:val="0030310B"/>
    <w:rsid w:val="00303249"/>
    <w:rsid w:val="003038DB"/>
    <w:rsid w:val="003039E2"/>
    <w:rsid w:val="00303BC0"/>
    <w:rsid w:val="00303BC3"/>
    <w:rsid w:val="00303D58"/>
    <w:rsid w:val="00303D69"/>
    <w:rsid w:val="00303FA3"/>
    <w:rsid w:val="0030415A"/>
    <w:rsid w:val="00304433"/>
    <w:rsid w:val="0030458D"/>
    <w:rsid w:val="0030469D"/>
    <w:rsid w:val="003048C9"/>
    <w:rsid w:val="00304C8F"/>
    <w:rsid w:val="00304D19"/>
    <w:rsid w:val="00304D4E"/>
    <w:rsid w:val="00304F3C"/>
    <w:rsid w:val="00304F57"/>
    <w:rsid w:val="00304FF8"/>
    <w:rsid w:val="00305098"/>
    <w:rsid w:val="0030511E"/>
    <w:rsid w:val="00305BCF"/>
    <w:rsid w:val="00305E92"/>
    <w:rsid w:val="003060AE"/>
    <w:rsid w:val="0030615E"/>
    <w:rsid w:val="003063D7"/>
    <w:rsid w:val="003066E9"/>
    <w:rsid w:val="00306A64"/>
    <w:rsid w:val="00306C83"/>
    <w:rsid w:val="00306D6D"/>
    <w:rsid w:val="00306E81"/>
    <w:rsid w:val="00306EA4"/>
    <w:rsid w:val="00307013"/>
    <w:rsid w:val="00307041"/>
    <w:rsid w:val="00307448"/>
    <w:rsid w:val="003074E1"/>
    <w:rsid w:val="003079AD"/>
    <w:rsid w:val="003079B4"/>
    <w:rsid w:val="00307C55"/>
    <w:rsid w:val="00307DEF"/>
    <w:rsid w:val="00310138"/>
    <w:rsid w:val="0031027B"/>
    <w:rsid w:val="003104EC"/>
    <w:rsid w:val="003105A3"/>
    <w:rsid w:val="003107E5"/>
    <w:rsid w:val="00310DE6"/>
    <w:rsid w:val="0031115B"/>
    <w:rsid w:val="003115AC"/>
    <w:rsid w:val="00311962"/>
    <w:rsid w:val="003119A7"/>
    <w:rsid w:val="00311D33"/>
    <w:rsid w:val="00311EE1"/>
    <w:rsid w:val="0031200F"/>
    <w:rsid w:val="00312054"/>
    <w:rsid w:val="0031208A"/>
    <w:rsid w:val="0031216C"/>
    <w:rsid w:val="003124DE"/>
    <w:rsid w:val="003126CA"/>
    <w:rsid w:val="003127C5"/>
    <w:rsid w:val="003135E8"/>
    <w:rsid w:val="00313664"/>
    <w:rsid w:val="00313754"/>
    <w:rsid w:val="0031380E"/>
    <w:rsid w:val="003138A6"/>
    <w:rsid w:val="00313958"/>
    <w:rsid w:val="00313B78"/>
    <w:rsid w:val="00313C9A"/>
    <w:rsid w:val="00313DD4"/>
    <w:rsid w:val="003141DC"/>
    <w:rsid w:val="003142A8"/>
    <w:rsid w:val="003143BF"/>
    <w:rsid w:val="00314475"/>
    <w:rsid w:val="0031486F"/>
    <w:rsid w:val="00314A3D"/>
    <w:rsid w:val="00314F90"/>
    <w:rsid w:val="00315238"/>
    <w:rsid w:val="00315247"/>
    <w:rsid w:val="003153B1"/>
    <w:rsid w:val="00315725"/>
    <w:rsid w:val="00315731"/>
    <w:rsid w:val="003159A1"/>
    <w:rsid w:val="00315AF4"/>
    <w:rsid w:val="00315B37"/>
    <w:rsid w:val="00315C6A"/>
    <w:rsid w:val="00315D4B"/>
    <w:rsid w:val="00315D4C"/>
    <w:rsid w:val="00315E34"/>
    <w:rsid w:val="00315F85"/>
    <w:rsid w:val="0031617F"/>
    <w:rsid w:val="003162A1"/>
    <w:rsid w:val="00316769"/>
    <w:rsid w:val="00316C3C"/>
    <w:rsid w:val="00316C82"/>
    <w:rsid w:val="00316DEC"/>
    <w:rsid w:val="00317101"/>
    <w:rsid w:val="0031719E"/>
    <w:rsid w:val="00317858"/>
    <w:rsid w:val="00320036"/>
    <w:rsid w:val="0032006F"/>
    <w:rsid w:val="00320077"/>
    <w:rsid w:val="003200ED"/>
    <w:rsid w:val="003201A1"/>
    <w:rsid w:val="0032038C"/>
    <w:rsid w:val="00320747"/>
    <w:rsid w:val="00320832"/>
    <w:rsid w:val="003208E3"/>
    <w:rsid w:val="00320FD1"/>
    <w:rsid w:val="00321109"/>
    <w:rsid w:val="0032124F"/>
    <w:rsid w:val="00321560"/>
    <w:rsid w:val="00321690"/>
    <w:rsid w:val="00321758"/>
    <w:rsid w:val="00321812"/>
    <w:rsid w:val="00321823"/>
    <w:rsid w:val="00321BDA"/>
    <w:rsid w:val="003226B9"/>
    <w:rsid w:val="0032277F"/>
    <w:rsid w:val="00322E12"/>
    <w:rsid w:val="0032322A"/>
    <w:rsid w:val="0032358B"/>
    <w:rsid w:val="003235B5"/>
    <w:rsid w:val="003238F4"/>
    <w:rsid w:val="0032397D"/>
    <w:rsid w:val="00323D94"/>
    <w:rsid w:val="00323FC4"/>
    <w:rsid w:val="003243D1"/>
    <w:rsid w:val="0032442F"/>
    <w:rsid w:val="003245B3"/>
    <w:rsid w:val="00324D77"/>
    <w:rsid w:val="0032547A"/>
    <w:rsid w:val="00325692"/>
    <w:rsid w:val="003257A7"/>
    <w:rsid w:val="00325820"/>
    <w:rsid w:val="00325841"/>
    <w:rsid w:val="003259D7"/>
    <w:rsid w:val="003263F2"/>
    <w:rsid w:val="00326451"/>
    <w:rsid w:val="003268C7"/>
    <w:rsid w:val="00326914"/>
    <w:rsid w:val="00326A00"/>
    <w:rsid w:val="00326B3B"/>
    <w:rsid w:val="00326C30"/>
    <w:rsid w:val="00326D15"/>
    <w:rsid w:val="00326EE0"/>
    <w:rsid w:val="00326F2C"/>
    <w:rsid w:val="0032704C"/>
    <w:rsid w:val="0032709A"/>
    <w:rsid w:val="00327426"/>
    <w:rsid w:val="003277AE"/>
    <w:rsid w:val="003277F5"/>
    <w:rsid w:val="00327BD3"/>
    <w:rsid w:val="00327CAA"/>
    <w:rsid w:val="00327DE9"/>
    <w:rsid w:val="00327EB4"/>
    <w:rsid w:val="00327F5E"/>
    <w:rsid w:val="00327FD4"/>
    <w:rsid w:val="003301B3"/>
    <w:rsid w:val="0033033D"/>
    <w:rsid w:val="00330372"/>
    <w:rsid w:val="00330385"/>
    <w:rsid w:val="003303CC"/>
    <w:rsid w:val="003306DE"/>
    <w:rsid w:val="003308D8"/>
    <w:rsid w:val="003309D9"/>
    <w:rsid w:val="00330F59"/>
    <w:rsid w:val="0033102E"/>
    <w:rsid w:val="0033137B"/>
    <w:rsid w:val="00331401"/>
    <w:rsid w:val="00331418"/>
    <w:rsid w:val="00331728"/>
    <w:rsid w:val="00331C3C"/>
    <w:rsid w:val="00331CEE"/>
    <w:rsid w:val="00331D3E"/>
    <w:rsid w:val="00332094"/>
    <w:rsid w:val="0033228B"/>
    <w:rsid w:val="00332344"/>
    <w:rsid w:val="00332372"/>
    <w:rsid w:val="003323F4"/>
    <w:rsid w:val="0033289C"/>
    <w:rsid w:val="003328C7"/>
    <w:rsid w:val="00332CF5"/>
    <w:rsid w:val="00332F67"/>
    <w:rsid w:val="00332F82"/>
    <w:rsid w:val="0033312E"/>
    <w:rsid w:val="00333187"/>
    <w:rsid w:val="0033319E"/>
    <w:rsid w:val="00333234"/>
    <w:rsid w:val="00333437"/>
    <w:rsid w:val="00333822"/>
    <w:rsid w:val="003338EC"/>
    <w:rsid w:val="003339EC"/>
    <w:rsid w:val="00333B1F"/>
    <w:rsid w:val="00333CC8"/>
    <w:rsid w:val="00334022"/>
    <w:rsid w:val="003340BC"/>
    <w:rsid w:val="00334127"/>
    <w:rsid w:val="0033414E"/>
    <w:rsid w:val="003343B5"/>
    <w:rsid w:val="003345F8"/>
    <w:rsid w:val="00334813"/>
    <w:rsid w:val="00334A9A"/>
    <w:rsid w:val="00334B2B"/>
    <w:rsid w:val="00334F30"/>
    <w:rsid w:val="00334F79"/>
    <w:rsid w:val="003351AE"/>
    <w:rsid w:val="00335359"/>
    <w:rsid w:val="00335370"/>
    <w:rsid w:val="003353FE"/>
    <w:rsid w:val="003356B3"/>
    <w:rsid w:val="0033572C"/>
    <w:rsid w:val="0033577C"/>
    <w:rsid w:val="0033583D"/>
    <w:rsid w:val="00335ED1"/>
    <w:rsid w:val="003360AA"/>
    <w:rsid w:val="003361E2"/>
    <w:rsid w:val="0033624E"/>
    <w:rsid w:val="003368C4"/>
    <w:rsid w:val="00336C06"/>
    <w:rsid w:val="00336FBD"/>
    <w:rsid w:val="00337808"/>
    <w:rsid w:val="00337905"/>
    <w:rsid w:val="00337EF8"/>
    <w:rsid w:val="003407E4"/>
    <w:rsid w:val="0034081B"/>
    <w:rsid w:val="00340A1B"/>
    <w:rsid w:val="00340C0A"/>
    <w:rsid w:val="00341296"/>
    <w:rsid w:val="00341308"/>
    <w:rsid w:val="003414F3"/>
    <w:rsid w:val="00341557"/>
    <w:rsid w:val="003416A0"/>
    <w:rsid w:val="003417FE"/>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9D"/>
    <w:rsid w:val="0034382E"/>
    <w:rsid w:val="003439F6"/>
    <w:rsid w:val="00343CB0"/>
    <w:rsid w:val="00343DED"/>
    <w:rsid w:val="00343E5D"/>
    <w:rsid w:val="00343E69"/>
    <w:rsid w:val="0034402F"/>
    <w:rsid w:val="0034410F"/>
    <w:rsid w:val="00344182"/>
    <w:rsid w:val="00344287"/>
    <w:rsid w:val="00344359"/>
    <w:rsid w:val="00344774"/>
    <w:rsid w:val="00344983"/>
    <w:rsid w:val="00344A10"/>
    <w:rsid w:val="00344A29"/>
    <w:rsid w:val="00344C81"/>
    <w:rsid w:val="00345553"/>
    <w:rsid w:val="00346192"/>
    <w:rsid w:val="0034623F"/>
    <w:rsid w:val="003463D1"/>
    <w:rsid w:val="003463D8"/>
    <w:rsid w:val="0034646D"/>
    <w:rsid w:val="00346681"/>
    <w:rsid w:val="00346748"/>
    <w:rsid w:val="0034690E"/>
    <w:rsid w:val="00346C66"/>
    <w:rsid w:val="0034714F"/>
    <w:rsid w:val="0034715A"/>
    <w:rsid w:val="00347478"/>
    <w:rsid w:val="003477AD"/>
    <w:rsid w:val="003477E4"/>
    <w:rsid w:val="0034797B"/>
    <w:rsid w:val="00347BE5"/>
    <w:rsid w:val="00347D85"/>
    <w:rsid w:val="00347D88"/>
    <w:rsid w:val="00347EBA"/>
    <w:rsid w:val="003504B1"/>
    <w:rsid w:val="003507DD"/>
    <w:rsid w:val="00350B03"/>
    <w:rsid w:val="00350C0E"/>
    <w:rsid w:val="00350C95"/>
    <w:rsid w:val="00351016"/>
    <w:rsid w:val="00351124"/>
    <w:rsid w:val="00351332"/>
    <w:rsid w:val="00351347"/>
    <w:rsid w:val="00351632"/>
    <w:rsid w:val="00351656"/>
    <w:rsid w:val="0035167A"/>
    <w:rsid w:val="00351831"/>
    <w:rsid w:val="00351A16"/>
    <w:rsid w:val="00352069"/>
    <w:rsid w:val="003522E0"/>
    <w:rsid w:val="00352449"/>
    <w:rsid w:val="0035267F"/>
    <w:rsid w:val="0035284A"/>
    <w:rsid w:val="00352B39"/>
    <w:rsid w:val="00352B55"/>
    <w:rsid w:val="003530FE"/>
    <w:rsid w:val="00353E09"/>
    <w:rsid w:val="00354193"/>
    <w:rsid w:val="003547F2"/>
    <w:rsid w:val="003547FA"/>
    <w:rsid w:val="003548FE"/>
    <w:rsid w:val="00354923"/>
    <w:rsid w:val="00354AE3"/>
    <w:rsid w:val="003550A4"/>
    <w:rsid w:val="003550BA"/>
    <w:rsid w:val="00355171"/>
    <w:rsid w:val="0035537A"/>
    <w:rsid w:val="003554D2"/>
    <w:rsid w:val="0035574D"/>
    <w:rsid w:val="0035580D"/>
    <w:rsid w:val="0035588D"/>
    <w:rsid w:val="00355985"/>
    <w:rsid w:val="00355B06"/>
    <w:rsid w:val="00355D0B"/>
    <w:rsid w:val="003565E0"/>
    <w:rsid w:val="00356887"/>
    <w:rsid w:val="00356915"/>
    <w:rsid w:val="00356963"/>
    <w:rsid w:val="00356E75"/>
    <w:rsid w:val="00356F02"/>
    <w:rsid w:val="003575AD"/>
    <w:rsid w:val="0035766F"/>
    <w:rsid w:val="0035781A"/>
    <w:rsid w:val="0035797B"/>
    <w:rsid w:val="00357B39"/>
    <w:rsid w:val="00357BE7"/>
    <w:rsid w:val="00357CB5"/>
    <w:rsid w:val="00357E8C"/>
    <w:rsid w:val="003600B2"/>
    <w:rsid w:val="003602DC"/>
    <w:rsid w:val="0036040E"/>
    <w:rsid w:val="00360517"/>
    <w:rsid w:val="00360532"/>
    <w:rsid w:val="00360B57"/>
    <w:rsid w:val="00360C4D"/>
    <w:rsid w:val="00360CA8"/>
    <w:rsid w:val="00360EB5"/>
    <w:rsid w:val="00360F43"/>
    <w:rsid w:val="00361373"/>
    <w:rsid w:val="0036189A"/>
    <w:rsid w:val="00361A0A"/>
    <w:rsid w:val="00361D06"/>
    <w:rsid w:val="00361D3F"/>
    <w:rsid w:val="00362660"/>
    <w:rsid w:val="00362B81"/>
    <w:rsid w:val="00362DF5"/>
    <w:rsid w:val="00362F2C"/>
    <w:rsid w:val="00362FD3"/>
    <w:rsid w:val="0036354D"/>
    <w:rsid w:val="0036363C"/>
    <w:rsid w:val="0036375E"/>
    <w:rsid w:val="003638FE"/>
    <w:rsid w:val="003639FB"/>
    <w:rsid w:val="00363BF7"/>
    <w:rsid w:val="00364264"/>
    <w:rsid w:val="0036497E"/>
    <w:rsid w:val="003649B0"/>
    <w:rsid w:val="00364D9D"/>
    <w:rsid w:val="003650F3"/>
    <w:rsid w:val="003652B9"/>
    <w:rsid w:val="0036531C"/>
    <w:rsid w:val="00365D5A"/>
    <w:rsid w:val="00365F71"/>
    <w:rsid w:val="0036601F"/>
    <w:rsid w:val="003660DB"/>
    <w:rsid w:val="0036633A"/>
    <w:rsid w:val="003665B1"/>
    <w:rsid w:val="0036695B"/>
    <w:rsid w:val="00366B8C"/>
    <w:rsid w:val="00366BB8"/>
    <w:rsid w:val="00366EEE"/>
    <w:rsid w:val="00366F0A"/>
    <w:rsid w:val="003677DF"/>
    <w:rsid w:val="003678EB"/>
    <w:rsid w:val="00367940"/>
    <w:rsid w:val="00367B88"/>
    <w:rsid w:val="00370307"/>
    <w:rsid w:val="0037035D"/>
    <w:rsid w:val="00370821"/>
    <w:rsid w:val="0037089B"/>
    <w:rsid w:val="003709A2"/>
    <w:rsid w:val="00370A18"/>
    <w:rsid w:val="00370AA1"/>
    <w:rsid w:val="003710ED"/>
    <w:rsid w:val="003711CF"/>
    <w:rsid w:val="003716B7"/>
    <w:rsid w:val="003717D0"/>
    <w:rsid w:val="00371D3A"/>
    <w:rsid w:val="003720EE"/>
    <w:rsid w:val="00372263"/>
    <w:rsid w:val="0037233A"/>
    <w:rsid w:val="0037249C"/>
    <w:rsid w:val="003725AA"/>
    <w:rsid w:val="003728BF"/>
    <w:rsid w:val="00372A5B"/>
    <w:rsid w:val="0037317B"/>
    <w:rsid w:val="00373491"/>
    <w:rsid w:val="003736EB"/>
    <w:rsid w:val="00373766"/>
    <w:rsid w:val="003739DD"/>
    <w:rsid w:val="00373A9E"/>
    <w:rsid w:val="00373BE3"/>
    <w:rsid w:val="003741A2"/>
    <w:rsid w:val="00374419"/>
    <w:rsid w:val="003745A0"/>
    <w:rsid w:val="00374624"/>
    <w:rsid w:val="00374AC8"/>
    <w:rsid w:val="00374C44"/>
    <w:rsid w:val="00374D75"/>
    <w:rsid w:val="00374DC6"/>
    <w:rsid w:val="0037526B"/>
    <w:rsid w:val="003753CE"/>
    <w:rsid w:val="00375A73"/>
    <w:rsid w:val="00375E08"/>
    <w:rsid w:val="00375EA8"/>
    <w:rsid w:val="00375F64"/>
    <w:rsid w:val="00375FFC"/>
    <w:rsid w:val="00376F2E"/>
    <w:rsid w:val="0037738C"/>
    <w:rsid w:val="0037756C"/>
    <w:rsid w:val="00377AF1"/>
    <w:rsid w:val="00377CAD"/>
    <w:rsid w:val="00377D9A"/>
    <w:rsid w:val="00377E4F"/>
    <w:rsid w:val="00377F68"/>
    <w:rsid w:val="00380021"/>
    <w:rsid w:val="0038016E"/>
    <w:rsid w:val="00380265"/>
    <w:rsid w:val="00380364"/>
    <w:rsid w:val="0038047C"/>
    <w:rsid w:val="003805F0"/>
    <w:rsid w:val="00380746"/>
    <w:rsid w:val="00380B0B"/>
    <w:rsid w:val="00380BB9"/>
    <w:rsid w:val="00380D7D"/>
    <w:rsid w:val="00380E94"/>
    <w:rsid w:val="00381256"/>
    <w:rsid w:val="0038126C"/>
    <w:rsid w:val="00381275"/>
    <w:rsid w:val="003813B0"/>
    <w:rsid w:val="003814BB"/>
    <w:rsid w:val="00381554"/>
    <w:rsid w:val="00381562"/>
    <w:rsid w:val="003816E3"/>
    <w:rsid w:val="00381750"/>
    <w:rsid w:val="003819DF"/>
    <w:rsid w:val="0038204E"/>
    <w:rsid w:val="003820CB"/>
    <w:rsid w:val="00382266"/>
    <w:rsid w:val="0038235E"/>
    <w:rsid w:val="00382A53"/>
    <w:rsid w:val="00382AE5"/>
    <w:rsid w:val="00382B0C"/>
    <w:rsid w:val="00382E6F"/>
    <w:rsid w:val="00382FE3"/>
    <w:rsid w:val="00383170"/>
    <w:rsid w:val="003833B5"/>
    <w:rsid w:val="003834EC"/>
    <w:rsid w:val="0038352D"/>
    <w:rsid w:val="003835FF"/>
    <w:rsid w:val="00383BF4"/>
    <w:rsid w:val="00383CD0"/>
    <w:rsid w:val="00384584"/>
    <w:rsid w:val="003847B7"/>
    <w:rsid w:val="003847ED"/>
    <w:rsid w:val="00384A31"/>
    <w:rsid w:val="00384ADE"/>
    <w:rsid w:val="00384DB9"/>
    <w:rsid w:val="003854D6"/>
    <w:rsid w:val="003856BD"/>
    <w:rsid w:val="00385937"/>
    <w:rsid w:val="00386380"/>
    <w:rsid w:val="003865A1"/>
    <w:rsid w:val="00386DA0"/>
    <w:rsid w:val="00386DDB"/>
    <w:rsid w:val="00387553"/>
    <w:rsid w:val="0038792E"/>
    <w:rsid w:val="0038797A"/>
    <w:rsid w:val="00387A4A"/>
    <w:rsid w:val="00387F10"/>
    <w:rsid w:val="0039003F"/>
    <w:rsid w:val="00390B35"/>
    <w:rsid w:val="00391078"/>
    <w:rsid w:val="0039121A"/>
    <w:rsid w:val="003916E9"/>
    <w:rsid w:val="003919D8"/>
    <w:rsid w:val="00391D35"/>
    <w:rsid w:val="003921CD"/>
    <w:rsid w:val="00392270"/>
    <w:rsid w:val="00392827"/>
    <w:rsid w:val="003929D2"/>
    <w:rsid w:val="00392BC2"/>
    <w:rsid w:val="00392CCA"/>
    <w:rsid w:val="00392F26"/>
    <w:rsid w:val="00393029"/>
    <w:rsid w:val="003938D6"/>
    <w:rsid w:val="00393AD7"/>
    <w:rsid w:val="00393E3E"/>
    <w:rsid w:val="00393F81"/>
    <w:rsid w:val="00393FA5"/>
    <w:rsid w:val="00394040"/>
    <w:rsid w:val="0039406E"/>
    <w:rsid w:val="0039411F"/>
    <w:rsid w:val="0039413F"/>
    <w:rsid w:val="003946B9"/>
    <w:rsid w:val="003947A3"/>
    <w:rsid w:val="00394B51"/>
    <w:rsid w:val="003953BE"/>
    <w:rsid w:val="003956F2"/>
    <w:rsid w:val="003957BB"/>
    <w:rsid w:val="00395A9E"/>
    <w:rsid w:val="00395FBD"/>
    <w:rsid w:val="00396228"/>
    <w:rsid w:val="003962CD"/>
    <w:rsid w:val="003962F5"/>
    <w:rsid w:val="003963FF"/>
    <w:rsid w:val="003965C0"/>
    <w:rsid w:val="00396894"/>
    <w:rsid w:val="00396935"/>
    <w:rsid w:val="00396997"/>
    <w:rsid w:val="00396A4C"/>
    <w:rsid w:val="00396A6D"/>
    <w:rsid w:val="0039743E"/>
    <w:rsid w:val="00397A8D"/>
    <w:rsid w:val="00397B1D"/>
    <w:rsid w:val="00397BA8"/>
    <w:rsid w:val="00397CAC"/>
    <w:rsid w:val="00397D16"/>
    <w:rsid w:val="003A0403"/>
    <w:rsid w:val="003A06DF"/>
    <w:rsid w:val="003A0D0B"/>
    <w:rsid w:val="003A1301"/>
    <w:rsid w:val="003A1596"/>
    <w:rsid w:val="003A17DB"/>
    <w:rsid w:val="003A1968"/>
    <w:rsid w:val="003A1EE5"/>
    <w:rsid w:val="003A2516"/>
    <w:rsid w:val="003A2583"/>
    <w:rsid w:val="003A262F"/>
    <w:rsid w:val="003A27BB"/>
    <w:rsid w:val="003A280A"/>
    <w:rsid w:val="003A2FE5"/>
    <w:rsid w:val="003A31F5"/>
    <w:rsid w:val="003A35D6"/>
    <w:rsid w:val="003A362E"/>
    <w:rsid w:val="003A3B5C"/>
    <w:rsid w:val="003A42C2"/>
    <w:rsid w:val="003A43CA"/>
    <w:rsid w:val="003A4473"/>
    <w:rsid w:val="003A4780"/>
    <w:rsid w:val="003A4E51"/>
    <w:rsid w:val="003A4EEB"/>
    <w:rsid w:val="003A5077"/>
    <w:rsid w:val="003A5266"/>
    <w:rsid w:val="003A537A"/>
    <w:rsid w:val="003A5564"/>
    <w:rsid w:val="003A5614"/>
    <w:rsid w:val="003A56A1"/>
    <w:rsid w:val="003A58E1"/>
    <w:rsid w:val="003A5BC5"/>
    <w:rsid w:val="003A5C82"/>
    <w:rsid w:val="003A5CF2"/>
    <w:rsid w:val="003A5D19"/>
    <w:rsid w:val="003A5D52"/>
    <w:rsid w:val="003A5E4A"/>
    <w:rsid w:val="003A5F4E"/>
    <w:rsid w:val="003A603E"/>
    <w:rsid w:val="003A6160"/>
    <w:rsid w:val="003A669D"/>
    <w:rsid w:val="003A69F2"/>
    <w:rsid w:val="003A6A37"/>
    <w:rsid w:val="003A6A4E"/>
    <w:rsid w:val="003A6DDA"/>
    <w:rsid w:val="003A72FF"/>
    <w:rsid w:val="003A782B"/>
    <w:rsid w:val="003A7B9C"/>
    <w:rsid w:val="003A7C03"/>
    <w:rsid w:val="003A7DF3"/>
    <w:rsid w:val="003B0205"/>
    <w:rsid w:val="003B03BF"/>
    <w:rsid w:val="003B055B"/>
    <w:rsid w:val="003B0C6E"/>
    <w:rsid w:val="003B0E9B"/>
    <w:rsid w:val="003B1620"/>
    <w:rsid w:val="003B1661"/>
    <w:rsid w:val="003B1919"/>
    <w:rsid w:val="003B1D4D"/>
    <w:rsid w:val="003B1FE0"/>
    <w:rsid w:val="003B23A5"/>
    <w:rsid w:val="003B2677"/>
    <w:rsid w:val="003B28F3"/>
    <w:rsid w:val="003B2A09"/>
    <w:rsid w:val="003B2E43"/>
    <w:rsid w:val="003B2FAB"/>
    <w:rsid w:val="003B2FCF"/>
    <w:rsid w:val="003B317B"/>
    <w:rsid w:val="003B36A3"/>
    <w:rsid w:val="003B3EC4"/>
    <w:rsid w:val="003B3FD2"/>
    <w:rsid w:val="003B4059"/>
    <w:rsid w:val="003B40D1"/>
    <w:rsid w:val="003B4407"/>
    <w:rsid w:val="003B440E"/>
    <w:rsid w:val="003B453B"/>
    <w:rsid w:val="003B4D35"/>
    <w:rsid w:val="003B4DE9"/>
    <w:rsid w:val="003B51D0"/>
    <w:rsid w:val="003B5254"/>
    <w:rsid w:val="003B533E"/>
    <w:rsid w:val="003B538C"/>
    <w:rsid w:val="003B5417"/>
    <w:rsid w:val="003B5747"/>
    <w:rsid w:val="003B580F"/>
    <w:rsid w:val="003B58C7"/>
    <w:rsid w:val="003B5C27"/>
    <w:rsid w:val="003B5D22"/>
    <w:rsid w:val="003B6230"/>
    <w:rsid w:val="003B63DD"/>
    <w:rsid w:val="003B642F"/>
    <w:rsid w:val="003B673D"/>
    <w:rsid w:val="003B67E8"/>
    <w:rsid w:val="003B6A7F"/>
    <w:rsid w:val="003B6CA3"/>
    <w:rsid w:val="003B72BF"/>
    <w:rsid w:val="003B730A"/>
    <w:rsid w:val="003B7840"/>
    <w:rsid w:val="003B7AF0"/>
    <w:rsid w:val="003B7CC3"/>
    <w:rsid w:val="003B7F41"/>
    <w:rsid w:val="003C0109"/>
    <w:rsid w:val="003C0183"/>
    <w:rsid w:val="003C01AF"/>
    <w:rsid w:val="003C0461"/>
    <w:rsid w:val="003C0729"/>
    <w:rsid w:val="003C076A"/>
    <w:rsid w:val="003C0933"/>
    <w:rsid w:val="003C0B0E"/>
    <w:rsid w:val="003C0DFE"/>
    <w:rsid w:val="003C0FE1"/>
    <w:rsid w:val="003C1054"/>
    <w:rsid w:val="003C1084"/>
    <w:rsid w:val="003C1141"/>
    <w:rsid w:val="003C160F"/>
    <w:rsid w:val="003C175D"/>
    <w:rsid w:val="003C1862"/>
    <w:rsid w:val="003C19E0"/>
    <w:rsid w:val="003C1CFB"/>
    <w:rsid w:val="003C2577"/>
    <w:rsid w:val="003C274A"/>
    <w:rsid w:val="003C2BBD"/>
    <w:rsid w:val="003C2BC6"/>
    <w:rsid w:val="003C2F98"/>
    <w:rsid w:val="003C32A6"/>
    <w:rsid w:val="003C3333"/>
    <w:rsid w:val="003C3379"/>
    <w:rsid w:val="003C35F5"/>
    <w:rsid w:val="003C3971"/>
    <w:rsid w:val="003C3A4E"/>
    <w:rsid w:val="003C3AAD"/>
    <w:rsid w:val="003C3AE8"/>
    <w:rsid w:val="003C3BB5"/>
    <w:rsid w:val="003C3E77"/>
    <w:rsid w:val="003C3E86"/>
    <w:rsid w:val="003C4066"/>
    <w:rsid w:val="003C4264"/>
    <w:rsid w:val="003C42A3"/>
    <w:rsid w:val="003C43EC"/>
    <w:rsid w:val="003C4448"/>
    <w:rsid w:val="003C44F6"/>
    <w:rsid w:val="003C46AD"/>
    <w:rsid w:val="003C47E2"/>
    <w:rsid w:val="003C47F4"/>
    <w:rsid w:val="003C4B15"/>
    <w:rsid w:val="003C4D1E"/>
    <w:rsid w:val="003C4DE4"/>
    <w:rsid w:val="003C4E99"/>
    <w:rsid w:val="003C4F6C"/>
    <w:rsid w:val="003C529F"/>
    <w:rsid w:val="003C54BF"/>
    <w:rsid w:val="003C54EC"/>
    <w:rsid w:val="003C5539"/>
    <w:rsid w:val="003C5FC9"/>
    <w:rsid w:val="003C63D3"/>
    <w:rsid w:val="003C64F4"/>
    <w:rsid w:val="003C6533"/>
    <w:rsid w:val="003C7449"/>
    <w:rsid w:val="003C76C7"/>
    <w:rsid w:val="003C7AF1"/>
    <w:rsid w:val="003C7BE5"/>
    <w:rsid w:val="003D0022"/>
    <w:rsid w:val="003D0374"/>
    <w:rsid w:val="003D037B"/>
    <w:rsid w:val="003D0606"/>
    <w:rsid w:val="003D07AD"/>
    <w:rsid w:val="003D0B52"/>
    <w:rsid w:val="003D0B5A"/>
    <w:rsid w:val="003D1093"/>
    <w:rsid w:val="003D1448"/>
    <w:rsid w:val="003D1621"/>
    <w:rsid w:val="003D1ADC"/>
    <w:rsid w:val="003D1BB5"/>
    <w:rsid w:val="003D1D95"/>
    <w:rsid w:val="003D1EEC"/>
    <w:rsid w:val="003D1EF2"/>
    <w:rsid w:val="003D1F44"/>
    <w:rsid w:val="003D22D2"/>
    <w:rsid w:val="003D29C7"/>
    <w:rsid w:val="003D2C94"/>
    <w:rsid w:val="003D2E5B"/>
    <w:rsid w:val="003D2F29"/>
    <w:rsid w:val="003D33E2"/>
    <w:rsid w:val="003D3537"/>
    <w:rsid w:val="003D35E6"/>
    <w:rsid w:val="003D3996"/>
    <w:rsid w:val="003D3A06"/>
    <w:rsid w:val="003D3CB2"/>
    <w:rsid w:val="003D3D91"/>
    <w:rsid w:val="003D3EC2"/>
    <w:rsid w:val="003D42DE"/>
    <w:rsid w:val="003D4674"/>
    <w:rsid w:val="003D4689"/>
    <w:rsid w:val="003D4708"/>
    <w:rsid w:val="003D472C"/>
    <w:rsid w:val="003D477A"/>
    <w:rsid w:val="003D49ED"/>
    <w:rsid w:val="003D49F8"/>
    <w:rsid w:val="003D4D86"/>
    <w:rsid w:val="003D51E4"/>
    <w:rsid w:val="003D5469"/>
    <w:rsid w:val="003D55F6"/>
    <w:rsid w:val="003D5847"/>
    <w:rsid w:val="003D58DE"/>
    <w:rsid w:val="003D5BE2"/>
    <w:rsid w:val="003D5CE4"/>
    <w:rsid w:val="003D5F5B"/>
    <w:rsid w:val="003D603B"/>
    <w:rsid w:val="003D614C"/>
    <w:rsid w:val="003D619A"/>
    <w:rsid w:val="003D6556"/>
    <w:rsid w:val="003D6875"/>
    <w:rsid w:val="003D7078"/>
    <w:rsid w:val="003D71FB"/>
    <w:rsid w:val="003D758E"/>
    <w:rsid w:val="003D7BFB"/>
    <w:rsid w:val="003D7C86"/>
    <w:rsid w:val="003D7CF9"/>
    <w:rsid w:val="003E01B9"/>
    <w:rsid w:val="003E0352"/>
    <w:rsid w:val="003E05BD"/>
    <w:rsid w:val="003E0976"/>
    <w:rsid w:val="003E0A15"/>
    <w:rsid w:val="003E0C71"/>
    <w:rsid w:val="003E0C99"/>
    <w:rsid w:val="003E1230"/>
    <w:rsid w:val="003E14BE"/>
    <w:rsid w:val="003E181D"/>
    <w:rsid w:val="003E182D"/>
    <w:rsid w:val="003E184E"/>
    <w:rsid w:val="003E1937"/>
    <w:rsid w:val="003E1AFB"/>
    <w:rsid w:val="003E1E57"/>
    <w:rsid w:val="003E213F"/>
    <w:rsid w:val="003E23A1"/>
    <w:rsid w:val="003E26B2"/>
    <w:rsid w:val="003E2B86"/>
    <w:rsid w:val="003E2E5D"/>
    <w:rsid w:val="003E3046"/>
    <w:rsid w:val="003E3205"/>
    <w:rsid w:val="003E32E1"/>
    <w:rsid w:val="003E32FE"/>
    <w:rsid w:val="003E345C"/>
    <w:rsid w:val="003E3615"/>
    <w:rsid w:val="003E3966"/>
    <w:rsid w:val="003E3B30"/>
    <w:rsid w:val="003E3F41"/>
    <w:rsid w:val="003E3F62"/>
    <w:rsid w:val="003E4251"/>
    <w:rsid w:val="003E4B1B"/>
    <w:rsid w:val="003E50A1"/>
    <w:rsid w:val="003E5114"/>
    <w:rsid w:val="003E5127"/>
    <w:rsid w:val="003E5144"/>
    <w:rsid w:val="003E536E"/>
    <w:rsid w:val="003E542F"/>
    <w:rsid w:val="003E5514"/>
    <w:rsid w:val="003E569A"/>
    <w:rsid w:val="003E592F"/>
    <w:rsid w:val="003E5F33"/>
    <w:rsid w:val="003E5F9E"/>
    <w:rsid w:val="003E5FA7"/>
    <w:rsid w:val="003E6008"/>
    <w:rsid w:val="003E61EF"/>
    <w:rsid w:val="003E6615"/>
    <w:rsid w:val="003E694D"/>
    <w:rsid w:val="003E6CD0"/>
    <w:rsid w:val="003E74C3"/>
    <w:rsid w:val="003E79F9"/>
    <w:rsid w:val="003E7C34"/>
    <w:rsid w:val="003F008B"/>
    <w:rsid w:val="003F06E0"/>
    <w:rsid w:val="003F076E"/>
    <w:rsid w:val="003F083C"/>
    <w:rsid w:val="003F08C4"/>
    <w:rsid w:val="003F0949"/>
    <w:rsid w:val="003F0C38"/>
    <w:rsid w:val="003F0D7C"/>
    <w:rsid w:val="003F1085"/>
    <w:rsid w:val="003F1223"/>
    <w:rsid w:val="003F12E9"/>
    <w:rsid w:val="003F1522"/>
    <w:rsid w:val="003F177A"/>
    <w:rsid w:val="003F1967"/>
    <w:rsid w:val="003F1AB9"/>
    <w:rsid w:val="003F1BBE"/>
    <w:rsid w:val="003F1C13"/>
    <w:rsid w:val="003F1FD6"/>
    <w:rsid w:val="003F1FF2"/>
    <w:rsid w:val="003F2073"/>
    <w:rsid w:val="003F21AE"/>
    <w:rsid w:val="003F21E0"/>
    <w:rsid w:val="003F22F8"/>
    <w:rsid w:val="003F26FE"/>
    <w:rsid w:val="003F2A44"/>
    <w:rsid w:val="003F2ABB"/>
    <w:rsid w:val="003F2C11"/>
    <w:rsid w:val="003F301F"/>
    <w:rsid w:val="003F3377"/>
    <w:rsid w:val="003F33B7"/>
    <w:rsid w:val="003F37FD"/>
    <w:rsid w:val="003F3854"/>
    <w:rsid w:val="003F39AE"/>
    <w:rsid w:val="003F3A52"/>
    <w:rsid w:val="003F3EF1"/>
    <w:rsid w:val="003F4422"/>
    <w:rsid w:val="003F45B2"/>
    <w:rsid w:val="003F4679"/>
    <w:rsid w:val="003F4B62"/>
    <w:rsid w:val="003F510E"/>
    <w:rsid w:val="003F53E0"/>
    <w:rsid w:val="003F59D8"/>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B8"/>
    <w:rsid w:val="003F6B54"/>
    <w:rsid w:val="003F6F3C"/>
    <w:rsid w:val="003F7000"/>
    <w:rsid w:val="003F7422"/>
    <w:rsid w:val="003F757E"/>
    <w:rsid w:val="003F764A"/>
    <w:rsid w:val="003F7F49"/>
    <w:rsid w:val="0040032A"/>
    <w:rsid w:val="0040033C"/>
    <w:rsid w:val="00400494"/>
    <w:rsid w:val="004004F6"/>
    <w:rsid w:val="0040076E"/>
    <w:rsid w:val="0040078F"/>
    <w:rsid w:val="004010AA"/>
    <w:rsid w:val="0040111E"/>
    <w:rsid w:val="004017DF"/>
    <w:rsid w:val="004018B8"/>
    <w:rsid w:val="00401A68"/>
    <w:rsid w:val="00401B47"/>
    <w:rsid w:val="00401B69"/>
    <w:rsid w:val="00401C77"/>
    <w:rsid w:val="00401D2C"/>
    <w:rsid w:val="0040214B"/>
    <w:rsid w:val="00402199"/>
    <w:rsid w:val="00402280"/>
    <w:rsid w:val="004029E9"/>
    <w:rsid w:val="00402B37"/>
    <w:rsid w:val="00402BA1"/>
    <w:rsid w:val="00402DC6"/>
    <w:rsid w:val="0040313C"/>
    <w:rsid w:val="004032E7"/>
    <w:rsid w:val="0040351E"/>
    <w:rsid w:val="00403882"/>
    <w:rsid w:val="00403930"/>
    <w:rsid w:val="00403A03"/>
    <w:rsid w:val="00403D27"/>
    <w:rsid w:val="00403F1A"/>
    <w:rsid w:val="00404941"/>
    <w:rsid w:val="00404D2B"/>
    <w:rsid w:val="00404D94"/>
    <w:rsid w:val="00404DCD"/>
    <w:rsid w:val="0040548B"/>
    <w:rsid w:val="004054A8"/>
    <w:rsid w:val="004055FB"/>
    <w:rsid w:val="00405AE6"/>
    <w:rsid w:val="00405E6C"/>
    <w:rsid w:val="00405EA9"/>
    <w:rsid w:val="00406145"/>
    <w:rsid w:val="00406158"/>
    <w:rsid w:val="0040627A"/>
    <w:rsid w:val="0040646D"/>
    <w:rsid w:val="00406500"/>
    <w:rsid w:val="0040667E"/>
    <w:rsid w:val="00406A86"/>
    <w:rsid w:val="00406AC1"/>
    <w:rsid w:val="00406BC3"/>
    <w:rsid w:val="00406D88"/>
    <w:rsid w:val="00406FFC"/>
    <w:rsid w:val="00407441"/>
    <w:rsid w:val="004077D6"/>
    <w:rsid w:val="0040780E"/>
    <w:rsid w:val="00407867"/>
    <w:rsid w:val="004078C9"/>
    <w:rsid w:val="00407C0D"/>
    <w:rsid w:val="00407FD6"/>
    <w:rsid w:val="004104BE"/>
    <w:rsid w:val="00410778"/>
    <w:rsid w:val="00410883"/>
    <w:rsid w:val="00410A5C"/>
    <w:rsid w:val="00410C9B"/>
    <w:rsid w:val="00411033"/>
    <w:rsid w:val="004111AF"/>
    <w:rsid w:val="004111D4"/>
    <w:rsid w:val="00411317"/>
    <w:rsid w:val="00411371"/>
    <w:rsid w:val="004115E1"/>
    <w:rsid w:val="004116F3"/>
    <w:rsid w:val="004117A8"/>
    <w:rsid w:val="00411A53"/>
    <w:rsid w:val="00411B3D"/>
    <w:rsid w:val="00411BEF"/>
    <w:rsid w:val="00411F5D"/>
    <w:rsid w:val="004120B3"/>
    <w:rsid w:val="00412187"/>
    <w:rsid w:val="004121E7"/>
    <w:rsid w:val="00412257"/>
    <w:rsid w:val="004129F1"/>
    <w:rsid w:val="00412E00"/>
    <w:rsid w:val="00412E18"/>
    <w:rsid w:val="0041312D"/>
    <w:rsid w:val="0041316E"/>
    <w:rsid w:val="00413710"/>
    <w:rsid w:val="00413EB0"/>
    <w:rsid w:val="00414334"/>
    <w:rsid w:val="004143AE"/>
    <w:rsid w:val="00414609"/>
    <w:rsid w:val="00414665"/>
    <w:rsid w:val="00414673"/>
    <w:rsid w:val="0041473B"/>
    <w:rsid w:val="0041478B"/>
    <w:rsid w:val="00414B30"/>
    <w:rsid w:val="00414C6B"/>
    <w:rsid w:val="00414D78"/>
    <w:rsid w:val="00414E51"/>
    <w:rsid w:val="00414E5C"/>
    <w:rsid w:val="0041517D"/>
    <w:rsid w:val="004151EC"/>
    <w:rsid w:val="004156C4"/>
    <w:rsid w:val="0041594C"/>
    <w:rsid w:val="00415D9B"/>
    <w:rsid w:val="00416093"/>
    <w:rsid w:val="004161D1"/>
    <w:rsid w:val="004162D3"/>
    <w:rsid w:val="00416512"/>
    <w:rsid w:val="004167C7"/>
    <w:rsid w:val="004167DB"/>
    <w:rsid w:val="00416948"/>
    <w:rsid w:val="00416B0F"/>
    <w:rsid w:val="00416B90"/>
    <w:rsid w:val="00416CA7"/>
    <w:rsid w:val="00416CC7"/>
    <w:rsid w:val="00416D3C"/>
    <w:rsid w:val="00416E86"/>
    <w:rsid w:val="00417337"/>
    <w:rsid w:val="00417347"/>
    <w:rsid w:val="004173A0"/>
    <w:rsid w:val="0041747D"/>
    <w:rsid w:val="0041760B"/>
    <w:rsid w:val="00417775"/>
    <w:rsid w:val="004179E2"/>
    <w:rsid w:val="00417E60"/>
    <w:rsid w:val="00417EBB"/>
    <w:rsid w:val="004200E6"/>
    <w:rsid w:val="004202E1"/>
    <w:rsid w:val="0042037D"/>
    <w:rsid w:val="004203EF"/>
    <w:rsid w:val="00420435"/>
    <w:rsid w:val="0042094B"/>
    <w:rsid w:val="00420AAC"/>
    <w:rsid w:val="00420EF6"/>
    <w:rsid w:val="00420F04"/>
    <w:rsid w:val="00420FA8"/>
    <w:rsid w:val="004210BA"/>
    <w:rsid w:val="004212B4"/>
    <w:rsid w:val="004213A2"/>
    <w:rsid w:val="004213A6"/>
    <w:rsid w:val="004214FC"/>
    <w:rsid w:val="00421870"/>
    <w:rsid w:val="00421AFD"/>
    <w:rsid w:val="00422156"/>
    <w:rsid w:val="0042262D"/>
    <w:rsid w:val="004228C6"/>
    <w:rsid w:val="00422B44"/>
    <w:rsid w:val="00422D03"/>
    <w:rsid w:val="00423099"/>
    <w:rsid w:val="0042347C"/>
    <w:rsid w:val="00423BCE"/>
    <w:rsid w:val="00423CBD"/>
    <w:rsid w:val="00423F0D"/>
    <w:rsid w:val="004240A9"/>
    <w:rsid w:val="004241CE"/>
    <w:rsid w:val="00424200"/>
    <w:rsid w:val="004244C6"/>
    <w:rsid w:val="00424564"/>
    <w:rsid w:val="00424D0A"/>
    <w:rsid w:val="00424DD8"/>
    <w:rsid w:val="00424E41"/>
    <w:rsid w:val="00424E79"/>
    <w:rsid w:val="00424FA9"/>
    <w:rsid w:val="004250C0"/>
    <w:rsid w:val="00425483"/>
    <w:rsid w:val="0042553A"/>
    <w:rsid w:val="0042558E"/>
    <w:rsid w:val="004256FB"/>
    <w:rsid w:val="0042583C"/>
    <w:rsid w:val="004259AD"/>
    <w:rsid w:val="00425B6E"/>
    <w:rsid w:val="00425BA1"/>
    <w:rsid w:val="00425E28"/>
    <w:rsid w:val="00426178"/>
    <w:rsid w:val="0042661C"/>
    <w:rsid w:val="004267EB"/>
    <w:rsid w:val="00427271"/>
    <w:rsid w:val="004274B3"/>
    <w:rsid w:val="00427808"/>
    <w:rsid w:val="00427B89"/>
    <w:rsid w:val="00427F27"/>
    <w:rsid w:val="00427FFB"/>
    <w:rsid w:val="0043001E"/>
    <w:rsid w:val="0043009C"/>
    <w:rsid w:val="00430294"/>
    <w:rsid w:val="004302DC"/>
    <w:rsid w:val="004303AB"/>
    <w:rsid w:val="0043044F"/>
    <w:rsid w:val="0043062E"/>
    <w:rsid w:val="00430734"/>
    <w:rsid w:val="0043076A"/>
    <w:rsid w:val="00430A57"/>
    <w:rsid w:val="00430BDD"/>
    <w:rsid w:val="00431060"/>
    <w:rsid w:val="0043113F"/>
    <w:rsid w:val="004312C7"/>
    <w:rsid w:val="0043174D"/>
    <w:rsid w:val="00431785"/>
    <w:rsid w:val="004319EA"/>
    <w:rsid w:val="00431B17"/>
    <w:rsid w:val="00432048"/>
    <w:rsid w:val="004320E5"/>
    <w:rsid w:val="00432240"/>
    <w:rsid w:val="00432286"/>
    <w:rsid w:val="004323EB"/>
    <w:rsid w:val="00432540"/>
    <w:rsid w:val="00432A4F"/>
    <w:rsid w:val="00432D78"/>
    <w:rsid w:val="00432E48"/>
    <w:rsid w:val="00432ED2"/>
    <w:rsid w:val="004332B3"/>
    <w:rsid w:val="00433469"/>
    <w:rsid w:val="00433529"/>
    <w:rsid w:val="0043362C"/>
    <w:rsid w:val="0043391E"/>
    <w:rsid w:val="00433AAF"/>
    <w:rsid w:val="00433C2A"/>
    <w:rsid w:val="00433F36"/>
    <w:rsid w:val="00433FEE"/>
    <w:rsid w:val="00434103"/>
    <w:rsid w:val="004344BF"/>
    <w:rsid w:val="0043452F"/>
    <w:rsid w:val="00434660"/>
    <w:rsid w:val="004347FF"/>
    <w:rsid w:val="00434B15"/>
    <w:rsid w:val="00434B64"/>
    <w:rsid w:val="00435263"/>
    <w:rsid w:val="00435326"/>
    <w:rsid w:val="004356DD"/>
    <w:rsid w:val="00435A59"/>
    <w:rsid w:val="00435C52"/>
    <w:rsid w:val="00435CB8"/>
    <w:rsid w:val="00436217"/>
    <w:rsid w:val="00436227"/>
    <w:rsid w:val="0043632B"/>
    <w:rsid w:val="00436624"/>
    <w:rsid w:val="004367FA"/>
    <w:rsid w:val="00436E6C"/>
    <w:rsid w:val="00437057"/>
    <w:rsid w:val="00437135"/>
    <w:rsid w:val="004375B3"/>
    <w:rsid w:val="0043778E"/>
    <w:rsid w:val="00437B99"/>
    <w:rsid w:val="00440195"/>
    <w:rsid w:val="00440360"/>
    <w:rsid w:val="004403F7"/>
    <w:rsid w:val="0044069D"/>
    <w:rsid w:val="004407DF"/>
    <w:rsid w:val="00440C8C"/>
    <w:rsid w:val="004412FA"/>
    <w:rsid w:val="004415B4"/>
    <w:rsid w:val="0044167F"/>
    <w:rsid w:val="004418E1"/>
    <w:rsid w:val="00441CBC"/>
    <w:rsid w:val="00441EDE"/>
    <w:rsid w:val="00441F98"/>
    <w:rsid w:val="0044207C"/>
    <w:rsid w:val="004429E0"/>
    <w:rsid w:val="00442E9B"/>
    <w:rsid w:val="004438E4"/>
    <w:rsid w:val="00443B94"/>
    <w:rsid w:val="00443E1F"/>
    <w:rsid w:val="00443EC1"/>
    <w:rsid w:val="0044403E"/>
    <w:rsid w:val="004441D6"/>
    <w:rsid w:val="00444240"/>
    <w:rsid w:val="004443E1"/>
    <w:rsid w:val="004447F9"/>
    <w:rsid w:val="00444A57"/>
    <w:rsid w:val="00444BF9"/>
    <w:rsid w:val="00444D52"/>
    <w:rsid w:val="0044566E"/>
    <w:rsid w:val="004457D1"/>
    <w:rsid w:val="0044584E"/>
    <w:rsid w:val="004459E8"/>
    <w:rsid w:val="00445B1C"/>
    <w:rsid w:val="00445BBA"/>
    <w:rsid w:val="0044611D"/>
    <w:rsid w:val="00446527"/>
    <w:rsid w:val="004466F4"/>
    <w:rsid w:val="00446A96"/>
    <w:rsid w:val="00446C68"/>
    <w:rsid w:val="00446D05"/>
    <w:rsid w:val="00446F26"/>
    <w:rsid w:val="0044756C"/>
    <w:rsid w:val="00447666"/>
    <w:rsid w:val="00447725"/>
    <w:rsid w:val="004477FF"/>
    <w:rsid w:val="00447900"/>
    <w:rsid w:val="00447AC9"/>
    <w:rsid w:val="00447CE7"/>
    <w:rsid w:val="00447D1A"/>
    <w:rsid w:val="00447D60"/>
    <w:rsid w:val="00450075"/>
    <w:rsid w:val="004501AA"/>
    <w:rsid w:val="004502B2"/>
    <w:rsid w:val="00450361"/>
    <w:rsid w:val="00450452"/>
    <w:rsid w:val="0045047E"/>
    <w:rsid w:val="004504E9"/>
    <w:rsid w:val="00450B28"/>
    <w:rsid w:val="00450CD9"/>
    <w:rsid w:val="00451433"/>
    <w:rsid w:val="00451970"/>
    <w:rsid w:val="00451E80"/>
    <w:rsid w:val="00452434"/>
    <w:rsid w:val="004525FF"/>
    <w:rsid w:val="00452631"/>
    <w:rsid w:val="004526F1"/>
    <w:rsid w:val="00452AE8"/>
    <w:rsid w:val="00452EAE"/>
    <w:rsid w:val="00452EF2"/>
    <w:rsid w:val="00452F58"/>
    <w:rsid w:val="00452FEC"/>
    <w:rsid w:val="00453126"/>
    <w:rsid w:val="00453264"/>
    <w:rsid w:val="0045350E"/>
    <w:rsid w:val="0045402E"/>
    <w:rsid w:val="004549A2"/>
    <w:rsid w:val="00454CC9"/>
    <w:rsid w:val="004551F2"/>
    <w:rsid w:val="0045521A"/>
    <w:rsid w:val="0045526D"/>
    <w:rsid w:val="0045536E"/>
    <w:rsid w:val="004553DB"/>
    <w:rsid w:val="0045550C"/>
    <w:rsid w:val="00455597"/>
    <w:rsid w:val="00455FBF"/>
    <w:rsid w:val="00455FEA"/>
    <w:rsid w:val="00456217"/>
    <w:rsid w:val="00456226"/>
    <w:rsid w:val="0045628F"/>
    <w:rsid w:val="004562B8"/>
    <w:rsid w:val="0045650E"/>
    <w:rsid w:val="004568D7"/>
    <w:rsid w:val="00456C48"/>
    <w:rsid w:val="00456D59"/>
    <w:rsid w:val="00456E0B"/>
    <w:rsid w:val="00456E75"/>
    <w:rsid w:val="00456EEB"/>
    <w:rsid w:val="004574E7"/>
    <w:rsid w:val="004575B3"/>
    <w:rsid w:val="00457981"/>
    <w:rsid w:val="00457990"/>
    <w:rsid w:val="00457C7C"/>
    <w:rsid w:val="00460114"/>
    <w:rsid w:val="00460F33"/>
    <w:rsid w:val="0046147A"/>
    <w:rsid w:val="00461542"/>
    <w:rsid w:val="0046174C"/>
    <w:rsid w:val="004619BA"/>
    <w:rsid w:val="00461A0A"/>
    <w:rsid w:val="00461CDE"/>
    <w:rsid w:val="00462036"/>
    <w:rsid w:val="0046222A"/>
    <w:rsid w:val="00462271"/>
    <w:rsid w:val="00462914"/>
    <w:rsid w:val="00462B54"/>
    <w:rsid w:val="00463064"/>
    <w:rsid w:val="004630D1"/>
    <w:rsid w:val="0046334D"/>
    <w:rsid w:val="004633A5"/>
    <w:rsid w:val="004634AC"/>
    <w:rsid w:val="004636C5"/>
    <w:rsid w:val="004637AF"/>
    <w:rsid w:val="00463AD2"/>
    <w:rsid w:val="00463DB5"/>
    <w:rsid w:val="004640FD"/>
    <w:rsid w:val="00464118"/>
    <w:rsid w:val="004646CB"/>
    <w:rsid w:val="004649CD"/>
    <w:rsid w:val="00464C37"/>
    <w:rsid w:val="0046520F"/>
    <w:rsid w:val="00465385"/>
    <w:rsid w:val="0046558A"/>
    <w:rsid w:val="004656CF"/>
    <w:rsid w:val="004658F6"/>
    <w:rsid w:val="00465998"/>
    <w:rsid w:val="00465D65"/>
    <w:rsid w:val="00465E91"/>
    <w:rsid w:val="004662A3"/>
    <w:rsid w:val="00466310"/>
    <w:rsid w:val="00466750"/>
    <w:rsid w:val="004667DB"/>
    <w:rsid w:val="00466805"/>
    <w:rsid w:val="0046685B"/>
    <w:rsid w:val="00466BC5"/>
    <w:rsid w:val="00466FC4"/>
    <w:rsid w:val="00467066"/>
    <w:rsid w:val="004670A0"/>
    <w:rsid w:val="0046730D"/>
    <w:rsid w:val="0046770A"/>
    <w:rsid w:val="00467A5C"/>
    <w:rsid w:val="00467ABD"/>
    <w:rsid w:val="00467DE1"/>
    <w:rsid w:val="00467E2B"/>
    <w:rsid w:val="00467EF8"/>
    <w:rsid w:val="00470147"/>
    <w:rsid w:val="004702F4"/>
    <w:rsid w:val="00470BAE"/>
    <w:rsid w:val="00470F1A"/>
    <w:rsid w:val="00471411"/>
    <w:rsid w:val="00471956"/>
    <w:rsid w:val="00471CAF"/>
    <w:rsid w:val="00471D36"/>
    <w:rsid w:val="00471DEC"/>
    <w:rsid w:val="00472386"/>
    <w:rsid w:val="00472461"/>
    <w:rsid w:val="004724BE"/>
    <w:rsid w:val="004727AD"/>
    <w:rsid w:val="00472A85"/>
    <w:rsid w:val="00472B98"/>
    <w:rsid w:val="00472BB5"/>
    <w:rsid w:val="00472DEE"/>
    <w:rsid w:val="00473141"/>
    <w:rsid w:val="004732CA"/>
    <w:rsid w:val="00473C3D"/>
    <w:rsid w:val="00473DA2"/>
    <w:rsid w:val="00473EBA"/>
    <w:rsid w:val="00473FF8"/>
    <w:rsid w:val="0047403C"/>
    <w:rsid w:val="00474215"/>
    <w:rsid w:val="00474445"/>
    <w:rsid w:val="0047451E"/>
    <w:rsid w:val="00474835"/>
    <w:rsid w:val="00474BC0"/>
    <w:rsid w:val="00474C6D"/>
    <w:rsid w:val="00474EA2"/>
    <w:rsid w:val="004753AC"/>
    <w:rsid w:val="004754EC"/>
    <w:rsid w:val="00475657"/>
    <w:rsid w:val="00475B95"/>
    <w:rsid w:val="00475BFE"/>
    <w:rsid w:val="00475C23"/>
    <w:rsid w:val="00475C50"/>
    <w:rsid w:val="00475DED"/>
    <w:rsid w:val="004762F3"/>
    <w:rsid w:val="00476DBC"/>
    <w:rsid w:val="00476F07"/>
    <w:rsid w:val="00476F97"/>
    <w:rsid w:val="00477042"/>
    <w:rsid w:val="0047711B"/>
    <w:rsid w:val="0047717F"/>
    <w:rsid w:val="00477404"/>
    <w:rsid w:val="00477612"/>
    <w:rsid w:val="00477C42"/>
    <w:rsid w:val="00480065"/>
    <w:rsid w:val="00480099"/>
    <w:rsid w:val="00480562"/>
    <w:rsid w:val="00480564"/>
    <w:rsid w:val="004808B8"/>
    <w:rsid w:val="004808BD"/>
    <w:rsid w:val="004809B8"/>
    <w:rsid w:val="00480DD9"/>
    <w:rsid w:val="0048119A"/>
    <w:rsid w:val="004812C9"/>
    <w:rsid w:val="00481708"/>
    <w:rsid w:val="004817E9"/>
    <w:rsid w:val="00481AD0"/>
    <w:rsid w:val="00481C78"/>
    <w:rsid w:val="00481CFE"/>
    <w:rsid w:val="00481F10"/>
    <w:rsid w:val="004820FA"/>
    <w:rsid w:val="004821B9"/>
    <w:rsid w:val="004824F0"/>
    <w:rsid w:val="0048270C"/>
    <w:rsid w:val="00482758"/>
    <w:rsid w:val="004828A8"/>
    <w:rsid w:val="00482A69"/>
    <w:rsid w:val="00482F47"/>
    <w:rsid w:val="00482F7F"/>
    <w:rsid w:val="00483217"/>
    <w:rsid w:val="0048347E"/>
    <w:rsid w:val="0048354C"/>
    <w:rsid w:val="0048357A"/>
    <w:rsid w:val="0048387B"/>
    <w:rsid w:val="00483A69"/>
    <w:rsid w:val="00483F9B"/>
    <w:rsid w:val="00484AA6"/>
    <w:rsid w:val="00484D05"/>
    <w:rsid w:val="00485079"/>
    <w:rsid w:val="00485301"/>
    <w:rsid w:val="00485601"/>
    <w:rsid w:val="00485612"/>
    <w:rsid w:val="00485911"/>
    <w:rsid w:val="00485A0F"/>
    <w:rsid w:val="00485A7D"/>
    <w:rsid w:val="00485DD4"/>
    <w:rsid w:val="00485F13"/>
    <w:rsid w:val="00486093"/>
    <w:rsid w:val="0048632D"/>
    <w:rsid w:val="004866B5"/>
    <w:rsid w:val="004869FE"/>
    <w:rsid w:val="00486D36"/>
    <w:rsid w:val="00486E2E"/>
    <w:rsid w:val="00486F84"/>
    <w:rsid w:val="0048701F"/>
    <w:rsid w:val="00487498"/>
    <w:rsid w:val="00487D40"/>
    <w:rsid w:val="00487FAA"/>
    <w:rsid w:val="004900BA"/>
    <w:rsid w:val="004902A7"/>
    <w:rsid w:val="00490622"/>
    <w:rsid w:val="00490742"/>
    <w:rsid w:val="004908BF"/>
    <w:rsid w:val="00490A31"/>
    <w:rsid w:val="004910A6"/>
    <w:rsid w:val="004910AB"/>
    <w:rsid w:val="00491575"/>
    <w:rsid w:val="004916CB"/>
    <w:rsid w:val="004917B9"/>
    <w:rsid w:val="0049183D"/>
    <w:rsid w:val="00491880"/>
    <w:rsid w:val="00491D88"/>
    <w:rsid w:val="00491FDF"/>
    <w:rsid w:val="00492271"/>
    <w:rsid w:val="004924D3"/>
    <w:rsid w:val="004925BF"/>
    <w:rsid w:val="004925FD"/>
    <w:rsid w:val="004926AE"/>
    <w:rsid w:val="004927D8"/>
    <w:rsid w:val="004928BF"/>
    <w:rsid w:val="00492C6E"/>
    <w:rsid w:val="00493021"/>
    <w:rsid w:val="004930F7"/>
    <w:rsid w:val="00493277"/>
    <w:rsid w:val="004935ED"/>
    <w:rsid w:val="00493631"/>
    <w:rsid w:val="004939D7"/>
    <w:rsid w:val="00493A2E"/>
    <w:rsid w:val="00493BE7"/>
    <w:rsid w:val="00493E33"/>
    <w:rsid w:val="004942B5"/>
    <w:rsid w:val="004945F6"/>
    <w:rsid w:val="0049472B"/>
    <w:rsid w:val="0049485A"/>
    <w:rsid w:val="00494E80"/>
    <w:rsid w:val="0049508D"/>
    <w:rsid w:val="004950AD"/>
    <w:rsid w:val="004954FF"/>
    <w:rsid w:val="0049578A"/>
    <w:rsid w:val="004957C8"/>
    <w:rsid w:val="004958AC"/>
    <w:rsid w:val="00495B13"/>
    <w:rsid w:val="00495FD4"/>
    <w:rsid w:val="0049605C"/>
    <w:rsid w:val="004963B5"/>
    <w:rsid w:val="004965C1"/>
    <w:rsid w:val="004965F7"/>
    <w:rsid w:val="00496605"/>
    <w:rsid w:val="004966F6"/>
    <w:rsid w:val="0049687E"/>
    <w:rsid w:val="004969AF"/>
    <w:rsid w:val="00496A3B"/>
    <w:rsid w:val="00496DA4"/>
    <w:rsid w:val="004970F8"/>
    <w:rsid w:val="00497552"/>
    <w:rsid w:val="004975AD"/>
    <w:rsid w:val="00497950"/>
    <w:rsid w:val="00497BFA"/>
    <w:rsid w:val="00497FBF"/>
    <w:rsid w:val="004A053D"/>
    <w:rsid w:val="004A06F9"/>
    <w:rsid w:val="004A072F"/>
    <w:rsid w:val="004A0EDC"/>
    <w:rsid w:val="004A0F37"/>
    <w:rsid w:val="004A1139"/>
    <w:rsid w:val="004A1635"/>
    <w:rsid w:val="004A190A"/>
    <w:rsid w:val="004A1D47"/>
    <w:rsid w:val="004A1FCC"/>
    <w:rsid w:val="004A20F9"/>
    <w:rsid w:val="004A2565"/>
    <w:rsid w:val="004A267A"/>
    <w:rsid w:val="004A2853"/>
    <w:rsid w:val="004A28EE"/>
    <w:rsid w:val="004A29BD"/>
    <w:rsid w:val="004A29E2"/>
    <w:rsid w:val="004A2DE9"/>
    <w:rsid w:val="004A2F18"/>
    <w:rsid w:val="004A2FFD"/>
    <w:rsid w:val="004A3126"/>
    <w:rsid w:val="004A3183"/>
    <w:rsid w:val="004A325C"/>
    <w:rsid w:val="004A3873"/>
    <w:rsid w:val="004A39C9"/>
    <w:rsid w:val="004A3B78"/>
    <w:rsid w:val="004A4019"/>
    <w:rsid w:val="004A4036"/>
    <w:rsid w:val="004A40B0"/>
    <w:rsid w:val="004A41FB"/>
    <w:rsid w:val="004A4309"/>
    <w:rsid w:val="004A46FF"/>
    <w:rsid w:val="004A4A56"/>
    <w:rsid w:val="004A4BFA"/>
    <w:rsid w:val="004A4C99"/>
    <w:rsid w:val="004A4CBD"/>
    <w:rsid w:val="004A4CF0"/>
    <w:rsid w:val="004A56B1"/>
    <w:rsid w:val="004A57B7"/>
    <w:rsid w:val="004A5A65"/>
    <w:rsid w:val="004A5F3B"/>
    <w:rsid w:val="004A5F9D"/>
    <w:rsid w:val="004A606D"/>
    <w:rsid w:val="004A6101"/>
    <w:rsid w:val="004A6166"/>
    <w:rsid w:val="004A63E5"/>
    <w:rsid w:val="004A66FC"/>
    <w:rsid w:val="004A6781"/>
    <w:rsid w:val="004A67E9"/>
    <w:rsid w:val="004A687D"/>
    <w:rsid w:val="004A6896"/>
    <w:rsid w:val="004A6B13"/>
    <w:rsid w:val="004A6DB6"/>
    <w:rsid w:val="004A6F78"/>
    <w:rsid w:val="004A7048"/>
    <w:rsid w:val="004A7057"/>
    <w:rsid w:val="004A70A2"/>
    <w:rsid w:val="004A70F7"/>
    <w:rsid w:val="004A7200"/>
    <w:rsid w:val="004A73A0"/>
    <w:rsid w:val="004A742E"/>
    <w:rsid w:val="004A7616"/>
    <w:rsid w:val="004A768A"/>
    <w:rsid w:val="004A78BA"/>
    <w:rsid w:val="004A7B16"/>
    <w:rsid w:val="004A7B5E"/>
    <w:rsid w:val="004A7EFC"/>
    <w:rsid w:val="004B0498"/>
    <w:rsid w:val="004B0514"/>
    <w:rsid w:val="004B0A0A"/>
    <w:rsid w:val="004B0B7E"/>
    <w:rsid w:val="004B0D45"/>
    <w:rsid w:val="004B0D70"/>
    <w:rsid w:val="004B102D"/>
    <w:rsid w:val="004B1088"/>
    <w:rsid w:val="004B10EF"/>
    <w:rsid w:val="004B1125"/>
    <w:rsid w:val="004B119A"/>
    <w:rsid w:val="004B12F1"/>
    <w:rsid w:val="004B1C4B"/>
    <w:rsid w:val="004B1DA3"/>
    <w:rsid w:val="004B1EBF"/>
    <w:rsid w:val="004B1F04"/>
    <w:rsid w:val="004B208D"/>
    <w:rsid w:val="004B2392"/>
    <w:rsid w:val="004B2722"/>
    <w:rsid w:val="004B2891"/>
    <w:rsid w:val="004B2C16"/>
    <w:rsid w:val="004B2C60"/>
    <w:rsid w:val="004B2D06"/>
    <w:rsid w:val="004B2D30"/>
    <w:rsid w:val="004B2F9D"/>
    <w:rsid w:val="004B311A"/>
    <w:rsid w:val="004B33A4"/>
    <w:rsid w:val="004B358E"/>
    <w:rsid w:val="004B370E"/>
    <w:rsid w:val="004B37D3"/>
    <w:rsid w:val="004B3804"/>
    <w:rsid w:val="004B3948"/>
    <w:rsid w:val="004B3B67"/>
    <w:rsid w:val="004B3BF2"/>
    <w:rsid w:val="004B3C24"/>
    <w:rsid w:val="004B3E57"/>
    <w:rsid w:val="004B3F9E"/>
    <w:rsid w:val="004B438A"/>
    <w:rsid w:val="004B4507"/>
    <w:rsid w:val="004B46BB"/>
    <w:rsid w:val="004B4928"/>
    <w:rsid w:val="004B4C98"/>
    <w:rsid w:val="004B4DD6"/>
    <w:rsid w:val="004B51C6"/>
    <w:rsid w:val="004B545E"/>
    <w:rsid w:val="004B5B92"/>
    <w:rsid w:val="004B5C07"/>
    <w:rsid w:val="004B5FDB"/>
    <w:rsid w:val="004B60CB"/>
    <w:rsid w:val="004B6291"/>
    <w:rsid w:val="004B6673"/>
    <w:rsid w:val="004B676F"/>
    <w:rsid w:val="004B6784"/>
    <w:rsid w:val="004B6896"/>
    <w:rsid w:val="004B6996"/>
    <w:rsid w:val="004B6BAA"/>
    <w:rsid w:val="004B6CDF"/>
    <w:rsid w:val="004B6E81"/>
    <w:rsid w:val="004B6E89"/>
    <w:rsid w:val="004B73DE"/>
    <w:rsid w:val="004B748C"/>
    <w:rsid w:val="004B7587"/>
    <w:rsid w:val="004B7591"/>
    <w:rsid w:val="004B7652"/>
    <w:rsid w:val="004B77E4"/>
    <w:rsid w:val="004B7B95"/>
    <w:rsid w:val="004B7D11"/>
    <w:rsid w:val="004B7FCC"/>
    <w:rsid w:val="004C0093"/>
    <w:rsid w:val="004C012D"/>
    <w:rsid w:val="004C0562"/>
    <w:rsid w:val="004C0650"/>
    <w:rsid w:val="004C07D9"/>
    <w:rsid w:val="004C0924"/>
    <w:rsid w:val="004C0B4E"/>
    <w:rsid w:val="004C0F41"/>
    <w:rsid w:val="004C10FE"/>
    <w:rsid w:val="004C12D1"/>
    <w:rsid w:val="004C14AA"/>
    <w:rsid w:val="004C1CB5"/>
    <w:rsid w:val="004C1DA7"/>
    <w:rsid w:val="004C1E31"/>
    <w:rsid w:val="004C29CF"/>
    <w:rsid w:val="004C2D35"/>
    <w:rsid w:val="004C2DEE"/>
    <w:rsid w:val="004C30EF"/>
    <w:rsid w:val="004C34DD"/>
    <w:rsid w:val="004C36F2"/>
    <w:rsid w:val="004C37DA"/>
    <w:rsid w:val="004C3B79"/>
    <w:rsid w:val="004C3B7B"/>
    <w:rsid w:val="004C4088"/>
    <w:rsid w:val="004C482F"/>
    <w:rsid w:val="004C484D"/>
    <w:rsid w:val="004C4B9A"/>
    <w:rsid w:val="004C4C21"/>
    <w:rsid w:val="004C4E08"/>
    <w:rsid w:val="004C4EDB"/>
    <w:rsid w:val="004C4F29"/>
    <w:rsid w:val="004C505B"/>
    <w:rsid w:val="004C507A"/>
    <w:rsid w:val="004C50F1"/>
    <w:rsid w:val="004C5141"/>
    <w:rsid w:val="004C5197"/>
    <w:rsid w:val="004C5665"/>
    <w:rsid w:val="004C5B9B"/>
    <w:rsid w:val="004C5C5F"/>
    <w:rsid w:val="004C5C83"/>
    <w:rsid w:val="004C5ED6"/>
    <w:rsid w:val="004C5F4F"/>
    <w:rsid w:val="004C6354"/>
    <w:rsid w:val="004C63BB"/>
    <w:rsid w:val="004C641F"/>
    <w:rsid w:val="004C6639"/>
    <w:rsid w:val="004C67C5"/>
    <w:rsid w:val="004C6846"/>
    <w:rsid w:val="004C6876"/>
    <w:rsid w:val="004C6FAB"/>
    <w:rsid w:val="004C718A"/>
    <w:rsid w:val="004C721C"/>
    <w:rsid w:val="004C7986"/>
    <w:rsid w:val="004C7D58"/>
    <w:rsid w:val="004D075D"/>
    <w:rsid w:val="004D07EB"/>
    <w:rsid w:val="004D0909"/>
    <w:rsid w:val="004D0A49"/>
    <w:rsid w:val="004D0B88"/>
    <w:rsid w:val="004D0C27"/>
    <w:rsid w:val="004D0D2B"/>
    <w:rsid w:val="004D0DFB"/>
    <w:rsid w:val="004D11B6"/>
    <w:rsid w:val="004D1AB3"/>
    <w:rsid w:val="004D1C82"/>
    <w:rsid w:val="004D1DC7"/>
    <w:rsid w:val="004D210D"/>
    <w:rsid w:val="004D228F"/>
    <w:rsid w:val="004D23B4"/>
    <w:rsid w:val="004D2819"/>
    <w:rsid w:val="004D281A"/>
    <w:rsid w:val="004D2B7A"/>
    <w:rsid w:val="004D2CC3"/>
    <w:rsid w:val="004D2E82"/>
    <w:rsid w:val="004D2F55"/>
    <w:rsid w:val="004D3041"/>
    <w:rsid w:val="004D31E0"/>
    <w:rsid w:val="004D3287"/>
    <w:rsid w:val="004D33BE"/>
    <w:rsid w:val="004D34A9"/>
    <w:rsid w:val="004D3571"/>
    <w:rsid w:val="004D3585"/>
    <w:rsid w:val="004D376D"/>
    <w:rsid w:val="004D3C8F"/>
    <w:rsid w:val="004D3F61"/>
    <w:rsid w:val="004D479B"/>
    <w:rsid w:val="004D48FD"/>
    <w:rsid w:val="004D4CF4"/>
    <w:rsid w:val="004D4E8E"/>
    <w:rsid w:val="004D51EC"/>
    <w:rsid w:val="004D5209"/>
    <w:rsid w:val="004D55D1"/>
    <w:rsid w:val="004D56AB"/>
    <w:rsid w:val="004D634D"/>
    <w:rsid w:val="004D6742"/>
    <w:rsid w:val="004D6797"/>
    <w:rsid w:val="004D693C"/>
    <w:rsid w:val="004D6EF5"/>
    <w:rsid w:val="004D7100"/>
    <w:rsid w:val="004D73A4"/>
    <w:rsid w:val="004D7553"/>
    <w:rsid w:val="004D7660"/>
    <w:rsid w:val="004D76E1"/>
    <w:rsid w:val="004D7E55"/>
    <w:rsid w:val="004E0448"/>
    <w:rsid w:val="004E094F"/>
    <w:rsid w:val="004E0B48"/>
    <w:rsid w:val="004E10E4"/>
    <w:rsid w:val="004E1357"/>
    <w:rsid w:val="004E184D"/>
    <w:rsid w:val="004E186D"/>
    <w:rsid w:val="004E19C6"/>
    <w:rsid w:val="004E1C0F"/>
    <w:rsid w:val="004E1CA4"/>
    <w:rsid w:val="004E1FE6"/>
    <w:rsid w:val="004E2081"/>
    <w:rsid w:val="004E269F"/>
    <w:rsid w:val="004E2879"/>
    <w:rsid w:val="004E294C"/>
    <w:rsid w:val="004E2BA0"/>
    <w:rsid w:val="004E2E89"/>
    <w:rsid w:val="004E3359"/>
    <w:rsid w:val="004E344E"/>
    <w:rsid w:val="004E37EF"/>
    <w:rsid w:val="004E3A95"/>
    <w:rsid w:val="004E3B79"/>
    <w:rsid w:val="004E406C"/>
    <w:rsid w:val="004E4129"/>
    <w:rsid w:val="004E420A"/>
    <w:rsid w:val="004E4825"/>
    <w:rsid w:val="004E4899"/>
    <w:rsid w:val="004E4925"/>
    <w:rsid w:val="004E4AAD"/>
    <w:rsid w:val="004E4B1B"/>
    <w:rsid w:val="004E513E"/>
    <w:rsid w:val="004E546B"/>
    <w:rsid w:val="004E55D2"/>
    <w:rsid w:val="004E59E1"/>
    <w:rsid w:val="004E5A87"/>
    <w:rsid w:val="004E6073"/>
    <w:rsid w:val="004E6318"/>
    <w:rsid w:val="004E6499"/>
    <w:rsid w:val="004E66E3"/>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0B2F"/>
    <w:rsid w:val="004F10F4"/>
    <w:rsid w:val="004F1173"/>
    <w:rsid w:val="004F148C"/>
    <w:rsid w:val="004F1AAD"/>
    <w:rsid w:val="004F1ACF"/>
    <w:rsid w:val="004F1BA7"/>
    <w:rsid w:val="004F2230"/>
    <w:rsid w:val="004F2276"/>
    <w:rsid w:val="004F23F4"/>
    <w:rsid w:val="004F264B"/>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F28"/>
    <w:rsid w:val="004F3F7A"/>
    <w:rsid w:val="004F4275"/>
    <w:rsid w:val="004F491F"/>
    <w:rsid w:val="004F4A13"/>
    <w:rsid w:val="004F4D36"/>
    <w:rsid w:val="004F4DD1"/>
    <w:rsid w:val="004F4E70"/>
    <w:rsid w:val="004F502A"/>
    <w:rsid w:val="004F53E2"/>
    <w:rsid w:val="004F5515"/>
    <w:rsid w:val="004F585C"/>
    <w:rsid w:val="004F58D3"/>
    <w:rsid w:val="004F5CEF"/>
    <w:rsid w:val="004F5D2B"/>
    <w:rsid w:val="004F5F48"/>
    <w:rsid w:val="004F6230"/>
    <w:rsid w:val="004F628E"/>
    <w:rsid w:val="004F6439"/>
    <w:rsid w:val="004F65C1"/>
    <w:rsid w:val="004F66E7"/>
    <w:rsid w:val="004F6794"/>
    <w:rsid w:val="004F6818"/>
    <w:rsid w:val="004F750C"/>
    <w:rsid w:val="004F7531"/>
    <w:rsid w:val="004F7BA6"/>
    <w:rsid w:val="004F7F2F"/>
    <w:rsid w:val="0050005E"/>
    <w:rsid w:val="00500160"/>
    <w:rsid w:val="005003BB"/>
    <w:rsid w:val="00500586"/>
    <w:rsid w:val="005007BA"/>
    <w:rsid w:val="00500A3C"/>
    <w:rsid w:val="00500ACD"/>
    <w:rsid w:val="00500D49"/>
    <w:rsid w:val="00500E71"/>
    <w:rsid w:val="00500EF2"/>
    <w:rsid w:val="00500FC1"/>
    <w:rsid w:val="00500FCE"/>
    <w:rsid w:val="00501138"/>
    <w:rsid w:val="00501181"/>
    <w:rsid w:val="005012C0"/>
    <w:rsid w:val="005015C6"/>
    <w:rsid w:val="005017F8"/>
    <w:rsid w:val="005018B4"/>
    <w:rsid w:val="00501A5D"/>
    <w:rsid w:val="00501BB0"/>
    <w:rsid w:val="00501C81"/>
    <w:rsid w:val="00501CF6"/>
    <w:rsid w:val="00501F21"/>
    <w:rsid w:val="00501F68"/>
    <w:rsid w:val="00501F6F"/>
    <w:rsid w:val="00501FFE"/>
    <w:rsid w:val="005021FF"/>
    <w:rsid w:val="00502485"/>
    <w:rsid w:val="005025BB"/>
    <w:rsid w:val="005028D2"/>
    <w:rsid w:val="00502C17"/>
    <w:rsid w:val="00502C52"/>
    <w:rsid w:val="00502E56"/>
    <w:rsid w:val="00502E6D"/>
    <w:rsid w:val="00502E9D"/>
    <w:rsid w:val="00503344"/>
    <w:rsid w:val="0050349C"/>
    <w:rsid w:val="00503797"/>
    <w:rsid w:val="0050390F"/>
    <w:rsid w:val="00503994"/>
    <w:rsid w:val="00503A5A"/>
    <w:rsid w:val="00503A82"/>
    <w:rsid w:val="00503AB4"/>
    <w:rsid w:val="00503C46"/>
    <w:rsid w:val="00503D7F"/>
    <w:rsid w:val="00503F20"/>
    <w:rsid w:val="00504061"/>
    <w:rsid w:val="0050420E"/>
    <w:rsid w:val="005045E7"/>
    <w:rsid w:val="0050462E"/>
    <w:rsid w:val="00504A0B"/>
    <w:rsid w:val="00504A1C"/>
    <w:rsid w:val="00504A4F"/>
    <w:rsid w:val="00504B27"/>
    <w:rsid w:val="00504DE0"/>
    <w:rsid w:val="00504E91"/>
    <w:rsid w:val="00504ED4"/>
    <w:rsid w:val="00504F2E"/>
    <w:rsid w:val="00505176"/>
    <w:rsid w:val="00505210"/>
    <w:rsid w:val="00505645"/>
    <w:rsid w:val="00505BAE"/>
    <w:rsid w:val="00505DE5"/>
    <w:rsid w:val="00505E22"/>
    <w:rsid w:val="00505F82"/>
    <w:rsid w:val="005060F6"/>
    <w:rsid w:val="0050613E"/>
    <w:rsid w:val="005062FE"/>
    <w:rsid w:val="00506956"/>
    <w:rsid w:val="00506973"/>
    <w:rsid w:val="005069BD"/>
    <w:rsid w:val="00506BD5"/>
    <w:rsid w:val="00506F90"/>
    <w:rsid w:val="0050707B"/>
    <w:rsid w:val="00507243"/>
    <w:rsid w:val="005074E8"/>
    <w:rsid w:val="005074FC"/>
    <w:rsid w:val="0050753C"/>
    <w:rsid w:val="005076AC"/>
    <w:rsid w:val="00507B89"/>
    <w:rsid w:val="00507C1B"/>
    <w:rsid w:val="005101DB"/>
    <w:rsid w:val="00510236"/>
    <w:rsid w:val="00510370"/>
    <w:rsid w:val="0051058D"/>
    <w:rsid w:val="005105DA"/>
    <w:rsid w:val="00510669"/>
    <w:rsid w:val="00510FA2"/>
    <w:rsid w:val="00510FDF"/>
    <w:rsid w:val="00511267"/>
    <w:rsid w:val="0051161D"/>
    <w:rsid w:val="00511662"/>
    <w:rsid w:val="005117F7"/>
    <w:rsid w:val="00511A17"/>
    <w:rsid w:val="00511C48"/>
    <w:rsid w:val="00511CE8"/>
    <w:rsid w:val="00511D3F"/>
    <w:rsid w:val="00511D63"/>
    <w:rsid w:val="00511D95"/>
    <w:rsid w:val="00512025"/>
    <w:rsid w:val="0051234F"/>
    <w:rsid w:val="00512519"/>
    <w:rsid w:val="005127C1"/>
    <w:rsid w:val="00512930"/>
    <w:rsid w:val="0051299B"/>
    <w:rsid w:val="00512BD8"/>
    <w:rsid w:val="00512CC3"/>
    <w:rsid w:val="00513073"/>
    <w:rsid w:val="0051339F"/>
    <w:rsid w:val="00513553"/>
    <w:rsid w:val="005138B1"/>
    <w:rsid w:val="00513B32"/>
    <w:rsid w:val="00513DC7"/>
    <w:rsid w:val="00513E6D"/>
    <w:rsid w:val="00513F21"/>
    <w:rsid w:val="00514161"/>
    <w:rsid w:val="00514559"/>
    <w:rsid w:val="00514685"/>
    <w:rsid w:val="005147C8"/>
    <w:rsid w:val="00514A33"/>
    <w:rsid w:val="00514BB3"/>
    <w:rsid w:val="00514E45"/>
    <w:rsid w:val="00515380"/>
    <w:rsid w:val="005153F3"/>
    <w:rsid w:val="0051549E"/>
    <w:rsid w:val="005155DD"/>
    <w:rsid w:val="005155F1"/>
    <w:rsid w:val="0051569E"/>
    <w:rsid w:val="00515B60"/>
    <w:rsid w:val="00515DC1"/>
    <w:rsid w:val="00516118"/>
    <w:rsid w:val="00516181"/>
    <w:rsid w:val="00516252"/>
    <w:rsid w:val="0051639F"/>
    <w:rsid w:val="00516652"/>
    <w:rsid w:val="00516C18"/>
    <w:rsid w:val="00516C1C"/>
    <w:rsid w:val="00516EE6"/>
    <w:rsid w:val="005171F2"/>
    <w:rsid w:val="005176A5"/>
    <w:rsid w:val="005176CA"/>
    <w:rsid w:val="0051772F"/>
    <w:rsid w:val="0051783F"/>
    <w:rsid w:val="00517876"/>
    <w:rsid w:val="005179A5"/>
    <w:rsid w:val="00517A74"/>
    <w:rsid w:val="00517A7F"/>
    <w:rsid w:val="00517B22"/>
    <w:rsid w:val="00517CEA"/>
    <w:rsid w:val="00517D2D"/>
    <w:rsid w:val="00520091"/>
    <w:rsid w:val="005200DD"/>
    <w:rsid w:val="00520249"/>
    <w:rsid w:val="00520324"/>
    <w:rsid w:val="00520495"/>
    <w:rsid w:val="00520530"/>
    <w:rsid w:val="005206F3"/>
    <w:rsid w:val="00520708"/>
    <w:rsid w:val="00520D09"/>
    <w:rsid w:val="00520FFC"/>
    <w:rsid w:val="0052116B"/>
    <w:rsid w:val="00521190"/>
    <w:rsid w:val="00521244"/>
    <w:rsid w:val="005213EB"/>
    <w:rsid w:val="00521461"/>
    <w:rsid w:val="0052147A"/>
    <w:rsid w:val="0052159B"/>
    <w:rsid w:val="005215ED"/>
    <w:rsid w:val="00521758"/>
    <w:rsid w:val="00521F7D"/>
    <w:rsid w:val="00522660"/>
    <w:rsid w:val="005227A8"/>
    <w:rsid w:val="00522967"/>
    <w:rsid w:val="00522ACA"/>
    <w:rsid w:val="005230FD"/>
    <w:rsid w:val="00523515"/>
    <w:rsid w:val="005235D1"/>
    <w:rsid w:val="005236C0"/>
    <w:rsid w:val="00523C7A"/>
    <w:rsid w:val="00523DCF"/>
    <w:rsid w:val="00523F33"/>
    <w:rsid w:val="00524457"/>
    <w:rsid w:val="0052445F"/>
    <w:rsid w:val="005244E9"/>
    <w:rsid w:val="0052476A"/>
    <w:rsid w:val="005247FB"/>
    <w:rsid w:val="005249FD"/>
    <w:rsid w:val="00524A7D"/>
    <w:rsid w:val="00524E4E"/>
    <w:rsid w:val="00525268"/>
    <w:rsid w:val="00525367"/>
    <w:rsid w:val="005253CA"/>
    <w:rsid w:val="005253FC"/>
    <w:rsid w:val="005256A7"/>
    <w:rsid w:val="005259AE"/>
    <w:rsid w:val="005259BB"/>
    <w:rsid w:val="005259C4"/>
    <w:rsid w:val="00525A79"/>
    <w:rsid w:val="00525B2F"/>
    <w:rsid w:val="00525B88"/>
    <w:rsid w:val="00525BDF"/>
    <w:rsid w:val="0052604A"/>
    <w:rsid w:val="005260B6"/>
    <w:rsid w:val="005260FD"/>
    <w:rsid w:val="0052638F"/>
    <w:rsid w:val="00526495"/>
    <w:rsid w:val="005266BD"/>
    <w:rsid w:val="00526897"/>
    <w:rsid w:val="0052696E"/>
    <w:rsid w:val="005269C1"/>
    <w:rsid w:val="005269C5"/>
    <w:rsid w:val="00527084"/>
    <w:rsid w:val="005270FC"/>
    <w:rsid w:val="00527486"/>
    <w:rsid w:val="0052773D"/>
    <w:rsid w:val="0052774C"/>
    <w:rsid w:val="00527841"/>
    <w:rsid w:val="005279AE"/>
    <w:rsid w:val="00527B15"/>
    <w:rsid w:val="00527BDA"/>
    <w:rsid w:val="00527DC7"/>
    <w:rsid w:val="00527E95"/>
    <w:rsid w:val="00527F6D"/>
    <w:rsid w:val="00530623"/>
    <w:rsid w:val="00530736"/>
    <w:rsid w:val="00530C32"/>
    <w:rsid w:val="00530CDB"/>
    <w:rsid w:val="00530DB1"/>
    <w:rsid w:val="005312A7"/>
    <w:rsid w:val="00531B3F"/>
    <w:rsid w:val="00531C44"/>
    <w:rsid w:val="00531D0E"/>
    <w:rsid w:val="00531E01"/>
    <w:rsid w:val="00531FA2"/>
    <w:rsid w:val="005323F8"/>
    <w:rsid w:val="00532494"/>
    <w:rsid w:val="00532A3D"/>
    <w:rsid w:val="00532B13"/>
    <w:rsid w:val="00532CB2"/>
    <w:rsid w:val="00532D10"/>
    <w:rsid w:val="00533149"/>
    <w:rsid w:val="005332C9"/>
    <w:rsid w:val="00533571"/>
    <w:rsid w:val="0053371D"/>
    <w:rsid w:val="005338AA"/>
    <w:rsid w:val="00533B84"/>
    <w:rsid w:val="00534593"/>
    <w:rsid w:val="00534957"/>
    <w:rsid w:val="0053498F"/>
    <w:rsid w:val="00534A1C"/>
    <w:rsid w:val="00534AD0"/>
    <w:rsid w:val="00534D7D"/>
    <w:rsid w:val="00534F88"/>
    <w:rsid w:val="005350DC"/>
    <w:rsid w:val="00535252"/>
    <w:rsid w:val="0053539E"/>
    <w:rsid w:val="005353C5"/>
    <w:rsid w:val="00535C83"/>
    <w:rsid w:val="00535CB4"/>
    <w:rsid w:val="00535DFF"/>
    <w:rsid w:val="00535EF2"/>
    <w:rsid w:val="00535F06"/>
    <w:rsid w:val="00536010"/>
    <w:rsid w:val="0053606A"/>
    <w:rsid w:val="00536237"/>
    <w:rsid w:val="005363DE"/>
    <w:rsid w:val="00536644"/>
    <w:rsid w:val="00536896"/>
    <w:rsid w:val="00536AD5"/>
    <w:rsid w:val="00536CD2"/>
    <w:rsid w:val="00537146"/>
    <w:rsid w:val="00537568"/>
    <w:rsid w:val="00537697"/>
    <w:rsid w:val="005376F7"/>
    <w:rsid w:val="00537904"/>
    <w:rsid w:val="00537A08"/>
    <w:rsid w:val="00537A77"/>
    <w:rsid w:val="00537A7E"/>
    <w:rsid w:val="00537C63"/>
    <w:rsid w:val="00540310"/>
    <w:rsid w:val="005408E1"/>
    <w:rsid w:val="00540A01"/>
    <w:rsid w:val="00540EB6"/>
    <w:rsid w:val="00540F9D"/>
    <w:rsid w:val="0054132D"/>
    <w:rsid w:val="0054148C"/>
    <w:rsid w:val="0054154D"/>
    <w:rsid w:val="00541A14"/>
    <w:rsid w:val="00541D17"/>
    <w:rsid w:val="00541DDB"/>
    <w:rsid w:val="00541EF5"/>
    <w:rsid w:val="005420F8"/>
    <w:rsid w:val="0054211F"/>
    <w:rsid w:val="005422EE"/>
    <w:rsid w:val="00542D62"/>
    <w:rsid w:val="00542DE0"/>
    <w:rsid w:val="00542E34"/>
    <w:rsid w:val="00542EEF"/>
    <w:rsid w:val="00543048"/>
    <w:rsid w:val="005432C3"/>
    <w:rsid w:val="00543462"/>
    <w:rsid w:val="005434A6"/>
    <w:rsid w:val="00543834"/>
    <w:rsid w:val="0054390B"/>
    <w:rsid w:val="00543A5B"/>
    <w:rsid w:val="00543D19"/>
    <w:rsid w:val="00543E00"/>
    <w:rsid w:val="00543F9C"/>
    <w:rsid w:val="00544300"/>
    <w:rsid w:val="00544774"/>
    <w:rsid w:val="00544A37"/>
    <w:rsid w:val="00544B3F"/>
    <w:rsid w:val="00544BF1"/>
    <w:rsid w:val="00544CB3"/>
    <w:rsid w:val="00545290"/>
    <w:rsid w:val="00545550"/>
    <w:rsid w:val="00545B8E"/>
    <w:rsid w:val="00545C42"/>
    <w:rsid w:val="00545D06"/>
    <w:rsid w:val="00545DB7"/>
    <w:rsid w:val="00545DDB"/>
    <w:rsid w:val="00545F2D"/>
    <w:rsid w:val="005461AA"/>
    <w:rsid w:val="005462D0"/>
    <w:rsid w:val="005469F8"/>
    <w:rsid w:val="00546AD0"/>
    <w:rsid w:val="00546C79"/>
    <w:rsid w:val="00546D36"/>
    <w:rsid w:val="00546D39"/>
    <w:rsid w:val="00546F85"/>
    <w:rsid w:val="005472F3"/>
    <w:rsid w:val="00547A88"/>
    <w:rsid w:val="00547AED"/>
    <w:rsid w:val="00547FF9"/>
    <w:rsid w:val="0055000A"/>
    <w:rsid w:val="0055036C"/>
    <w:rsid w:val="0055047F"/>
    <w:rsid w:val="005507EB"/>
    <w:rsid w:val="0055087D"/>
    <w:rsid w:val="00550AB0"/>
    <w:rsid w:val="00550CBF"/>
    <w:rsid w:val="00550E84"/>
    <w:rsid w:val="00551368"/>
    <w:rsid w:val="005513AC"/>
    <w:rsid w:val="0055141A"/>
    <w:rsid w:val="00551759"/>
    <w:rsid w:val="00551CCE"/>
    <w:rsid w:val="00551F24"/>
    <w:rsid w:val="00551FDE"/>
    <w:rsid w:val="005520DD"/>
    <w:rsid w:val="005524B0"/>
    <w:rsid w:val="00552A46"/>
    <w:rsid w:val="00552B0F"/>
    <w:rsid w:val="00552B14"/>
    <w:rsid w:val="00552C3B"/>
    <w:rsid w:val="00552CD2"/>
    <w:rsid w:val="00552F7C"/>
    <w:rsid w:val="00552FCC"/>
    <w:rsid w:val="005532B9"/>
    <w:rsid w:val="0055344F"/>
    <w:rsid w:val="0055376F"/>
    <w:rsid w:val="00553893"/>
    <w:rsid w:val="005539FB"/>
    <w:rsid w:val="00553BBD"/>
    <w:rsid w:val="00553D16"/>
    <w:rsid w:val="00553DFB"/>
    <w:rsid w:val="00554139"/>
    <w:rsid w:val="00554316"/>
    <w:rsid w:val="00554894"/>
    <w:rsid w:val="00554A84"/>
    <w:rsid w:val="00554F08"/>
    <w:rsid w:val="00554FFD"/>
    <w:rsid w:val="0055555A"/>
    <w:rsid w:val="005555DB"/>
    <w:rsid w:val="0055563B"/>
    <w:rsid w:val="0055584F"/>
    <w:rsid w:val="0055587F"/>
    <w:rsid w:val="00555AE0"/>
    <w:rsid w:val="00555AEC"/>
    <w:rsid w:val="00555B16"/>
    <w:rsid w:val="00555D7B"/>
    <w:rsid w:val="00555F09"/>
    <w:rsid w:val="00556028"/>
    <w:rsid w:val="0055635E"/>
    <w:rsid w:val="005567FF"/>
    <w:rsid w:val="00556EFB"/>
    <w:rsid w:val="00556F29"/>
    <w:rsid w:val="00557296"/>
    <w:rsid w:val="005577B0"/>
    <w:rsid w:val="00557962"/>
    <w:rsid w:val="00557B39"/>
    <w:rsid w:val="00560025"/>
    <w:rsid w:val="0056013B"/>
    <w:rsid w:val="00560192"/>
    <w:rsid w:val="005602D8"/>
    <w:rsid w:val="00560BAD"/>
    <w:rsid w:val="00561117"/>
    <w:rsid w:val="00561241"/>
    <w:rsid w:val="0056143A"/>
    <w:rsid w:val="00561AB3"/>
    <w:rsid w:val="00561B22"/>
    <w:rsid w:val="00561EC4"/>
    <w:rsid w:val="00561EDF"/>
    <w:rsid w:val="00561FC0"/>
    <w:rsid w:val="00562084"/>
    <w:rsid w:val="00562191"/>
    <w:rsid w:val="005623EA"/>
    <w:rsid w:val="005626AD"/>
    <w:rsid w:val="00562EA1"/>
    <w:rsid w:val="005630B7"/>
    <w:rsid w:val="00563178"/>
    <w:rsid w:val="005632E4"/>
    <w:rsid w:val="0056351C"/>
    <w:rsid w:val="0056375B"/>
    <w:rsid w:val="00563981"/>
    <w:rsid w:val="00563BEA"/>
    <w:rsid w:val="00563BF2"/>
    <w:rsid w:val="00563DF2"/>
    <w:rsid w:val="00564369"/>
    <w:rsid w:val="0056463E"/>
    <w:rsid w:val="00564B82"/>
    <w:rsid w:val="00564C58"/>
    <w:rsid w:val="00564C66"/>
    <w:rsid w:val="00565333"/>
    <w:rsid w:val="00565533"/>
    <w:rsid w:val="0056574F"/>
    <w:rsid w:val="005658BD"/>
    <w:rsid w:val="00565AA0"/>
    <w:rsid w:val="00565B5F"/>
    <w:rsid w:val="00565BB7"/>
    <w:rsid w:val="00565DB9"/>
    <w:rsid w:val="00565FA0"/>
    <w:rsid w:val="0056644C"/>
    <w:rsid w:val="005669BC"/>
    <w:rsid w:val="00566AD4"/>
    <w:rsid w:val="00566D15"/>
    <w:rsid w:val="00566DFF"/>
    <w:rsid w:val="00567154"/>
    <w:rsid w:val="005673CD"/>
    <w:rsid w:val="00567562"/>
    <w:rsid w:val="005675DF"/>
    <w:rsid w:val="0056787D"/>
    <w:rsid w:val="005679ED"/>
    <w:rsid w:val="00567AEA"/>
    <w:rsid w:val="00567BDA"/>
    <w:rsid w:val="00567BE3"/>
    <w:rsid w:val="00567DE1"/>
    <w:rsid w:val="00567DE4"/>
    <w:rsid w:val="0057042E"/>
    <w:rsid w:val="00570668"/>
    <w:rsid w:val="00570DB2"/>
    <w:rsid w:val="00570EED"/>
    <w:rsid w:val="00570F18"/>
    <w:rsid w:val="0057107A"/>
    <w:rsid w:val="00571295"/>
    <w:rsid w:val="0057141A"/>
    <w:rsid w:val="005716FC"/>
    <w:rsid w:val="005717F7"/>
    <w:rsid w:val="0057198F"/>
    <w:rsid w:val="00571D2A"/>
    <w:rsid w:val="00571F69"/>
    <w:rsid w:val="00571F9E"/>
    <w:rsid w:val="00571FE8"/>
    <w:rsid w:val="005723C9"/>
    <w:rsid w:val="00572546"/>
    <w:rsid w:val="005725E3"/>
    <w:rsid w:val="005727BD"/>
    <w:rsid w:val="00572973"/>
    <w:rsid w:val="00572C2A"/>
    <w:rsid w:val="00572EF2"/>
    <w:rsid w:val="00573587"/>
    <w:rsid w:val="00573B54"/>
    <w:rsid w:val="00573F56"/>
    <w:rsid w:val="00574112"/>
    <w:rsid w:val="0057421F"/>
    <w:rsid w:val="00574478"/>
    <w:rsid w:val="005744F6"/>
    <w:rsid w:val="00574B37"/>
    <w:rsid w:val="00574D06"/>
    <w:rsid w:val="005751DA"/>
    <w:rsid w:val="0057520A"/>
    <w:rsid w:val="00575323"/>
    <w:rsid w:val="005754ED"/>
    <w:rsid w:val="005759DF"/>
    <w:rsid w:val="00575AB0"/>
    <w:rsid w:val="00575AE0"/>
    <w:rsid w:val="00575B15"/>
    <w:rsid w:val="00575B53"/>
    <w:rsid w:val="00575CAC"/>
    <w:rsid w:val="00575DEF"/>
    <w:rsid w:val="00575F16"/>
    <w:rsid w:val="0057673C"/>
    <w:rsid w:val="00576C5F"/>
    <w:rsid w:val="00576D0A"/>
    <w:rsid w:val="00577004"/>
    <w:rsid w:val="005771F0"/>
    <w:rsid w:val="0057726B"/>
    <w:rsid w:val="005773B1"/>
    <w:rsid w:val="0057740D"/>
    <w:rsid w:val="005774BA"/>
    <w:rsid w:val="005778C8"/>
    <w:rsid w:val="005778EF"/>
    <w:rsid w:val="00577A25"/>
    <w:rsid w:val="00577A7F"/>
    <w:rsid w:val="0058013F"/>
    <w:rsid w:val="005801A4"/>
    <w:rsid w:val="00580750"/>
    <w:rsid w:val="00580A06"/>
    <w:rsid w:val="00580ADB"/>
    <w:rsid w:val="0058131B"/>
    <w:rsid w:val="00581370"/>
    <w:rsid w:val="005814A3"/>
    <w:rsid w:val="005816FA"/>
    <w:rsid w:val="005817DB"/>
    <w:rsid w:val="0058180A"/>
    <w:rsid w:val="005818C7"/>
    <w:rsid w:val="0058211D"/>
    <w:rsid w:val="0058248A"/>
    <w:rsid w:val="005826EA"/>
    <w:rsid w:val="00582A21"/>
    <w:rsid w:val="00582BBD"/>
    <w:rsid w:val="0058358D"/>
    <w:rsid w:val="0058385F"/>
    <w:rsid w:val="00583A33"/>
    <w:rsid w:val="00583DAA"/>
    <w:rsid w:val="00583E24"/>
    <w:rsid w:val="00583F94"/>
    <w:rsid w:val="00584321"/>
    <w:rsid w:val="0058453E"/>
    <w:rsid w:val="00584619"/>
    <w:rsid w:val="00584BE4"/>
    <w:rsid w:val="00584BFC"/>
    <w:rsid w:val="00584FED"/>
    <w:rsid w:val="005852F7"/>
    <w:rsid w:val="0058546C"/>
    <w:rsid w:val="005854C4"/>
    <w:rsid w:val="005855B6"/>
    <w:rsid w:val="00585A79"/>
    <w:rsid w:val="00585D6F"/>
    <w:rsid w:val="005860AF"/>
    <w:rsid w:val="00586613"/>
    <w:rsid w:val="005867D2"/>
    <w:rsid w:val="0058687D"/>
    <w:rsid w:val="005869CB"/>
    <w:rsid w:val="005870E2"/>
    <w:rsid w:val="0058724E"/>
    <w:rsid w:val="00587272"/>
    <w:rsid w:val="005875A5"/>
    <w:rsid w:val="00587876"/>
    <w:rsid w:val="005878DA"/>
    <w:rsid w:val="0058798E"/>
    <w:rsid w:val="0059013D"/>
    <w:rsid w:val="00590155"/>
    <w:rsid w:val="00590781"/>
    <w:rsid w:val="005907DC"/>
    <w:rsid w:val="00590862"/>
    <w:rsid w:val="005909A8"/>
    <w:rsid w:val="00590D4E"/>
    <w:rsid w:val="00590E3D"/>
    <w:rsid w:val="00590EC5"/>
    <w:rsid w:val="00590F22"/>
    <w:rsid w:val="005910E0"/>
    <w:rsid w:val="00591C16"/>
    <w:rsid w:val="00592229"/>
    <w:rsid w:val="00592321"/>
    <w:rsid w:val="00592808"/>
    <w:rsid w:val="005928BD"/>
    <w:rsid w:val="00592A0D"/>
    <w:rsid w:val="00592A8E"/>
    <w:rsid w:val="00592B45"/>
    <w:rsid w:val="00592B4E"/>
    <w:rsid w:val="00592BC7"/>
    <w:rsid w:val="0059371C"/>
    <w:rsid w:val="00593FA4"/>
    <w:rsid w:val="00594210"/>
    <w:rsid w:val="00594376"/>
    <w:rsid w:val="005944B6"/>
    <w:rsid w:val="00594A61"/>
    <w:rsid w:val="00594B1B"/>
    <w:rsid w:val="00594F1D"/>
    <w:rsid w:val="00594F6F"/>
    <w:rsid w:val="005951A1"/>
    <w:rsid w:val="005953AD"/>
    <w:rsid w:val="005956B6"/>
    <w:rsid w:val="005956E3"/>
    <w:rsid w:val="00595894"/>
    <w:rsid w:val="00595996"/>
    <w:rsid w:val="00596154"/>
    <w:rsid w:val="00596236"/>
    <w:rsid w:val="005963CC"/>
    <w:rsid w:val="005966DC"/>
    <w:rsid w:val="00596817"/>
    <w:rsid w:val="00596841"/>
    <w:rsid w:val="00596861"/>
    <w:rsid w:val="00596C9B"/>
    <w:rsid w:val="00596E19"/>
    <w:rsid w:val="00596E80"/>
    <w:rsid w:val="005970E1"/>
    <w:rsid w:val="005973A6"/>
    <w:rsid w:val="005978AA"/>
    <w:rsid w:val="0059794D"/>
    <w:rsid w:val="00597AA8"/>
    <w:rsid w:val="005A015C"/>
    <w:rsid w:val="005A02D7"/>
    <w:rsid w:val="005A0324"/>
    <w:rsid w:val="005A07F1"/>
    <w:rsid w:val="005A0882"/>
    <w:rsid w:val="005A0E45"/>
    <w:rsid w:val="005A1113"/>
    <w:rsid w:val="005A1369"/>
    <w:rsid w:val="005A16FB"/>
    <w:rsid w:val="005A18B6"/>
    <w:rsid w:val="005A1986"/>
    <w:rsid w:val="005A1C71"/>
    <w:rsid w:val="005A1E97"/>
    <w:rsid w:val="005A2049"/>
    <w:rsid w:val="005A241E"/>
    <w:rsid w:val="005A2474"/>
    <w:rsid w:val="005A266E"/>
    <w:rsid w:val="005A27FB"/>
    <w:rsid w:val="005A28B4"/>
    <w:rsid w:val="005A2AAE"/>
    <w:rsid w:val="005A2D11"/>
    <w:rsid w:val="005A2EC5"/>
    <w:rsid w:val="005A2FEF"/>
    <w:rsid w:val="005A30D7"/>
    <w:rsid w:val="005A3624"/>
    <w:rsid w:val="005A38AA"/>
    <w:rsid w:val="005A3C37"/>
    <w:rsid w:val="005A3C3C"/>
    <w:rsid w:val="005A3C9B"/>
    <w:rsid w:val="005A3DB0"/>
    <w:rsid w:val="005A3F0A"/>
    <w:rsid w:val="005A418F"/>
    <w:rsid w:val="005A4289"/>
    <w:rsid w:val="005A42B5"/>
    <w:rsid w:val="005A440F"/>
    <w:rsid w:val="005A4436"/>
    <w:rsid w:val="005A4587"/>
    <w:rsid w:val="005A46A3"/>
    <w:rsid w:val="005A46F6"/>
    <w:rsid w:val="005A472C"/>
    <w:rsid w:val="005A4869"/>
    <w:rsid w:val="005A4897"/>
    <w:rsid w:val="005A4A43"/>
    <w:rsid w:val="005A4C3D"/>
    <w:rsid w:val="005A4C76"/>
    <w:rsid w:val="005A50B6"/>
    <w:rsid w:val="005A51A0"/>
    <w:rsid w:val="005A51A5"/>
    <w:rsid w:val="005A5325"/>
    <w:rsid w:val="005A554C"/>
    <w:rsid w:val="005A5557"/>
    <w:rsid w:val="005A573A"/>
    <w:rsid w:val="005A61A7"/>
    <w:rsid w:val="005A61F3"/>
    <w:rsid w:val="005A6247"/>
    <w:rsid w:val="005A627D"/>
    <w:rsid w:val="005A6BE4"/>
    <w:rsid w:val="005A6F61"/>
    <w:rsid w:val="005A6F92"/>
    <w:rsid w:val="005A6FED"/>
    <w:rsid w:val="005A70E5"/>
    <w:rsid w:val="005A7323"/>
    <w:rsid w:val="005A73D1"/>
    <w:rsid w:val="005A777A"/>
    <w:rsid w:val="005A78B2"/>
    <w:rsid w:val="005A7A57"/>
    <w:rsid w:val="005A7AA4"/>
    <w:rsid w:val="005A7CC7"/>
    <w:rsid w:val="005B05E7"/>
    <w:rsid w:val="005B0787"/>
    <w:rsid w:val="005B0804"/>
    <w:rsid w:val="005B0A15"/>
    <w:rsid w:val="005B0AE8"/>
    <w:rsid w:val="005B0B39"/>
    <w:rsid w:val="005B0B93"/>
    <w:rsid w:val="005B0CC3"/>
    <w:rsid w:val="005B0EE8"/>
    <w:rsid w:val="005B10EF"/>
    <w:rsid w:val="005B13CE"/>
    <w:rsid w:val="005B166A"/>
    <w:rsid w:val="005B1815"/>
    <w:rsid w:val="005B1A25"/>
    <w:rsid w:val="005B1B32"/>
    <w:rsid w:val="005B1B3E"/>
    <w:rsid w:val="005B1BC4"/>
    <w:rsid w:val="005B1D50"/>
    <w:rsid w:val="005B238E"/>
    <w:rsid w:val="005B2836"/>
    <w:rsid w:val="005B2A92"/>
    <w:rsid w:val="005B2C40"/>
    <w:rsid w:val="005B2D3D"/>
    <w:rsid w:val="005B3455"/>
    <w:rsid w:val="005B3989"/>
    <w:rsid w:val="005B3B14"/>
    <w:rsid w:val="005B3BE6"/>
    <w:rsid w:val="005B3C66"/>
    <w:rsid w:val="005B3D11"/>
    <w:rsid w:val="005B411C"/>
    <w:rsid w:val="005B4768"/>
    <w:rsid w:val="005B4BA3"/>
    <w:rsid w:val="005B4E4D"/>
    <w:rsid w:val="005B51DA"/>
    <w:rsid w:val="005B5538"/>
    <w:rsid w:val="005B59BB"/>
    <w:rsid w:val="005B5A29"/>
    <w:rsid w:val="005B5D5F"/>
    <w:rsid w:val="005B5E5A"/>
    <w:rsid w:val="005B616A"/>
    <w:rsid w:val="005B63CD"/>
    <w:rsid w:val="005B6661"/>
    <w:rsid w:val="005B668D"/>
    <w:rsid w:val="005B6894"/>
    <w:rsid w:val="005B6B61"/>
    <w:rsid w:val="005B6C18"/>
    <w:rsid w:val="005B6D88"/>
    <w:rsid w:val="005B6E5D"/>
    <w:rsid w:val="005B6E72"/>
    <w:rsid w:val="005B6ED8"/>
    <w:rsid w:val="005B6F6D"/>
    <w:rsid w:val="005B6F74"/>
    <w:rsid w:val="005B6FEC"/>
    <w:rsid w:val="005B6FF5"/>
    <w:rsid w:val="005B70EB"/>
    <w:rsid w:val="005B7121"/>
    <w:rsid w:val="005B7243"/>
    <w:rsid w:val="005B7434"/>
    <w:rsid w:val="005B7693"/>
    <w:rsid w:val="005B779C"/>
    <w:rsid w:val="005B7843"/>
    <w:rsid w:val="005B7A7D"/>
    <w:rsid w:val="005B7A8F"/>
    <w:rsid w:val="005B7B2E"/>
    <w:rsid w:val="005B7B47"/>
    <w:rsid w:val="005B7C30"/>
    <w:rsid w:val="005C01A8"/>
    <w:rsid w:val="005C0418"/>
    <w:rsid w:val="005C0575"/>
    <w:rsid w:val="005C06F8"/>
    <w:rsid w:val="005C072C"/>
    <w:rsid w:val="005C0E15"/>
    <w:rsid w:val="005C1023"/>
    <w:rsid w:val="005C1384"/>
    <w:rsid w:val="005C13B2"/>
    <w:rsid w:val="005C1728"/>
    <w:rsid w:val="005C17A1"/>
    <w:rsid w:val="005C1815"/>
    <w:rsid w:val="005C1AEC"/>
    <w:rsid w:val="005C1B16"/>
    <w:rsid w:val="005C1FC1"/>
    <w:rsid w:val="005C2269"/>
    <w:rsid w:val="005C23C4"/>
    <w:rsid w:val="005C260A"/>
    <w:rsid w:val="005C27E3"/>
    <w:rsid w:val="005C2A00"/>
    <w:rsid w:val="005C33AA"/>
    <w:rsid w:val="005C365C"/>
    <w:rsid w:val="005C37CB"/>
    <w:rsid w:val="005C3808"/>
    <w:rsid w:val="005C3BE8"/>
    <w:rsid w:val="005C3EF8"/>
    <w:rsid w:val="005C3FE3"/>
    <w:rsid w:val="005C43CC"/>
    <w:rsid w:val="005C459C"/>
    <w:rsid w:val="005C475A"/>
    <w:rsid w:val="005C49F4"/>
    <w:rsid w:val="005C4C92"/>
    <w:rsid w:val="005C4E7B"/>
    <w:rsid w:val="005C50DB"/>
    <w:rsid w:val="005C566F"/>
    <w:rsid w:val="005C5AB2"/>
    <w:rsid w:val="005C5C95"/>
    <w:rsid w:val="005C614F"/>
    <w:rsid w:val="005C6739"/>
    <w:rsid w:val="005C6845"/>
    <w:rsid w:val="005C68F9"/>
    <w:rsid w:val="005C6C32"/>
    <w:rsid w:val="005C6FA6"/>
    <w:rsid w:val="005C6FCE"/>
    <w:rsid w:val="005C71FB"/>
    <w:rsid w:val="005C7221"/>
    <w:rsid w:val="005C7226"/>
    <w:rsid w:val="005C74C5"/>
    <w:rsid w:val="005C7642"/>
    <w:rsid w:val="005C76CC"/>
    <w:rsid w:val="005C7775"/>
    <w:rsid w:val="005C7901"/>
    <w:rsid w:val="005C7F58"/>
    <w:rsid w:val="005C7FCF"/>
    <w:rsid w:val="005D01BC"/>
    <w:rsid w:val="005D02FB"/>
    <w:rsid w:val="005D0547"/>
    <w:rsid w:val="005D1457"/>
    <w:rsid w:val="005D14B9"/>
    <w:rsid w:val="005D1A9F"/>
    <w:rsid w:val="005D1C71"/>
    <w:rsid w:val="005D1D91"/>
    <w:rsid w:val="005D1E66"/>
    <w:rsid w:val="005D26A7"/>
    <w:rsid w:val="005D271A"/>
    <w:rsid w:val="005D28CC"/>
    <w:rsid w:val="005D292F"/>
    <w:rsid w:val="005D2A87"/>
    <w:rsid w:val="005D2ED2"/>
    <w:rsid w:val="005D2F8C"/>
    <w:rsid w:val="005D3135"/>
    <w:rsid w:val="005D3264"/>
    <w:rsid w:val="005D34EA"/>
    <w:rsid w:val="005D354D"/>
    <w:rsid w:val="005D368B"/>
    <w:rsid w:val="005D3794"/>
    <w:rsid w:val="005D3A6D"/>
    <w:rsid w:val="005D3E8E"/>
    <w:rsid w:val="005D40A9"/>
    <w:rsid w:val="005D42BD"/>
    <w:rsid w:val="005D42E2"/>
    <w:rsid w:val="005D45B5"/>
    <w:rsid w:val="005D4661"/>
    <w:rsid w:val="005D4C57"/>
    <w:rsid w:val="005D4C99"/>
    <w:rsid w:val="005D4EC1"/>
    <w:rsid w:val="005D4F6D"/>
    <w:rsid w:val="005D4FE1"/>
    <w:rsid w:val="005D5075"/>
    <w:rsid w:val="005D50C0"/>
    <w:rsid w:val="005D52FA"/>
    <w:rsid w:val="005D5403"/>
    <w:rsid w:val="005D5576"/>
    <w:rsid w:val="005D5A80"/>
    <w:rsid w:val="005D600F"/>
    <w:rsid w:val="005D6013"/>
    <w:rsid w:val="005D6300"/>
    <w:rsid w:val="005D6427"/>
    <w:rsid w:val="005D6612"/>
    <w:rsid w:val="005D66F5"/>
    <w:rsid w:val="005D68EF"/>
    <w:rsid w:val="005D697E"/>
    <w:rsid w:val="005D69E5"/>
    <w:rsid w:val="005D6AE8"/>
    <w:rsid w:val="005D7088"/>
    <w:rsid w:val="005D76AE"/>
    <w:rsid w:val="005D76DE"/>
    <w:rsid w:val="005D7713"/>
    <w:rsid w:val="005D777B"/>
    <w:rsid w:val="005D77BC"/>
    <w:rsid w:val="005D77DE"/>
    <w:rsid w:val="005D7B91"/>
    <w:rsid w:val="005D7D29"/>
    <w:rsid w:val="005D7E3E"/>
    <w:rsid w:val="005D7EBF"/>
    <w:rsid w:val="005E00A0"/>
    <w:rsid w:val="005E0309"/>
    <w:rsid w:val="005E0544"/>
    <w:rsid w:val="005E05A1"/>
    <w:rsid w:val="005E09E4"/>
    <w:rsid w:val="005E0AAC"/>
    <w:rsid w:val="005E0D78"/>
    <w:rsid w:val="005E1726"/>
    <w:rsid w:val="005E1F90"/>
    <w:rsid w:val="005E223E"/>
    <w:rsid w:val="005E235A"/>
    <w:rsid w:val="005E2513"/>
    <w:rsid w:val="005E25C0"/>
    <w:rsid w:val="005E266F"/>
    <w:rsid w:val="005E26A3"/>
    <w:rsid w:val="005E29F1"/>
    <w:rsid w:val="005E2AD2"/>
    <w:rsid w:val="005E2BCF"/>
    <w:rsid w:val="005E2E21"/>
    <w:rsid w:val="005E2E5D"/>
    <w:rsid w:val="005E2EAC"/>
    <w:rsid w:val="005E2ECA"/>
    <w:rsid w:val="005E2FA1"/>
    <w:rsid w:val="005E3819"/>
    <w:rsid w:val="005E38DE"/>
    <w:rsid w:val="005E3B4C"/>
    <w:rsid w:val="005E3D7A"/>
    <w:rsid w:val="005E3F34"/>
    <w:rsid w:val="005E421C"/>
    <w:rsid w:val="005E4241"/>
    <w:rsid w:val="005E42F5"/>
    <w:rsid w:val="005E46B5"/>
    <w:rsid w:val="005E4BCF"/>
    <w:rsid w:val="005E4EF0"/>
    <w:rsid w:val="005E50E8"/>
    <w:rsid w:val="005E544D"/>
    <w:rsid w:val="005E5492"/>
    <w:rsid w:val="005E5734"/>
    <w:rsid w:val="005E5741"/>
    <w:rsid w:val="005E58EB"/>
    <w:rsid w:val="005E5E84"/>
    <w:rsid w:val="005E5EC3"/>
    <w:rsid w:val="005E602B"/>
    <w:rsid w:val="005E6150"/>
    <w:rsid w:val="005E61B6"/>
    <w:rsid w:val="005E6487"/>
    <w:rsid w:val="005E651F"/>
    <w:rsid w:val="005E664C"/>
    <w:rsid w:val="005E6810"/>
    <w:rsid w:val="005E6971"/>
    <w:rsid w:val="005E6C77"/>
    <w:rsid w:val="005E6D4E"/>
    <w:rsid w:val="005E70AF"/>
    <w:rsid w:val="005E7199"/>
    <w:rsid w:val="005E73CE"/>
    <w:rsid w:val="005E77E3"/>
    <w:rsid w:val="005E7BA9"/>
    <w:rsid w:val="005F0251"/>
    <w:rsid w:val="005F0530"/>
    <w:rsid w:val="005F0616"/>
    <w:rsid w:val="005F0727"/>
    <w:rsid w:val="005F07DC"/>
    <w:rsid w:val="005F09A4"/>
    <w:rsid w:val="005F0C34"/>
    <w:rsid w:val="005F0EAB"/>
    <w:rsid w:val="005F0FB4"/>
    <w:rsid w:val="005F1283"/>
    <w:rsid w:val="005F13BD"/>
    <w:rsid w:val="005F1859"/>
    <w:rsid w:val="005F1AC8"/>
    <w:rsid w:val="005F1B25"/>
    <w:rsid w:val="005F21AE"/>
    <w:rsid w:val="005F21AF"/>
    <w:rsid w:val="005F21FB"/>
    <w:rsid w:val="005F228E"/>
    <w:rsid w:val="005F257C"/>
    <w:rsid w:val="005F25C6"/>
    <w:rsid w:val="005F25E2"/>
    <w:rsid w:val="005F27E3"/>
    <w:rsid w:val="005F2A8A"/>
    <w:rsid w:val="005F2B4F"/>
    <w:rsid w:val="005F3045"/>
    <w:rsid w:val="005F347F"/>
    <w:rsid w:val="005F353A"/>
    <w:rsid w:val="005F35AA"/>
    <w:rsid w:val="005F3660"/>
    <w:rsid w:val="005F38CE"/>
    <w:rsid w:val="005F4068"/>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51D4"/>
    <w:rsid w:val="005F53CE"/>
    <w:rsid w:val="005F557D"/>
    <w:rsid w:val="005F56F3"/>
    <w:rsid w:val="005F5711"/>
    <w:rsid w:val="005F59E5"/>
    <w:rsid w:val="005F5A0F"/>
    <w:rsid w:val="005F5B06"/>
    <w:rsid w:val="005F5C92"/>
    <w:rsid w:val="005F5EDF"/>
    <w:rsid w:val="005F6035"/>
    <w:rsid w:val="005F606B"/>
    <w:rsid w:val="005F61C5"/>
    <w:rsid w:val="005F6310"/>
    <w:rsid w:val="005F63D8"/>
    <w:rsid w:val="005F64FB"/>
    <w:rsid w:val="005F6548"/>
    <w:rsid w:val="005F67EC"/>
    <w:rsid w:val="005F6938"/>
    <w:rsid w:val="005F6A3F"/>
    <w:rsid w:val="005F6BBB"/>
    <w:rsid w:val="005F6C45"/>
    <w:rsid w:val="005F6C50"/>
    <w:rsid w:val="005F708B"/>
    <w:rsid w:val="005F71EC"/>
    <w:rsid w:val="005F789F"/>
    <w:rsid w:val="005F7DBA"/>
    <w:rsid w:val="005F7F70"/>
    <w:rsid w:val="006000CD"/>
    <w:rsid w:val="006000FB"/>
    <w:rsid w:val="006001C9"/>
    <w:rsid w:val="006001E4"/>
    <w:rsid w:val="00600265"/>
    <w:rsid w:val="006006E4"/>
    <w:rsid w:val="006006E5"/>
    <w:rsid w:val="00600754"/>
    <w:rsid w:val="00600D12"/>
    <w:rsid w:val="0060119A"/>
    <w:rsid w:val="0060140A"/>
    <w:rsid w:val="00601632"/>
    <w:rsid w:val="00601EFC"/>
    <w:rsid w:val="006022D0"/>
    <w:rsid w:val="0060251E"/>
    <w:rsid w:val="00602A68"/>
    <w:rsid w:val="00602B30"/>
    <w:rsid w:val="00602DDE"/>
    <w:rsid w:val="00602E0C"/>
    <w:rsid w:val="00602FC8"/>
    <w:rsid w:val="0060339B"/>
    <w:rsid w:val="006034E9"/>
    <w:rsid w:val="00603552"/>
    <w:rsid w:val="0060377C"/>
    <w:rsid w:val="00603843"/>
    <w:rsid w:val="006039DB"/>
    <w:rsid w:val="00603B41"/>
    <w:rsid w:val="00603FC5"/>
    <w:rsid w:val="006046D6"/>
    <w:rsid w:val="006046E4"/>
    <w:rsid w:val="00604BC5"/>
    <w:rsid w:val="00604D85"/>
    <w:rsid w:val="00604EF7"/>
    <w:rsid w:val="00604F04"/>
    <w:rsid w:val="00605037"/>
    <w:rsid w:val="0060577C"/>
    <w:rsid w:val="006058B4"/>
    <w:rsid w:val="0060595F"/>
    <w:rsid w:val="006059B6"/>
    <w:rsid w:val="00605E04"/>
    <w:rsid w:val="00605E0D"/>
    <w:rsid w:val="00605E63"/>
    <w:rsid w:val="00605FFE"/>
    <w:rsid w:val="006063F2"/>
    <w:rsid w:val="006064DD"/>
    <w:rsid w:val="0060650C"/>
    <w:rsid w:val="00606A90"/>
    <w:rsid w:val="00606B37"/>
    <w:rsid w:val="00606FF6"/>
    <w:rsid w:val="00607087"/>
    <w:rsid w:val="00607138"/>
    <w:rsid w:val="00607252"/>
    <w:rsid w:val="0060755B"/>
    <w:rsid w:val="006075AF"/>
    <w:rsid w:val="00607624"/>
    <w:rsid w:val="0060773E"/>
    <w:rsid w:val="00607C2E"/>
    <w:rsid w:val="00610137"/>
    <w:rsid w:val="0061038C"/>
    <w:rsid w:val="006106C1"/>
    <w:rsid w:val="006106F4"/>
    <w:rsid w:val="00610735"/>
    <w:rsid w:val="00610A7C"/>
    <w:rsid w:val="00610B28"/>
    <w:rsid w:val="00610F52"/>
    <w:rsid w:val="0061124A"/>
    <w:rsid w:val="006112D0"/>
    <w:rsid w:val="006112D6"/>
    <w:rsid w:val="0061167D"/>
    <w:rsid w:val="0061169D"/>
    <w:rsid w:val="00611737"/>
    <w:rsid w:val="00611752"/>
    <w:rsid w:val="006119DC"/>
    <w:rsid w:val="00611B07"/>
    <w:rsid w:val="00611C1D"/>
    <w:rsid w:val="00611C60"/>
    <w:rsid w:val="00611F0D"/>
    <w:rsid w:val="00612019"/>
    <w:rsid w:val="00612388"/>
    <w:rsid w:val="006126E8"/>
    <w:rsid w:val="006128EB"/>
    <w:rsid w:val="00612904"/>
    <w:rsid w:val="00612ABA"/>
    <w:rsid w:val="00612E32"/>
    <w:rsid w:val="00612FDD"/>
    <w:rsid w:val="00613119"/>
    <w:rsid w:val="006133A6"/>
    <w:rsid w:val="0061347F"/>
    <w:rsid w:val="006134CA"/>
    <w:rsid w:val="006135AE"/>
    <w:rsid w:val="006136FB"/>
    <w:rsid w:val="00613846"/>
    <w:rsid w:val="00613A6A"/>
    <w:rsid w:val="00613ECE"/>
    <w:rsid w:val="00613F81"/>
    <w:rsid w:val="0061461E"/>
    <w:rsid w:val="00614646"/>
    <w:rsid w:val="006148C3"/>
    <w:rsid w:val="0061494C"/>
    <w:rsid w:val="00614B10"/>
    <w:rsid w:val="00614B35"/>
    <w:rsid w:val="00614DE8"/>
    <w:rsid w:val="006152D6"/>
    <w:rsid w:val="006154EE"/>
    <w:rsid w:val="00615A35"/>
    <w:rsid w:val="00615B2C"/>
    <w:rsid w:val="0061615F"/>
    <w:rsid w:val="00616164"/>
    <w:rsid w:val="006165A9"/>
    <w:rsid w:val="0061662C"/>
    <w:rsid w:val="00616755"/>
    <w:rsid w:val="00616B8C"/>
    <w:rsid w:val="00616BC0"/>
    <w:rsid w:val="00616E3A"/>
    <w:rsid w:val="00617108"/>
    <w:rsid w:val="00617211"/>
    <w:rsid w:val="00617264"/>
    <w:rsid w:val="006172F2"/>
    <w:rsid w:val="0061750E"/>
    <w:rsid w:val="006175A7"/>
    <w:rsid w:val="006175CA"/>
    <w:rsid w:val="00617652"/>
    <w:rsid w:val="0061784D"/>
    <w:rsid w:val="00617896"/>
    <w:rsid w:val="00617B8B"/>
    <w:rsid w:val="00617C18"/>
    <w:rsid w:val="00617C50"/>
    <w:rsid w:val="00617F79"/>
    <w:rsid w:val="00620231"/>
    <w:rsid w:val="006207B2"/>
    <w:rsid w:val="006207ED"/>
    <w:rsid w:val="006207F1"/>
    <w:rsid w:val="00620AFF"/>
    <w:rsid w:val="00620B98"/>
    <w:rsid w:val="0062140E"/>
    <w:rsid w:val="006217D4"/>
    <w:rsid w:val="0062198F"/>
    <w:rsid w:val="006219ED"/>
    <w:rsid w:val="00621F46"/>
    <w:rsid w:val="00622066"/>
    <w:rsid w:val="00622143"/>
    <w:rsid w:val="006221E2"/>
    <w:rsid w:val="0062229A"/>
    <w:rsid w:val="00622388"/>
    <w:rsid w:val="00622669"/>
    <w:rsid w:val="00622810"/>
    <w:rsid w:val="0062286A"/>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F4E"/>
    <w:rsid w:val="00624F7C"/>
    <w:rsid w:val="006253B7"/>
    <w:rsid w:val="006256D2"/>
    <w:rsid w:val="00625C1A"/>
    <w:rsid w:val="00625C77"/>
    <w:rsid w:val="00625CE5"/>
    <w:rsid w:val="00625EE9"/>
    <w:rsid w:val="00626071"/>
    <w:rsid w:val="006261D7"/>
    <w:rsid w:val="00626216"/>
    <w:rsid w:val="006262F3"/>
    <w:rsid w:val="0062658F"/>
    <w:rsid w:val="00626652"/>
    <w:rsid w:val="006267E9"/>
    <w:rsid w:val="00626C37"/>
    <w:rsid w:val="00626C39"/>
    <w:rsid w:val="00626ED8"/>
    <w:rsid w:val="00626F07"/>
    <w:rsid w:val="00626FCF"/>
    <w:rsid w:val="0062707D"/>
    <w:rsid w:val="006274F5"/>
    <w:rsid w:val="00630256"/>
    <w:rsid w:val="00630712"/>
    <w:rsid w:val="0063071F"/>
    <w:rsid w:val="0063075D"/>
    <w:rsid w:val="0063078C"/>
    <w:rsid w:val="0063088D"/>
    <w:rsid w:val="0063090C"/>
    <w:rsid w:val="006309D8"/>
    <w:rsid w:val="00630C5E"/>
    <w:rsid w:val="00630CFB"/>
    <w:rsid w:val="006315C0"/>
    <w:rsid w:val="00631655"/>
    <w:rsid w:val="00631873"/>
    <w:rsid w:val="00631891"/>
    <w:rsid w:val="006318C0"/>
    <w:rsid w:val="00631BCE"/>
    <w:rsid w:val="00631E00"/>
    <w:rsid w:val="00631E43"/>
    <w:rsid w:val="00632111"/>
    <w:rsid w:val="006321FB"/>
    <w:rsid w:val="00632459"/>
    <w:rsid w:val="0063251C"/>
    <w:rsid w:val="0063266D"/>
    <w:rsid w:val="006326DF"/>
    <w:rsid w:val="006327CF"/>
    <w:rsid w:val="0063286A"/>
    <w:rsid w:val="00632B0E"/>
    <w:rsid w:val="00632E50"/>
    <w:rsid w:val="00632FD8"/>
    <w:rsid w:val="0063336F"/>
    <w:rsid w:val="00633764"/>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560"/>
    <w:rsid w:val="006355C4"/>
    <w:rsid w:val="0063574D"/>
    <w:rsid w:val="00635CB0"/>
    <w:rsid w:val="006362FB"/>
    <w:rsid w:val="00636486"/>
    <w:rsid w:val="0063660C"/>
    <w:rsid w:val="00636664"/>
    <w:rsid w:val="00636694"/>
    <w:rsid w:val="00636747"/>
    <w:rsid w:val="00636E92"/>
    <w:rsid w:val="00636EBB"/>
    <w:rsid w:val="00637170"/>
    <w:rsid w:val="00637208"/>
    <w:rsid w:val="006374E0"/>
    <w:rsid w:val="00637764"/>
    <w:rsid w:val="00637C38"/>
    <w:rsid w:val="00637CBA"/>
    <w:rsid w:val="00640576"/>
    <w:rsid w:val="0064059A"/>
    <w:rsid w:val="006408A0"/>
    <w:rsid w:val="00640962"/>
    <w:rsid w:val="006409AD"/>
    <w:rsid w:val="00640AC5"/>
    <w:rsid w:val="00640BB0"/>
    <w:rsid w:val="00640BCF"/>
    <w:rsid w:val="00640DE1"/>
    <w:rsid w:val="0064102E"/>
    <w:rsid w:val="0064126C"/>
    <w:rsid w:val="006413AA"/>
    <w:rsid w:val="006416D2"/>
    <w:rsid w:val="00641A83"/>
    <w:rsid w:val="00641B42"/>
    <w:rsid w:val="00641D62"/>
    <w:rsid w:val="00641D96"/>
    <w:rsid w:val="006423AA"/>
    <w:rsid w:val="00642514"/>
    <w:rsid w:val="006426DC"/>
    <w:rsid w:val="00642E37"/>
    <w:rsid w:val="00642F08"/>
    <w:rsid w:val="0064319B"/>
    <w:rsid w:val="0064338A"/>
    <w:rsid w:val="00643AF4"/>
    <w:rsid w:val="00643B2A"/>
    <w:rsid w:val="00643C78"/>
    <w:rsid w:val="00643E35"/>
    <w:rsid w:val="00644178"/>
    <w:rsid w:val="006441F6"/>
    <w:rsid w:val="0064422A"/>
    <w:rsid w:val="00644A7B"/>
    <w:rsid w:val="00644D3A"/>
    <w:rsid w:val="00644DE9"/>
    <w:rsid w:val="00644FB6"/>
    <w:rsid w:val="00644FC4"/>
    <w:rsid w:val="0064516B"/>
    <w:rsid w:val="00645423"/>
    <w:rsid w:val="006455AF"/>
    <w:rsid w:val="00645BDE"/>
    <w:rsid w:val="00645E59"/>
    <w:rsid w:val="00645EE2"/>
    <w:rsid w:val="00645F5B"/>
    <w:rsid w:val="0064659E"/>
    <w:rsid w:val="006465C3"/>
    <w:rsid w:val="0064669D"/>
    <w:rsid w:val="006466B3"/>
    <w:rsid w:val="00646B2B"/>
    <w:rsid w:val="00646C6F"/>
    <w:rsid w:val="006470C4"/>
    <w:rsid w:val="00647163"/>
    <w:rsid w:val="0064720C"/>
    <w:rsid w:val="0064722E"/>
    <w:rsid w:val="00647340"/>
    <w:rsid w:val="00647507"/>
    <w:rsid w:val="00647706"/>
    <w:rsid w:val="006478DF"/>
    <w:rsid w:val="006479DC"/>
    <w:rsid w:val="00647A7F"/>
    <w:rsid w:val="00650941"/>
    <w:rsid w:val="00650C28"/>
    <w:rsid w:val="00650CDA"/>
    <w:rsid w:val="00650E6D"/>
    <w:rsid w:val="0065108F"/>
    <w:rsid w:val="006510CE"/>
    <w:rsid w:val="006512D6"/>
    <w:rsid w:val="0065149D"/>
    <w:rsid w:val="00651812"/>
    <w:rsid w:val="0065196B"/>
    <w:rsid w:val="0065198C"/>
    <w:rsid w:val="00651BBB"/>
    <w:rsid w:val="00651C59"/>
    <w:rsid w:val="00651D74"/>
    <w:rsid w:val="00651EED"/>
    <w:rsid w:val="0065251E"/>
    <w:rsid w:val="00652655"/>
    <w:rsid w:val="006526B8"/>
    <w:rsid w:val="00652880"/>
    <w:rsid w:val="00652956"/>
    <w:rsid w:val="00652C3A"/>
    <w:rsid w:val="00652DB7"/>
    <w:rsid w:val="00652F41"/>
    <w:rsid w:val="00652FCE"/>
    <w:rsid w:val="0065306B"/>
    <w:rsid w:val="00653298"/>
    <w:rsid w:val="006535EE"/>
    <w:rsid w:val="0065394F"/>
    <w:rsid w:val="00653B1B"/>
    <w:rsid w:val="00653F67"/>
    <w:rsid w:val="006541F5"/>
    <w:rsid w:val="0065439E"/>
    <w:rsid w:val="006543BA"/>
    <w:rsid w:val="006546BB"/>
    <w:rsid w:val="00654926"/>
    <w:rsid w:val="00654D72"/>
    <w:rsid w:val="006553F3"/>
    <w:rsid w:val="0065543D"/>
    <w:rsid w:val="006556D1"/>
    <w:rsid w:val="006556D9"/>
    <w:rsid w:val="006558FF"/>
    <w:rsid w:val="006559AE"/>
    <w:rsid w:val="00655AEE"/>
    <w:rsid w:val="00655B64"/>
    <w:rsid w:val="00655BB2"/>
    <w:rsid w:val="00655C30"/>
    <w:rsid w:val="00655F88"/>
    <w:rsid w:val="00656002"/>
    <w:rsid w:val="0065607A"/>
    <w:rsid w:val="006564CB"/>
    <w:rsid w:val="006565F7"/>
    <w:rsid w:val="006566BF"/>
    <w:rsid w:val="00656CDB"/>
    <w:rsid w:val="00656CFB"/>
    <w:rsid w:val="00656DA0"/>
    <w:rsid w:val="00656DDC"/>
    <w:rsid w:val="00656F60"/>
    <w:rsid w:val="00657123"/>
    <w:rsid w:val="00657189"/>
    <w:rsid w:val="0065724E"/>
    <w:rsid w:val="00657258"/>
    <w:rsid w:val="006576EC"/>
    <w:rsid w:val="00657F90"/>
    <w:rsid w:val="006600DB"/>
    <w:rsid w:val="00660215"/>
    <w:rsid w:val="0066081B"/>
    <w:rsid w:val="006613C0"/>
    <w:rsid w:val="0066194E"/>
    <w:rsid w:val="00661B69"/>
    <w:rsid w:val="00661C46"/>
    <w:rsid w:val="0066202F"/>
    <w:rsid w:val="006622A8"/>
    <w:rsid w:val="006626BE"/>
    <w:rsid w:val="00663074"/>
    <w:rsid w:val="006630FC"/>
    <w:rsid w:val="00663147"/>
    <w:rsid w:val="00663344"/>
    <w:rsid w:val="0066338E"/>
    <w:rsid w:val="00663AD1"/>
    <w:rsid w:val="00663C93"/>
    <w:rsid w:val="00663CBD"/>
    <w:rsid w:val="00663DFB"/>
    <w:rsid w:val="00664416"/>
    <w:rsid w:val="006644CE"/>
    <w:rsid w:val="006644E1"/>
    <w:rsid w:val="006645EC"/>
    <w:rsid w:val="00664642"/>
    <w:rsid w:val="00664674"/>
    <w:rsid w:val="00664C0C"/>
    <w:rsid w:val="0066506E"/>
    <w:rsid w:val="006652D3"/>
    <w:rsid w:val="006653FD"/>
    <w:rsid w:val="0066540D"/>
    <w:rsid w:val="006655D2"/>
    <w:rsid w:val="00665618"/>
    <w:rsid w:val="00665888"/>
    <w:rsid w:val="006658A2"/>
    <w:rsid w:val="006664B8"/>
    <w:rsid w:val="00666CBE"/>
    <w:rsid w:val="00666DA5"/>
    <w:rsid w:val="00667409"/>
    <w:rsid w:val="0066759E"/>
    <w:rsid w:val="0066791C"/>
    <w:rsid w:val="00667B59"/>
    <w:rsid w:val="00667BC6"/>
    <w:rsid w:val="00667C3E"/>
    <w:rsid w:val="00667CF3"/>
    <w:rsid w:val="00667F94"/>
    <w:rsid w:val="006700FC"/>
    <w:rsid w:val="006702A4"/>
    <w:rsid w:val="00670380"/>
    <w:rsid w:val="0067050A"/>
    <w:rsid w:val="006705D5"/>
    <w:rsid w:val="006706B5"/>
    <w:rsid w:val="00670722"/>
    <w:rsid w:val="0067085D"/>
    <w:rsid w:val="006708BB"/>
    <w:rsid w:val="00670C07"/>
    <w:rsid w:val="00670D48"/>
    <w:rsid w:val="00670F36"/>
    <w:rsid w:val="00670F72"/>
    <w:rsid w:val="00670F81"/>
    <w:rsid w:val="00671047"/>
    <w:rsid w:val="0067158A"/>
    <w:rsid w:val="00671738"/>
    <w:rsid w:val="006717CD"/>
    <w:rsid w:val="006719B2"/>
    <w:rsid w:val="00671B9C"/>
    <w:rsid w:val="00671FF4"/>
    <w:rsid w:val="006724F6"/>
    <w:rsid w:val="006725FA"/>
    <w:rsid w:val="00672BC1"/>
    <w:rsid w:val="00672C45"/>
    <w:rsid w:val="00672DBA"/>
    <w:rsid w:val="00672DBD"/>
    <w:rsid w:val="00672F5B"/>
    <w:rsid w:val="00672F79"/>
    <w:rsid w:val="0067319C"/>
    <w:rsid w:val="00673D25"/>
    <w:rsid w:val="00673DC1"/>
    <w:rsid w:val="00673F42"/>
    <w:rsid w:val="00673F6A"/>
    <w:rsid w:val="00674042"/>
    <w:rsid w:val="006740E1"/>
    <w:rsid w:val="0067416E"/>
    <w:rsid w:val="006744B2"/>
    <w:rsid w:val="00674D4E"/>
    <w:rsid w:val="00674D58"/>
    <w:rsid w:val="006754DC"/>
    <w:rsid w:val="006758C9"/>
    <w:rsid w:val="0067591E"/>
    <w:rsid w:val="00675A5F"/>
    <w:rsid w:val="00676042"/>
    <w:rsid w:val="006764BC"/>
    <w:rsid w:val="00676625"/>
    <w:rsid w:val="006769C4"/>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80161"/>
    <w:rsid w:val="0068025E"/>
    <w:rsid w:val="00680262"/>
    <w:rsid w:val="0068051B"/>
    <w:rsid w:val="006805D9"/>
    <w:rsid w:val="00680907"/>
    <w:rsid w:val="00680912"/>
    <w:rsid w:val="0068092C"/>
    <w:rsid w:val="00680C6F"/>
    <w:rsid w:val="00680E8B"/>
    <w:rsid w:val="0068150F"/>
    <w:rsid w:val="006818D0"/>
    <w:rsid w:val="006819A3"/>
    <w:rsid w:val="00681A09"/>
    <w:rsid w:val="00681D51"/>
    <w:rsid w:val="00681E2F"/>
    <w:rsid w:val="00682129"/>
    <w:rsid w:val="00682203"/>
    <w:rsid w:val="00682242"/>
    <w:rsid w:val="006822E2"/>
    <w:rsid w:val="006823F2"/>
    <w:rsid w:val="006825C2"/>
    <w:rsid w:val="00682666"/>
    <w:rsid w:val="0068266C"/>
    <w:rsid w:val="0068285B"/>
    <w:rsid w:val="006828AA"/>
    <w:rsid w:val="00682E52"/>
    <w:rsid w:val="00682E55"/>
    <w:rsid w:val="0068335B"/>
    <w:rsid w:val="0068340E"/>
    <w:rsid w:val="00683528"/>
    <w:rsid w:val="00683722"/>
    <w:rsid w:val="006837AA"/>
    <w:rsid w:val="00683D2F"/>
    <w:rsid w:val="00684044"/>
    <w:rsid w:val="006840B2"/>
    <w:rsid w:val="006843F6"/>
    <w:rsid w:val="0068491F"/>
    <w:rsid w:val="00684F4C"/>
    <w:rsid w:val="006851A2"/>
    <w:rsid w:val="0068563E"/>
    <w:rsid w:val="00685BD8"/>
    <w:rsid w:val="00685DE4"/>
    <w:rsid w:val="00686118"/>
    <w:rsid w:val="006861C0"/>
    <w:rsid w:val="00686596"/>
    <w:rsid w:val="00686706"/>
    <w:rsid w:val="00686711"/>
    <w:rsid w:val="00686B0C"/>
    <w:rsid w:val="00686CC2"/>
    <w:rsid w:val="00686F00"/>
    <w:rsid w:val="00687C97"/>
    <w:rsid w:val="00687D5A"/>
    <w:rsid w:val="00690324"/>
    <w:rsid w:val="006904C2"/>
    <w:rsid w:val="006904DD"/>
    <w:rsid w:val="00690524"/>
    <w:rsid w:val="00690907"/>
    <w:rsid w:val="00690E71"/>
    <w:rsid w:val="006911C8"/>
    <w:rsid w:val="00691459"/>
    <w:rsid w:val="00691734"/>
    <w:rsid w:val="00691808"/>
    <w:rsid w:val="0069262C"/>
    <w:rsid w:val="00692A91"/>
    <w:rsid w:val="00692D12"/>
    <w:rsid w:val="00692D54"/>
    <w:rsid w:val="00692E5F"/>
    <w:rsid w:val="006930C2"/>
    <w:rsid w:val="00693137"/>
    <w:rsid w:val="00693531"/>
    <w:rsid w:val="00693842"/>
    <w:rsid w:val="00693888"/>
    <w:rsid w:val="00693C87"/>
    <w:rsid w:val="00693D3E"/>
    <w:rsid w:val="00693FC6"/>
    <w:rsid w:val="0069417E"/>
    <w:rsid w:val="0069457A"/>
    <w:rsid w:val="00694773"/>
    <w:rsid w:val="006949A7"/>
    <w:rsid w:val="00694B65"/>
    <w:rsid w:val="00694C69"/>
    <w:rsid w:val="00694D53"/>
    <w:rsid w:val="00694E58"/>
    <w:rsid w:val="00694FD4"/>
    <w:rsid w:val="006951CE"/>
    <w:rsid w:val="006951E5"/>
    <w:rsid w:val="006951FF"/>
    <w:rsid w:val="006952D2"/>
    <w:rsid w:val="006952ED"/>
    <w:rsid w:val="00695955"/>
    <w:rsid w:val="006959E8"/>
    <w:rsid w:val="00695B5A"/>
    <w:rsid w:val="00695BD9"/>
    <w:rsid w:val="00695D1E"/>
    <w:rsid w:val="00695FCA"/>
    <w:rsid w:val="00696335"/>
    <w:rsid w:val="006963F8"/>
    <w:rsid w:val="00696945"/>
    <w:rsid w:val="00696951"/>
    <w:rsid w:val="00696A4D"/>
    <w:rsid w:val="00696C70"/>
    <w:rsid w:val="00696F11"/>
    <w:rsid w:val="006976BE"/>
    <w:rsid w:val="006978A9"/>
    <w:rsid w:val="00697A50"/>
    <w:rsid w:val="00697AC9"/>
    <w:rsid w:val="00697C4E"/>
    <w:rsid w:val="00697D19"/>
    <w:rsid w:val="006A0052"/>
    <w:rsid w:val="006A05C7"/>
    <w:rsid w:val="006A08CA"/>
    <w:rsid w:val="006A0C61"/>
    <w:rsid w:val="006A0CF4"/>
    <w:rsid w:val="006A0E43"/>
    <w:rsid w:val="006A102D"/>
    <w:rsid w:val="006A11E4"/>
    <w:rsid w:val="006A14A0"/>
    <w:rsid w:val="006A15CF"/>
    <w:rsid w:val="006A1668"/>
    <w:rsid w:val="006A16E6"/>
    <w:rsid w:val="006A16F0"/>
    <w:rsid w:val="006A20A4"/>
    <w:rsid w:val="006A29FF"/>
    <w:rsid w:val="006A2AB9"/>
    <w:rsid w:val="006A2DB4"/>
    <w:rsid w:val="006A350E"/>
    <w:rsid w:val="006A4010"/>
    <w:rsid w:val="006A414D"/>
    <w:rsid w:val="006A41F8"/>
    <w:rsid w:val="006A42A5"/>
    <w:rsid w:val="006A451E"/>
    <w:rsid w:val="006A45BB"/>
    <w:rsid w:val="006A4E52"/>
    <w:rsid w:val="006A4FC8"/>
    <w:rsid w:val="006A50F1"/>
    <w:rsid w:val="006A5142"/>
    <w:rsid w:val="006A517B"/>
    <w:rsid w:val="006A51B6"/>
    <w:rsid w:val="006A53E2"/>
    <w:rsid w:val="006A55E1"/>
    <w:rsid w:val="006A566C"/>
    <w:rsid w:val="006A572C"/>
    <w:rsid w:val="006A603D"/>
    <w:rsid w:val="006A607B"/>
    <w:rsid w:val="006A60A7"/>
    <w:rsid w:val="006A6174"/>
    <w:rsid w:val="006A61EC"/>
    <w:rsid w:val="006A6296"/>
    <w:rsid w:val="006A6493"/>
    <w:rsid w:val="006A6623"/>
    <w:rsid w:val="006A6E27"/>
    <w:rsid w:val="006A6EAC"/>
    <w:rsid w:val="006A6FB8"/>
    <w:rsid w:val="006A72B0"/>
    <w:rsid w:val="006A7348"/>
    <w:rsid w:val="006A74E5"/>
    <w:rsid w:val="006A763F"/>
    <w:rsid w:val="006A7AB4"/>
    <w:rsid w:val="006A7E1A"/>
    <w:rsid w:val="006B009C"/>
    <w:rsid w:val="006B02C4"/>
    <w:rsid w:val="006B0495"/>
    <w:rsid w:val="006B04FE"/>
    <w:rsid w:val="006B05D4"/>
    <w:rsid w:val="006B075C"/>
    <w:rsid w:val="006B0856"/>
    <w:rsid w:val="006B0894"/>
    <w:rsid w:val="006B0AFA"/>
    <w:rsid w:val="006B17C1"/>
    <w:rsid w:val="006B18C5"/>
    <w:rsid w:val="006B1932"/>
    <w:rsid w:val="006B1B85"/>
    <w:rsid w:val="006B1F47"/>
    <w:rsid w:val="006B1FDA"/>
    <w:rsid w:val="006B2CD8"/>
    <w:rsid w:val="006B36AE"/>
    <w:rsid w:val="006B3980"/>
    <w:rsid w:val="006B3E4D"/>
    <w:rsid w:val="006B3F76"/>
    <w:rsid w:val="006B417B"/>
    <w:rsid w:val="006B4449"/>
    <w:rsid w:val="006B44BB"/>
    <w:rsid w:val="006B456E"/>
    <w:rsid w:val="006B474F"/>
    <w:rsid w:val="006B4C0C"/>
    <w:rsid w:val="006B4D12"/>
    <w:rsid w:val="006B4D92"/>
    <w:rsid w:val="006B4EAB"/>
    <w:rsid w:val="006B5091"/>
    <w:rsid w:val="006B50B8"/>
    <w:rsid w:val="006B50F9"/>
    <w:rsid w:val="006B5238"/>
    <w:rsid w:val="006B5756"/>
    <w:rsid w:val="006B5A61"/>
    <w:rsid w:val="006B5C4C"/>
    <w:rsid w:val="006B5D79"/>
    <w:rsid w:val="006B5F36"/>
    <w:rsid w:val="006B5FBC"/>
    <w:rsid w:val="006B64E8"/>
    <w:rsid w:val="006B654C"/>
    <w:rsid w:val="006B658B"/>
    <w:rsid w:val="006B6648"/>
    <w:rsid w:val="006B6AE9"/>
    <w:rsid w:val="006B6AEF"/>
    <w:rsid w:val="006B6B08"/>
    <w:rsid w:val="006B6BAF"/>
    <w:rsid w:val="006B6DA1"/>
    <w:rsid w:val="006B764A"/>
    <w:rsid w:val="006B76C2"/>
    <w:rsid w:val="006B7877"/>
    <w:rsid w:val="006B7AA6"/>
    <w:rsid w:val="006B7CBC"/>
    <w:rsid w:val="006B7FA8"/>
    <w:rsid w:val="006C00ED"/>
    <w:rsid w:val="006C02CD"/>
    <w:rsid w:val="006C06A9"/>
    <w:rsid w:val="006C0765"/>
    <w:rsid w:val="006C1142"/>
    <w:rsid w:val="006C132E"/>
    <w:rsid w:val="006C13A3"/>
    <w:rsid w:val="006C157B"/>
    <w:rsid w:val="006C1627"/>
    <w:rsid w:val="006C1822"/>
    <w:rsid w:val="006C1827"/>
    <w:rsid w:val="006C1DA7"/>
    <w:rsid w:val="006C204C"/>
    <w:rsid w:val="006C21F1"/>
    <w:rsid w:val="006C2491"/>
    <w:rsid w:val="006C24D6"/>
    <w:rsid w:val="006C2ABA"/>
    <w:rsid w:val="006C2B59"/>
    <w:rsid w:val="006C2C86"/>
    <w:rsid w:val="006C2C8B"/>
    <w:rsid w:val="006C2D1A"/>
    <w:rsid w:val="006C3183"/>
    <w:rsid w:val="006C3255"/>
    <w:rsid w:val="006C34A1"/>
    <w:rsid w:val="006C34ED"/>
    <w:rsid w:val="006C3686"/>
    <w:rsid w:val="006C38EF"/>
    <w:rsid w:val="006C3A2D"/>
    <w:rsid w:val="006C3BCF"/>
    <w:rsid w:val="006C3BEF"/>
    <w:rsid w:val="006C3EBC"/>
    <w:rsid w:val="006C4043"/>
    <w:rsid w:val="006C41C1"/>
    <w:rsid w:val="006C41ED"/>
    <w:rsid w:val="006C43FB"/>
    <w:rsid w:val="006C466F"/>
    <w:rsid w:val="006C468F"/>
    <w:rsid w:val="006C4950"/>
    <w:rsid w:val="006C49AF"/>
    <w:rsid w:val="006C4F0A"/>
    <w:rsid w:val="006C5008"/>
    <w:rsid w:val="006C52B9"/>
    <w:rsid w:val="006C559A"/>
    <w:rsid w:val="006C58E3"/>
    <w:rsid w:val="006C5A8D"/>
    <w:rsid w:val="006C5B9C"/>
    <w:rsid w:val="006C5CDD"/>
    <w:rsid w:val="006C5D0C"/>
    <w:rsid w:val="006C61BA"/>
    <w:rsid w:val="006C62DF"/>
    <w:rsid w:val="006C6346"/>
    <w:rsid w:val="006C63A7"/>
    <w:rsid w:val="006C6B48"/>
    <w:rsid w:val="006C6C12"/>
    <w:rsid w:val="006C6DC1"/>
    <w:rsid w:val="006C6ED1"/>
    <w:rsid w:val="006C6F68"/>
    <w:rsid w:val="006C775C"/>
    <w:rsid w:val="006C7B9E"/>
    <w:rsid w:val="006C7FB8"/>
    <w:rsid w:val="006C7FF1"/>
    <w:rsid w:val="006D001B"/>
    <w:rsid w:val="006D02AA"/>
    <w:rsid w:val="006D0519"/>
    <w:rsid w:val="006D0F89"/>
    <w:rsid w:val="006D1A2D"/>
    <w:rsid w:val="006D1A50"/>
    <w:rsid w:val="006D1D15"/>
    <w:rsid w:val="006D1DFE"/>
    <w:rsid w:val="006D1F1F"/>
    <w:rsid w:val="006D20A4"/>
    <w:rsid w:val="006D2560"/>
    <w:rsid w:val="006D2B12"/>
    <w:rsid w:val="006D2FFC"/>
    <w:rsid w:val="006D328B"/>
    <w:rsid w:val="006D32AF"/>
    <w:rsid w:val="006D35D6"/>
    <w:rsid w:val="006D3620"/>
    <w:rsid w:val="006D3763"/>
    <w:rsid w:val="006D3BFC"/>
    <w:rsid w:val="006D41CE"/>
    <w:rsid w:val="006D460E"/>
    <w:rsid w:val="006D472A"/>
    <w:rsid w:val="006D4ADA"/>
    <w:rsid w:val="006D4B2E"/>
    <w:rsid w:val="006D4CA2"/>
    <w:rsid w:val="006D5176"/>
    <w:rsid w:val="006D517B"/>
    <w:rsid w:val="006D5201"/>
    <w:rsid w:val="006D5313"/>
    <w:rsid w:val="006D535C"/>
    <w:rsid w:val="006D5510"/>
    <w:rsid w:val="006D55C0"/>
    <w:rsid w:val="006D5820"/>
    <w:rsid w:val="006D5886"/>
    <w:rsid w:val="006D5A3B"/>
    <w:rsid w:val="006D5F9A"/>
    <w:rsid w:val="006D6210"/>
    <w:rsid w:val="006D66CF"/>
    <w:rsid w:val="006D6703"/>
    <w:rsid w:val="006D6812"/>
    <w:rsid w:val="006D6944"/>
    <w:rsid w:val="006D6989"/>
    <w:rsid w:val="006D6BF2"/>
    <w:rsid w:val="006D6F24"/>
    <w:rsid w:val="006D74ED"/>
    <w:rsid w:val="006D75BB"/>
    <w:rsid w:val="006D78EB"/>
    <w:rsid w:val="006D7C6D"/>
    <w:rsid w:val="006E058C"/>
    <w:rsid w:val="006E06A0"/>
    <w:rsid w:val="006E0922"/>
    <w:rsid w:val="006E0B0D"/>
    <w:rsid w:val="006E0ED9"/>
    <w:rsid w:val="006E0EF4"/>
    <w:rsid w:val="006E0F5D"/>
    <w:rsid w:val="006E0FA4"/>
    <w:rsid w:val="006E10CB"/>
    <w:rsid w:val="006E13A6"/>
    <w:rsid w:val="006E13C3"/>
    <w:rsid w:val="006E1629"/>
    <w:rsid w:val="006E1691"/>
    <w:rsid w:val="006E16F2"/>
    <w:rsid w:val="006E1941"/>
    <w:rsid w:val="006E1E77"/>
    <w:rsid w:val="006E1F5F"/>
    <w:rsid w:val="006E1F99"/>
    <w:rsid w:val="006E2008"/>
    <w:rsid w:val="006E2429"/>
    <w:rsid w:val="006E254B"/>
    <w:rsid w:val="006E25ED"/>
    <w:rsid w:val="006E2656"/>
    <w:rsid w:val="006E2786"/>
    <w:rsid w:val="006E28FF"/>
    <w:rsid w:val="006E2BB3"/>
    <w:rsid w:val="006E3848"/>
    <w:rsid w:val="006E38A2"/>
    <w:rsid w:val="006E3D01"/>
    <w:rsid w:val="006E3DA4"/>
    <w:rsid w:val="006E3E96"/>
    <w:rsid w:val="006E4021"/>
    <w:rsid w:val="006E402D"/>
    <w:rsid w:val="006E42CD"/>
    <w:rsid w:val="006E45C1"/>
    <w:rsid w:val="006E4654"/>
    <w:rsid w:val="006E4690"/>
    <w:rsid w:val="006E48EE"/>
    <w:rsid w:val="006E4A43"/>
    <w:rsid w:val="006E4AE7"/>
    <w:rsid w:val="006E4B4C"/>
    <w:rsid w:val="006E50E1"/>
    <w:rsid w:val="006E5147"/>
    <w:rsid w:val="006E5269"/>
    <w:rsid w:val="006E5934"/>
    <w:rsid w:val="006E5BC2"/>
    <w:rsid w:val="006E5E77"/>
    <w:rsid w:val="006E5F40"/>
    <w:rsid w:val="006E61B8"/>
    <w:rsid w:val="006E6779"/>
    <w:rsid w:val="006E6BC2"/>
    <w:rsid w:val="006E6CE7"/>
    <w:rsid w:val="006E7298"/>
    <w:rsid w:val="006E744A"/>
    <w:rsid w:val="006E75B8"/>
    <w:rsid w:val="006E77A5"/>
    <w:rsid w:val="006E77BB"/>
    <w:rsid w:val="006E780C"/>
    <w:rsid w:val="006E7BD2"/>
    <w:rsid w:val="006E7EF3"/>
    <w:rsid w:val="006E7F1E"/>
    <w:rsid w:val="006E7FB6"/>
    <w:rsid w:val="006F00E1"/>
    <w:rsid w:val="006F020F"/>
    <w:rsid w:val="006F061C"/>
    <w:rsid w:val="006F0800"/>
    <w:rsid w:val="006F08FA"/>
    <w:rsid w:val="006F094B"/>
    <w:rsid w:val="006F0A30"/>
    <w:rsid w:val="006F0AF0"/>
    <w:rsid w:val="006F0C4F"/>
    <w:rsid w:val="006F1024"/>
    <w:rsid w:val="006F129F"/>
    <w:rsid w:val="006F13E0"/>
    <w:rsid w:val="006F1488"/>
    <w:rsid w:val="006F16A2"/>
    <w:rsid w:val="006F17AD"/>
    <w:rsid w:val="006F1C8A"/>
    <w:rsid w:val="006F1F36"/>
    <w:rsid w:val="006F211C"/>
    <w:rsid w:val="006F26B2"/>
    <w:rsid w:val="006F26B4"/>
    <w:rsid w:val="006F2756"/>
    <w:rsid w:val="006F29DF"/>
    <w:rsid w:val="006F2A0D"/>
    <w:rsid w:val="006F2D0A"/>
    <w:rsid w:val="006F2D7F"/>
    <w:rsid w:val="006F319D"/>
    <w:rsid w:val="006F34EB"/>
    <w:rsid w:val="006F3549"/>
    <w:rsid w:val="006F3ABE"/>
    <w:rsid w:val="006F3C1F"/>
    <w:rsid w:val="006F41F0"/>
    <w:rsid w:val="006F45A4"/>
    <w:rsid w:val="006F4609"/>
    <w:rsid w:val="006F474D"/>
    <w:rsid w:val="006F4C65"/>
    <w:rsid w:val="006F4C67"/>
    <w:rsid w:val="006F4CC9"/>
    <w:rsid w:val="006F4D65"/>
    <w:rsid w:val="006F4DAE"/>
    <w:rsid w:val="006F4FB4"/>
    <w:rsid w:val="006F58E1"/>
    <w:rsid w:val="006F5A7C"/>
    <w:rsid w:val="006F5BCE"/>
    <w:rsid w:val="006F5CC2"/>
    <w:rsid w:val="006F5D2D"/>
    <w:rsid w:val="006F60E6"/>
    <w:rsid w:val="006F6303"/>
    <w:rsid w:val="006F6316"/>
    <w:rsid w:val="006F641B"/>
    <w:rsid w:val="006F65A2"/>
    <w:rsid w:val="006F6885"/>
    <w:rsid w:val="006F68BA"/>
    <w:rsid w:val="006F6C31"/>
    <w:rsid w:val="006F7315"/>
    <w:rsid w:val="006F7335"/>
    <w:rsid w:val="006F74B5"/>
    <w:rsid w:val="006F7A56"/>
    <w:rsid w:val="006F7D74"/>
    <w:rsid w:val="006F7DC7"/>
    <w:rsid w:val="006F7DEF"/>
    <w:rsid w:val="006F7E12"/>
    <w:rsid w:val="007004F0"/>
    <w:rsid w:val="00700CF2"/>
    <w:rsid w:val="00700F78"/>
    <w:rsid w:val="007011AD"/>
    <w:rsid w:val="007011CC"/>
    <w:rsid w:val="0070150E"/>
    <w:rsid w:val="007016DD"/>
    <w:rsid w:val="00701735"/>
    <w:rsid w:val="00701852"/>
    <w:rsid w:val="00701AD9"/>
    <w:rsid w:val="00701C13"/>
    <w:rsid w:val="00701CC3"/>
    <w:rsid w:val="00702381"/>
    <w:rsid w:val="007024FB"/>
    <w:rsid w:val="00702577"/>
    <w:rsid w:val="007029CD"/>
    <w:rsid w:val="00702ACC"/>
    <w:rsid w:val="00702AEB"/>
    <w:rsid w:val="00702F8D"/>
    <w:rsid w:val="00702FE6"/>
    <w:rsid w:val="0070314E"/>
    <w:rsid w:val="00703238"/>
    <w:rsid w:val="00703253"/>
    <w:rsid w:val="007032EF"/>
    <w:rsid w:val="0070368D"/>
    <w:rsid w:val="00703CF8"/>
    <w:rsid w:val="00703F05"/>
    <w:rsid w:val="00704126"/>
    <w:rsid w:val="007043D6"/>
    <w:rsid w:val="00704788"/>
    <w:rsid w:val="007047C6"/>
    <w:rsid w:val="00704AB4"/>
    <w:rsid w:val="00704C5B"/>
    <w:rsid w:val="00705150"/>
    <w:rsid w:val="00705212"/>
    <w:rsid w:val="007055E4"/>
    <w:rsid w:val="00705DB8"/>
    <w:rsid w:val="00705F50"/>
    <w:rsid w:val="00705F92"/>
    <w:rsid w:val="0070625C"/>
    <w:rsid w:val="007066F3"/>
    <w:rsid w:val="007067DE"/>
    <w:rsid w:val="00706929"/>
    <w:rsid w:val="00706C8C"/>
    <w:rsid w:val="00706CBB"/>
    <w:rsid w:val="00707012"/>
    <w:rsid w:val="0070746A"/>
    <w:rsid w:val="0070748A"/>
    <w:rsid w:val="007076A2"/>
    <w:rsid w:val="00707A4C"/>
    <w:rsid w:val="00707A98"/>
    <w:rsid w:val="00707E5B"/>
    <w:rsid w:val="00707FE1"/>
    <w:rsid w:val="00710349"/>
    <w:rsid w:val="0071035A"/>
    <w:rsid w:val="0071049B"/>
    <w:rsid w:val="00710981"/>
    <w:rsid w:val="00710AF8"/>
    <w:rsid w:val="00710DF2"/>
    <w:rsid w:val="00710E22"/>
    <w:rsid w:val="00711402"/>
    <w:rsid w:val="00711412"/>
    <w:rsid w:val="007115A4"/>
    <w:rsid w:val="00711738"/>
    <w:rsid w:val="0071179B"/>
    <w:rsid w:val="00711B06"/>
    <w:rsid w:val="00711C71"/>
    <w:rsid w:val="00711C91"/>
    <w:rsid w:val="00711CC4"/>
    <w:rsid w:val="00711D57"/>
    <w:rsid w:val="007125ED"/>
    <w:rsid w:val="00712AB3"/>
    <w:rsid w:val="00712F30"/>
    <w:rsid w:val="007131AE"/>
    <w:rsid w:val="00713225"/>
    <w:rsid w:val="00713359"/>
    <w:rsid w:val="0071360D"/>
    <w:rsid w:val="00713737"/>
    <w:rsid w:val="00713B79"/>
    <w:rsid w:val="00713BB3"/>
    <w:rsid w:val="007140E8"/>
    <w:rsid w:val="0071418E"/>
    <w:rsid w:val="007141F4"/>
    <w:rsid w:val="00714972"/>
    <w:rsid w:val="00714C0F"/>
    <w:rsid w:val="00714F97"/>
    <w:rsid w:val="0071529D"/>
    <w:rsid w:val="0071548F"/>
    <w:rsid w:val="0071602C"/>
    <w:rsid w:val="00716473"/>
    <w:rsid w:val="0071682C"/>
    <w:rsid w:val="00716FE6"/>
    <w:rsid w:val="0071717E"/>
    <w:rsid w:val="007171E9"/>
    <w:rsid w:val="00717342"/>
    <w:rsid w:val="007174C5"/>
    <w:rsid w:val="007175A7"/>
    <w:rsid w:val="00717B3E"/>
    <w:rsid w:val="00720232"/>
    <w:rsid w:val="007205E1"/>
    <w:rsid w:val="00720843"/>
    <w:rsid w:val="0072095F"/>
    <w:rsid w:val="00720C6F"/>
    <w:rsid w:val="0072108E"/>
    <w:rsid w:val="00721306"/>
    <w:rsid w:val="00721596"/>
    <w:rsid w:val="007215E5"/>
    <w:rsid w:val="007216B7"/>
    <w:rsid w:val="00721767"/>
    <w:rsid w:val="00721826"/>
    <w:rsid w:val="00721A20"/>
    <w:rsid w:val="00721C77"/>
    <w:rsid w:val="007222D3"/>
    <w:rsid w:val="007223D1"/>
    <w:rsid w:val="0072299A"/>
    <w:rsid w:val="007229A1"/>
    <w:rsid w:val="00722B70"/>
    <w:rsid w:val="00722D6F"/>
    <w:rsid w:val="00723062"/>
    <w:rsid w:val="00723187"/>
    <w:rsid w:val="007231DD"/>
    <w:rsid w:val="007232F1"/>
    <w:rsid w:val="007233A7"/>
    <w:rsid w:val="00723770"/>
    <w:rsid w:val="00724018"/>
    <w:rsid w:val="007241BE"/>
    <w:rsid w:val="00724786"/>
    <w:rsid w:val="00724A9C"/>
    <w:rsid w:val="0072512A"/>
    <w:rsid w:val="00725356"/>
    <w:rsid w:val="0072539A"/>
    <w:rsid w:val="007253C4"/>
    <w:rsid w:val="00725966"/>
    <w:rsid w:val="00725C82"/>
    <w:rsid w:val="007261CF"/>
    <w:rsid w:val="00726384"/>
    <w:rsid w:val="007264AD"/>
    <w:rsid w:val="007264B1"/>
    <w:rsid w:val="007268A3"/>
    <w:rsid w:val="00726916"/>
    <w:rsid w:val="00726C80"/>
    <w:rsid w:val="00726C8F"/>
    <w:rsid w:val="00726E75"/>
    <w:rsid w:val="00726F11"/>
    <w:rsid w:val="00726FDC"/>
    <w:rsid w:val="00727529"/>
    <w:rsid w:val="007276DB"/>
    <w:rsid w:val="00727930"/>
    <w:rsid w:val="00727AAD"/>
    <w:rsid w:val="00727EC4"/>
    <w:rsid w:val="00730445"/>
    <w:rsid w:val="0073072C"/>
    <w:rsid w:val="0073130B"/>
    <w:rsid w:val="00731527"/>
    <w:rsid w:val="00731769"/>
    <w:rsid w:val="00731A08"/>
    <w:rsid w:val="00731A58"/>
    <w:rsid w:val="00731EE6"/>
    <w:rsid w:val="0073211A"/>
    <w:rsid w:val="00732249"/>
    <w:rsid w:val="007324C5"/>
    <w:rsid w:val="0073271E"/>
    <w:rsid w:val="007329E9"/>
    <w:rsid w:val="00732C26"/>
    <w:rsid w:val="00732C2F"/>
    <w:rsid w:val="00732D7D"/>
    <w:rsid w:val="00733081"/>
    <w:rsid w:val="00733421"/>
    <w:rsid w:val="0073347A"/>
    <w:rsid w:val="0073356D"/>
    <w:rsid w:val="0073359C"/>
    <w:rsid w:val="00733A9F"/>
    <w:rsid w:val="007341CE"/>
    <w:rsid w:val="00734249"/>
    <w:rsid w:val="007343D5"/>
    <w:rsid w:val="00734420"/>
    <w:rsid w:val="00734D16"/>
    <w:rsid w:val="00734E10"/>
    <w:rsid w:val="00734F40"/>
    <w:rsid w:val="00734FA3"/>
    <w:rsid w:val="00735025"/>
    <w:rsid w:val="007355A6"/>
    <w:rsid w:val="00735B4B"/>
    <w:rsid w:val="00735BA0"/>
    <w:rsid w:val="00735C36"/>
    <w:rsid w:val="00735F43"/>
    <w:rsid w:val="00736130"/>
    <w:rsid w:val="00736675"/>
    <w:rsid w:val="007368D0"/>
    <w:rsid w:val="00736915"/>
    <w:rsid w:val="00736E5C"/>
    <w:rsid w:val="00736E60"/>
    <w:rsid w:val="00737079"/>
    <w:rsid w:val="007371C6"/>
    <w:rsid w:val="007371D7"/>
    <w:rsid w:val="00737503"/>
    <w:rsid w:val="007378B4"/>
    <w:rsid w:val="00737B41"/>
    <w:rsid w:val="00737E19"/>
    <w:rsid w:val="00737F87"/>
    <w:rsid w:val="00740368"/>
    <w:rsid w:val="00740410"/>
    <w:rsid w:val="00740A71"/>
    <w:rsid w:val="00740E94"/>
    <w:rsid w:val="00740EF9"/>
    <w:rsid w:val="00740FA6"/>
    <w:rsid w:val="00741167"/>
    <w:rsid w:val="0074146C"/>
    <w:rsid w:val="007415C1"/>
    <w:rsid w:val="00741919"/>
    <w:rsid w:val="00741C5E"/>
    <w:rsid w:val="007420C7"/>
    <w:rsid w:val="0074223A"/>
    <w:rsid w:val="0074233D"/>
    <w:rsid w:val="00742532"/>
    <w:rsid w:val="00742648"/>
    <w:rsid w:val="00743047"/>
    <w:rsid w:val="00743509"/>
    <w:rsid w:val="007438E8"/>
    <w:rsid w:val="007439CC"/>
    <w:rsid w:val="00743A7D"/>
    <w:rsid w:val="00743CAC"/>
    <w:rsid w:val="00743CC3"/>
    <w:rsid w:val="00743D41"/>
    <w:rsid w:val="00743DC1"/>
    <w:rsid w:val="00743E88"/>
    <w:rsid w:val="00743F25"/>
    <w:rsid w:val="00744015"/>
    <w:rsid w:val="00744041"/>
    <w:rsid w:val="0074436B"/>
    <w:rsid w:val="00744858"/>
    <w:rsid w:val="00744E10"/>
    <w:rsid w:val="00745075"/>
    <w:rsid w:val="007450A5"/>
    <w:rsid w:val="007451F1"/>
    <w:rsid w:val="00745399"/>
    <w:rsid w:val="007453BE"/>
    <w:rsid w:val="007453E9"/>
    <w:rsid w:val="007458D5"/>
    <w:rsid w:val="007459A4"/>
    <w:rsid w:val="00745C92"/>
    <w:rsid w:val="007460B5"/>
    <w:rsid w:val="007460DA"/>
    <w:rsid w:val="0074649D"/>
    <w:rsid w:val="007467B0"/>
    <w:rsid w:val="00746901"/>
    <w:rsid w:val="00746F4A"/>
    <w:rsid w:val="00747126"/>
    <w:rsid w:val="00747666"/>
    <w:rsid w:val="007476A0"/>
    <w:rsid w:val="007477C5"/>
    <w:rsid w:val="0074792C"/>
    <w:rsid w:val="00747938"/>
    <w:rsid w:val="00747C7B"/>
    <w:rsid w:val="00747C8E"/>
    <w:rsid w:val="00750012"/>
    <w:rsid w:val="007500C5"/>
    <w:rsid w:val="00750C82"/>
    <w:rsid w:val="00750E20"/>
    <w:rsid w:val="00750EC3"/>
    <w:rsid w:val="00750FCF"/>
    <w:rsid w:val="007512B3"/>
    <w:rsid w:val="00751551"/>
    <w:rsid w:val="007515D1"/>
    <w:rsid w:val="00751790"/>
    <w:rsid w:val="007517DA"/>
    <w:rsid w:val="00751811"/>
    <w:rsid w:val="00751B95"/>
    <w:rsid w:val="00751CC0"/>
    <w:rsid w:val="0075204A"/>
    <w:rsid w:val="007521C4"/>
    <w:rsid w:val="007524FF"/>
    <w:rsid w:val="007525FE"/>
    <w:rsid w:val="007526EC"/>
    <w:rsid w:val="00752AB3"/>
    <w:rsid w:val="00752BEB"/>
    <w:rsid w:val="00752D13"/>
    <w:rsid w:val="00752DD8"/>
    <w:rsid w:val="00752E56"/>
    <w:rsid w:val="0075312C"/>
    <w:rsid w:val="007532FA"/>
    <w:rsid w:val="00753671"/>
    <w:rsid w:val="00753757"/>
    <w:rsid w:val="0075377A"/>
    <w:rsid w:val="00753A38"/>
    <w:rsid w:val="00753D0A"/>
    <w:rsid w:val="007541E4"/>
    <w:rsid w:val="007545AE"/>
    <w:rsid w:val="007545B0"/>
    <w:rsid w:val="0075469A"/>
    <w:rsid w:val="00754B18"/>
    <w:rsid w:val="00754E73"/>
    <w:rsid w:val="00755467"/>
    <w:rsid w:val="00755817"/>
    <w:rsid w:val="00755B12"/>
    <w:rsid w:val="00755D93"/>
    <w:rsid w:val="00755DCB"/>
    <w:rsid w:val="00755E5C"/>
    <w:rsid w:val="00755F32"/>
    <w:rsid w:val="00755F67"/>
    <w:rsid w:val="00756217"/>
    <w:rsid w:val="007563C4"/>
    <w:rsid w:val="00756B0E"/>
    <w:rsid w:val="00756B97"/>
    <w:rsid w:val="00756C93"/>
    <w:rsid w:val="00756CF6"/>
    <w:rsid w:val="00756F4E"/>
    <w:rsid w:val="00757035"/>
    <w:rsid w:val="00757186"/>
    <w:rsid w:val="007578E1"/>
    <w:rsid w:val="00757A6A"/>
    <w:rsid w:val="00757CD9"/>
    <w:rsid w:val="00757CF3"/>
    <w:rsid w:val="0076006D"/>
    <w:rsid w:val="00760768"/>
    <w:rsid w:val="00760BCC"/>
    <w:rsid w:val="0076106B"/>
    <w:rsid w:val="00761830"/>
    <w:rsid w:val="00761A53"/>
    <w:rsid w:val="00761A7B"/>
    <w:rsid w:val="00761B62"/>
    <w:rsid w:val="00761B8F"/>
    <w:rsid w:val="007621FF"/>
    <w:rsid w:val="00762AFB"/>
    <w:rsid w:val="00762CBA"/>
    <w:rsid w:val="00762ED8"/>
    <w:rsid w:val="007630F5"/>
    <w:rsid w:val="00763187"/>
    <w:rsid w:val="00763275"/>
    <w:rsid w:val="007632E3"/>
    <w:rsid w:val="00763388"/>
    <w:rsid w:val="007634B5"/>
    <w:rsid w:val="007637BC"/>
    <w:rsid w:val="00763823"/>
    <w:rsid w:val="007638E4"/>
    <w:rsid w:val="007639D9"/>
    <w:rsid w:val="007640AF"/>
    <w:rsid w:val="0076440A"/>
    <w:rsid w:val="0076475B"/>
    <w:rsid w:val="00764B31"/>
    <w:rsid w:val="00764B5D"/>
    <w:rsid w:val="00764B6F"/>
    <w:rsid w:val="00764D00"/>
    <w:rsid w:val="00764FD5"/>
    <w:rsid w:val="007655A9"/>
    <w:rsid w:val="007656A1"/>
    <w:rsid w:val="007656CA"/>
    <w:rsid w:val="00765956"/>
    <w:rsid w:val="00765971"/>
    <w:rsid w:val="00765A07"/>
    <w:rsid w:val="00765BA8"/>
    <w:rsid w:val="00766007"/>
    <w:rsid w:val="00766143"/>
    <w:rsid w:val="00766463"/>
    <w:rsid w:val="007664F7"/>
    <w:rsid w:val="00766833"/>
    <w:rsid w:val="00766890"/>
    <w:rsid w:val="00766B3C"/>
    <w:rsid w:val="00767193"/>
    <w:rsid w:val="007673C8"/>
    <w:rsid w:val="00767768"/>
    <w:rsid w:val="0076784F"/>
    <w:rsid w:val="007678E5"/>
    <w:rsid w:val="00767BEF"/>
    <w:rsid w:val="00767BF3"/>
    <w:rsid w:val="00767D40"/>
    <w:rsid w:val="00767D9C"/>
    <w:rsid w:val="00767FFC"/>
    <w:rsid w:val="0077018F"/>
    <w:rsid w:val="00770975"/>
    <w:rsid w:val="00770A26"/>
    <w:rsid w:val="00770EFC"/>
    <w:rsid w:val="00770F71"/>
    <w:rsid w:val="00770FA5"/>
    <w:rsid w:val="007714B0"/>
    <w:rsid w:val="00771608"/>
    <w:rsid w:val="0077163A"/>
    <w:rsid w:val="007717E4"/>
    <w:rsid w:val="00771FB5"/>
    <w:rsid w:val="007722EE"/>
    <w:rsid w:val="007724A7"/>
    <w:rsid w:val="00772627"/>
    <w:rsid w:val="007726FA"/>
    <w:rsid w:val="00772945"/>
    <w:rsid w:val="0077308A"/>
    <w:rsid w:val="007730BE"/>
    <w:rsid w:val="007731BC"/>
    <w:rsid w:val="0077330B"/>
    <w:rsid w:val="00773328"/>
    <w:rsid w:val="00773481"/>
    <w:rsid w:val="00773913"/>
    <w:rsid w:val="00773A4A"/>
    <w:rsid w:val="00773A94"/>
    <w:rsid w:val="00773B5E"/>
    <w:rsid w:val="00773C3D"/>
    <w:rsid w:val="00773F24"/>
    <w:rsid w:val="007741E7"/>
    <w:rsid w:val="00774240"/>
    <w:rsid w:val="007743BF"/>
    <w:rsid w:val="007746ED"/>
    <w:rsid w:val="00774814"/>
    <w:rsid w:val="0077488D"/>
    <w:rsid w:val="00774AFD"/>
    <w:rsid w:val="00774B93"/>
    <w:rsid w:val="00774CA1"/>
    <w:rsid w:val="00774D06"/>
    <w:rsid w:val="00774DE6"/>
    <w:rsid w:val="00774EAF"/>
    <w:rsid w:val="00774EB0"/>
    <w:rsid w:val="00774FC7"/>
    <w:rsid w:val="00774FF4"/>
    <w:rsid w:val="00775231"/>
    <w:rsid w:val="007754C3"/>
    <w:rsid w:val="0077554D"/>
    <w:rsid w:val="00775567"/>
    <w:rsid w:val="007757C6"/>
    <w:rsid w:val="00775C40"/>
    <w:rsid w:val="00775C59"/>
    <w:rsid w:val="00775E7E"/>
    <w:rsid w:val="0077618C"/>
    <w:rsid w:val="0077629F"/>
    <w:rsid w:val="0077645D"/>
    <w:rsid w:val="00776542"/>
    <w:rsid w:val="00776749"/>
    <w:rsid w:val="00776E2E"/>
    <w:rsid w:val="00777442"/>
    <w:rsid w:val="00777451"/>
    <w:rsid w:val="007776F3"/>
    <w:rsid w:val="007779A3"/>
    <w:rsid w:val="00777ADC"/>
    <w:rsid w:val="00777D8D"/>
    <w:rsid w:val="007802E7"/>
    <w:rsid w:val="0078079D"/>
    <w:rsid w:val="007807A3"/>
    <w:rsid w:val="00780B1A"/>
    <w:rsid w:val="00780D45"/>
    <w:rsid w:val="00780F3F"/>
    <w:rsid w:val="007812E7"/>
    <w:rsid w:val="00781315"/>
    <w:rsid w:val="0078145F"/>
    <w:rsid w:val="0078159F"/>
    <w:rsid w:val="00781A97"/>
    <w:rsid w:val="00781E7D"/>
    <w:rsid w:val="00782065"/>
    <w:rsid w:val="00782280"/>
    <w:rsid w:val="00782419"/>
    <w:rsid w:val="007824BC"/>
    <w:rsid w:val="007828B0"/>
    <w:rsid w:val="00782D2D"/>
    <w:rsid w:val="00782DFC"/>
    <w:rsid w:val="00782EC4"/>
    <w:rsid w:val="00782EEE"/>
    <w:rsid w:val="00783055"/>
    <w:rsid w:val="007830B5"/>
    <w:rsid w:val="00783153"/>
    <w:rsid w:val="00783348"/>
    <w:rsid w:val="00783527"/>
    <w:rsid w:val="00783866"/>
    <w:rsid w:val="00783A74"/>
    <w:rsid w:val="00783AE5"/>
    <w:rsid w:val="00783E09"/>
    <w:rsid w:val="00784470"/>
    <w:rsid w:val="00784B98"/>
    <w:rsid w:val="0078539C"/>
    <w:rsid w:val="00785777"/>
    <w:rsid w:val="0078595A"/>
    <w:rsid w:val="00785C83"/>
    <w:rsid w:val="007864DA"/>
    <w:rsid w:val="00786ED8"/>
    <w:rsid w:val="00787491"/>
    <w:rsid w:val="0078759B"/>
    <w:rsid w:val="007876E4"/>
    <w:rsid w:val="00787807"/>
    <w:rsid w:val="007878B5"/>
    <w:rsid w:val="007879A9"/>
    <w:rsid w:val="00787A15"/>
    <w:rsid w:val="00787CF3"/>
    <w:rsid w:val="00787D20"/>
    <w:rsid w:val="00787FD1"/>
    <w:rsid w:val="0079001F"/>
    <w:rsid w:val="00790362"/>
    <w:rsid w:val="007904EA"/>
    <w:rsid w:val="0079065C"/>
    <w:rsid w:val="00790767"/>
    <w:rsid w:val="00790B5F"/>
    <w:rsid w:val="0079108A"/>
    <w:rsid w:val="007911B6"/>
    <w:rsid w:val="007915F5"/>
    <w:rsid w:val="00791669"/>
    <w:rsid w:val="007918FB"/>
    <w:rsid w:val="00791BF5"/>
    <w:rsid w:val="007920FE"/>
    <w:rsid w:val="00792431"/>
    <w:rsid w:val="00792CDE"/>
    <w:rsid w:val="00792D48"/>
    <w:rsid w:val="00792D8E"/>
    <w:rsid w:val="007930B7"/>
    <w:rsid w:val="00793237"/>
    <w:rsid w:val="007933BF"/>
    <w:rsid w:val="00793541"/>
    <w:rsid w:val="00793587"/>
    <w:rsid w:val="007936EE"/>
    <w:rsid w:val="00793C60"/>
    <w:rsid w:val="0079404D"/>
    <w:rsid w:val="007946AA"/>
    <w:rsid w:val="00794840"/>
    <w:rsid w:val="00794CAC"/>
    <w:rsid w:val="00794E6A"/>
    <w:rsid w:val="00794F5F"/>
    <w:rsid w:val="007953AE"/>
    <w:rsid w:val="007954CF"/>
    <w:rsid w:val="00795730"/>
    <w:rsid w:val="007958E5"/>
    <w:rsid w:val="00795DF5"/>
    <w:rsid w:val="00795E2E"/>
    <w:rsid w:val="0079691E"/>
    <w:rsid w:val="007969E4"/>
    <w:rsid w:val="00796B3F"/>
    <w:rsid w:val="00796CD0"/>
    <w:rsid w:val="00796E5B"/>
    <w:rsid w:val="00796E96"/>
    <w:rsid w:val="00797093"/>
    <w:rsid w:val="007970C0"/>
    <w:rsid w:val="0079776F"/>
    <w:rsid w:val="00797CD7"/>
    <w:rsid w:val="00797DA3"/>
    <w:rsid w:val="007A0003"/>
    <w:rsid w:val="007A0131"/>
    <w:rsid w:val="007A04E1"/>
    <w:rsid w:val="007A06CB"/>
    <w:rsid w:val="007A08CD"/>
    <w:rsid w:val="007A08CE"/>
    <w:rsid w:val="007A092C"/>
    <w:rsid w:val="007A0B7E"/>
    <w:rsid w:val="007A0BC8"/>
    <w:rsid w:val="007A0F3F"/>
    <w:rsid w:val="007A1364"/>
    <w:rsid w:val="007A1785"/>
    <w:rsid w:val="007A1889"/>
    <w:rsid w:val="007A1939"/>
    <w:rsid w:val="007A1F2D"/>
    <w:rsid w:val="007A2286"/>
    <w:rsid w:val="007A2485"/>
    <w:rsid w:val="007A24A0"/>
    <w:rsid w:val="007A2542"/>
    <w:rsid w:val="007A2720"/>
    <w:rsid w:val="007A274F"/>
    <w:rsid w:val="007A2769"/>
    <w:rsid w:val="007A2824"/>
    <w:rsid w:val="007A28EC"/>
    <w:rsid w:val="007A2938"/>
    <w:rsid w:val="007A2B36"/>
    <w:rsid w:val="007A2C64"/>
    <w:rsid w:val="007A2CCB"/>
    <w:rsid w:val="007A2DB0"/>
    <w:rsid w:val="007A2E83"/>
    <w:rsid w:val="007A332C"/>
    <w:rsid w:val="007A35AC"/>
    <w:rsid w:val="007A3669"/>
    <w:rsid w:val="007A3B9A"/>
    <w:rsid w:val="007A3FC1"/>
    <w:rsid w:val="007A4171"/>
    <w:rsid w:val="007A41A1"/>
    <w:rsid w:val="007A41B9"/>
    <w:rsid w:val="007A4377"/>
    <w:rsid w:val="007A438D"/>
    <w:rsid w:val="007A4637"/>
    <w:rsid w:val="007A48CA"/>
    <w:rsid w:val="007A4AB2"/>
    <w:rsid w:val="007A4DBE"/>
    <w:rsid w:val="007A4E13"/>
    <w:rsid w:val="007A55CE"/>
    <w:rsid w:val="007A58DD"/>
    <w:rsid w:val="007A5E68"/>
    <w:rsid w:val="007A602B"/>
    <w:rsid w:val="007A61FE"/>
    <w:rsid w:val="007A623A"/>
    <w:rsid w:val="007A63C9"/>
    <w:rsid w:val="007A669A"/>
    <w:rsid w:val="007A6CFC"/>
    <w:rsid w:val="007A6D8F"/>
    <w:rsid w:val="007A6FC5"/>
    <w:rsid w:val="007A71CE"/>
    <w:rsid w:val="007A7314"/>
    <w:rsid w:val="007A7442"/>
    <w:rsid w:val="007A7825"/>
    <w:rsid w:val="007A7925"/>
    <w:rsid w:val="007A7E8C"/>
    <w:rsid w:val="007B03F9"/>
    <w:rsid w:val="007B08C9"/>
    <w:rsid w:val="007B09AA"/>
    <w:rsid w:val="007B0A22"/>
    <w:rsid w:val="007B0CAC"/>
    <w:rsid w:val="007B0E20"/>
    <w:rsid w:val="007B12DB"/>
    <w:rsid w:val="007B14FD"/>
    <w:rsid w:val="007B15A6"/>
    <w:rsid w:val="007B175B"/>
    <w:rsid w:val="007B18D5"/>
    <w:rsid w:val="007B1B6D"/>
    <w:rsid w:val="007B1BF7"/>
    <w:rsid w:val="007B1DA8"/>
    <w:rsid w:val="007B210B"/>
    <w:rsid w:val="007B265A"/>
    <w:rsid w:val="007B27BE"/>
    <w:rsid w:val="007B2892"/>
    <w:rsid w:val="007B2ED6"/>
    <w:rsid w:val="007B2FD6"/>
    <w:rsid w:val="007B321C"/>
    <w:rsid w:val="007B33E5"/>
    <w:rsid w:val="007B341D"/>
    <w:rsid w:val="007B367E"/>
    <w:rsid w:val="007B36BF"/>
    <w:rsid w:val="007B3B1A"/>
    <w:rsid w:val="007B3C14"/>
    <w:rsid w:val="007B3D0B"/>
    <w:rsid w:val="007B3E08"/>
    <w:rsid w:val="007B3F93"/>
    <w:rsid w:val="007B4261"/>
    <w:rsid w:val="007B4493"/>
    <w:rsid w:val="007B454A"/>
    <w:rsid w:val="007B4665"/>
    <w:rsid w:val="007B46A6"/>
    <w:rsid w:val="007B4A59"/>
    <w:rsid w:val="007B4D42"/>
    <w:rsid w:val="007B4F22"/>
    <w:rsid w:val="007B511A"/>
    <w:rsid w:val="007B51AA"/>
    <w:rsid w:val="007B51D8"/>
    <w:rsid w:val="007B5502"/>
    <w:rsid w:val="007B577C"/>
    <w:rsid w:val="007B598C"/>
    <w:rsid w:val="007B5A2F"/>
    <w:rsid w:val="007B5AB6"/>
    <w:rsid w:val="007B5B27"/>
    <w:rsid w:val="007B5B32"/>
    <w:rsid w:val="007B5BFA"/>
    <w:rsid w:val="007B5C75"/>
    <w:rsid w:val="007B60C6"/>
    <w:rsid w:val="007B610F"/>
    <w:rsid w:val="007B61B4"/>
    <w:rsid w:val="007B629E"/>
    <w:rsid w:val="007B63CF"/>
    <w:rsid w:val="007B6AEE"/>
    <w:rsid w:val="007B6B83"/>
    <w:rsid w:val="007B713D"/>
    <w:rsid w:val="007B745C"/>
    <w:rsid w:val="007B7472"/>
    <w:rsid w:val="007B7573"/>
    <w:rsid w:val="007B775D"/>
    <w:rsid w:val="007B7A13"/>
    <w:rsid w:val="007B7AAB"/>
    <w:rsid w:val="007B7B81"/>
    <w:rsid w:val="007B7F08"/>
    <w:rsid w:val="007B7F39"/>
    <w:rsid w:val="007B7F7E"/>
    <w:rsid w:val="007C03BB"/>
    <w:rsid w:val="007C06B2"/>
    <w:rsid w:val="007C0761"/>
    <w:rsid w:val="007C08A1"/>
    <w:rsid w:val="007C1119"/>
    <w:rsid w:val="007C124F"/>
    <w:rsid w:val="007C1D9D"/>
    <w:rsid w:val="007C229C"/>
    <w:rsid w:val="007C2672"/>
    <w:rsid w:val="007C27F4"/>
    <w:rsid w:val="007C28CF"/>
    <w:rsid w:val="007C2941"/>
    <w:rsid w:val="007C29D7"/>
    <w:rsid w:val="007C2A9E"/>
    <w:rsid w:val="007C2FC6"/>
    <w:rsid w:val="007C3215"/>
    <w:rsid w:val="007C34DE"/>
    <w:rsid w:val="007C3853"/>
    <w:rsid w:val="007C38B5"/>
    <w:rsid w:val="007C404B"/>
    <w:rsid w:val="007C4187"/>
    <w:rsid w:val="007C41A0"/>
    <w:rsid w:val="007C459D"/>
    <w:rsid w:val="007C46B9"/>
    <w:rsid w:val="007C4810"/>
    <w:rsid w:val="007C4A68"/>
    <w:rsid w:val="007C4BAE"/>
    <w:rsid w:val="007C4BEE"/>
    <w:rsid w:val="007C4D08"/>
    <w:rsid w:val="007C4D64"/>
    <w:rsid w:val="007C4EF0"/>
    <w:rsid w:val="007C4FAE"/>
    <w:rsid w:val="007C5B01"/>
    <w:rsid w:val="007C5BA9"/>
    <w:rsid w:val="007C62AC"/>
    <w:rsid w:val="007C667A"/>
    <w:rsid w:val="007C68BE"/>
    <w:rsid w:val="007C6A89"/>
    <w:rsid w:val="007C6B0E"/>
    <w:rsid w:val="007C6D1B"/>
    <w:rsid w:val="007C6D50"/>
    <w:rsid w:val="007C6F2E"/>
    <w:rsid w:val="007C73CF"/>
    <w:rsid w:val="007C764E"/>
    <w:rsid w:val="007C77C5"/>
    <w:rsid w:val="007C79DC"/>
    <w:rsid w:val="007C7E37"/>
    <w:rsid w:val="007D01AF"/>
    <w:rsid w:val="007D044C"/>
    <w:rsid w:val="007D10C8"/>
    <w:rsid w:val="007D1269"/>
    <w:rsid w:val="007D1406"/>
    <w:rsid w:val="007D1D3B"/>
    <w:rsid w:val="007D1DF0"/>
    <w:rsid w:val="007D2010"/>
    <w:rsid w:val="007D20B0"/>
    <w:rsid w:val="007D249D"/>
    <w:rsid w:val="007D24CF"/>
    <w:rsid w:val="007D2A15"/>
    <w:rsid w:val="007D2A6A"/>
    <w:rsid w:val="007D3165"/>
    <w:rsid w:val="007D32B3"/>
    <w:rsid w:val="007D3560"/>
    <w:rsid w:val="007D38E4"/>
    <w:rsid w:val="007D3B6C"/>
    <w:rsid w:val="007D3DF2"/>
    <w:rsid w:val="007D4068"/>
    <w:rsid w:val="007D41C2"/>
    <w:rsid w:val="007D4284"/>
    <w:rsid w:val="007D4621"/>
    <w:rsid w:val="007D47A8"/>
    <w:rsid w:val="007D495A"/>
    <w:rsid w:val="007D4982"/>
    <w:rsid w:val="007D49ED"/>
    <w:rsid w:val="007D4B17"/>
    <w:rsid w:val="007D4D87"/>
    <w:rsid w:val="007D4E55"/>
    <w:rsid w:val="007D5134"/>
    <w:rsid w:val="007D5540"/>
    <w:rsid w:val="007D5696"/>
    <w:rsid w:val="007D5787"/>
    <w:rsid w:val="007D57AF"/>
    <w:rsid w:val="007D5960"/>
    <w:rsid w:val="007D5A97"/>
    <w:rsid w:val="007D5BA9"/>
    <w:rsid w:val="007D6002"/>
    <w:rsid w:val="007D606A"/>
    <w:rsid w:val="007D626D"/>
    <w:rsid w:val="007D65F6"/>
    <w:rsid w:val="007D68AA"/>
    <w:rsid w:val="007D6913"/>
    <w:rsid w:val="007D6C0C"/>
    <w:rsid w:val="007D6D95"/>
    <w:rsid w:val="007D709F"/>
    <w:rsid w:val="007D7882"/>
    <w:rsid w:val="007D7C3C"/>
    <w:rsid w:val="007D7D31"/>
    <w:rsid w:val="007E025A"/>
    <w:rsid w:val="007E0521"/>
    <w:rsid w:val="007E06B3"/>
    <w:rsid w:val="007E06F4"/>
    <w:rsid w:val="007E0907"/>
    <w:rsid w:val="007E0D25"/>
    <w:rsid w:val="007E114E"/>
    <w:rsid w:val="007E1167"/>
    <w:rsid w:val="007E119B"/>
    <w:rsid w:val="007E15F0"/>
    <w:rsid w:val="007E17FA"/>
    <w:rsid w:val="007E29EE"/>
    <w:rsid w:val="007E2B82"/>
    <w:rsid w:val="007E2DD3"/>
    <w:rsid w:val="007E3130"/>
    <w:rsid w:val="007E328D"/>
    <w:rsid w:val="007E3327"/>
    <w:rsid w:val="007E33B9"/>
    <w:rsid w:val="007E3460"/>
    <w:rsid w:val="007E34EA"/>
    <w:rsid w:val="007E3526"/>
    <w:rsid w:val="007E3588"/>
    <w:rsid w:val="007E36ED"/>
    <w:rsid w:val="007E378E"/>
    <w:rsid w:val="007E384E"/>
    <w:rsid w:val="007E4222"/>
    <w:rsid w:val="007E4288"/>
    <w:rsid w:val="007E42E6"/>
    <w:rsid w:val="007E46BF"/>
    <w:rsid w:val="007E487F"/>
    <w:rsid w:val="007E4A0D"/>
    <w:rsid w:val="007E4B2D"/>
    <w:rsid w:val="007E4C3F"/>
    <w:rsid w:val="007E4DE9"/>
    <w:rsid w:val="007E5388"/>
    <w:rsid w:val="007E54E0"/>
    <w:rsid w:val="007E54FC"/>
    <w:rsid w:val="007E587D"/>
    <w:rsid w:val="007E58C0"/>
    <w:rsid w:val="007E5CE4"/>
    <w:rsid w:val="007E5CE8"/>
    <w:rsid w:val="007E6447"/>
    <w:rsid w:val="007E6757"/>
    <w:rsid w:val="007E68C0"/>
    <w:rsid w:val="007E6D75"/>
    <w:rsid w:val="007E6D9B"/>
    <w:rsid w:val="007E6DE7"/>
    <w:rsid w:val="007E7124"/>
    <w:rsid w:val="007E71E9"/>
    <w:rsid w:val="007E74E3"/>
    <w:rsid w:val="007E76CB"/>
    <w:rsid w:val="007E7721"/>
    <w:rsid w:val="007E79DB"/>
    <w:rsid w:val="007E7B1C"/>
    <w:rsid w:val="007E7C21"/>
    <w:rsid w:val="007E7C5C"/>
    <w:rsid w:val="007E7CB2"/>
    <w:rsid w:val="007E7CF2"/>
    <w:rsid w:val="007F02B2"/>
    <w:rsid w:val="007F02C7"/>
    <w:rsid w:val="007F032B"/>
    <w:rsid w:val="007F0382"/>
    <w:rsid w:val="007F0531"/>
    <w:rsid w:val="007F0CBE"/>
    <w:rsid w:val="007F10CC"/>
    <w:rsid w:val="007F12E0"/>
    <w:rsid w:val="007F138A"/>
    <w:rsid w:val="007F160D"/>
    <w:rsid w:val="007F1873"/>
    <w:rsid w:val="007F1BFB"/>
    <w:rsid w:val="007F1D06"/>
    <w:rsid w:val="007F1ECD"/>
    <w:rsid w:val="007F1F25"/>
    <w:rsid w:val="007F2286"/>
    <w:rsid w:val="007F27DB"/>
    <w:rsid w:val="007F2C72"/>
    <w:rsid w:val="007F2EB2"/>
    <w:rsid w:val="007F2F7E"/>
    <w:rsid w:val="007F3034"/>
    <w:rsid w:val="007F344C"/>
    <w:rsid w:val="007F3745"/>
    <w:rsid w:val="007F38AF"/>
    <w:rsid w:val="007F3FB8"/>
    <w:rsid w:val="007F481C"/>
    <w:rsid w:val="007F4C4D"/>
    <w:rsid w:val="007F5065"/>
    <w:rsid w:val="007F5287"/>
    <w:rsid w:val="007F5799"/>
    <w:rsid w:val="007F593A"/>
    <w:rsid w:val="007F5A11"/>
    <w:rsid w:val="007F5BE0"/>
    <w:rsid w:val="007F5BF1"/>
    <w:rsid w:val="007F62F3"/>
    <w:rsid w:val="007F66F4"/>
    <w:rsid w:val="007F6806"/>
    <w:rsid w:val="007F68DC"/>
    <w:rsid w:val="007F68DF"/>
    <w:rsid w:val="007F6B28"/>
    <w:rsid w:val="007F6D6C"/>
    <w:rsid w:val="007F6D94"/>
    <w:rsid w:val="007F7098"/>
    <w:rsid w:val="007F70B9"/>
    <w:rsid w:val="007F7137"/>
    <w:rsid w:val="007F7A75"/>
    <w:rsid w:val="007F7C14"/>
    <w:rsid w:val="007F7C48"/>
    <w:rsid w:val="007F7ECC"/>
    <w:rsid w:val="00800032"/>
    <w:rsid w:val="0080006E"/>
    <w:rsid w:val="00800462"/>
    <w:rsid w:val="0080048C"/>
    <w:rsid w:val="008007B7"/>
    <w:rsid w:val="008007D0"/>
    <w:rsid w:val="00800CDB"/>
    <w:rsid w:val="00800E62"/>
    <w:rsid w:val="00800F35"/>
    <w:rsid w:val="008010D7"/>
    <w:rsid w:val="0080128D"/>
    <w:rsid w:val="0080147D"/>
    <w:rsid w:val="008016CA"/>
    <w:rsid w:val="0080170E"/>
    <w:rsid w:val="008017B6"/>
    <w:rsid w:val="008019F6"/>
    <w:rsid w:val="00801B6B"/>
    <w:rsid w:val="00801CD2"/>
    <w:rsid w:val="00801DB0"/>
    <w:rsid w:val="0080239A"/>
    <w:rsid w:val="00802436"/>
    <w:rsid w:val="0080243F"/>
    <w:rsid w:val="00802A65"/>
    <w:rsid w:val="00802DF1"/>
    <w:rsid w:val="00802E68"/>
    <w:rsid w:val="00803432"/>
    <w:rsid w:val="00803443"/>
    <w:rsid w:val="008036C0"/>
    <w:rsid w:val="008037E3"/>
    <w:rsid w:val="008039A6"/>
    <w:rsid w:val="008039BF"/>
    <w:rsid w:val="00803A79"/>
    <w:rsid w:val="00803E7E"/>
    <w:rsid w:val="00804069"/>
    <w:rsid w:val="00804131"/>
    <w:rsid w:val="00804144"/>
    <w:rsid w:val="008041DE"/>
    <w:rsid w:val="0080450E"/>
    <w:rsid w:val="00804530"/>
    <w:rsid w:val="008048F5"/>
    <w:rsid w:val="00804A6F"/>
    <w:rsid w:val="00804B1E"/>
    <w:rsid w:val="00804D52"/>
    <w:rsid w:val="00804D92"/>
    <w:rsid w:val="00805159"/>
    <w:rsid w:val="0080516A"/>
    <w:rsid w:val="00805930"/>
    <w:rsid w:val="008059E8"/>
    <w:rsid w:val="00805D9C"/>
    <w:rsid w:val="008061D6"/>
    <w:rsid w:val="0080646D"/>
    <w:rsid w:val="0080680D"/>
    <w:rsid w:val="00806865"/>
    <w:rsid w:val="00807138"/>
    <w:rsid w:val="008071CE"/>
    <w:rsid w:val="0080786A"/>
    <w:rsid w:val="0080795B"/>
    <w:rsid w:val="00807967"/>
    <w:rsid w:val="00807AA3"/>
    <w:rsid w:val="00807F10"/>
    <w:rsid w:val="00807F34"/>
    <w:rsid w:val="00810139"/>
    <w:rsid w:val="008103A1"/>
    <w:rsid w:val="00810408"/>
    <w:rsid w:val="008104D1"/>
    <w:rsid w:val="0081053C"/>
    <w:rsid w:val="00810552"/>
    <w:rsid w:val="008105B3"/>
    <w:rsid w:val="008107D1"/>
    <w:rsid w:val="008111CF"/>
    <w:rsid w:val="00811526"/>
    <w:rsid w:val="0081154C"/>
    <w:rsid w:val="00811CEA"/>
    <w:rsid w:val="00811D79"/>
    <w:rsid w:val="00811E76"/>
    <w:rsid w:val="008122F0"/>
    <w:rsid w:val="0081236A"/>
    <w:rsid w:val="008127E0"/>
    <w:rsid w:val="008127F9"/>
    <w:rsid w:val="00812980"/>
    <w:rsid w:val="00812A4B"/>
    <w:rsid w:val="00812C05"/>
    <w:rsid w:val="00812DF0"/>
    <w:rsid w:val="00812FA4"/>
    <w:rsid w:val="008130B3"/>
    <w:rsid w:val="008130C4"/>
    <w:rsid w:val="0081322A"/>
    <w:rsid w:val="00813480"/>
    <w:rsid w:val="008135A8"/>
    <w:rsid w:val="0081367C"/>
    <w:rsid w:val="008137B6"/>
    <w:rsid w:val="00813A02"/>
    <w:rsid w:val="00813ACE"/>
    <w:rsid w:val="00813B8D"/>
    <w:rsid w:val="00813C26"/>
    <w:rsid w:val="00813DC9"/>
    <w:rsid w:val="00813FD5"/>
    <w:rsid w:val="0081423C"/>
    <w:rsid w:val="00814693"/>
    <w:rsid w:val="00814746"/>
    <w:rsid w:val="008148C2"/>
    <w:rsid w:val="00814D2B"/>
    <w:rsid w:val="00814EBC"/>
    <w:rsid w:val="00814FFC"/>
    <w:rsid w:val="00815055"/>
    <w:rsid w:val="008151CC"/>
    <w:rsid w:val="0081521F"/>
    <w:rsid w:val="008153C9"/>
    <w:rsid w:val="00815617"/>
    <w:rsid w:val="008158D3"/>
    <w:rsid w:val="008158DC"/>
    <w:rsid w:val="00815972"/>
    <w:rsid w:val="008159C8"/>
    <w:rsid w:val="00815C9F"/>
    <w:rsid w:val="00815E12"/>
    <w:rsid w:val="008162AB"/>
    <w:rsid w:val="008164EB"/>
    <w:rsid w:val="008169C0"/>
    <w:rsid w:val="008169E7"/>
    <w:rsid w:val="00816B48"/>
    <w:rsid w:val="00816E7C"/>
    <w:rsid w:val="008174E9"/>
    <w:rsid w:val="0081766B"/>
    <w:rsid w:val="00817A08"/>
    <w:rsid w:val="00817A68"/>
    <w:rsid w:val="00820071"/>
    <w:rsid w:val="00820281"/>
    <w:rsid w:val="008203C0"/>
    <w:rsid w:val="0082076E"/>
    <w:rsid w:val="0082088E"/>
    <w:rsid w:val="00820BC4"/>
    <w:rsid w:val="00820C60"/>
    <w:rsid w:val="00820F65"/>
    <w:rsid w:val="0082130E"/>
    <w:rsid w:val="00821456"/>
    <w:rsid w:val="0082158C"/>
    <w:rsid w:val="00821747"/>
    <w:rsid w:val="00821C6A"/>
    <w:rsid w:val="00821EE3"/>
    <w:rsid w:val="00822048"/>
    <w:rsid w:val="008223E4"/>
    <w:rsid w:val="0082253F"/>
    <w:rsid w:val="008228EE"/>
    <w:rsid w:val="00822C58"/>
    <w:rsid w:val="00822D96"/>
    <w:rsid w:val="008232B2"/>
    <w:rsid w:val="0082353F"/>
    <w:rsid w:val="00823AEB"/>
    <w:rsid w:val="00823B48"/>
    <w:rsid w:val="00823C4B"/>
    <w:rsid w:val="00823E43"/>
    <w:rsid w:val="00823F22"/>
    <w:rsid w:val="00824399"/>
    <w:rsid w:val="008249A1"/>
    <w:rsid w:val="00824E21"/>
    <w:rsid w:val="00825022"/>
    <w:rsid w:val="0082515D"/>
    <w:rsid w:val="008252C7"/>
    <w:rsid w:val="008253BF"/>
    <w:rsid w:val="008254A6"/>
    <w:rsid w:val="008255CF"/>
    <w:rsid w:val="00825933"/>
    <w:rsid w:val="0082598E"/>
    <w:rsid w:val="00825EEE"/>
    <w:rsid w:val="0082600B"/>
    <w:rsid w:val="0082604B"/>
    <w:rsid w:val="00826220"/>
    <w:rsid w:val="0082624E"/>
    <w:rsid w:val="008264F4"/>
    <w:rsid w:val="00826587"/>
    <w:rsid w:val="00826747"/>
    <w:rsid w:val="008267DA"/>
    <w:rsid w:val="00826A77"/>
    <w:rsid w:val="00826C83"/>
    <w:rsid w:val="00826D47"/>
    <w:rsid w:val="008270C9"/>
    <w:rsid w:val="00827368"/>
    <w:rsid w:val="00827995"/>
    <w:rsid w:val="00827AAC"/>
    <w:rsid w:val="00827AC3"/>
    <w:rsid w:val="00827BA0"/>
    <w:rsid w:val="00827C83"/>
    <w:rsid w:val="00827D6E"/>
    <w:rsid w:val="00827DC0"/>
    <w:rsid w:val="00827DEF"/>
    <w:rsid w:val="00827F0B"/>
    <w:rsid w:val="00827F65"/>
    <w:rsid w:val="00830022"/>
    <w:rsid w:val="00830040"/>
    <w:rsid w:val="0083010F"/>
    <w:rsid w:val="008302B7"/>
    <w:rsid w:val="00830340"/>
    <w:rsid w:val="008303A5"/>
    <w:rsid w:val="00830A36"/>
    <w:rsid w:val="00830F45"/>
    <w:rsid w:val="0083115E"/>
    <w:rsid w:val="0083118A"/>
    <w:rsid w:val="00831279"/>
    <w:rsid w:val="00831282"/>
    <w:rsid w:val="008317B5"/>
    <w:rsid w:val="00831864"/>
    <w:rsid w:val="00831FC2"/>
    <w:rsid w:val="0083255D"/>
    <w:rsid w:val="00832565"/>
    <w:rsid w:val="0083256E"/>
    <w:rsid w:val="0083269B"/>
    <w:rsid w:val="00832B42"/>
    <w:rsid w:val="00832BB0"/>
    <w:rsid w:val="00832D79"/>
    <w:rsid w:val="00832F98"/>
    <w:rsid w:val="008330FE"/>
    <w:rsid w:val="008331D0"/>
    <w:rsid w:val="008333AF"/>
    <w:rsid w:val="008337D2"/>
    <w:rsid w:val="008339CD"/>
    <w:rsid w:val="00833B23"/>
    <w:rsid w:val="00833DDB"/>
    <w:rsid w:val="00833E1F"/>
    <w:rsid w:val="00833E6F"/>
    <w:rsid w:val="00833F3F"/>
    <w:rsid w:val="00833FBC"/>
    <w:rsid w:val="0083438F"/>
    <w:rsid w:val="00834608"/>
    <w:rsid w:val="008346DA"/>
    <w:rsid w:val="008346F0"/>
    <w:rsid w:val="008349B6"/>
    <w:rsid w:val="00834C54"/>
    <w:rsid w:val="0083508E"/>
    <w:rsid w:val="0083534A"/>
    <w:rsid w:val="0083582D"/>
    <w:rsid w:val="00835B07"/>
    <w:rsid w:val="00835D58"/>
    <w:rsid w:val="00835F6A"/>
    <w:rsid w:val="0083608A"/>
    <w:rsid w:val="008360A1"/>
    <w:rsid w:val="0083639B"/>
    <w:rsid w:val="00836467"/>
    <w:rsid w:val="00836A63"/>
    <w:rsid w:val="00836A9F"/>
    <w:rsid w:val="00836D98"/>
    <w:rsid w:val="00836E9D"/>
    <w:rsid w:val="008374D2"/>
    <w:rsid w:val="008375A0"/>
    <w:rsid w:val="0083793B"/>
    <w:rsid w:val="00837AA4"/>
    <w:rsid w:val="0084002A"/>
    <w:rsid w:val="00840287"/>
    <w:rsid w:val="008404AF"/>
    <w:rsid w:val="00840A83"/>
    <w:rsid w:val="00840CA5"/>
    <w:rsid w:val="00841533"/>
    <w:rsid w:val="00841B13"/>
    <w:rsid w:val="00841E92"/>
    <w:rsid w:val="00842AB6"/>
    <w:rsid w:val="00842BA0"/>
    <w:rsid w:val="00842E09"/>
    <w:rsid w:val="00842EE1"/>
    <w:rsid w:val="00843016"/>
    <w:rsid w:val="00843577"/>
    <w:rsid w:val="00843B77"/>
    <w:rsid w:val="00843C87"/>
    <w:rsid w:val="00843E6F"/>
    <w:rsid w:val="008441CE"/>
    <w:rsid w:val="008443E7"/>
    <w:rsid w:val="00844699"/>
    <w:rsid w:val="00844890"/>
    <w:rsid w:val="008448CD"/>
    <w:rsid w:val="00844A90"/>
    <w:rsid w:val="00844E7A"/>
    <w:rsid w:val="00844F46"/>
    <w:rsid w:val="00844F83"/>
    <w:rsid w:val="0084524A"/>
    <w:rsid w:val="00845487"/>
    <w:rsid w:val="00845499"/>
    <w:rsid w:val="008456CE"/>
    <w:rsid w:val="00845881"/>
    <w:rsid w:val="008459EE"/>
    <w:rsid w:val="0084605E"/>
    <w:rsid w:val="0084609B"/>
    <w:rsid w:val="008460D6"/>
    <w:rsid w:val="008462C3"/>
    <w:rsid w:val="008462F3"/>
    <w:rsid w:val="00846679"/>
    <w:rsid w:val="00846843"/>
    <w:rsid w:val="00846C00"/>
    <w:rsid w:val="00846E05"/>
    <w:rsid w:val="00846E4A"/>
    <w:rsid w:val="008476D6"/>
    <w:rsid w:val="0084780D"/>
    <w:rsid w:val="00847C2B"/>
    <w:rsid w:val="00847D46"/>
    <w:rsid w:val="00850128"/>
    <w:rsid w:val="0085024D"/>
    <w:rsid w:val="008502E9"/>
    <w:rsid w:val="008503D0"/>
    <w:rsid w:val="00850581"/>
    <w:rsid w:val="00850832"/>
    <w:rsid w:val="00850D14"/>
    <w:rsid w:val="00851046"/>
    <w:rsid w:val="00851100"/>
    <w:rsid w:val="00851111"/>
    <w:rsid w:val="0085127C"/>
    <w:rsid w:val="00851654"/>
    <w:rsid w:val="00851AF5"/>
    <w:rsid w:val="00851C86"/>
    <w:rsid w:val="00851DAA"/>
    <w:rsid w:val="00851E3A"/>
    <w:rsid w:val="00851EA9"/>
    <w:rsid w:val="00851FB5"/>
    <w:rsid w:val="008521DB"/>
    <w:rsid w:val="008522D5"/>
    <w:rsid w:val="008523B5"/>
    <w:rsid w:val="00852677"/>
    <w:rsid w:val="0085275C"/>
    <w:rsid w:val="00852766"/>
    <w:rsid w:val="008527D1"/>
    <w:rsid w:val="00852A40"/>
    <w:rsid w:val="00852B97"/>
    <w:rsid w:val="00852DB9"/>
    <w:rsid w:val="00852E7B"/>
    <w:rsid w:val="00852EC6"/>
    <w:rsid w:val="00852ECF"/>
    <w:rsid w:val="008533EE"/>
    <w:rsid w:val="00853740"/>
    <w:rsid w:val="008537BA"/>
    <w:rsid w:val="00853F22"/>
    <w:rsid w:val="0085404C"/>
    <w:rsid w:val="00854332"/>
    <w:rsid w:val="008543AB"/>
    <w:rsid w:val="008545F4"/>
    <w:rsid w:val="00854670"/>
    <w:rsid w:val="00854724"/>
    <w:rsid w:val="008547E3"/>
    <w:rsid w:val="00854A3F"/>
    <w:rsid w:val="00854DAA"/>
    <w:rsid w:val="0085503B"/>
    <w:rsid w:val="008550CB"/>
    <w:rsid w:val="00855513"/>
    <w:rsid w:val="00855761"/>
    <w:rsid w:val="00855B60"/>
    <w:rsid w:val="00855E0B"/>
    <w:rsid w:val="008560B9"/>
    <w:rsid w:val="008561E8"/>
    <w:rsid w:val="008563FE"/>
    <w:rsid w:val="008569B2"/>
    <w:rsid w:val="00856A20"/>
    <w:rsid w:val="00856D81"/>
    <w:rsid w:val="008570DB"/>
    <w:rsid w:val="0085710F"/>
    <w:rsid w:val="0085718B"/>
    <w:rsid w:val="008574FB"/>
    <w:rsid w:val="00857897"/>
    <w:rsid w:val="00857A69"/>
    <w:rsid w:val="00857AAE"/>
    <w:rsid w:val="00857BA4"/>
    <w:rsid w:val="0086035F"/>
    <w:rsid w:val="008603CB"/>
    <w:rsid w:val="00860793"/>
    <w:rsid w:val="008608A3"/>
    <w:rsid w:val="0086092E"/>
    <w:rsid w:val="00860B4C"/>
    <w:rsid w:val="00860D6C"/>
    <w:rsid w:val="008610D2"/>
    <w:rsid w:val="008612B7"/>
    <w:rsid w:val="0086169D"/>
    <w:rsid w:val="00861B3D"/>
    <w:rsid w:val="00861B8D"/>
    <w:rsid w:val="00861D38"/>
    <w:rsid w:val="00861F53"/>
    <w:rsid w:val="00862196"/>
    <w:rsid w:val="008622FB"/>
    <w:rsid w:val="0086242C"/>
    <w:rsid w:val="008626B9"/>
    <w:rsid w:val="00862721"/>
    <w:rsid w:val="00862CC3"/>
    <w:rsid w:val="00862F83"/>
    <w:rsid w:val="0086310F"/>
    <w:rsid w:val="008631EF"/>
    <w:rsid w:val="008632ED"/>
    <w:rsid w:val="0086362C"/>
    <w:rsid w:val="0086396F"/>
    <w:rsid w:val="00863A17"/>
    <w:rsid w:val="00863EA1"/>
    <w:rsid w:val="0086444F"/>
    <w:rsid w:val="0086447F"/>
    <w:rsid w:val="00864599"/>
    <w:rsid w:val="008647DE"/>
    <w:rsid w:val="00864A8A"/>
    <w:rsid w:val="00864B95"/>
    <w:rsid w:val="00864DEB"/>
    <w:rsid w:val="00864E48"/>
    <w:rsid w:val="00864F2B"/>
    <w:rsid w:val="00864F50"/>
    <w:rsid w:val="0086549E"/>
    <w:rsid w:val="008654D4"/>
    <w:rsid w:val="008656A2"/>
    <w:rsid w:val="00865737"/>
    <w:rsid w:val="00865890"/>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8F"/>
    <w:rsid w:val="008673EB"/>
    <w:rsid w:val="0086746F"/>
    <w:rsid w:val="00867488"/>
    <w:rsid w:val="008676BA"/>
    <w:rsid w:val="008678A8"/>
    <w:rsid w:val="00867DA2"/>
    <w:rsid w:val="00870122"/>
    <w:rsid w:val="00870402"/>
    <w:rsid w:val="008705D6"/>
    <w:rsid w:val="00870BFB"/>
    <w:rsid w:val="00870C2B"/>
    <w:rsid w:val="008712E0"/>
    <w:rsid w:val="008713BA"/>
    <w:rsid w:val="00871C23"/>
    <w:rsid w:val="00871C8A"/>
    <w:rsid w:val="00871C95"/>
    <w:rsid w:val="00871DDA"/>
    <w:rsid w:val="00872175"/>
    <w:rsid w:val="0087227D"/>
    <w:rsid w:val="00872295"/>
    <w:rsid w:val="008722F6"/>
    <w:rsid w:val="008723B7"/>
    <w:rsid w:val="00872437"/>
    <w:rsid w:val="008727F1"/>
    <w:rsid w:val="008730F4"/>
    <w:rsid w:val="0087313A"/>
    <w:rsid w:val="00873275"/>
    <w:rsid w:val="00873593"/>
    <w:rsid w:val="00873620"/>
    <w:rsid w:val="0087387F"/>
    <w:rsid w:val="00873BDE"/>
    <w:rsid w:val="00873C67"/>
    <w:rsid w:val="00873D0A"/>
    <w:rsid w:val="00873EFF"/>
    <w:rsid w:val="00874159"/>
    <w:rsid w:val="008747A6"/>
    <w:rsid w:val="00874ABD"/>
    <w:rsid w:val="00874B0A"/>
    <w:rsid w:val="00874DB0"/>
    <w:rsid w:val="00874E64"/>
    <w:rsid w:val="00874F40"/>
    <w:rsid w:val="00875341"/>
    <w:rsid w:val="00875503"/>
    <w:rsid w:val="00875590"/>
    <w:rsid w:val="00875A5A"/>
    <w:rsid w:val="00875A72"/>
    <w:rsid w:val="008760EF"/>
    <w:rsid w:val="00876567"/>
    <w:rsid w:val="00876A50"/>
    <w:rsid w:val="00876B8D"/>
    <w:rsid w:val="00876D2F"/>
    <w:rsid w:val="00876F19"/>
    <w:rsid w:val="00877051"/>
    <w:rsid w:val="00877167"/>
    <w:rsid w:val="008771D1"/>
    <w:rsid w:val="008771EA"/>
    <w:rsid w:val="00877277"/>
    <w:rsid w:val="008773A1"/>
    <w:rsid w:val="00877727"/>
    <w:rsid w:val="008778F9"/>
    <w:rsid w:val="00877B1A"/>
    <w:rsid w:val="00877E7E"/>
    <w:rsid w:val="00877E9C"/>
    <w:rsid w:val="00877F3F"/>
    <w:rsid w:val="0088003B"/>
    <w:rsid w:val="00880074"/>
    <w:rsid w:val="008800D3"/>
    <w:rsid w:val="00880151"/>
    <w:rsid w:val="00880159"/>
    <w:rsid w:val="0088033C"/>
    <w:rsid w:val="00880651"/>
    <w:rsid w:val="008807CD"/>
    <w:rsid w:val="00880C56"/>
    <w:rsid w:val="00880D54"/>
    <w:rsid w:val="00880D8E"/>
    <w:rsid w:val="00880F1A"/>
    <w:rsid w:val="00881133"/>
    <w:rsid w:val="0088141F"/>
    <w:rsid w:val="008816A8"/>
    <w:rsid w:val="00881ADB"/>
    <w:rsid w:val="00881B11"/>
    <w:rsid w:val="00881B16"/>
    <w:rsid w:val="00881B7D"/>
    <w:rsid w:val="00881C85"/>
    <w:rsid w:val="00882181"/>
    <w:rsid w:val="008822DC"/>
    <w:rsid w:val="0088236F"/>
    <w:rsid w:val="00882748"/>
    <w:rsid w:val="00882951"/>
    <w:rsid w:val="00882AB4"/>
    <w:rsid w:val="00882D12"/>
    <w:rsid w:val="00882F3C"/>
    <w:rsid w:val="008831D1"/>
    <w:rsid w:val="00883B56"/>
    <w:rsid w:val="00883CA4"/>
    <w:rsid w:val="00883E2B"/>
    <w:rsid w:val="00883EC1"/>
    <w:rsid w:val="008841C5"/>
    <w:rsid w:val="00884845"/>
    <w:rsid w:val="00884EA2"/>
    <w:rsid w:val="00884F2A"/>
    <w:rsid w:val="008850F0"/>
    <w:rsid w:val="008853B4"/>
    <w:rsid w:val="008853C7"/>
    <w:rsid w:val="00885825"/>
    <w:rsid w:val="00885B9B"/>
    <w:rsid w:val="00885D56"/>
    <w:rsid w:val="00886030"/>
    <w:rsid w:val="008860D0"/>
    <w:rsid w:val="00886501"/>
    <w:rsid w:val="00886531"/>
    <w:rsid w:val="00886BD6"/>
    <w:rsid w:val="00886CDD"/>
    <w:rsid w:val="00886F36"/>
    <w:rsid w:val="00886F38"/>
    <w:rsid w:val="00886FF6"/>
    <w:rsid w:val="0088729D"/>
    <w:rsid w:val="00887315"/>
    <w:rsid w:val="00887462"/>
    <w:rsid w:val="0088792B"/>
    <w:rsid w:val="008879A9"/>
    <w:rsid w:val="00887A37"/>
    <w:rsid w:val="00887BA4"/>
    <w:rsid w:val="00887E1E"/>
    <w:rsid w:val="0089022F"/>
    <w:rsid w:val="0089032D"/>
    <w:rsid w:val="00890CFD"/>
    <w:rsid w:val="00890F21"/>
    <w:rsid w:val="008914FB"/>
    <w:rsid w:val="008915B6"/>
    <w:rsid w:val="00891D47"/>
    <w:rsid w:val="00891E1D"/>
    <w:rsid w:val="0089214D"/>
    <w:rsid w:val="008922AD"/>
    <w:rsid w:val="0089268E"/>
    <w:rsid w:val="008929C8"/>
    <w:rsid w:val="00892B2D"/>
    <w:rsid w:val="008933CE"/>
    <w:rsid w:val="00893A39"/>
    <w:rsid w:val="00893C0D"/>
    <w:rsid w:val="00893D72"/>
    <w:rsid w:val="00893F3F"/>
    <w:rsid w:val="00894081"/>
    <w:rsid w:val="00894125"/>
    <w:rsid w:val="00894143"/>
    <w:rsid w:val="0089435A"/>
    <w:rsid w:val="0089455B"/>
    <w:rsid w:val="00894781"/>
    <w:rsid w:val="0089485F"/>
    <w:rsid w:val="00894A50"/>
    <w:rsid w:val="00894B30"/>
    <w:rsid w:val="00894BEF"/>
    <w:rsid w:val="00894E3A"/>
    <w:rsid w:val="008950EF"/>
    <w:rsid w:val="008954F9"/>
    <w:rsid w:val="0089559F"/>
    <w:rsid w:val="00895653"/>
    <w:rsid w:val="008957DD"/>
    <w:rsid w:val="00895DFB"/>
    <w:rsid w:val="00896449"/>
    <w:rsid w:val="00896596"/>
    <w:rsid w:val="00896705"/>
    <w:rsid w:val="00896856"/>
    <w:rsid w:val="008968B7"/>
    <w:rsid w:val="00896E26"/>
    <w:rsid w:val="00896ED8"/>
    <w:rsid w:val="00897194"/>
    <w:rsid w:val="0089724F"/>
    <w:rsid w:val="0089754C"/>
    <w:rsid w:val="008975D9"/>
    <w:rsid w:val="008977CB"/>
    <w:rsid w:val="00897978"/>
    <w:rsid w:val="00897A5D"/>
    <w:rsid w:val="00897B5E"/>
    <w:rsid w:val="00897BC6"/>
    <w:rsid w:val="00897D8B"/>
    <w:rsid w:val="00897DC3"/>
    <w:rsid w:val="008A002A"/>
    <w:rsid w:val="008A014D"/>
    <w:rsid w:val="008A02EC"/>
    <w:rsid w:val="008A0E11"/>
    <w:rsid w:val="008A0F23"/>
    <w:rsid w:val="008A12ED"/>
    <w:rsid w:val="008A14E4"/>
    <w:rsid w:val="008A16BF"/>
    <w:rsid w:val="008A18AD"/>
    <w:rsid w:val="008A1B0F"/>
    <w:rsid w:val="008A1F10"/>
    <w:rsid w:val="008A20DA"/>
    <w:rsid w:val="008A211B"/>
    <w:rsid w:val="008A21C0"/>
    <w:rsid w:val="008A21CD"/>
    <w:rsid w:val="008A2325"/>
    <w:rsid w:val="008A255F"/>
    <w:rsid w:val="008A27B9"/>
    <w:rsid w:val="008A288D"/>
    <w:rsid w:val="008A28B1"/>
    <w:rsid w:val="008A298B"/>
    <w:rsid w:val="008A2D0B"/>
    <w:rsid w:val="008A2D18"/>
    <w:rsid w:val="008A2EF0"/>
    <w:rsid w:val="008A3163"/>
    <w:rsid w:val="008A359B"/>
    <w:rsid w:val="008A36C1"/>
    <w:rsid w:val="008A3C6F"/>
    <w:rsid w:val="008A3CC4"/>
    <w:rsid w:val="008A4019"/>
    <w:rsid w:val="008A436D"/>
    <w:rsid w:val="008A4424"/>
    <w:rsid w:val="008A4556"/>
    <w:rsid w:val="008A461B"/>
    <w:rsid w:val="008A47DA"/>
    <w:rsid w:val="008A4D27"/>
    <w:rsid w:val="008A534C"/>
    <w:rsid w:val="008A54C1"/>
    <w:rsid w:val="008A55C4"/>
    <w:rsid w:val="008A5616"/>
    <w:rsid w:val="008A581A"/>
    <w:rsid w:val="008A5E95"/>
    <w:rsid w:val="008A5FB5"/>
    <w:rsid w:val="008A612D"/>
    <w:rsid w:val="008A6395"/>
    <w:rsid w:val="008A6B2C"/>
    <w:rsid w:val="008A6B43"/>
    <w:rsid w:val="008A6C24"/>
    <w:rsid w:val="008A6D58"/>
    <w:rsid w:val="008A71FC"/>
    <w:rsid w:val="008A72E9"/>
    <w:rsid w:val="008A74B7"/>
    <w:rsid w:val="008A7663"/>
    <w:rsid w:val="008A773E"/>
    <w:rsid w:val="008A7878"/>
    <w:rsid w:val="008A7C16"/>
    <w:rsid w:val="008A7CA8"/>
    <w:rsid w:val="008A7CF1"/>
    <w:rsid w:val="008A7E01"/>
    <w:rsid w:val="008A7FE2"/>
    <w:rsid w:val="008B0098"/>
    <w:rsid w:val="008B0164"/>
    <w:rsid w:val="008B0254"/>
    <w:rsid w:val="008B025D"/>
    <w:rsid w:val="008B02F2"/>
    <w:rsid w:val="008B0434"/>
    <w:rsid w:val="008B044E"/>
    <w:rsid w:val="008B0526"/>
    <w:rsid w:val="008B0F41"/>
    <w:rsid w:val="008B1A9D"/>
    <w:rsid w:val="008B1ABF"/>
    <w:rsid w:val="008B1E85"/>
    <w:rsid w:val="008B1F63"/>
    <w:rsid w:val="008B1FEE"/>
    <w:rsid w:val="008B20E3"/>
    <w:rsid w:val="008B22E8"/>
    <w:rsid w:val="008B259C"/>
    <w:rsid w:val="008B261F"/>
    <w:rsid w:val="008B2636"/>
    <w:rsid w:val="008B293C"/>
    <w:rsid w:val="008B2B14"/>
    <w:rsid w:val="008B2BEE"/>
    <w:rsid w:val="008B3612"/>
    <w:rsid w:val="008B3745"/>
    <w:rsid w:val="008B3750"/>
    <w:rsid w:val="008B37C7"/>
    <w:rsid w:val="008B37D8"/>
    <w:rsid w:val="008B3A20"/>
    <w:rsid w:val="008B3C5E"/>
    <w:rsid w:val="008B4026"/>
    <w:rsid w:val="008B406E"/>
    <w:rsid w:val="008B4093"/>
    <w:rsid w:val="008B40F2"/>
    <w:rsid w:val="008B4431"/>
    <w:rsid w:val="008B5C25"/>
    <w:rsid w:val="008B5C8F"/>
    <w:rsid w:val="008B5DD6"/>
    <w:rsid w:val="008B5F16"/>
    <w:rsid w:val="008B6150"/>
    <w:rsid w:val="008B63AC"/>
    <w:rsid w:val="008B6459"/>
    <w:rsid w:val="008B66AB"/>
    <w:rsid w:val="008B6B1E"/>
    <w:rsid w:val="008B6F7C"/>
    <w:rsid w:val="008B7183"/>
    <w:rsid w:val="008B7451"/>
    <w:rsid w:val="008B7592"/>
    <w:rsid w:val="008B7722"/>
    <w:rsid w:val="008B77CE"/>
    <w:rsid w:val="008B7868"/>
    <w:rsid w:val="008B786F"/>
    <w:rsid w:val="008B792C"/>
    <w:rsid w:val="008B7A29"/>
    <w:rsid w:val="008B7D19"/>
    <w:rsid w:val="008B7EAB"/>
    <w:rsid w:val="008B7F9A"/>
    <w:rsid w:val="008C02BE"/>
    <w:rsid w:val="008C02E7"/>
    <w:rsid w:val="008C0475"/>
    <w:rsid w:val="008C07DA"/>
    <w:rsid w:val="008C0849"/>
    <w:rsid w:val="008C0AFA"/>
    <w:rsid w:val="008C0DAB"/>
    <w:rsid w:val="008C0E5C"/>
    <w:rsid w:val="008C184B"/>
    <w:rsid w:val="008C18BC"/>
    <w:rsid w:val="008C1A12"/>
    <w:rsid w:val="008C1ADE"/>
    <w:rsid w:val="008C1B45"/>
    <w:rsid w:val="008C1D8A"/>
    <w:rsid w:val="008C1E2C"/>
    <w:rsid w:val="008C1F5E"/>
    <w:rsid w:val="008C250F"/>
    <w:rsid w:val="008C26ED"/>
    <w:rsid w:val="008C28D0"/>
    <w:rsid w:val="008C2BB5"/>
    <w:rsid w:val="008C343F"/>
    <w:rsid w:val="008C36BD"/>
    <w:rsid w:val="008C39E1"/>
    <w:rsid w:val="008C3A1E"/>
    <w:rsid w:val="008C3B3A"/>
    <w:rsid w:val="008C3C63"/>
    <w:rsid w:val="008C3D3D"/>
    <w:rsid w:val="008C3E86"/>
    <w:rsid w:val="008C4206"/>
    <w:rsid w:val="008C43E2"/>
    <w:rsid w:val="008C446A"/>
    <w:rsid w:val="008C4581"/>
    <w:rsid w:val="008C489E"/>
    <w:rsid w:val="008C4FA9"/>
    <w:rsid w:val="008C504D"/>
    <w:rsid w:val="008C5974"/>
    <w:rsid w:val="008C59DF"/>
    <w:rsid w:val="008C5C08"/>
    <w:rsid w:val="008C5D76"/>
    <w:rsid w:val="008C5EE3"/>
    <w:rsid w:val="008C626C"/>
    <w:rsid w:val="008C6829"/>
    <w:rsid w:val="008C6B32"/>
    <w:rsid w:val="008C6BB6"/>
    <w:rsid w:val="008C6E40"/>
    <w:rsid w:val="008C6F52"/>
    <w:rsid w:val="008C7096"/>
    <w:rsid w:val="008C7138"/>
    <w:rsid w:val="008C73B9"/>
    <w:rsid w:val="008C7584"/>
    <w:rsid w:val="008C79A1"/>
    <w:rsid w:val="008C79F0"/>
    <w:rsid w:val="008C7C57"/>
    <w:rsid w:val="008C7F69"/>
    <w:rsid w:val="008D0369"/>
    <w:rsid w:val="008D0519"/>
    <w:rsid w:val="008D0902"/>
    <w:rsid w:val="008D0E03"/>
    <w:rsid w:val="008D0ED4"/>
    <w:rsid w:val="008D100D"/>
    <w:rsid w:val="008D1324"/>
    <w:rsid w:val="008D13D3"/>
    <w:rsid w:val="008D1497"/>
    <w:rsid w:val="008D1BA9"/>
    <w:rsid w:val="008D1C1A"/>
    <w:rsid w:val="008D1D3D"/>
    <w:rsid w:val="008D1E8F"/>
    <w:rsid w:val="008D1FB9"/>
    <w:rsid w:val="008D2099"/>
    <w:rsid w:val="008D248E"/>
    <w:rsid w:val="008D264B"/>
    <w:rsid w:val="008D2D96"/>
    <w:rsid w:val="008D32FC"/>
    <w:rsid w:val="008D335A"/>
    <w:rsid w:val="008D348B"/>
    <w:rsid w:val="008D3BB2"/>
    <w:rsid w:val="008D3C5B"/>
    <w:rsid w:val="008D3C8B"/>
    <w:rsid w:val="008D3C94"/>
    <w:rsid w:val="008D4269"/>
    <w:rsid w:val="008D4629"/>
    <w:rsid w:val="008D4658"/>
    <w:rsid w:val="008D46EE"/>
    <w:rsid w:val="008D4992"/>
    <w:rsid w:val="008D4A17"/>
    <w:rsid w:val="008D4C3C"/>
    <w:rsid w:val="008D4E5B"/>
    <w:rsid w:val="008D4FF4"/>
    <w:rsid w:val="008D55D1"/>
    <w:rsid w:val="008D5705"/>
    <w:rsid w:val="008D57A8"/>
    <w:rsid w:val="008D635F"/>
    <w:rsid w:val="008D64C3"/>
    <w:rsid w:val="008D6600"/>
    <w:rsid w:val="008D6782"/>
    <w:rsid w:val="008D6973"/>
    <w:rsid w:val="008D6C04"/>
    <w:rsid w:val="008D6D34"/>
    <w:rsid w:val="008D6E65"/>
    <w:rsid w:val="008D6E90"/>
    <w:rsid w:val="008D7891"/>
    <w:rsid w:val="008D79E0"/>
    <w:rsid w:val="008D7CD8"/>
    <w:rsid w:val="008D7EE9"/>
    <w:rsid w:val="008D7F31"/>
    <w:rsid w:val="008E006C"/>
    <w:rsid w:val="008E027A"/>
    <w:rsid w:val="008E0629"/>
    <w:rsid w:val="008E07EB"/>
    <w:rsid w:val="008E097D"/>
    <w:rsid w:val="008E0AF4"/>
    <w:rsid w:val="008E0C40"/>
    <w:rsid w:val="008E0CCD"/>
    <w:rsid w:val="008E14F9"/>
    <w:rsid w:val="008E1619"/>
    <w:rsid w:val="008E17F5"/>
    <w:rsid w:val="008E1B8E"/>
    <w:rsid w:val="008E1BF5"/>
    <w:rsid w:val="008E1CD4"/>
    <w:rsid w:val="008E1DBB"/>
    <w:rsid w:val="008E1EBE"/>
    <w:rsid w:val="008E1FC2"/>
    <w:rsid w:val="008E2136"/>
    <w:rsid w:val="008E230B"/>
    <w:rsid w:val="008E27A2"/>
    <w:rsid w:val="008E2BE4"/>
    <w:rsid w:val="008E2CBC"/>
    <w:rsid w:val="008E2D39"/>
    <w:rsid w:val="008E2D87"/>
    <w:rsid w:val="008E2EA7"/>
    <w:rsid w:val="008E303B"/>
    <w:rsid w:val="008E3191"/>
    <w:rsid w:val="008E335E"/>
    <w:rsid w:val="008E33AA"/>
    <w:rsid w:val="008E345C"/>
    <w:rsid w:val="008E3B97"/>
    <w:rsid w:val="008E3ED5"/>
    <w:rsid w:val="008E4117"/>
    <w:rsid w:val="008E41BE"/>
    <w:rsid w:val="008E4254"/>
    <w:rsid w:val="008E456A"/>
    <w:rsid w:val="008E46C2"/>
    <w:rsid w:val="008E48A8"/>
    <w:rsid w:val="008E49F3"/>
    <w:rsid w:val="008E4A5B"/>
    <w:rsid w:val="008E4A7E"/>
    <w:rsid w:val="008E4FAE"/>
    <w:rsid w:val="008E5047"/>
    <w:rsid w:val="008E5175"/>
    <w:rsid w:val="008E53A2"/>
    <w:rsid w:val="008E5585"/>
    <w:rsid w:val="008E569A"/>
    <w:rsid w:val="008E5786"/>
    <w:rsid w:val="008E58F0"/>
    <w:rsid w:val="008E5B20"/>
    <w:rsid w:val="008E5B7A"/>
    <w:rsid w:val="008E60B5"/>
    <w:rsid w:val="008E6154"/>
    <w:rsid w:val="008E62D2"/>
    <w:rsid w:val="008E66B3"/>
    <w:rsid w:val="008E66E0"/>
    <w:rsid w:val="008E68E5"/>
    <w:rsid w:val="008E6B4E"/>
    <w:rsid w:val="008E6B79"/>
    <w:rsid w:val="008E6CE6"/>
    <w:rsid w:val="008E6DC0"/>
    <w:rsid w:val="008E72EE"/>
    <w:rsid w:val="008E7455"/>
    <w:rsid w:val="008E74CE"/>
    <w:rsid w:val="008E75CE"/>
    <w:rsid w:val="008E7708"/>
    <w:rsid w:val="008E7970"/>
    <w:rsid w:val="008E7B40"/>
    <w:rsid w:val="008E7C34"/>
    <w:rsid w:val="008E7F4A"/>
    <w:rsid w:val="008F0155"/>
    <w:rsid w:val="008F03A7"/>
    <w:rsid w:val="008F077F"/>
    <w:rsid w:val="008F0B57"/>
    <w:rsid w:val="008F0C36"/>
    <w:rsid w:val="008F0EB2"/>
    <w:rsid w:val="008F0ED8"/>
    <w:rsid w:val="008F1016"/>
    <w:rsid w:val="008F107F"/>
    <w:rsid w:val="008F10B3"/>
    <w:rsid w:val="008F10D9"/>
    <w:rsid w:val="008F10DD"/>
    <w:rsid w:val="008F1350"/>
    <w:rsid w:val="008F1959"/>
    <w:rsid w:val="008F1BDA"/>
    <w:rsid w:val="008F1C38"/>
    <w:rsid w:val="008F1D54"/>
    <w:rsid w:val="008F20F7"/>
    <w:rsid w:val="008F2149"/>
    <w:rsid w:val="008F21B8"/>
    <w:rsid w:val="008F258F"/>
    <w:rsid w:val="008F2782"/>
    <w:rsid w:val="008F2847"/>
    <w:rsid w:val="008F2874"/>
    <w:rsid w:val="008F2F7D"/>
    <w:rsid w:val="008F31DA"/>
    <w:rsid w:val="008F328D"/>
    <w:rsid w:val="008F344E"/>
    <w:rsid w:val="008F36E2"/>
    <w:rsid w:val="008F377B"/>
    <w:rsid w:val="008F39D9"/>
    <w:rsid w:val="008F3C4B"/>
    <w:rsid w:val="008F413B"/>
    <w:rsid w:val="008F4330"/>
    <w:rsid w:val="008F43F5"/>
    <w:rsid w:val="008F473E"/>
    <w:rsid w:val="008F4823"/>
    <w:rsid w:val="008F4835"/>
    <w:rsid w:val="008F48F6"/>
    <w:rsid w:val="008F4E23"/>
    <w:rsid w:val="008F4E2F"/>
    <w:rsid w:val="008F4FC9"/>
    <w:rsid w:val="008F50A6"/>
    <w:rsid w:val="008F51DA"/>
    <w:rsid w:val="008F54F6"/>
    <w:rsid w:val="008F56DE"/>
    <w:rsid w:val="008F5D89"/>
    <w:rsid w:val="008F5E4C"/>
    <w:rsid w:val="008F6110"/>
    <w:rsid w:val="008F61A0"/>
    <w:rsid w:val="008F621C"/>
    <w:rsid w:val="008F656F"/>
    <w:rsid w:val="008F66AF"/>
    <w:rsid w:val="008F67CC"/>
    <w:rsid w:val="008F6AD6"/>
    <w:rsid w:val="008F7593"/>
    <w:rsid w:val="009001A3"/>
    <w:rsid w:val="00900259"/>
    <w:rsid w:val="0090051C"/>
    <w:rsid w:val="009007FC"/>
    <w:rsid w:val="00900B47"/>
    <w:rsid w:val="00900C35"/>
    <w:rsid w:val="00901012"/>
    <w:rsid w:val="009011CE"/>
    <w:rsid w:val="009017A1"/>
    <w:rsid w:val="009018E7"/>
    <w:rsid w:val="0090199B"/>
    <w:rsid w:val="00901D41"/>
    <w:rsid w:val="00901F64"/>
    <w:rsid w:val="00902466"/>
    <w:rsid w:val="0090252A"/>
    <w:rsid w:val="0090256E"/>
    <w:rsid w:val="0090258C"/>
    <w:rsid w:val="009025AB"/>
    <w:rsid w:val="00902BBB"/>
    <w:rsid w:val="00902C00"/>
    <w:rsid w:val="00902CA5"/>
    <w:rsid w:val="00902D4F"/>
    <w:rsid w:val="00902DBB"/>
    <w:rsid w:val="009030E3"/>
    <w:rsid w:val="0090315B"/>
    <w:rsid w:val="009034B9"/>
    <w:rsid w:val="00903558"/>
    <w:rsid w:val="0090385C"/>
    <w:rsid w:val="00903B31"/>
    <w:rsid w:val="00903BE6"/>
    <w:rsid w:val="00903F76"/>
    <w:rsid w:val="00903FB3"/>
    <w:rsid w:val="009041BE"/>
    <w:rsid w:val="0090434A"/>
    <w:rsid w:val="00904416"/>
    <w:rsid w:val="00904571"/>
    <w:rsid w:val="00904690"/>
    <w:rsid w:val="00905336"/>
    <w:rsid w:val="009060FF"/>
    <w:rsid w:val="009066DC"/>
    <w:rsid w:val="00906D5A"/>
    <w:rsid w:val="00906E22"/>
    <w:rsid w:val="00907163"/>
    <w:rsid w:val="0090728D"/>
    <w:rsid w:val="00907441"/>
    <w:rsid w:val="00907583"/>
    <w:rsid w:val="0090758F"/>
    <w:rsid w:val="0090766F"/>
    <w:rsid w:val="0090779A"/>
    <w:rsid w:val="0090780A"/>
    <w:rsid w:val="00907853"/>
    <w:rsid w:val="00907A75"/>
    <w:rsid w:val="00907B36"/>
    <w:rsid w:val="0091006A"/>
    <w:rsid w:val="009102B4"/>
    <w:rsid w:val="0091052B"/>
    <w:rsid w:val="00910715"/>
    <w:rsid w:val="009107FF"/>
    <w:rsid w:val="0091091D"/>
    <w:rsid w:val="00910BDD"/>
    <w:rsid w:val="00911327"/>
    <w:rsid w:val="0091165F"/>
    <w:rsid w:val="00911F7E"/>
    <w:rsid w:val="009122DB"/>
    <w:rsid w:val="009126B3"/>
    <w:rsid w:val="00912848"/>
    <w:rsid w:val="009128DC"/>
    <w:rsid w:val="0091290A"/>
    <w:rsid w:val="00912B56"/>
    <w:rsid w:val="00912C6F"/>
    <w:rsid w:val="00912E6B"/>
    <w:rsid w:val="009131F8"/>
    <w:rsid w:val="00913331"/>
    <w:rsid w:val="009133D4"/>
    <w:rsid w:val="009136D9"/>
    <w:rsid w:val="00913F98"/>
    <w:rsid w:val="00914056"/>
    <w:rsid w:val="00914A56"/>
    <w:rsid w:val="00914D25"/>
    <w:rsid w:val="00914D48"/>
    <w:rsid w:val="00915512"/>
    <w:rsid w:val="0091566D"/>
    <w:rsid w:val="00916223"/>
    <w:rsid w:val="009163A0"/>
    <w:rsid w:val="009163E7"/>
    <w:rsid w:val="009165A9"/>
    <w:rsid w:val="0091696F"/>
    <w:rsid w:val="00916C99"/>
    <w:rsid w:val="00916D5E"/>
    <w:rsid w:val="00916EA5"/>
    <w:rsid w:val="00916EE9"/>
    <w:rsid w:val="00917159"/>
    <w:rsid w:val="00917AAA"/>
    <w:rsid w:val="00917C84"/>
    <w:rsid w:val="00917D6B"/>
    <w:rsid w:val="00917E7E"/>
    <w:rsid w:val="009200F0"/>
    <w:rsid w:val="00920469"/>
    <w:rsid w:val="00920872"/>
    <w:rsid w:val="00920CD3"/>
    <w:rsid w:val="00920FCF"/>
    <w:rsid w:val="00921182"/>
    <w:rsid w:val="0092119F"/>
    <w:rsid w:val="00921380"/>
    <w:rsid w:val="0092147F"/>
    <w:rsid w:val="009216AF"/>
    <w:rsid w:val="009218A2"/>
    <w:rsid w:val="0092191B"/>
    <w:rsid w:val="00921D86"/>
    <w:rsid w:val="00921FE8"/>
    <w:rsid w:val="0092241F"/>
    <w:rsid w:val="009224A3"/>
    <w:rsid w:val="009224B7"/>
    <w:rsid w:val="0092261B"/>
    <w:rsid w:val="00922717"/>
    <w:rsid w:val="009228C3"/>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51"/>
    <w:rsid w:val="009240D8"/>
    <w:rsid w:val="009240FF"/>
    <w:rsid w:val="009241A2"/>
    <w:rsid w:val="00924227"/>
    <w:rsid w:val="00924502"/>
    <w:rsid w:val="0092476A"/>
    <w:rsid w:val="00924AA7"/>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933"/>
    <w:rsid w:val="00926F34"/>
    <w:rsid w:val="00926F60"/>
    <w:rsid w:val="00927038"/>
    <w:rsid w:val="009271A6"/>
    <w:rsid w:val="00927344"/>
    <w:rsid w:val="0092785A"/>
    <w:rsid w:val="0092789F"/>
    <w:rsid w:val="00927A08"/>
    <w:rsid w:val="00927CC4"/>
    <w:rsid w:val="00927F26"/>
    <w:rsid w:val="00927FCB"/>
    <w:rsid w:val="00930196"/>
    <w:rsid w:val="009303C3"/>
    <w:rsid w:val="0093063D"/>
    <w:rsid w:val="0093066B"/>
    <w:rsid w:val="0093069F"/>
    <w:rsid w:val="00930745"/>
    <w:rsid w:val="00930812"/>
    <w:rsid w:val="00930834"/>
    <w:rsid w:val="00930948"/>
    <w:rsid w:val="00930A39"/>
    <w:rsid w:val="00930A74"/>
    <w:rsid w:val="00930E1C"/>
    <w:rsid w:val="00930EA1"/>
    <w:rsid w:val="009310EB"/>
    <w:rsid w:val="00931112"/>
    <w:rsid w:val="00931338"/>
    <w:rsid w:val="009316A4"/>
    <w:rsid w:val="0093176E"/>
    <w:rsid w:val="009317BA"/>
    <w:rsid w:val="00931852"/>
    <w:rsid w:val="00931B5E"/>
    <w:rsid w:val="00931F5D"/>
    <w:rsid w:val="00932100"/>
    <w:rsid w:val="00932509"/>
    <w:rsid w:val="009327F7"/>
    <w:rsid w:val="00932929"/>
    <w:rsid w:val="00932983"/>
    <w:rsid w:val="009329B0"/>
    <w:rsid w:val="009329B2"/>
    <w:rsid w:val="00933165"/>
    <w:rsid w:val="009332E2"/>
    <w:rsid w:val="009335D0"/>
    <w:rsid w:val="00933817"/>
    <w:rsid w:val="00933A35"/>
    <w:rsid w:val="00933B25"/>
    <w:rsid w:val="00933C20"/>
    <w:rsid w:val="00933FE3"/>
    <w:rsid w:val="0093437A"/>
    <w:rsid w:val="009343B4"/>
    <w:rsid w:val="00934AFE"/>
    <w:rsid w:val="00934B9E"/>
    <w:rsid w:val="00934EAC"/>
    <w:rsid w:val="009350E4"/>
    <w:rsid w:val="00935320"/>
    <w:rsid w:val="009354E5"/>
    <w:rsid w:val="00935753"/>
    <w:rsid w:val="009359DF"/>
    <w:rsid w:val="00935A5A"/>
    <w:rsid w:val="00935C54"/>
    <w:rsid w:val="0093603E"/>
    <w:rsid w:val="009360D7"/>
    <w:rsid w:val="009362C9"/>
    <w:rsid w:val="00936A44"/>
    <w:rsid w:val="00936F4A"/>
    <w:rsid w:val="0093743C"/>
    <w:rsid w:val="00937498"/>
    <w:rsid w:val="00937509"/>
    <w:rsid w:val="0093753F"/>
    <w:rsid w:val="00937935"/>
    <w:rsid w:val="00937E54"/>
    <w:rsid w:val="00937FC5"/>
    <w:rsid w:val="009404D7"/>
    <w:rsid w:val="009405A4"/>
    <w:rsid w:val="009407AA"/>
    <w:rsid w:val="0094082D"/>
    <w:rsid w:val="00940AD1"/>
    <w:rsid w:val="00940E50"/>
    <w:rsid w:val="00941026"/>
    <w:rsid w:val="00941141"/>
    <w:rsid w:val="00941491"/>
    <w:rsid w:val="00941536"/>
    <w:rsid w:val="00941754"/>
    <w:rsid w:val="00941769"/>
    <w:rsid w:val="00941D13"/>
    <w:rsid w:val="00941E16"/>
    <w:rsid w:val="00942058"/>
    <w:rsid w:val="0094218A"/>
    <w:rsid w:val="00942226"/>
    <w:rsid w:val="00942387"/>
    <w:rsid w:val="00942503"/>
    <w:rsid w:val="009427A0"/>
    <w:rsid w:val="00942927"/>
    <w:rsid w:val="0094299E"/>
    <w:rsid w:val="00942A1E"/>
    <w:rsid w:val="00942A54"/>
    <w:rsid w:val="00942B96"/>
    <w:rsid w:val="00942C28"/>
    <w:rsid w:val="00942EFB"/>
    <w:rsid w:val="00943093"/>
    <w:rsid w:val="0094380C"/>
    <w:rsid w:val="0094385A"/>
    <w:rsid w:val="009438FE"/>
    <w:rsid w:val="00943AD9"/>
    <w:rsid w:val="00943AE3"/>
    <w:rsid w:val="00943F2E"/>
    <w:rsid w:val="00944236"/>
    <w:rsid w:val="0094457D"/>
    <w:rsid w:val="00944614"/>
    <w:rsid w:val="00944959"/>
    <w:rsid w:val="00944AEF"/>
    <w:rsid w:val="00944EAE"/>
    <w:rsid w:val="00944FA1"/>
    <w:rsid w:val="0094517F"/>
    <w:rsid w:val="009451A4"/>
    <w:rsid w:val="0094553C"/>
    <w:rsid w:val="00945613"/>
    <w:rsid w:val="009457B0"/>
    <w:rsid w:val="00945D86"/>
    <w:rsid w:val="00945EF3"/>
    <w:rsid w:val="00946019"/>
    <w:rsid w:val="0094626F"/>
    <w:rsid w:val="009462D2"/>
    <w:rsid w:val="0094692B"/>
    <w:rsid w:val="00946A1D"/>
    <w:rsid w:val="0094701C"/>
    <w:rsid w:val="00947253"/>
    <w:rsid w:val="00947265"/>
    <w:rsid w:val="009476AB"/>
    <w:rsid w:val="009476E9"/>
    <w:rsid w:val="0094785D"/>
    <w:rsid w:val="009479A6"/>
    <w:rsid w:val="00947B47"/>
    <w:rsid w:val="00947E56"/>
    <w:rsid w:val="00947E67"/>
    <w:rsid w:val="00950043"/>
    <w:rsid w:val="0095069E"/>
    <w:rsid w:val="00950A20"/>
    <w:rsid w:val="00950CD5"/>
    <w:rsid w:val="00950D16"/>
    <w:rsid w:val="0095118D"/>
    <w:rsid w:val="0095144C"/>
    <w:rsid w:val="009515F4"/>
    <w:rsid w:val="0095165B"/>
    <w:rsid w:val="009517C2"/>
    <w:rsid w:val="009519D1"/>
    <w:rsid w:val="00951A7B"/>
    <w:rsid w:val="00951BD0"/>
    <w:rsid w:val="0095234D"/>
    <w:rsid w:val="009523F2"/>
    <w:rsid w:val="00952548"/>
    <w:rsid w:val="00952844"/>
    <w:rsid w:val="009530E5"/>
    <w:rsid w:val="009530F5"/>
    <w:rsid w:val="009531B5"/>
    <w:rsid w:val="009533DA"/>
    <w:rsid w:val="00953419"/>
    <w:rsid w:val="00953785"/>
    <w:rsid w:val="00953825"/>
    <w:rsid w:val="009538C2"/>
    <w:rsid w:val="0095399C"/>
    <w:rsid w:val="00953D79"/>
    <w:rsid w:val="00953D91"/>
    <w:rsid w:val="00954003"/>
    <w:rsid w:val="00954148"/>
    <w:rsid w:val="00954166"/>
    <w:rsid w:val="009542ED"/>
    <w:rsid w:val="0095434A"/>
    <w:rsid w:val="0095441F"/>
    <w:rsid w:val="00954613"/>
    <w:rsid w:val="0095468A"/>
    <w:rsid w:val="00954824"/>
    <w:rsid w:val="00954939"/>
    <w:rsid w:val="009550E5"/>
    <w:rsid w:val="00955341"/>
    <w:rsid w:val="009553CF"/>
    <w:rsid w:val="009553DD"/>
    <w:rsid w:val="0095554D"/>
    <w:rsid w:val="00955630"/>
    <w:rsid w:val="0095585E"/>
    <w:rsid w:val="00955943"/>
    <w:rsid w:val="009559B8"/>
    <w:rsid w:val="00955AC4"/>
    <w:rsid w:val="00955DF3"/>
    <w:rsid w:val="009560DE"/>
    <w:rsid w:val="0095654C"/>
    <w:rsid w:val="0095686C"/>
    <w:rsid w:val="0095696B"/>
    <w:rsid w:val="00956C4E"/>
    <w:rsid w:val="009570E2"/>
    <w:rsid w:val="0095745E"/>
    <w:rsid w:val="0095751D"/>
    <w:rsid w:val="00957569"/>
    <w:rsid w:val="00957A77"/>
    <w:rsid w:val="00957D5D"/>
    <w:rsid w:val="00957D84"/>
    <w:rsid w:val="0096002A"/>
    <w:rsid w:val="0096085C"/>
    <w:rsid w:val="009608B3"/>
    <w:rsid w:val="00961205"/>
    <w:rsid w:val="009612A5"/>
    <w:rsid w:val="0096152D"/>
    <w:rsid w:val="00961623"/>
    <w:rsid w:val="009616C2"/>
    <w:rsid w:val="0096191C"/>
    <w:rsid w:val="009619B3"/>
    <w:rsid w:val="00961C33"/>
    <w:rsid w:val="00961F6E"/>
    <w:rsid w:val="00961F98"/>
    <w:rsid w:val="00961F9F"/>
    <w:rsid w:val="00961FF0"/>
    <w:rsid w:val="00962323"/>
    <w:rsid w:val="009626AC"/>
    <w:rsid w:val="0096297B"/>
    <w:rsid w:val="00962BEF"/>
    <w:rsid w:val="00962E67"/>
    <w:rsid w:val="009633D7"/>
    <w:rsid w:val="009637F5"/>
    <w:rsid w:val="00963ACD"/>
    <w:rsid w:val="00963ADC"/>
    <w:rsid w:val="00963B72"/>
    <w:rsid w:val="00963B85"/>
    <w:rsid w:val="00964723"/>
    <w:rsid w:val="00964A1C"/>
    <w:rsid w:val="00964A60"/>
    <w:rsid w:val="00964A79"/>
    <w:rsid w:val="00964BE0"/>
    <w:rsid w:val="00964C14"/>
    <w:rsid w:val="00964CF1"/>
    <w:rsid w:val="009651B9"/>
    <w:rsid w:val="009652D5"/>
    <w:rsid w:val="00965D78"/>
    <w:rsid w:val="0096604E"/>
    <w:rsid w:val="0096648A"/>
    <w:rsid w:val="00966C16"/>
    <w:rsid w:val="00966D01"/>
    <w:rsid w:val="00966F42"/>
    <w:rsid w:val="009673BF"/>
    <w:rsid w:val="0096761A"/>
    <w:rsid w:val="009677F8"/>
    <w:rsid w:val="0096787C"/>
    <w:rsid w:val="00967945"/>
    <w:rsid w:val="00967F13"/>
    <w:rsid w:val="0097004D"/>
    <w:rsid w:val="0097014E"/>
    <w:rsid w:val="009701A3"/>
    <w:rsid w:val="0097036B"/>
    <w:rsid w:val="00970386"/>
    <w:rsid w:val="0097054C"/>
    <w:rsid w:val="009705FE"/>
    <w:rsid w:val="00970910"/>
    <w:rsid w:val="00970B3F"/>
    <w:rsid w:val="00970C46"/>
    <w:rsid w:val="00970D1A"/>
    <w:rsid w:val="00970E55"/>
    <w:rsid w:val="00970EF1"/>
    <w:rsid w:val="00970F09"/>
    <w:rsid w:val="00970F7A"/>
    <w:rsid w:val="00971146"/>
    <w:rsid w:val="009711E7"/>
    <w:rsid w:val="009713E2"/>
    <w:rsid w:val="009713EB"/>
    <w:rsid w:val="009717F0"/>
    <w:rsid w:val="0097198B"/>
    <w:rsid w:val="00971AA1"/>
    <w:rsid w:val="00971C3A"/>
    <w:rsid w:val="00971DC0"/>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348D"/>
    <w:rsid w:val="009735FB"/>
    <w:rsid w:val="00973684"/>
    <w:rsid w:val="0097374B"/>
    <w:rsid w:val="00973787"/>
    <w:rsid w:val="00973A3E"/>
    <w:rsid w:val="00973B43"/>
    <w:rsid w:val="00973B7B"/>
    <w:rsid w:val="00973C85"/>
    <w:rsid w:val="00973D3A"/>
    <w:rsid w:val="00973F14"/>
    <w:rsid w:val="00973F88"/>
    <w:rsid w:val="0097429B"/>
    <w:rsid w:val="009742C4"/>
    <w:rsid w:val="00974461"/>
    <w:rsid w:val="00974593"/>
    <w:rsid w:val="009745E1"/>
    <w:rsid w:val="009746C6"/>
    <w:rsid w:val="009749F7"/>
    <w:rsid w:val="009757B3"/>
    <w:rsid w:val="00975862"/>
    <w:rsid w:val="00975B8C"/>
    <w:rsid w:val="0097600B"/>
    <w:rsid w:val="009764DD"/>
    <w:rsid w:val="009765DF"/>
    <w:rsid w:val="009767DA"/>
    <w:rsid w:val="0097691F"/>
    <w:rsid w:val="009769C3"/>
    <w:rsid w:val="00976FDD"/>
    <w:rsid w:val="00977263"/>
    <w:rsid w:val="00977A34"/>
    <w:rsid w:val="00977D75"/>
    <w:rsid w:val="00977E23"/>
    <w:rsid w:val="00980475"/>
    <w:rsid w:val="009809DC"/>
    <w:rsid w:val="009810E5"/>
    <w:rsid w:val="00981126"/>
    <w:rsid w:val="00981384"/>
    <w:rsid w:val="0098193C"/>
    <w:rsid w:val="00981A01"/>
    <w:rsid w:val="00981C05"/>
    <w:rsid w:val="00981E75"/>
    <w:rsid w:val="0098204A"/>
    <w:rsid w:val="009821F9"/>
    <w:rsid w:val="00982220"/>
    <w:rsid w:val="00982221"/>
    <w:rsid w:val="009823D4"/>
    <w:rsid w:val="00982435"/>
    <w:rsid w:val="00982559"/>
    <w:rsid w:val="00982627"/>
    <w:rsid w:val="00982719"/>
    <w:rsid w:val="00982745"/>
    <w:rsid w:val="0098282A"/>
    <w:rsid w:val="0098307E"/>
    <w:rsid w:val="00983096"/>
    <w:rsid w:val="0098338D"/>
    <w:rsid w:val="009835EC"/>
    <w:rsid w:val="0098395E"/>
    <w:rsid w:val="009839CC"/>
    <w:rsid w:val="009839FE"/>
    <w:rsid w:val="00983A0F"/>
    <w:rsid w:val="00983C31"/>
    <w:rsid w:val="00983DFB"/>
    <w:rsid w:val="00983E04"/>
    <w:rsid w:val="00983E69"/>
    <w:rsid w:val="00983E7E"/>
    <w:rsid w:val="00983EF1"/>
    <w:rsid w:val="0098401C"/>
    <w:rsid w:val="009841C1"/>
    <w:rsid w:val="0098461A"/>
    <w:rsid w:val="00984A1E"/>
    <w:rsid w:val="00984A2C"/>
    <w:rsid w:val="00984C7C"/>
    <w:rsid w:val="00984E8C"/>
    <w:rsid w:val="00985058"/>
    <w:rsid w:val="00985121"/>
    <w:rsid w:val="0098513A"/>
    <w:rsid w:val="0098531A"/>
    <w:rsid w:val="00985548"/>
    <w:rsid w:val="009855A4"/>
    <w:rsid w:val="00985E04"/>
    <w:rsid w:val="00985F27"/>
    <w:rsid w:val="0098621E"/>
    <w:rsid w:val="009865DA"/>
    <w:rsid w:val="009866A4"/>
    <w:rsid w:val="009867C4"/>
    <w:rsid w:val="0098686A"/>
    <w:rsid w:val="009869C4"/>
    <w:rsid w:val="00986A71"/>
    <w:rsid w:val="00986D26"/>
    <w:rsid w:val="00987008"/>
    <w:rsid w:val="00987347"/>
    <w:rsid w:val="0098740D"/>
    <w:rsid w:val="009874D7"/>
    <w:rsid w:val="0098765E"/>
    <w:rsid w:val="00987804"/>
    <w:rsid w:val="009878B5"/>
    <w:rsid w:val="00987A6D"/>
    <w:rsid w:val="00987BAC"/>
    <w:rsid w:val="00987BB1"/>
    <w:rsid w:val="00987C50"/>
    <w:rsid w:val="00990158"/>
    <w:rsid w:val="00990169"/>
    <w:rsid w:val="009902F9"/>
    <w:rsid w:val="009905FF"/>
    <w:rsid w:val="00990672"/>
    <w:rsid w:val="00990CF1"/>
    <w:rsid w:val="00990D40"/>
    <w:rsid w:val="00990E58"/>
    <w:rsid w:val="00990F98"/>
    <w:rsid w:val="00991614"/>
    <w:rsid w:val="00991675"/>
    <w:rsid w:val="009918A0"/>
    <w:rsid w:val="00991B30"/>
    <w:rsid w:val="00991CC4"/>
    <w:rsid w:val="00991D05"/>
    <w:rsid w:val="00991FEF"/>
    <w:rsid w:val="00992008"/>
    <w:rsid w:val="0099224B"/>
    <w:rsid w:val="0099280A"/>
    <w:rsid w:val="009928FE"/>
    <w:rsid w:val="00992A0D"/>
    <w:rsid w:val="00992B05"/>
    <w:rsid w:val="00992BBD"/>
    <w:rsid w:val="00992BC7"/>
    <w:rsid w:val="00993034"/>
    <w:rsid w:val="00993387"/>
    <w:rsid w:val="009933EB"/>
    <w:rsid w:val="00993EC9"/>
    <w:rsid w:val="00993F9C"/>
    <w:rsid w:val="00994229"/>
    <w:rsid w:val="00994318"/>
    <w:rsid w:val="00994540"/>
    <w:rsid w:val="00994556"/>
    <w:rsid w:val="0099478E"/>
    <w:rsid w:val="00994824"/>
    <w:rsid w:val="0099499F"/>
    <w:rsid w:val="00994B8D"/>
    <w:rsid w:val="00994DC2"/>
    <w:rsid w:val="0099513F"/>
    <w:rsid w:val="00995563"/>
    <w:rsid w:val="0099566F"/>
    <w:rsid w:val="00995A20"/>
    <w:rsid w:val="00995D23"/>
    <w:rsid w:val="00995D8B"/>
    <w:rsid w:val="00995F67"/>
    <w:rsid w:val="0099606C"/>
    <w:rsid w:val="00996409"/>
    <w:rsid w:val="00996499"/>
    <w:rsid w:val="009965BC"/>
    <w:rsid w:val="009966AF"/>
    <w:rsid w:val="00996750"/>
    <w:rsid w:val="0099684A"/>
    <w:rsid w:val="0099699D"/>
    <w:rsid w:val="009969D4"/>
    <w:rsid w:val="00996ACD"/>
    <w:rsid w:val="00996AF5"/>
    <w:rsid w:val="00996BB0"/>
    <w:rsid w:val="00996D00"/>
    <w:rsid w:val="00996D57"/>
    <w:rsid w:val="00996EB0"/>
    <w:rsid w:val="0099708E"/>
    <w:rsid w:val="00997429"/>
    <w:rsid w:val="0099752F"/>
    <w:rsid w:val="00997B48"/>
    <w:rsid w:val="00997E6D"/>
    <w:rsid w:val="009A00C8"/>
    <w:rsid w:val="009A0382"/>
    <w:rsid w:val="009A03DC"/>
    <w:rsid w:val="009A0481"/>
    <w:rsid w:val="009A058D"/>
    <w:rsid w:val="009A0941"/>
    <w:rsid w:val="009A0FD4"/>
    <w:rsid w:val="009A1366"/>
    <w:rsid w:val="009A1405"/>
    <w:rsid w:val="009A1683"/>
    <w:rsid w:val="009A16C3"/>
    <w:rsid w:val="009A1E7C"/>
    <w:rsid w:val="009A1EC9"/>
    <w:rsid w:val="009A1EE4"/>
    <w:rsid w:val="009A2217"/>
    <w:rsid w:val="009A228E"/>
    <w:rsid w:val="009A2700"/>
    <w:rsid w:val="009A2BBA"/>
    <w:rsid w:val="009A2BD8"/>
    <w:rsid w:val="009A2C92"/>
    <w:rsid w:val="009A3215"/>
    <w:rsid w:val="009A3414"/>
    <w:rsid w:val="009A34D9"/>
    <w:rsid w:val="009A35F7"/>
    <w:rsid w:val="009A3D6B"/>
    <w:rsid w:val="009A3DC1"/>
    <w:rsid w:val="009A41A1"/>
    <w:rsid w:val="009A45FF"/>
    <w:rsid w:val="009A47F9"/>
    <w:rsid w:val="009A48BF"/>
    <w:rsid w:val="009A4BB1"/>
    <w:rsid w:val="009A567A"/>
    <w:rsid w:val="009A569A"/>
    <w:rsid w:val="009A62C0"/>
    <w:rsid w:val="009A65F4"/>
    <w:rsid w:val="009A6CF3"/>
    <w:rsid w:val="009A7199"/>
    <w:rsid w:val="009A74E4"/>
    <w:rsid w:val="009A76F7"/>
    <w:rsid w:val="009A7999"/>
    <w:rsid w:val="009A7E02"/>
    <w:rsid w:val="009B0134"/>
    <w:rsid w:val="009B0612"/>
    <w:rsid w:val="009B0655"/>
    <w:rsid w:val="009B08A0"/>
    <w:rsid w:val="009B0AFA"/>
    <w:rsid w:val="009B0E88"/>
    <w:rsid w:val="009B0EE4"/>
    <w:rsid w:val="009B11AE"/>
    <w:rsid w:val="009B17AC"/>
    <w:rsid w:val="009B1A42"/>
    <w:rsid w:val="009B1A57"/>
    <w:rsid w:val="009B2020"/>
    <w:rsid w:val="009B208E"/>
    <w:rsid w:val="009B24F2"/>
    <w:rsid w:val="009B252F"/>
    <w:rsid w:val="009B2584"/>
    <w:rsid w:val="009B2785"/>
    <w:rsid w:val="009B2963"/>
    <w:rsid w:val="009B2AE5"/>
    <w:rsid w:val="009B2DBA"/>
    <w:rsid w:val="009B3133"/>
    <w:rsid w:val="009B31A7"/>
    <w:rsid w:val="009B348C"/>
    <w:rsid w:val="009B3504"/>
    <w:rsid w:val="009B366F"/>
    <w:rsid w:val="009B38BC"/>
    <w:rsid w:val="009B42DD"/>
    <w:rsid w:val="009B43BF"/>
    <w:rsid w:val="009B43CB"/>
    <w:rsid w:val="009B449D"/>
    <w:rsid w:val="009B4693"/>
    <w:rsid w:val="009B4A2D"/>
    <w:rsid w:val="009B4A90"/>
    <w:rsid w:val="009B4BBF"/>
    <w:rsid w:val="009B5357"/>
    <w:rsid w:val="009B540B"/>
    <w:rsid w:val="009B54E0"/>
    <w:rsid w:val="009B5547"/>
    <w:rsid w:val="009B56F9"/>
    <w:rsid w:val="009B591D"/>
    <w:rsid w:val="009B5937"/>
    <w:rsid w:val="009B5A07"/>
    <w:rsid w:val="009B5A21"/>
    <w:rsid w:val="009B5CD6"/>
    <w:rsid w:val="009B5DF1"/>
    <w:rsid w:val="009B6044"/>
    <w:rsid w:val="009B64D1"/>
    <w:rsid w:val="009B655D"/>
    <w:rsid w:val="009B6884"/>
    <w:rsid w:val="009B68EA"/>
    <w:rsid w:val="009B6BC6"/>
    <w:rsid w:val="009B6EAB"/>
    <w:rsid w:val="009B709B"/>
    <w:rsid w:val="009B74D3"/>
    <w:rsid w:val="009B7551"/>
    <w:rsid w:val="009B757A"/>
    <w:rsid w:val="009C0505"/>
    <w:rsid w:val="009C065D"/>
    <w:rsid w:val="009C0734"/>
    <w:rsid w:val="009C09C4"/>
    <w:rsid w:val="009C0B41"/>
    <w:rsid w:val="009C0D78"/>
    <w:rsid w:val="009C1173"/>
    <w:rsid w:val="009C1215"/>
    <w:rsid w:val="009C1363"/>
    <w:rsid w:val="009C14A4"/>
    <w:rsid w:val="009C16B9"/>
    <w:rsid w:val="009C18B8"/>
    <w:rsid w:val="009C1B3C"/>
    <w:rsid w:val="009C1B59"/>
    <w:rsid w:val="009C1B99"/>
    <w:rsid w:val="009C1E01"/>
    <w:rsid w:val="009C1E0B"/>
    <w:rsid w:val="009C2259"/>
    <w:rsid w:val="009C26C9"/>
    <w:rsid w:val="009C276A"/>
    <w:rsid w:val="009C2871"/>
    <w:rsid w:val="009C2EC7"/>
    <w:rsid w:val="009C2F02"/>
    <w:rsid w:val="009C3740"/>
    <w:rsid w:val="009C3A08"/>
    <w:rsid w:val="009C4382"/>
    <w:rsid w:val="009C442C"/>
    <w:rsid w:val="009C448A"/>
    <w:rsid w:val="009C4851"/>
    <w:rsid w:val="009C4884"/>
    <w:rsid w:val="009C4A9D"/>
    <w:rsid w:val="009C4AD3"/>
    <w:rsid w:val="009C4C59"/>
    <w:rsid w:val="009C52A7"/>
    <w:rsid w:val="009C5421"/>
    <w:rsid w:val="009C56C2"/>
    <w:rsid w:val="009C57A4"/>
    <w:rsid w:val="009C5AFF"/>
    <w:rsid w:val="009C6002"/>
    <w:rsid w:val="009C601F"/>
    <w:rsid w:val="009C62CD"/>
    <w:rsid w:val="009C62EA"/>
    <w:rsid w:val="009C62F8"/>
    <w:rsid w:val="009C7012"/>
    <w:rsid w:val="009C701F"/>
    <w:rsid w:val="009C73CB"/>
    <w:rsid w:val="009C7951"/>
    <w:rsid w:val="009C7B7D"/>
    <w:rsid w:val="009D0052"/>
    <w:rsid w:val="009D023D"/>
    <w:rsid w:val="009D03E1"/>
    <w:rsid w:val="009D057F"/>
    <w:rsid w:val="009D0581"/>
    <w:rsid w:val="009D07C3"/>
    <w:rsid w:val="009D0946"/>
    <w:rsid w:val="009D097D"/>
    <w:rsid w:val="009D09FF"/>
    <w:rsid w:val="009D0D3A"/>
    <w:rsid w:val="009D0D64"/>
    <w:rsid w:val="009D0F03"/>
    <w:rsid w:val="009D1027"/>
    <w:rsid w:val="009D15C6"/>
    <w:rsid w:val="009D17B9"/>
    <w:rsid w:val="009D19E9"/>
    <w:rsid w:val="009D1A67"/>
    <w:rsid w:val="009D1C02"/>
    <w:rsid w:val="009D1ED1"/>
    <w:rsid w:val="009D1F69"/>
    <w:rsid w:val="009D211F"/>
    <w:rsid w:val="009D2362"/>
    <w:rsid w:val="009D23F9"/>
    <w:rsid w:val="009D2546"/>
    <w:rsid w:val="009D2788"/>
    <w:rsid w:val="009D2C43"/>
    <w:rsid w:val="009D38BE"/>
    <w:rsid w:val="009D38D7"/>
    <w:rsid w:val="009D38F7"/>
    <w:rsid w:val="009D39CF"/>
    <w:rsid w:val="009D39D3"/>
    <w:rsid w:val="009D3B55"/>
    <w:rsid w:val="009D3D77"/>
    <w:rsid w:val="009D3DD0"/>
    <w:rsid w:val="009D406F"/>
    <w:rsid w:val="009D4459"/>
    <w:rsid w:val="009D4735"/>
    <w:rsid w:val="009D545A"/>
    <w:rsid w:val="009D558A"/>
    <w:rsid w:val="009D572A"/>
    <w:rsid w:val="009D5B07"/>
    <w:rsid w:val="009D5BCD"/>
    <w:rsid w:val="009D5BF0"/>
    <w:rsid w:val="009D5E81"/>
    <w:rsid w:val="009D6078"/>
    <w:rsid w:val="009D6282"/>
    <w:rsid w:val="009D6321"/>
    <w:rsid w:val="009D6606"/>
    <w:rsid w:val="009D669A"/>
    <w:rsid w:val="009D6877"/>
    <w:rsid w:val="009D6B83"/>
    <w:rsid w:val="009D6B9B"/>
    <w:rsid w:val="009D6CDA"/>
    <w:rsid w:val="009D6D44"/>
    <w:rsid w:val="009D70D7"/>
    <w:rsid w:val="009D71CC"/>
    <w:rsid w:val="009D7225"/>
    <w:rsid w:val="009D7620"/>
    <w:rsid w:val="009D7ECF"/>
    <w:rsid w:val="009E00EA"/>
    <w:rsid w:val="009E01B1"/>
    <w:rsid w:val="009E01D7"/>
    <w:rsid w:val="009E0208"/>
    <w:rsid w:val="009E02E3"/>
    <w:rsid w:val="009E037D"/>
    <w:rsid w:val="009E0593"/>
    <w:rsid w:val="009E0628"/>
    <w:rsid w:val="009E09FF"/>
    <w:rsid w:val="009E0CC9"/>
    <w:rsid w:val="009E0F4D"/>
    <w:rsid w:val="009E0FF3"/>
    <w:rsid w:val="009E10D6"/>
    <w:rsid w:val="009E11F6"/>
    <w:rsid w:val="009E1377"/>
    <w:rsid w:val="009E165F"/>
    <w:rsid w:val="009E16E7"/>
    <w:rsid w:val="009E171E"/>
    <w:rsid w:val="009E1A44"/>
    <w:rsid w:val="009E1C75"/>
    <w:rsid w:val="009E1CCF"/>
    <w:rsid w:val="009E1F4C"/>
    <w:rsid w:val="009E1F85"/>
    <w:rsid w:val="009E22FA"/>
    <w:rsid w:val="009E2483"/>
    <w:rsid w:val="009E2B6E"/>
    <w:rsid w:val="009E2D9C"/>
    <w:rsid w:val="009E2E6B"/>
    <w:rsid w:val="009E356E"/>
    <w:rsid w:val="009E3799"/>
    <w:rsid w:val="009E3F46"/>
    <w:rsid w:val="009E3FA9"/>
    <w:rsid w:val="009E44DA"/>
    <w:rsid w:val="009E4744"/>
    <w:rsid w:val="009E47E0"/>
    <w:rsid w:val="009E4878"/>
    <w:rsid w:val="009E4CB5"/>
    <w:rsid w:val="009E4CBA"/>
    <w:rsid w:val="009E4EC9"/>
    <w:rsid w:val="009E4FA3"/>
    <w:rsid w:val="009E5542"/>
    <w:rsid w:val="009E58B0"/>
    <w:rsid w:val="009E591B"/>
    <w:rsid w:val="009E5D00"/>
    <w:rsid w:val="009E5D3C"/>
    <w:rsid w:val="009E5D5A"/>
    <w:rsid w:val="009E67F6"/>
    <w:rsid w:val="009E6876"/>
    <w:rsid w:val="009E6B84"/>
    <w:rsid w:val="009E6D30"/>
    <w:rsid w:val="009E6DB6"/>
    <w:rsid w:val="009E75BC"/>
    <w:rsid w:val="009E75C9"/>
    <w:rsid w:val="009E784E"/>
    <w:rsid w:val="009E7F68"/>
    <w:rsid w:val="009F0630"/>
    <w:rsid w:val="009F092A"/>
    <w:rsid w:val="009F0984"/>
    <w:rsid w:val="009F0B36"/>
    <w:rsid w:val="009F0CAA"/>
    <w:rsid w:val="009F1180"/>
    <w:rsid w:val="009F1758"/>
    <w:rsid w:val="009F1C84"/>
    <w:rsid w:val="009F2114"/>
    <w:rsid w:val="009F2262"/>
    <w:rsid w:val="009F25EC"/>
    <w:rsid w:val="009F28E2"/>
    <w:rsid w:val="009F299F"/>
    <w:rsid w:val="009F2C2D"/>
    <w:rsid w:val="009F2FC5"/>
    <w:rsid w:val="009F323D"/>
    <w:rsid w:val="009F3315"/>
    <w:rsid w:val="009F3377"/>
    <w:rsid w:val="009F3910"/>
    <w:rsid w:val="009F3BB6"/>
    <w:rsid w:val="009F3BCC"/>
    <w:rsid w:val="009F4171"/>
    <w:rsid w:val="009F42E8"/>
    <w:rsid w:val="009F441E"/>
    <w:rsid w:val="009F4462"/>
    <w:rsid w:val="009F4563"/>
    <w:rsid w:val="009F4583"/>
    <w:rsid w:val="009F47CE"/>
    <w:rsid w:val="009F4A66"/>
    <w:rsid w:val="009F4ADA"/>
    <w:rsid w:val="009F4BA8"/>
    <w:rsid w:val="009F5858"/>
    <w:rsid w:val="009F6239"/>
    <w:rsid w:val="009F6658"/>
    <w:rsid w:val="009F67CD"/>
    <w:rsid w:val="009F6A0D"/>
    <w:rsid w:val="009F6BF2"/>
    <w:rsid w:val="009F6C05"/>
    <w:rsid w:val="009F7100"/>
    <w:rsid w:val="009F7294"/>
    <w:rsid w:val="009F734C"/>
    <w:rsid w:val="009F7382"/>
    <w:rsid w:val="009F746A"/>
    <w:rsid w:val="009F76DB"/>
    <w:rsid w:val="009F780D"/>
    <w:rsid w:val="009F797D"/>
    <w:rsid w:val="009F7C0A"/>
    <w:rsid w:val="009F7C9B"/>
    <w:rsid w:val="009F7E3B"/>
    <w:rsid w:val="009F7E63"/>
    <w:rsid w:val="009F7E8C"/>
    <w:rsid w:val="009F7FB3"/>
    <w:rsid w:val="00A00114"/>
    <w:rsid w:val="00A0079A"/>
    <w:rsid w:val="00A00BA5"/>
    <w:rsid w:val="00A00BC9"/>
    <w:rsid w:val="00A00C54"/>
    <w:rsid w:val="00A00CB1"/>
    <w:rsid w:val="00A010E5"/>
    <w:rsid w:val="00A0134D"/>
    <w:rsid w:val="00A017A8"/>
    <w:rsid w:val="00A019F1"/>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712"/>
    <w:rsid w:val="00A04765"/>
    <w:rsid w:val="00A047F2"/>
    <w:rsid w:val="00A0481B"/>
    <w:rsid w:val="00A04BE7"/>
    <w:rsid w:val="00A04CFA"/>
    <w:rsid w:val="00A04D9F"/>
    <w:rsid w:val="00A05069"/>
    <w:rsid w:val="00A050D7"/>
    <w:rsid w:val="00A05148"/>
    <w:rsid w:val="00A0534B"/>
    <w:rsid w:val="00A058FA"/>
    <w:rsid w:val="00A05FFE"/>
    <w:rsid w:val="00A06076"/>
    <w:rsid w:val="00A06126"/>
    <w:rsid w:val="00A0638A"/>
    <w:rsid w:val="00A0642A"/>
    <w:rsid w:val="00A068FF"/>
    <w:rsid w:val="00A069D1"/>
    <w:rsid w:val="00A06BBC"/>
    <w:rsid w:val="00A06E2E"/>
    <w:rsid w:val="00A06F6E"/>
    <w:rsid w:val="00A070B7"/>
    <w:rsid w:val="00A074B7"/>
    <w:rsid w:val="00A07646"/>
    <w:rsid w:val="00A076EE"/>
    <w:rsid w:val="00A07848"/>
    <w:rsid w:val="00A078D5"/>
    <w:rsid w:val="00A07991"/>
    <w:rsid w:val="00A079A5"/>
    <w:rsid w:val="00A07ACD"/>
    <w:rsid w:val="00A07B27"/>
    <w:rsid w:val="00A07D0A"/>
    <w:rsid w:val="00A07F1F"/>
    <w:rsid w:val="00A07FD2"/>
    <w:rsid w:val="00A07FF1"/>
    <w:rsid w:val="00A1008B"/>
    <w:rsid w:val="00A100AB"/>
    <w:rsid w:val="00A102B8"/>
    <w:rsid w:val="00A104CE"/>
    <w:rsid w:val="00A106AC"/>
    <w:rsid w:val="00A1092B"/>
    <w:rsid w:val="00A10A3F"/>
    <w:rsid w:val="00A10A4D"/>
    <w:rsid w:val="00A10AFA"/>
    <w:rsid w:val="00A10C05"/>
    <w:rsid w:val="00A10CDE"/>
    <w:rsid w:val="00A1135A"/>
    <w:rsid w:val="00A11545"/>
    <w:rsid w:val="00A1194F"/>
    <w:rsid w:val="00A11EAA"/>
    <w:rsid w:val="00A1219D"/>
    <w:rsid w:val="00A121A4"/>
    <w:rsid w:val="00A1223D"/>
    <w:rsid w:val="00A12DE8"/>
    <w:rsid w:val="00A12F1D"/>
    <w:rsid w:val="00A12FE0"/>
    <w:rsid w:val="00A139FC"/>
    <w:rsid w:val="00A13A10"/>
    <w:rsid w:val="00A13A89"/>
    <w:rsid w:val="00A13AC8"/>
    <w:rsid w:val="00A13D72"/>
    <w:rsid w:val="00A13E76"/>
    <w:rsid w:val="00A143E1"/>
    <w:rsid w:val="00A143F0"/>
    <w:rsid w:val="00A14598"/>
    <w:rsid w:val="00A14748"/>
    <w:rsid w:val="00A147BE"/>
    <w:rsid w:val="00A14887"/>
    <w:rsid w:val="00A14DE8"/>
    <w:rsid w:val="00A14F5E"/>
    <w:rsid w:val="00A150BE"/>
    <w:rsid w:val="00A1519C"/>
    <w:rsid w:val="00A152E5"/>
    <w:rsid w:val="00A156C7"/>
    <w:rsid w:val="00A15BD1"/>
    <w:rsid w:val="00A15F04"/>
    <w:rsid w:val="00A15F6E"/>
    <w:rsid w:val="00A160A9"/>
    <w:rsid w:val="00A16596"/>
    <w:rsid w:val="00A1680D"/>
    <w:rsid w:val="00A168D9"/>
    <w:rsid w:val="00A1694C"/>
    <w:rsid w:val="00A16CA1"/>
    <w:rsid w:val="00A16CD5"/>
    <w:rsid w:val="00A16EA7"/>
    <w:rsid w:val="00A17102"/>
    <w:rsid w:val="00A1716C"/>
    <w:rsid w:val="00A1749D"/>
    <w:rsid w:val="00A176FF"/>
    <w:rsid w:val="00A1799A"/>
    <w:rsid w:val="00A17CC1"/>
    <w:rsid w:val="00A17E27"/>
    <w:rsid w:val="00A2023A"/>
    <w:rsid w:val="00A202BC"/>
    <w:rsid w:val="00A2037A"/>
    <w:rsid w:val="00A2047F"/>
    <w:rsid w:val="00A213A6"/>
    <w:rsid w:val="00A2190F"/>
    <w:rsid w:val="00A21962"/>
    <w:rsid w:val="00A21B20"/>
    <w:rsid w:val="00A21D6F"/>
    <w:rsid w:val="00A21DA9"/>
    <w:rsid w:val="00A21DDD"/>
    <w:rsid w:val="00A21EDD"/>
    <w:rsid w:val="00A22037"/>
    <w:rsid w:val="00A222CC"/>
    <w:rsid w:val="00A22856"/>
    <w:rsid w:val="00A22BA1"/>
    <w:rsid w:val="00A2313C"/>
    <w:rsid w:val="00A23718"/>
    <w:rsid w:val="00A23741"/>
    <w:rsid w:val="00A23764"/>
    <w:rsid w:val="00A23799"/>
    <w:rsid w:val="00A23876"/>
    <w:rsid w:val="00A238F3"/>
    <w:rsid w:val="00A23A52"/>
    <w:rsid w:val="00A23AB0"/>
    <w:rsid w:val="00A241A2"/>
    <w:rsid w:val="00A2465A"/>
    <w:rsid w:val="00A24949"/>
    <w:rsid w:val="00A2507A"/>
    <w:rsid w:val="00A252E4"/>
    <w:rsid w:val="00A25A30"/>
    <w:rsid w:val="00A25D3B"/>
    <w:rsid w:val="00A25F0B"/>
    <w:rsid w:val="00A260C4"/>
    <w:rsid w:val="00A266C3"/>
    <w:rsid w:val="00A266C5"/>
    <w:rsid w:val="00A26704"/>
    <w:rsid w:val="00A268A8"/>
    <w:rsid w:val="00A26B02"/>
    <w:rsid w:val="00A26B03"/>
    <w:rsid w:val="00A26C43"/>
    <w:rsid w:val="00A26D60"/>
    <w:rsid w:val="00A26E70"/>
    <w:rsid w:val="00A2712F"/>
    <w:rsid w:val="00A271DD"/>
    <w:rsid w:val="00A27303"/>
    <w:rsid w:val="00A27448"/>
    <w:rsid w:val="00A278A8"/>
    <w:rsid w:val="00A278DB"/>
    <w:rsid w:val="00A27E50"/>
    <w:rsid w:val="00A3020D"/>
    <w:rsid w:val="00A30370"/>
    <w:rsid w:val="00A303CF"/>
    <w:rsid w:val="00A3052D"/>
    <w:rsid w:val="00A308B2"/>
    <w:rsid w:val="00A309C6"/>
    <w:rsid w:val="00A30BC0"/>
    <w:rsid w:val="00A30C55"/>
    <w:rsid w:val="00A30F98"/>
    <w:rsid w:val="00A3115A"/>
    <w:rsid w:val="00A313F8"/>
    <w:rsid w:val="00A31657"/>
    <w:rsid w:val="00A31734"/>
    <w:rsid w:val="00A31778"/>
    <w:rsid w:val="00A317A3"/>
    <w:rsid w:val="00A317D2"/>
    <w:rsid w:val="00A317EB"/>
    <w:rsid w:val="00A3187D"/>
    <w:rsid w:val="00A31BA2"/>
    <w:rsid w:val="00A31C8F"/>
    <w:rsid w:val="00A320E5"/>
    <w:rsid w:val="00A32101"/>
    <w:rsid w:val="00A3227D"/>
    <w:rsid w:val="00A322D2"/>
    <w:rsid w:val="00A326F2"/>
    <w:rsid w:val="00A3277F"/>
    <w:rsid w:val="00A32AFC"/>
    <w:rsid w:val="00A32E4E"/>
    <w:rsid w:val="00A32F7C"/>
    <w:rsid w:val="00A33019"/>
    <w:rsid w:val="00A3301F"/>
    <w:rsid w:val="00A33384"/>
    <w:rsid w:val="00A333F6"/>
    <w:rsid w:val="00A335E3"/>
    <w:rsid w:val="00A336E7"/>
    <w:rsid w:val="00A33BAE"/>
    <w:rsid w:val="00A33D3C"/>
    <w:rsid w:val="00A33F4E"/>
    <w:rsid w:val="00A3430F"/>
    <w:rsid w:val="00A3443F"/>
    <w:rsid w:val="00A34538"/>
    <w:rsid w:val="00A347CC"/>
    <w:rsid w:val="00A34882"/>
    <w:rsid w:val="00A349DD"/>
    <w:rsid w:val="00A34BA3"/>
    <w:rsid w:val="00A34C19"/>
    <w:rsid w:val="00A34D12"/>
    <w:rsid w:val="00A350A5"/>
    <w:rsid w:val="00A3538D"/>
    <w:rsid w:val="00A354E8"/>
    <w:rsid w:val="00A3553E"/>
    <w:rsid w:val="00A357C1"/>
    <w:rsid w:val="00A358C4"/>
    <w:rsid w:val="00A35922"/>
    <w:rsid w:val="00A35ACA"/>
    <w:rsid w:val="00A35B65"/>
    <w:rsid w:val="00A35B9D"/>
    <w:rsid w:val="00A35E7B"/>
    <w:rsid w:val="00A35E89"/>
    <w:rsid w:val="00A36400"/>
    <w:rsid w:val="00A3647F"/>
    <w:rsid w:val="00A36493"/>
    <w:rsid w:val="00A36842"/>
    <w:rsid w:val="00A36C43"/>
    <w:rsid w:val="00A36C9C"/>
    <w:rsid w:val="00A36EFF"/>
    <w:rsid w:val="00A372A5"/>
    <w:rsid w:val="00A37574"/>
    <w:rsid w:val="00A37887"/>
    <w:rsid w:val="00A37944"/>
    <w:rsid w:val="00A37F07"/>
    <w:rsid w:val="00A40325"/>
    <w:rsid w:val="00A40834"/>
    <w:rsid w:val="00A4089E"/>
    <w:rsid w:val="00A408C0"/>
    <w:rsid w:val="00A40FE5"/>
    <w:rsid w:val="00A4103C"/>
    <w:rsid w:val="00A4109C"/>
    <w:rsid w:val="00A415E6"/>
    <w:rsid w:val="00A41726"/>
    <w:rsid w:val="00A41925"/>
    <w:rsid w:val="00A41B00"/>
    <w:rsid w:val="00A41D03"/>
    <w:rsid w:val="00A42026"/>
    <w:rsid w:val="00A421C4"/>
    <w:rsid w:val="00A422E0"/>
    <w:rsid w:val="00A427D6"/>
    <w:rsid w:val="00A42865"/>
    <w:rsid w:val="00A42AF7"/>
    <w:rsid w:val="00A42BED"/>
    <w:rsid w:val="00A42D88"/>
    <w:rsid w:val="00A42EFE"/>
    <w:rsid w:val="00A4327B"/>
    <w:rsid w:val="00A43727"/>
    <w:rsid w:val="00A438EC"/>
    <w:rsid w:val="00A43EF4"/>
    <w:rsid w:val="00A43F9B"/>
    <w:rsid w:val="00A44066"/>
    <w:rsid w:val="00A445E5"/>
    <w:rsid w:val="00A44625"/>
    <w:rsid w:val="00A44C91"/>
    <w:rsid w:val="00A44EA7"/>
    <w:rsid w:val="00A451A0"/>
    <w:rsid w:val="00A45368"/>
    <w:rsid w:val="00A4542B"/>
    <w:rsid w:val="00A45D10"/>
    <w:rsid w:val="00A45DAE"/>
    <w:rsid w:val="00A45FF3"/>
    <w:rsid w:val="00A464C8"/>
    <w:rsid w:val="00A46B7A"/>
    <w:rsid w:val="00A4707A"/>
    <w:rsid w:val="00A47281"/>
    <w:rsid w:val="00A4765F"/>
    <w:rsid w:val="00A47868"/>
    <w:rsid w:val="00A47B26"/>
    <w:rsid w:val="00A47D63"/>
    <w:rsid w:val="00A47ECE"/>
    <w:rsid w:val="00A47F4C"/>
    <w:rsid w:val="00A50328"/>
    <w:rsid w:val="00A504C0"/>
    <w:rsid w:val="00A505DE"/>
    <w:rsid w:val="00A50CDF"/>
    <w:rsid w:val="00A50D3F"/>
    <w:rsid w:val="00A50D81"/>
    <w:rsid w:val="00A50D97"/>
    <w:rsid w:val="00A50DBB"/>
    <w:rsid w:val="00A5102B"/>
    <w:rsid w:val="00A51164"/>
    <w:rsid w:val="00A511EF"/>
    <w:rsid w:val="00A514FD"/>
    <w:rsid w:val="00A51818"/>
    <w:rsid w:val="00A51940"/>
    <w:rsid w:val="00A51A3F"/>
    <w:rsid w:val="00A52240"/>
    <w:rsid w:val="00A525F4"/>
    <w:rsid w:val="00A52857"/>
    <w:rsid w:val="00A529E8"/>
    <w:rsid w:val="00A52F5A"/>
    <w:rsid w:val="00A5314F"/>
    <w:rsid w:val="00A53164"/>
    <w:rsid w:val="00A531BB"/>
    <w:rsid w:val="00A5327C"/>
    <w:rsid w:val="00A53A7F"/>
    <w:rsid w:val="00A53AE7"/>
    <w:rsid w:val="00A53F6A"/>
    <w:rsid w:val="00A54056"/>
    <w:rsid w:val="00A541B7"/>
    <w:rsid w:val="00A54439"/>
    <w:rsid w:val="00A544E4"/>
    <w:rsid w:val="00A545A0"/>
    <w:rsid w:val="00A54842"/>
    <w:rsid w:val="00A549DA"/>
    <w:rsid w:val="00A54EA6"/>
    <w:rsid w:val="00A54F75"/>
    <w:rsid w:val="00A55110"/>
    <w:rsid w:val="00A55871"/>
    <w:rsid w:val="00A558F9"/>
    <w:rsid w:val="00A55953"/>
    <w:rsid w:val="00A5597C"/>
    <w:rsid w:val="00A55B2C"/>
    <w:rsid w:val="00A55B31"/>
    <w:rsid w:val="00A56120"/>
    <w:rsid w:val="00A56624"/>
    <w:rsid w:val="00A56AC9"/>
    <w:rsid w:val="00A56B59"/>
    <w:rsid w:val="00A56C71"/>
    <w:rsid w:val="00A57200"/>
    <w:rsid w:val="00A5721C"/>
    <w:rsid w:val="00A57434"/>
    <w:rsid w:val="00A574FA"/>
    <w:rsid w:val="00A575ED"/>
    <w:rsid w:val="00A57EB4"/>
    <w:rsid w:val="00A600D5"/>
    <w:rsid w:val="00A60287"/>
    <w:rsid w:val="00A602AE"/>
    <w:rsid w:val="00A60563"/>
    <w:rsid w:val="00A60A26"/>
    <w:rsid w:val="00A60B88"/>
    <w:rsid w:val="00A60BB9"/>
    <w:rsid w:val="00A60CF4"/>
    <w:rsid w:val="00A60D2F"/>
    <w:rsid w:val="00A611D9"/>
    <w:rsid w:val="00A61239"/>
    <w:rsid w:val="00A61446"/>
    <w:rsid w:val="00A6146C"/>
    <w:rsid w:val="00A614EB"/>
    <w:rsid w:val="00A614EC"/>
    <w:rsid w:val="00A6165A"/>
    <w:rsid w:val="00A61705"/>
    <w:rsid w:val="00A61E6C"/>
    <w:rsid w:val="00A61F47"/>
    <w:rsid w:val="00A62293"/>
    <w:rsid w:val="00A62781"/>
    <w:rsid w:val="00A627DF"/>
    <w:rsid w:val="00A62D5D"/>
    <w:rsid w:val="00A62E3F"/>
    <w:rsid w:val="00A62FC9"/>
    <w:rsid w:val="00A63029"/>
    <w:rsid w:val="00A6304E"/>
    <w:rsid w:val="00A63410"/>
    <w:rsid w:val="00A6363B"/>
    <w:rsid w:val="00A63A40"/>
    <w:rsid w:val="00A63C9C"/>
    <w:rsid w:val="00A63D22"/>
    <w:rsid w:val="00A63DC5"/>
    <w:rsid w:val="00A63F85"/>
    <w:rsid w:val="00A644F4"/>
    <w:rsid w:val="00A64769"/>
    <w:rsid w:val="00A64775"/>
    <w:rsid w:val="00A64C87"/>
    <w:rsid w:val="00A65106"/>
    <w:rsid w:val="00A653DA"/>
    <w:rsid w:val="00A654E7"/>
    <w:rsid w:val="00A6578A"/>
    <w:rsid w:val="00A6591E"/>
    <w:rsid w:val="00A65A68"/>
    <w:rsid w:val="00A65C97"/>
    <w:rsid w:val="00A65CCF"/>
    <w:rsid w:val="00A65DAD"/>
    <w:rsid w:val="00A65E23"/>
    <w:rsid w:val="00A6608F"/>
    <w:rsid w:val="00A661CC"/>
    <w:rsid w:val="00A66234"/>
    <w:rsid w:val="00A6633A"/>
    <w:rsid w:val="00A66C00"/>
    <w:rsid w:val="00A66C65"/>
    <w:rsid w:val="00A66D34"/>
    <w:rsid w:val="00A66DE4"/>
    <w:rsid w:val="00A67215"/>
    <w:rsid w:val="00A672D7"/>
    <w:rsid w:val="00A67849"/>
    <w:rsid w:val="00A67913"/>
    <w:rsid w:val="00A67969"/>
    <w:rsid w:val="00A679F5"/>
    <w:rsid w:val="00A67A73"/>
    <w:rsid w:val="00A67B22"/>
    <w:rsid w:val="00A67DAB"/>
    <w:rsid w:val="00A67EC3"/>
    <w:rsid w:val="00A70218"/>
    <w:rsid w:val="00A70D18"/>
    <w:rsid w:val="00A70EF8"/>
    <w:rsid w:val="00A7113E"/>
    <w:rsid w:val="00A714FB"/>
    <w:rsid w:val="00A715AD"/>
    <w:rsid w:val="00A716BA"/>
    <w:rsid w:val="00A71A6C"/>
    <w:rsid w:val="00A721C5"/>
    <w:rsid w:val="00A722A2"/>
    <w:rsid w:val="00A72432"/>
    <w:rsid w:val="00A7252D"/>
    <w:rsid w:val="00A72D04"/>
    <w:rsid w:val="00A73252"/>
    <w:rsid w:val="00A73704"/>
    <w:rsid w:val="00A73797"/>
    <w:rsid w:val="00A73884"/>
    <w:rsid w:val="00A73E86"/>
    <w:rsid w:val="00A74064"/>
    <w:rsid w:val="00A74260"/>
    <w:rsid w:val="00A743F8"/>
    <w:rsid w:val="00A74599"/>
    <w:rsid w:val="00A7483E"/>
    <w:rsid w:val="00A748F0"/>
    <w:rsid w:val="00A74934"/>
    <w:rsid w:val="00A74A6B"/>
    <w:rsid w:val="00A74B9B"/>
    <w:rsid w:val="00A74F50"/>
    <w:rsid w:val="00A75077"/>
    <w:rsid w:val="00A750EE"/>
    <w:rsid w:val="00A7558A"/>
    <w:rsid w:val="00A75892"/>
    <w:rsid w:val="00A759D5"/>
    <w:rsid w:val="00A75A1F"/>
    <w:rsid w:val="00A75CD1"/>
    <w:rsid w:val="00A76085"/>
    <w:rsid w:val="00A7642D"/>
    <w:rsid w:val="00A76557"/>
    <w:rsid w:val="00A766E4"/>
    <w:rsid w:val="00A766FF"/>
    <w:rsid w:val="00A76917"/>
    <w:rsid w:val="00A76B0A"/>
    <w:rsid w:val="00A76BFF"/>
    <w:rsid w:val="00A76F02"/>
    <w:rsid w:val="00A77953"/>
    <w:rsid w:val="00A77C21"/>
    <w:rsid w:val="00A77D6D"/>
    <w:rsid w:val="00A80106"/>
    <w:rsid w:val="00A8014C"/>
    <w:rsid w:val="00A808DB"/>
    <w:rsid w:val="00A80B2C"/>
    <w:rsid w:val="00A80B3C"/>
    <w:rsid w:val="00A80FF2"/>
    <w:rsid w:val="00A81252"/>
    <w:rsid w:val="00A81516"/>
    <w:rsid w:val="00A81A94"/>
    <w:rsid w:val="00A81AEB"/>
    <w:rsid w:val="00A81CB0"/>
    <w:rsid w:val="00A81D28"/>
    <w:rsid w:val="00A81D45"/>
    <w:rsid w:val="00A81F9A"/>
    <w:rsid w:val="00A8223B"/>
    <w:rsid w:val="00A822DD"/>
    <w:rsid w:val="00A824C4"/>
    <w:rsid w:val="00A82534"/>
    <w:rsid w:val="00A826B2"/>
    <w:rsid w:val="00A82923"/>
    <w:rsid w:val="00A82948"/>
    <w:rsid w:val="00A82AD0"/>
    <w:rsid w:val="00A82BA1"/>
    <w:rsid w:val="00A82C5B"/>
    <w:rsid w:val="00A82C9E"/>
    <w:rsid w:val="00A82E29"/>
    <w:rsid w:val="00A82EAC"/>
    <w:rsid w:val="00A82F7B"/>
    <w:rsid w:val="00A8303F"/>
    <w:rsid w:val="00A83103"/>
    <w:rsid w:val="00A8329D"/>
    <w:rsid w:val="00A8364E"/>
    <w:rsid w:val="00A83ACF"/>
    <w:rsid w:val="00A83AFB"/>
    <w:rsid w:val="00A83EEE"/>
    <w:rsid w:val="00A83F81"/>
    <w:rsid w:val="00A843C4"/>
    <w:rsid w:val="00A845F6"/>
    <w:rsid w:val="00A84914"/>
    <w:rsid w:val="00A84D50"/>
    <w:rsid w:val="00A84E12"/>
    <w:rsid w:val="00A85163"/>
    <w:rsid w:val="00A851A1"/>
    <w:rsid w:val="00A85346"/>
    <w:rsid w:val="00A85D0F"/>
    <w:rsid w:val="00A85D1C"/>
    <w:rsid w:val="00A85EDA"/>
    <w:rsid w:val="00A86039"/>
    <w:rsid w:val="00A860BF"/>
    <w:rsid w:val="00A860C3"/>
    <w:rsid w:val="00A860F3"/>
    <w:rsid w:val="00A8699F"/>
    <w:rsid w:val="00A86A29"/>
    <w:rsid w:val="00A86B68"/>
    <w:rsid w:val="00A86C7B"/>
    <w:rsid w:val="00A86E2E"/>
    <w:rsid w:val="00A87104"/>
    <w:rsid w:val="00A87332"/>
    <w:rsid w:val="00A878B9"/>
    <w:rsid w:val="00A87DD8"/>
    <w:rsid w:val="00A87ECB"/>
    <w:rsid w:val="00A87FF6"/>
    <w:rsid w:val="00A902F7"/>
    <w:rsid w:val="00A903D5"/>
    <w:rsid w:val="00A90503"/>
    <w:rsid w:val="00A90A95"/>
    <w:rsid w:val="00A90B83"/>
    <w:rsid w:val="00A90CDE"/>
    <w:rsid w:val="00A90E03"/>
    <w:rsid w:val="00A9108B"/>
    <w:rsid w:val="00A9119A"/>
    <w:rsid w:val="00A911F3"/>
    <w:rsid w:val="00A91979"/>
    <w:rsid w:val="00A91C9E"/>
    <w:rsid w:val="00A92037"/>
    <w:rsid w:val="00A9259C"/>
    <w:rsid w:val="00A927C2"/>
    <w:rsid w:val="00A9289F"/>
    <w:rsid w:val="00A92A30"/>
    <w:rsid w:val="00A92C29"/>
    <w:rsid w:val="00A93036"/>
    <w:rsid w:val="00A93262"/>
    <w:rsid w:val="00A93636"/>
    <w:rsid w:val="00A93719"/>
    <w:rsid w:val="00A93749"/>
    <w:rsid w:val="00A9396C"/>
    <w:rsid w:val="00A93DAA"/>
    <w:rsid w:val="00A93DD6"/>
    <w:rsid w:val="00A93F7E"/>
    <w:rsid w:val="00A9453E"/>
    <w:rsid w:val="00A9485D"/>
    <w:rsid w:val="00A949AE"/>
    <w:rsid w:val="00A949FF"/>
    <w:rsid w:val="00A94BEE"/>
    <w:rsid w:val="00A94C15"/>
    <w:rsid w:val="00A94DFA"/>
    <w:rsid w:val="00A94F3E"/>
    <w:rsid w:val="00A94F59"/>
    <w:rsid w:val="00A9501B"/>
    <w:rsid w:val="00A951CD"/>
    <w:rsid w:val="00A9522D"/>
    <w:rsid w:val="00A95300"/>
    <w:rsid w:val="00A9550C"/>
    <w:rsid w:val="00A956B1"/>
    <w:rsid w:val="00A95932"/>
    <w:rsid w:val="00A95A12"/>
    <w:rsid w:val="00A95A19"/>
    <w:rsid w:val="00A95D13"/>
    <w:rsid w:val="00A95DED"/>
    <w:rsid w:val="00A961DE"/>
    <w:rsid w:val="00A962F1"/>
    <w:rsid w:val="00A9663C"/>
    <w:rsid w:val="00A9681E"/>
    <w:rsid w:val="00A96A38"/>
    <w:rsid w:val="00A96B2E"/>
    <w:rsid w:val="00A96E4B"/>
    <w:rsid w:val="00A97254"/>
    <w:rsid w:val="00A97287"/>
    <w:rsid w:val="00A97670"/>
    <w:rsid w:val="00A97948"/>
    <w:rsid w:val="00A97B74"/>
    <w:rsid w:val="00A97E96"/>
    <w:rsid w:val="00A97EAA"/>
    <w:rsid w:val="00AA007A"/>
    <w:rsid w:val="00AA0235"/>
    <w:rsid w:val="00AA02FE"/>
    <w:rsid w:val="00AA0772"/>
    <w:rsid w:val="00AA0D4C"/>
    <w:rsid w:val="00AA0D6A"/>
    <w:rsid w:val="00AA0E8A"/>
    <w:rsid w:val="00AA12B3"/>
    <w:rsid w:val="00AA12C5"/>
    <w:rsid w:val="00AA159C"/>
    <w:rsid w:val="00AA182E"/>
    <w:rsid w:val="00AA1C89"/>
    <w:rsid w:val="00AA1E82"/>
    <w:rsid w:val="00AA1E89"/>
    <w:rsid w:val="00AA255D"/>
    <w:rsid w:val="00AA274B"/>
    <w:rsid w:val="00AA3169"/>
    <w:rsid w:val="00AA353F"/>
    <w:rsid w:val="00AA35B4"/>
    <w:rsid w:val="00AA3603"/>
    <w:rsid w:val="00AA3B49"/>
    <w:rsid w:val="00AA3B57"/>
    <w:rsid w:val="00AA3B74"/>
    <w:rsid w:val="00AA4179"/>
    <w:rsid w:val="00AA46F0"/>
    <w:rsid w:val="00AA4801"/>
    <w:rsid w:val="00AA4DB7"/>
    <w:rsid w:val="00AA4DD2"/>
    <w:rsid w:val="00AA4E64"/>
    <w:rsid w:val="00AA4F9C"/>
    <w:rsid w:val="00AA5069"/>
    <w:rsid w:val="00AA5443"/>
    <w:rsid w:val="00AA5CF6"/>
    <w:rsid w:val="00AA5F1A"/>
    <w:rsid w:val="00AA607B"/>
    <w:rsid w:val="00AA62EC"/>
    <w:rsid w:val="00AA6586"/>
    <w:rsid w:val="00AA685A"/>
    <w:rsid w:val="00AA6C3C"/>
    <w:rsid w:val="00AA71F4"/>
    <w:rsid w:val="00AA7225"/>
    <w:rsid w:val="00AA73C3"/>
    <w:rsid w:val="00AA756E"/>
    <w:rsid w:val="00AA7586"/>
    <w:rsid w:val="00AA75F7"/>
    <w:rsid w:val="00AA7691"/>
    <w:rsid w:val="00AA7713"/>
    <w:rsid w:val="00AA7A54"/>
    <w:rsid w:val="00AA7D7B"/>
    <w:rsid w:val="00AA7DB5"/>
    <w:rsid w:val="00AA7DEE"/>
    <w:rsid w:val="00AA7E3A"/>
    <w:rsid w:val="00AB04C5"/>
    <w:rsid w:val="00AB0588"/>
    <w:rsid w:val="00AB067C"/>
    <w:rsid w:val="00AB073E"/>
    <w:rsid w:val="00AB0950"/>
    <w:rsid w:val="00AB0989"/>
    <w:rsid w:val="00AB0AAB"/>
    <w:rsid w:val="00AB117D"/>
    <w:rsid w:val="00AB13AF"/>
    <w:rsid w:val="00AB14AE"/>
    <w:rsid w:val="00AB14D7"/>
    <w:rsid w:val="00AB164D"/>
    <w:rsid w:val="00AB16B0"/>
    <w:rsid w:val="00AB1A13"/>
    <w:rsid w:val="00AB1D66"/>
    <w:rsid w:val="00AB208F"/>
    <w:rsid w:val="00AB240C"/>
    <w:rsid w:val="00AB24C5"/>
    <w:rsid w:val="00AB2584"/>
    <w:rsid w:val="00AB25BF"/>
    <w:rsid w:val="00AB2662"/>
    <w:rsid w:val="00AB29E8"/>
    <w:rsid w:val="00AB2AEB"/>
    <w:rsid w:val="00AB2E87"/>
    <w:rsid w:val="00AB3173"/>
    <w:rsid w:val="00AB31BC"/>
    <w:rsid w:val="00AB3544"/>
    <w:rsid w:val="00AB3757"/>
    <w:rsid w:val="00AB3D7C"/>
    <w:rsid w:val="00AB3F82"/>
    <w:rsid w:val="00AB3FBA"/>
    <w:rsid w:val="00AB424B"/>
    <w:rsid w:val="00AB431F"/>
    <w:rsid w:val="00AB4563"/>
    <w:rsid w:val="00AB47DC"/>
    <w:rsid w:val="00AB4E79"/>
    <w:rsid w:val="00AB4E9F"/>
    <w:rsid w:val="00AB506E"/>
    <w:rsid w:val="00AB5272"/>
    <w:rsid w:val="00AB5493"/>
    <w:rsid w:val="00AB54D6"/>
    <w:rsid w:val="00AB5666"/>
    <w:rsid w:val="00AB5A29"/>
    <w:rsid w:val="00AB5CDF"/>
    <w:rsid w:val="00AB60E2"/>
    <w:rsid w:val="00AB63B3"/>
    <w:rsid w:val="00AB664C"/>
    <w:rsid w:val="00AB66C5"/>
    <w:rsid w:val="00AB6B3F"/>
    <w:rsid w:val="00AB6E87"/>
    <w:rsid w:val="00AB6FFE"/>
    <w:rsid w:val="00AB757F"/>
    <w:rsid w:val="00AB7A2F"/>
    <w:rsid w:val="00AB7EC9"/>
    <w:rsid w:val="00AC00C4"/>
    <w:rsid w:val="00AC021B"/>
    <w:rsid w:val="00AC0283"/>
    <w:rsid w:val="00AC04A8"/>
    <w:rsid w:val="00AC0529"/>
    <w:rsid w:val="00AC07C0"/>
    <w:rsid w:val="00AC07DD"/>
    <w:rsid w:val="00AC0A1D"/>
    <w:rsid w:val="00AC0A35"/>
    <w:rsid w:val="00AC0B0B"/>
    <w:rsid w:val="00AC0CE2"/>
    <w:rsid w:val="00AC126F"/>
    <w:rsid w:val="00AC1736"/>
    <w:rsid w:val="00AC190C"/>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478"/>
    <w:rsid w:val="00AC35FD"/>
    <w:rsid w:val="00AC3685"/>
    <w:rsid w:val="00AC36CD"/>
    <w:rsid w:val="00AC3A86"/>
    <w:rsid w:val="00AC3D4D"/>
    <w:rsid w:val="00AC3D80"/>
    <w:rsid w:val="00AC3F70"/>
    <w:rsid w:val="00AC417B"/>
    <w:rsid w:val="00AC42ED"/>
    <w:rsid w:val="00AC446F"/>
    <w:rsid w:val="00AC4659"/>
    <w:rsid w:val="00AC48B8"/>
    <w:rsid w:val="00AC4BB9"/>
    <w:rsid w:val="00AC4CCC"/>
    <w:rsid w:val="00AC4F69"/>
    <w:rsid w:val="00AC58C6"/>
    <w:rsid w:val="00AC5A33"/>
    <w:rsid w:val="00AC5B1B"/>
    <w:rsid w:val="00AC5CEA"/>
    <w:rsid w:val="00AC5D5A"/>
    <w:rsid w:val="00AC5D6E"/>
    <w:rsid w:val="00AC624F"/>
    <w:rsid w:val="00AC6862"/>
    <w:rsid w:val="00AC6BCD"/>
    <w:rsid w:val="00AC6C7E"/>
    <w:rsid w:val="00AC6E73"/>
    <w:rsid w:val="00AC6F02"/>
    <w:rsid w:val="00AC6F7A"/>
    <w:rsid w:val="00AC706F"/>
    <w:rsid w:val="00AC71D8"/>
    <w:rsid w:val="00AC723A"/>
    <w:rsid w:val="00AC7383"/>
    <w:rsid w:val="00AC745C"/>
    <w:rsid w:val="00AC75A9"/>
    <w:rsid w:val="00AC7665"/>
    <w:rsid w:val="00AC7812"/>
    <w:rsid w:val="00AC79CC"/>
    <w:rsid w:val="00AC7D5E"/>
    <w:rsid w:val="00AC7D89"/>
    <w:rsid w:val="00AC7F2F"/>
    <w:rsid w:val="00AD010E"/>
    <w:rsid w:val="00AD0326"/>
    <w:rsid w:val="00AD069D"/>
    <w:rsid w:val="00AD06BC"/>
    <w:rsid w:val="00AD09B3"/>
    <w:rsid w:val="00AD0CF7"/>
    <w:rsid w:val="00AD1198"/>
    <w:rsid w:val="00AD129A"/>
    <w:rsid w:val="00AD1779"/>
    <w:rsid w:val="00AD188A"/>
    <w:rsid w:val="00AD1A1F"/>
    <w:rsid w:val="00AD1B7B"/>
    <w:rsid w:val="00AD1C47"/>
    <w:rsid w:val="00AD1D52"/>
    <w:rsid w:val="00AD21A1"/>
    <w:rsid w:val="00AD21FF"/>
    <w:rsid w:val="00AD222C"/>
    <w:rsid w:val="00AD2294"/>
    <w:rsid w:val="00AD26A3"/>
    <w:rsid w:val="00AD2AC9"/>
    <w:rsid w:val="00AD2F1F"/>
    <w:rsid w:val="00AD30A0"/>
    <w:rsid w:val="00AD34DD"/>
    <w:rsid w:val="00AD34F4"/>
    <w:rsid w:val="00AD353F"/>
    <w:rsid w:val="00AD386C"/>
    <w:rsid w:val="00AD38CB"/>
    <w:rsid w:val="00AD3A56"/>
    <w:rsid w:val="00AD3F5E"/>
    <w:rsid w:val="00AD3FC6"/>
    <w:rsid w:val="00AD47E6"/>
    <w:rsid w:val="00AD494E"/>
    <w:rsid w:val="00AD4A58"/>
    <w:rsid w:val="00AD4BE5"/>
    <w:rsid w:val="00AD4ED4"/>
    <w:rsid w:val="00AD50AD"/>
    <w:rsid w:val="00AD51E1"/>
    <w:rsid w:val="00AD5273"/>
    <w:rsid w:val="00AD56CB"/>
    <w:rsid w:val="00AD5A30"/>
    <w:rsid w:val="00AD5C38"/>
    <w:rsid w:val="00AD5C46"/>
    <w:rsid w:val="00AD5EEC"/>
    <w:rsid w:val="00AD5F24"/>
    <w:rsid w:val="00AD5FE2"/>
    <w:rsid w:val="00AD6131"/>
    <w:rsid w:val="00AD62F0"/>
    <w:rsid w:val="00AD66BE"/>
    <w:rsid w:val="00AD675E"/>
    <w:rsid w:val="00AD6793"/>
    <w:rsid w:val="00AD6AD3"/>
    <w:rsid w:val="00AD6B6D"/>
    <w:rsid w:val="00AD6D52"/>
    <w:rsid w:val="00AD6E42"/>
    <w:rsid w:val="00AD6E81"/>
    <w:rsid w:val="00AD722A"/>
    <w:rsid w:val="00AD7286"/>
    <w:rsid w:val="00AD7F4A"/>
    <w:rsid w:val="00AD7FE9"/>
    <w:rsid w:val="00AE00F4"/>
    <w:rsid w:val="00AE0356"/>
    <w:rsid w:val="00AE04A8"/>
    <w:rsid w:val="00AE04BC"/>
    <w:rsid w:val="00AE0961"/>
    <w:rsid w:val="00AE09FB"/>
    <w:rsid w:val="00AE0A2D"/>
    <w:rsid w:val="00AE0A6A"/>
    <w:rsid w:val="00AE0B90"/>
    <w:rsid w:val="00AE1529"/>
    <w:rsid w:val="00AE167A"/>
    <w:rsid w:val="00AE17A0"/>
    <w:rsid w:val="00AE1B01"/>
    <w:rsid w:val="00AE1E3C"/>
    <w:rsid w:val="00AE28E4"/>
    <w:rsid w:val="00AE2AC3"/>
    <w:rsid w:val="00AE2AF7"/>
    <w:rsid w:val="00AE2B5B"/>
    <w:rsid w:val="00AE2D85"/>
    <w:rsid w:val="00AE309D"/>
    <w:rsid w:val="00AE313D"/>
    <w:rsid w:val="00AE3455"/>
    <w:rsid w:val="00AE3739"/>
    <w:rsid w:val="00AE3A1E"/>
    <w:rsid w:val="00AE3AA3"/>
    <w:rsid w:val="00AE3D11"/>
    <w:rsid w:val="00AE3D37"/>
    <w:rsid w:val="00AE3E4A"/>
    <w:rsid w:val="00AE3EE8"/>
    <w:rsid w:val="00AE4395"/>
    <w:rsid w:val="00AE44A5"/>
    <w:rsid w:val="00AE4673"/>
    <w:rsid w:val="00AE4AC3"/>
    <w:rsid w:val="00AE4CCD"/>
    <w:rsid w:val="00AE4ED8"/>
    <w:rsid w:val="00AE516C"/>
    <w:rsid w:val="00AE573F"/>
    <w:rsid w:val="00AE578C"/>
    <w:rsid w:val="00AE5A48"/>
    <w:rsid w:val="00AE5E3C"/>
    <w:rsid w:val="00AE5F32"/>
    <w:rsid w:val="00AE5F4E"/>
    <w:rsid w:val="00AE60BF"/>
    <w:rsid w:val="00AE6113"/>
    <w:rsid w:val="00AE6898"/>
    <w:rsid w:val="00AE68F7"/>
    <w:rsid w:val="00AE69A7"/>
    <w:rsid w:val="00AE69E3"/>
    <w:rsid w:val="00AE6B73"/>
    <w:rsid w:val="00AE6CD0"/>
    <w:rsid w:val="00AE734F"/>
    <w:rsid w:val="00AE7661"/>
    <w:rsid w:val="00AE772C"/>
    <w:rsid w:val="00AE7F77"/>
    <w:rsid w:val="00AF0308"/>
    <w:rsid w:val="00AF03B8"/>
    <w:rsid w:val="00AF041F"/>
    <w:rsid w:val="00AF067A"/>
    <w:rsid w:val="00AF07B2"/>
    <w:rsid w:val="00AF0C40"/>
    <w:rsid w:val="00AF0C6B"/>
    <w:rsid w:val="00AF0C83"/>
    <w:rsid w:val="00AF0DFE"/>
    <w:rsid w:val="00AF109E"/>
    <w:rsid w:val="00AF10C2"/>
    <w:rsid w:val="00AF12C6"/>
    <w:rsid w:val="00AF1347"/>
    <w:rsid w:val="00AF18AB"/>
    <w:rsid w:val="00AF1940"/>
    <w:rsid w:val="00AF1A2D"/>
    <w:rsid w:val="00AF217E"/>
    <w:rsid w:val="00AF2656"/>
    <w:rsid w:val="00AF2676"/>
    <w:rsid w:val="00AF294A"/>
    <w:rsid w:val="00AF2C0B"/>
    <w:rsid w:val="00AF2D9C"/>
    <w:rsid w:val="00AF2DBC"/>
    <w:rsid w:val="00AF2FCC"/>
    <w:rsid w:val="00AF300E"/>
    <w:rsid w:val="00AF3824"/>
    <w:rsid w:val="00AF3BF0"/>
    <w:rsid w:val="00AF3CE3"/>
    <w:rsid w:val="00AF3D60"/>
    <w:rsid w:val="00AF3DFE"/>
    <w:rsid w:val="00AF3E8F"/>
    <w:rsid w:val="00AF4019"/>
    <w:rsid w:val="00AF4170"/>
    <w:rsid w:val="00AF4211"/>
    <w:rsid w:val="00AF42DB"/>
    <w:rsid w:val="00AF4DBF"/>
    <w:rsid w:val="00AF4FD5"/>
    <w:rsid w:val="00AF57E0"/>
    <w:rsid w:val="00AF5901"/>
    <w:rsid w:val="00AF5A7E"/>
    <w:rsid w:val="00AF5ACD"/>
    <w:rsid w:val="00AF5E9E"/>
    <w:rsid w:val="00AF5F0A"/>
    <w:rsid w:val="00AF6110"/>
    <w:rsid w:val="00AF6226"/>
    <w:rsid w:val="00AF630E"/>
    <w:rsid w:val="00AF63E9"/>
    <w:rsid w:val="00AF6425"/>
    <w:rsid w:val="00AF646E"/>
    <w:rsid w:val="00AF685D"/>
    <w:rsid w:val="00AF68FA"/>
    <w:rsid w:val="00AF6AC6"/>
    <w:rsid w:val="00AF7095"/>
    <w:rsid w:val="00AF70D8"/>
    <w:rsid w:val="00AF719C"/>
    <w:rsid w:val="00AF71C9"/>
    <w:rsid w:val="00AF7273"/>
    <w:rsid w:val="00AF72E9"/>
    <w:rsid w:val="00AF756B"/>
    <w:rsid w:val="00AF7842"/>
    <w:rsid w:val="00AF7D99"/>
    <w:rsid w:val="00AF7E82"/>
    <w:rsid w:val="00B00014"/>
    <w:rsid w:val="00B00611"/>
    <w:rsid w:val="00B00AEA"/>
    <w:rsid w:val="00B013E3"/>
    <w:rsid w:val="00B01F1F"/>
    <w:rsid w:val="00B02141"/>
    <w:rsid w:val="00B022E4"/>
    <w:rsid w:val="00B02302"/>
    <w:rsid w:val="00B02B88"/>
    <w:rsid w:val="00B02C52"/>
    <w:rsid w:val="00B02CFD"/>
    <w:rsid w:val="00B02DD8"/>
    <w:rsid w:val="00B03037"/>
    <w:rsid w:val="00B0334E"/>
    <w:rsid w:val="00B03484"/>
    <w:rsid w:val="00B03719"/>
    <w:rsid w:val="00B03A5A"/>
    <w:rsid w:val="00B03A82"/>
    <w:rsid w:val="00B03CED"/>
    <w:rsid w:val="00B03DC5"/>
    <w:rsid w:val="00B03F0B"/>
    <w:rsid w:val="00B04354"/>
    <w:rsid w:val="00B0461C"/>
    <w:rsid w:val="00B04663"/>
    <w:rsid w:val="00B048DB"/>
    <w:rsid w:val="00B049C5"/>
    <w:rsid w:val="00B04FD7"/>
    <w:rsid w:val="00B05316"/>
    <w:rsid w:val="00B05686"/>
    <w:rsid w:val="00B06224"/>
    <w:rsid w:val="00B065B9"/>
    <w:rsid w:val="00B06757"/>
    <w:rsid w:val="00B0684A"/>
    <w:rsid w:val="00B06BA4"/>
    <w:rsid w:val="00B06BDC"/>
    <w:rsid w:val="00B06C89"/>
    <w:rsid w:val="00B06C9E"/>
    <w:rsid w:val="00B074FA"/>
    <w:rsid w:val="00B0770C"/>
    <w:rsid w:val="00B07D14"/>
    <w:rsid w:val="00B07DB8"/>
    <w:rsid w:val="00B10118"/>
    <w:rsid w:val="00B101C7"/>
    <w:rsid w:val="00B101E6"/>
    <w:rsid w:val="00B10367"/>
    <w:rsid w:val="00B104EA"/>
    <w:rsid w:val="00B10737"/>
    <w:rsid w:val="00B108C2"/>
    <w:rsid w:val="00B10C17"/>
    <w:rsid w:val="00B10D0C"/>
    <w:rsid w:val="00B10D51"/>
    <w:rsid w:val="00B10D6B"/>
    <w:rsid w:val="00B10EFF"/>
    <w:rsid w:val="00B11706"/>
    <w:rsid w:val="00B1186C"/>
    <w:rsid w:val="00B119B5"/>
    <w:rsid w:val="00B11B7E"/>
    <w:rsid w:val="00B11BAA"/>
    <w:rsid w:val="00B11BCB"/>
    <w:rsid w:val="00B11D09"/>
    <w:rsid w:val="00B11E11"/>
    <w:rsid w:val="00B11E5A"/>
    <w:rsid w:val="00B11FF7"/>
    <w:rsid w:val="00B121BA"/>
    <w:rsid w:val="00B1232A"/>
    <w:rsid w:val="00B124D4"/>
    <w:rsid w:val="00B13013"/>
    <w:rsid w:val="00B130FC"/>
    <w:rsid w:val="00B13101"/>
    <w:rsid w:val="00B1325A"/>
    <w:rsid w:val="00B13475"/>
    <w:rsid w:val="00B13543"/>
    <w:rsid w:val="00B1372B"/>
    <w:rsid w:val="00B139D2"/>
    <w:rsid w:val="00B13BA4"/>
    <w:rsid w:val="00B13C94"/>
    <w:rsid w:val="00B13DCB"/>
    <w:rsid w:val="00B140B1"/>
    <w:rsid w:val="00B143E0"/>
    <w:rsid w:val="00B144AA"/>
    <w:rsid w:val="00B14BB1"/>
    <w:rsid w:val="00B154F0"/>
    <w:rsid w:val="00B157A5"/>
    <w:rsid w:val="00B157B6"/>
    <w:rsid w:val="00B158AF"/>
    <w:rsid w:val="00B15B1B"/>
    <w:rsid w:val="00B15BA3"/>
    <w:rsid w:val="00B15BAF"/>
    <w:rsid w:val="00B15DFC"/>
    <w:rsid w:val="00B15ED6"/>
    <w:rsid w:val="00B160CA"/>
    <w:rsid w:val="00B16126"/>
    <w:rsid w:val="00B16420"/>
    <w:rsid w:val="00B164E0"/>
    <w:rsid w:val="00B16921"/>
    <w:rsid w:val="00B16BCB"/>
    <w:rsid w:val="00B16D7F"/>
    <w:rsid w:val="00B16E01"/>
    <w:rsid w:val="00B177A3"/>
    <w:rsid w:val="00B17D28"/>
    <w:rsid w:val="00B17F99"/>
    <w:rsid w:val="00B17FBC"/>
    <w:rsid w:val="00B205F7"/>
    <w:rsid w:val="00B206EF"/>
    <w:rsid w:val="00B20A87"/>
    <w:rsid w:val="00B20C13"/>
    <w:rsid w:val="00B20C8E"/>
    <w:rsid w:val="00B20CCB"/>
    <w:rsid w:val="00B20E7B"/>
    <w:rsid w:val="00B2118D"/>
    <w:rsid w:val="00B21472"/>
    <w:rsid w:val="00B21D33"/>
    <w:rsid w:val="00B21D47"/>
    <w:rsid w:val="00B22173"/>
    <w:rsid w:val="00B221B5"/>
    <w:rsid w:val="00B2234B"/>
    <w:rsid w:val="00B223EF"/>
    <w:rsid w:val="00B2282A"/>
    <w:rsid w:val="00B2283A"/>
    <w:rsid w:val="00B2293B"/>
    <w:rsid w:val="00B229C1"/>
    <w:rsid w:val="00B22E31"/>
    <w:rsid w:val="00B2324E"/>
    <w:rsid w:val="00B238E4"/>
    <w:rsid w:val="00B23A6B"/>
    <w:rsid w:val="00B23C92"/>
    <w:rsid w:val="00B23DFC"/>
    <w:rsid w:val="00B243B0"/>
    <w:rsid w:val="00B2462E"/>
    <w:rsid w:val="00B247CB"/>
    <w:rsid w:val="00B2484E"/>
    <w:rsid w:val="00B249FC"/>
    <w:rsid w:val="00B24CE9"/>
    <w:rsid w:val="00B24EB5"/>
    <w:rsid w:val="00B25147"/>
    <w:rsid w:val="00B2532B"/>
    <w:rsid w:val="00B254B8"/>
    <w:rsid w:val="00B259DE"/>
    <w:rsid w:val="00B25C8C"/>
    <w:rsid w:val="00B25D6F"/>
    <w:rsid w:val="00B268A9"/>
    <w:rsid w:val="00B26C46"/>
    <w:rsid w:val="00B27212"/>
    <w:rsid w:val="00B2726F"/>
    <w:rsid w:val="00B27740"/>
    <w:rsid w:val="00B27975"/>
    <w:rsid w:val="00B27B7B"/>
    <w:rsid w:val="00B27FC2"/>
    <w:rsid w:val="00B30071"/>
    <w:rsid w:val="00B31035"/>
    <w:rsid w:val="00B31323"/>
    <w:rsid w:val="00B31347"/>
    <w:rsid w:val="00B31552"/>
    <w:rsid w:val="00B317E7"/>
    <w:rsid w:val="00B319D4"/>
    <w:rsid w:val="00B31A96"/>
    <w:rsid w:val="00B31C0F"/>
    <w:rsid w:val="00B32348"/>
    <w:rsid w:val="00B3241D"/>
    <w:rsid w:val="00B328AA"/>
    <w:rsid w:val="00B328C9"/>
    <w:rsid w:val="00B32B64"/>
    <w:rsid w:val="00B32E4D"/>
    <w:rsid w:val="00B32F29"/>
    <w:rsid w:val="00B32FB1"/>
    <w:rsid w:val="00B338FB"/>
    <w:rsid w:val="00B33A0F"/>
    <w:rsid w:val="00B33A57"/>
    <w:rsid w:val="00B33D39"/>
    <w:rsid w:val="00B34083"/>
    <w:rsid w:val="00B34226"/>
    <w:rsid w:val="00B34744"/>
    <w:rsid w:val="00B34BD6"/>
    <w:rsid w:val="00B34C57"/>
    <w:rsid w:val="00B34F90"/>
    <w:rsid w:val="00B34FFF"/>
    <w:rsid w:val="00B35056"/>
    <w:rsid w:val="00B35105"/>
    <w:rsid w:val="00B3514C"/>
    <w:rsid w:val="00B35307"/>
    <w:rsid w:val="00B35392"/>
    <w:rsid w:val="00B35BC4"/>
    <w:rsid w:val="00B3623C"/>
    <w:rsid w:val="00B36704"/>
    <w:rsid w:val="00B3678D"/>
    <w:rsid w:val="00B3693B"/>
    <w:rsid w:val="00B36998"/>
    <w:rsid w:val="00B36C36"/>
    <w:rsid w:val="00B37514"/>
    <w:rsid w:val="00B37728"/>
    <w:rsid w:val="00B377C7"/>
    <w:rsid w:val="00B37935"/>
    <w:rsid w:val="00B37E37"/>
    <w:rsid w:val="00B37E88"/>
    <w:rsid w:val="00B40158"/>
    <w:rsid w:val="00B4020A"/>
    <w:rsid w:val="00B404C4"/>
    <w:rsid w:val="00B40526"/>
    <w:rsid w:val="00B40949"/>
    <w:rsid w:val="00B40D19"/>
    <w:rsid w:val="00B40D70"/>
    <w:rsid w:val="00B410FF"/>
    <w:rsid w:val="00B41288"/>
    <w:rsid w:val="00B41383"/>
    <w:rsid w:val="00B417B5"/>
    <w:rsid w:val="00B418A8"/>
    <w:rsid w:val="00B4194E"/>
    <w:rsid w:val="00B41B52"/>
    <w:rsid w:val="00B41E4A"/>
    <w:rsid w:val="00B41F45"/>
    <w:rsid w:val="00B4250C"/>
    <w:rsid w:val="00B425CC"/>
    <w:rsid w:val="00B42787"/>
    <w:rsid w:val="00B4291E"/>
    <w:rsid w:val="00B42ADE"/>
    <w:rsid w:val="00B42E88"/>
    <w:rsid w:val="00B42EA7"/>
    <w:rsid w:val="00B432C6"/>
    <w:rsid w:val="00B4338B"/>
    <w:rsid w:val="00B433D2"/>
    <w:rsid w:val="00B43495"/>
    <w:rsid w:val="00B435E3"/>
    <w:rsid w:val="00B43827"/>
    <w:rsid w:val="00B43881"/>
    <w:rsid w:val="00B43C7F"/>
    <w:rsid w:val="00B43CC5"/>
    <w:rsid w:val="00B43E60"/>
    <w:rsid w:val="00B43EEA"/>
    <w:rsid w:val="00B44205"/>
    <w:rsid w:val="00B443C7"/>
    <w:rsid w:val="00B444AF"/>
    <w:rsid w:val="00B449E9"/>
    <w:rsid w:val="00B44D17"/>
    <w:rsid w:val="00B44F50"/>
    <w:rsid w:val="00B44F9C"/>
    <w:rsid w:val="00B450AB"/>
    <w:rsid w:val="00B45373"/>
    <w:rsid w:val="00B4541C"/>
    <w:rsid w:val="00B45702"/>
    <w:rsid w:val="00B458E7"/>
    <w:rsid w:val="00B45C64"/>
    <w:rsid w:val="00B45DB8"/>
    <w:rsid w:val="00B45E94"/>
    <w:rsid w:val="00B46207"/>
    <w:rsid w:val="00B466F6"/>
    <w:rsid w:val="00B4678F"/>
    <w:rsid w:val="00B46A32"/>
    <w:rsid w:val="00B46B29"/>
    <w:rsid w:val="00B46D00"/>
    <w:rsid w:val="00B46EF4"/>
    <w:rsid w:val="00B46F0F"/>
    <w:rsid w:val="00B46FE3"/>
    <w:rsid w:val="00B47298"/>
    <w:rsid w:val="00B476E0"/>
    <w:rsid w:val="00B47896"/>
    <w:rsid w:val="00B47903"/>
    <w:rsid w:val="00B47954"/>
    <w:rsid w:val="00B47BC8"/>
    <w:rsid w:val="00B47BF7"/>
    <w:rsid w:val="00B47C01"/>
    <w:rsid w:val="00B47F04"/>
    <w:rsid w:val="00B50765"/>
    <w:rsid w:val="00B50A40"/>
    <w:rsid w:val="00B50DF4"/>
    <w:rsid w:val="00B50E9E"/>
    <w:rsid w:val="00B51177"/>
    <w:rsid w:val="00B5120F"/>
    <w:rsid w:val="00B51B18"/>
    <w:rsid w:val="00B51D59"/>
    <w:rsid w:val="00B51DB7"/>
    <w:rsid w:val="00B5230B"/>
    <w:rsid w:val="00B5251B"/>
    <w:rsid w:val="00B528DF"/>
    <w:rsid w:val="00B529FF"/>
    <w:rsid w:val="00B52ABC"/>
    <w:rsid w:val="00B52BE4"/>
    <w:rsid w:val="00B52E18"/>
    <w:rsid w:val="00B53547"/>
    <w:rsid w:val="00B53570"/>
    <w:rsid w:val="00B53597"/>
    <w:rsid w:val="00B535E9"/>
    <w:rsid w:val="00B53784"/>
    <w:rsid w:val="00B537EF"/>
    <w:rsid w:val="00B53B6B"/>
    <w:rsid w:val="00B53BBC"/>
    <w:rsid w:val="00B53E8C"/>
    <w:rsid w:val="00B54111"/>
    <w:rsid w:val="00B54268"/>
    <w:rsid w:val="00B54533"/>
    <w:rsid w:val="00B54690"/>
    <w:rsid w:val="00B547F7"/>
    <w:rsid w:val="00B5494B"/>
    <w:rsid w:val="00B549F5"/>
    <w:rsid w:val="00B54A2D"/>
    <w:rsid w:val="00B54C75"/>
    <w:rsid w:val="00B550D8"/>
    <w:rsid w:val="00B55114"/>
    <w:rsid w:val="00B5524F"/>
    <w:rsid w:val="00B55322"/>
    <w:rsid w:val="00B554DE"/>
    <w:rsid w:val="00B556A9"/>
    <w:rsid w:val="00B55B56"/>
    <w:rsid w:val="00B55D3E"/>
    <w:rsid w:val="00B55DAF"/>
    <w:rsid w:val="00B56C52"/>
    <w:rsid w:val="00B56C7F"/>
    <w:rsid w:val="00B56D81"/>
    <w:rsid w:val="00B56F0C"/>
    <w:rsid w:val="00B56F38"/>
    <w:rsid w:val="00B57064"/>
    <w:rsid w:val="00B5711C"/>
    <w:rsid w:val="00B572BA"/>
    <w:rsid w:val="00B57642"/>
    <w:rsid w:val="00B5791A"/>
    <w:rsid w:val="00B57921"/>
    <w:rsid w:val="00B57938"/>
    <w:rsid w:val="00B57B8D"/>
    <w:rsid w:val="00B60122"/>
    <w:rsid w:val="00B604CB"/>
    <w:rsid w:val="00B60A25"/>
    <w:rsid w:val="00B60A90"/>
    <w:rsid w:val="00B60BF9"/>
    <w:rsid w:val="00B60FEF"/>
    <w:rsid w:val="00B610F4"/>
    <w:rsid w:val="00B6141E"/>
    <w:rsid w:val="00B61512"/>
    <w:rsid w:val="00B6152F"/>
    <w:rsid w:val="00B615ED"/>
    <w:rsid w:val="00B61619"/>
    <w:rsid w:val="00B619F4"/>
    <w:rsid w:val="00B61A01"/>
    <w:rsid w:val="00B61D80"/>
    <w:rsid w:val="00B61F4E"/>
    <w:rsid w:val="00B62590"/>
    <w:rsid w:val="00B6263B"/>
    <w:rsid w:val="00B626C0"/>
    <w:rsid w:val="00B62700"/>
    <w:rsid w:val="00B62F20"/>
    <w:rsid w:val="00B63129"/>
    <w:rsid w:val="00B6327D"/>
    <w:rsid w:val="00B632FF"/>
    <w:rsid w:val="00B636E3"/>
    <w:rsid w:val="00B6393A"/>
    <w:rsid w:val="00B63970"/>
    <w:rsid w:val="00B63F5B"/>
    <w:rsid w:val="00B64341"/>
    <w:rsid w:val="00B64434"/>
    <w:rsid w:val="00B64580"/>
    <w:rsid w:val="00B646A9"/>
    <w:rsid w:val="00B64AA0"/>
    <w:rsid w:val="00B64C7F"/>
    <w:rsid w:val="00B651B5"/>
    <w:rsid w:val="00B65464"/>
    <w:rsid w:val="00B65829"/>
    <w:rsid w:val="00B65AF3"/>
    <w:rsid w:val="00B65EBE"/>
    <w:rsid w:val="00B65F69"/>
    <w:rsid w:val="00B6634B"/>
    <w:rsid w:val="00B66381"/>
    <w:rsid w:val="00B663F1"/>
    <w:rsid w:val="00B6684C"/>
    <w:rsid w:val="00B66BAA"/>
    <w:rsid w:val="00B66CA1"/>
    <w:rsid w:val="00B670BA"/>
    <w:rsid w:val="00B67271"/>
    <w:rsid w:val="00B6729F"/>
    <w:rsid w:val="00B676E1"/>
    <w:rsid w:val="00B67F10"/>
    <w:rsid w:val="00B67FD8"/>
    <w:rsid w:val="00B7006C"/>
    <w:rsid w:val="00B700A5"/>
    <w:rsid w:val="00B706E2"/>
    <w:rsid w:val="00B707D6"/>
    <w:rsid w:val="00B70A8C"/>
    <w:rsid w:val="00B70C73"/>
    <w:rsid w:val="00B70E84"/>
    <w:rsid w:val="00B7129F"/>
    <w:rsid w:val="00B71732"/>
    <w:rsid w:val="00B718D5"/>
    <w:rsid w:val="00B71B50"/>
    <w:rsid w:val="00B71ED6"/>
    <w:rsid w:val="00B720D4"/>
    <w:rsid w:val="00B721B4"/>
    <w:rsid w:val="00B7222D"/>
    <w:rsid w:val="00B72490"/>
    <w:rsid w:val="00B7267A"/>
    <w:rsid w:val="00B72988"/>
    <w:rsid w:val="00B72E67"/>
    <w:rsid w:val="00B730C2"/>
    <w:rsid w:val="00B7361F"/>
    <w:rsid w:val="00B7365A"/>
    <w:rsid w:val="00B73788"/>
    <w:rsid w:val="00B73E05"/>
    <w:rsid w:val="00B742DF"/>
    <w:rsid w:val="00B7451F"/>
    <w:rsid w:val="00B74BA0"/>
    <w:rsid w:val="00B74E63"/>
    <w:rsid w:val="00B74E9A"/>
    <w:rsid w:val="00B74FD2"/>
    <w:rsid w:val="00B754A4"/>
    <w:rsid w:val="00B754EF"/>
    <w:rsid w:val="00B755ED"/>
    <w:rsid w:val="00B75608"/>
    <w:rsid w:val="00B75682"/>
    <w:rsid w:val="00B757F1"/>
    <w:rsid w:val="00B759AA"/>
    <w:rsid w:val="00B75B4F"/>
    <w:rsid w:val="00B75DB8"/>
    <w:rsid w:val="00B760B4"/>
    <w:rsid w:val="00B76292"/>
    <w:rsid w:val="00B768C2"/>
    <w:rsid w:val="00B76971"/>
    <w:rsid w:val="00B769C0"/>
    <w:rsid w:val="00B76BDD"/>
    <w:rsid w:val="00B76C7B"/>
    <w:rsid w:val="00B76D3B"/>
    <w:rsid w:val="00B76DBB"/>
    <w:rsid w:val="00B7705C"/>
    <w:rsid w:val="00B77162"/>
    <w:rsid w:val="00B777BF"/>
    <w:rsid w:val="00B77A33"/>
    <w:rsid w:val="00B77B49"/>
    <w:rsid w:val="00B77BBF"/>
    <w:rsid w:val="00B77D2C"/>
    <w:rsid w:val="00B77F1D"/>
    <w:rsid w:val="00B77F57"/>
    <w:rsid w:val="00B801AD"/>
    <w:rsid w:val="00B806E4"/>
    <w:rsid w:val="00B80772"/>
    <w:rsid w:val="00B80B50"/>
    <w:rsid w:val="00B812BB"/>
    <w:rsid w:val="00B81389"/>
    <w:rsid w:val="00B813B0"/>
    <w:rsid w:val="00B81AA6"/>
    <w:rsid w:val="00B81B28"/>
    <w:rsid w:val="00B81C48"/>
    <w:rsid w:val="00B81F24"/>
    <w:rsid w:val="00B823A7"/>
    <w:rsid w:val="00B82567"/>
    <w:rsid w:val="00B825C2"/>
    <w:rsid w:val="00B82627"/>
    <w:rsid w:val="00B8282F"/>
    <w:rsid w:val="00B82D02"/>
    <w:rsid w:val="00B83298"/>
    <w:rsid w:val="00B83403"/>
    <w:rsid w:val="00B8358F"/>
    <w:rsid w:val="00B83A4B"/>
    <w:rsid w:val="00B83B73"/>
    <w:rsid w:val="00B83D9C"/>
    <w:rsid w:val="00B83E3B"/>
    <w:rsid w:val="00B83F5D"/>
    <w:rsid w:val="00B8409E"/>
    <w:rsid w:val="00B84266"/>
    <w:rsid w:val="00B84331"/>
    <w:rsid w:val="00B84913"/>
    <w:rsid w:val="00B84A8E"/>
    <w:rsid w:val="00B84B30"/>
    <w:rsid w:val="00B84B6C"/>
    <w:rsid w:val="00B84DB6"/>
    <w:rsid w:val="00B84E59"/>
    <w:rsid w:val="00B84EED"/>
    <w:rsid w:val="00B84F29"/>
    <w:rsid w:val="00B85271"/>
    <w:rsid w:val="00B8528E"/>
    <w:rsid w:val="00B85423"/>
    <w:rsid w:val="00B85702"/>
    <w:rsid w:val="00B8624B"/>
    <w:rsid w:val="00B866AB"/>
    <w:rsid w:val="00B86804"/>
    <w:rsid w:val="00B8693B"/>
    <w:rsid w:val="00B86978"/>
    <w:rsid w:val="00B86AF9"/>
    <w:rsid w:val="00B86B5F"/>
    <w:rsid w:val="00B86E2C"/>
    <w:rsid w:val="00B871F0"/>
    <w:rsid w:val="00B87403"/>
    <w:rsid w:val="00B8751C"/>
    <w:rsid w:val="00B87654"/>
    <w:rsid w:val="00B87735"/>
    <w:rsid w:val="00B877A0"/>
    <w:rsid w:val="00B87802"/>
    <w:rsid w:val="00B878BC"/>
    <w:rsid w:val="00B87951"/>
    <w:rsid w:val="00B879CE"/>
    <w:rsid w:val="00B87BCE"/>
    <w:rsid w:val="00B87D9F"/>
    <w:rsid w:val="00B90150"/>
    <w:rsid w:val="00B90A0B"/>
    <w:rsid w:val="00B90AA7"/>
    <w:rsid w:val="00B90D03"/>
    <w:rsid w:val="00B9137B"/>
    <w:rsid w:val="00B91386"/>
    <w:rsid w:val="00B91453"/>
    <w:rsid w:val="00B9150D"/>
    <w:rsid w:val="00B91A26"/>
    <w:rsid w:val="00B91C17"/>
    <w:rsid w:val="00B91C6E"/>
    <w:rsid w:val="00B9230F"/>
    <w:rsid w:val="00B923CA"/>
    <w:rsid w:val="00B925CD"/>
    <w:rsid w:val="00B92825"/>
    <w:rsid w:val="00B92B39"/>
    <w:rsid w:val="00B93311"/>
    <w:rsid w:val="00B93798"/>
    <w:rsid w:val="00B937BA"/>
    <w:rsid w:val="00B93809"/>
    <w:rsid w:val="00B938DC"/>
    <w:rsid w:val="00B93E89"/>
    <w:rsid w:val="00B940D0"/>
    <w:rsid w:val="00B941ED"/>
    <w:rsid w:val="00B94335"/>
    <w:rsid w:val="00B944A0"/>
    <w:rsid w:val="00B94569"/>
    <w:rsid w:val="00B9483F"/>
    <w:rsid w:val="00B94879"/>
    <w:rsid w:val="00B94887"/>
    <w:rsid w:val="00B948C0"/>
    <w:rsid w:val="00B94D92"/>
    <w:rsid w:val="00B94E68"/>
    <w:rsid w:val="00B95073"/>
    <w:rsid w:val="00B951D9"/>
    <w:rsid w:val="00B95273"/>
    <w:rsid w:val="00B957B9"/>
    <w:rsid w:val="00B95981"/>
    <w:rsid w:val="00B959F5"/>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0CD"/>
    <w:rsid w:val="00BA012A"/>
    <w:rsid w:val="00BA0152"/>
    <w:rsid w:val="00BA07A2"/>
    <w:rsid w:val="00BA082D"/>
    <w:rsid w:val="00BA0B59"/>
    <w:rsid w:val="00BA0D13"/>
    <w:rsid w:val="00BA0D76"/>
    <w:rsid w:val="00BA0FC7"/>
    <w:rsid w:val="00BA1284"/>
    <w:rsid w:val="00BA12A2"/>
    <w:rsid w:val="00BA140B"/>
    <w:rsid w:val="00BA15A4"/>
    <w:rsid w:val="00BA1624"/>
    <w:rsid w:val="00BA168B"/>
    <w:rsid w:val="00BA17DE"/>
    <w:rsid w:val="00BA1810"/>
    <w:rsid w:val="00BA18C8"/>
    <w:rsid w:val="00BA206E"/>
    <w:rsid w:val="00BA230D"/>
    <w:rsid w:val="00BA23CC"/>
    <w:rsid w:val="00BA24E0"/>
    <w:rsid w:val="00BA24EC"/>
    <w:rsid w:val="00BA267D"/>
    <w:rsid w:val="00BA2837"/>
    <w:rsid w:val="00BA2952"/>
    <w:rsid w:val="00BA2C95"/>
    <w:rsid w:val="00BA2F9B"/>
    <w:rsid w:val="00BA303A"/>
    <w:rsid w:val="00BA31DF"/>
    <w:rsid w:val="00BA32B2"/>
    <w:rsid w:val="00BA3359"/>
    <w:rsid w:val="00BA35C7"/>
    <w:rsid w:val="00BA3717"/>
    <w:rsid w:val="00BA386D"/>
    <w:rsid w:val="00BA38F6"/>
    <w:rsid w:val="00BA3C86"/>
    <w:rsid w:val="00BA3DA3"/>
    <w:rsid w:val="00BA4024"/>
    <w:rsid w:val="00BA40EA"/>
    <w:rsid w:val="00BA48C0"/>
    <w:rsid w:val="00BA48DB"/>
    <w:rsid w:val="00BA4C59"/>
    <w:rsid w:val="00BA4C9E"/>
    <w:rsid w:val="00BA4EC4"/>
    <w:rsid w:val="00BA5071"/>
    <w:rsid w:val="00BA55A6"/>
    <w:rsid w:val="00BA56C3"/>
    <w:rsid w:val="00BA5B1B"/>
    <w:rsid w:val="00BA5EDB"/>
    <w:rsid w:val="00BA60C8"/>
    <w:rsid w:val="00BA659D"/>
    <w:rsid w:val="00BA65E5"/>
    <w:rsid w:val="00BA68D1"/>
    <w:rsid w:val="00BA6CEE"/>
    <w:rsid w:val="00BA6DBF"/>
    <w:rsid w:val="00BA6E59"/>
    <w:rsid w:val="00BA704F"/>
    <w:rsid w:val="00BA70B4"/>
    <w:rsid w:val="00BA75E4"/>
    <w:rsid w:val="00BA7903"/>
    <w:rsid w:val="00BA7907"/>
    <w:rsid w:val="00BA796A"/>
    <w:rsid w:val="00BA7A62"/>
    <w:rsid w:val="00BA7AE0"/>
    <w:rsid w:val="00BA7D37"/>
    <w:rsid w:val="00BA7DB3"/>
    <w:rsid w:val="00BB0155"/>
    <w:rsid w:val="00BB01A7"/>
    <w:rsid w:val="00BB01FA"/>
    <w:rsid w:val="00BB0386"/>
    <w:rsid w:val="00BB0507"/>
    <w:rsid w:val="00BB05AA"/>
    <w:rsid w:val="00BB09DF"/>
    <w:rsid w:val="00BB0D58"/>
    <w:rsid w:val="00BB0F0D"/>
    <w:rsid w:val="00BB0F75"/>
    <w:rsid w:val="00BB128A"/>
    <w:rsid w:val="00BB13D3"/>
    <w:rsid w:val="00BB13D7"/>
    <w:rsid w:val="00BB1B43"/>
    <w:rsid w:val="00BB1B4C"/>
    <w:rsid w:val="00BB1E2B"/>
    <w:rsid w:val="00BB2028"/>
    <w:rsid w:val="00BB210A"/>
    <w:rsid w:val="00BB2427"/>
    <w:rsid w:val="00BB24FE"/>
    <w:rsid w:val="00BB2ACB"/>
    <w:rsid w:val="00BB2B29"/>
    <w:rsid w:val="00BB2BBC"/>
    <w:rsid w:val="00BB2D79"/>
    <w:rsid w:val="00BB357D"/>
    <w:rsid w:val="00BB35B9"/>
    <w:rsid w:val="00BB3633"/>
    <w:rsid w:val="00BB36E3"/>
    <w:rsid w:val="00BB38A0"/>
    <w:rsid w:val="00BB3FC5"/>
    <w:rsid w:val="00BB4226"/>
    <w:rsid w:val="00BB4456"/>
    <w:rsid w:val="00BB4627"/>
    <w:rsid w:val="00BB467D"/>
    <w:rsid w:val="00BB48D2"/>
    <w:rsid w:val="00BB4A61"/>
    <w:rsid w:val="00BB4BCA"/>
    <w:rsid w:val="00BB4C11"/>
    <w:rsid w:val="00BB551D"/>
    <w:rsid w:val="00BB597B"/>
    <w:rsid w:val="00BB5D7B"/>
    <w:rsid w:val="00BB5D8E"/>
    <w:rsid w:val="00BB60A2"/>
    <w:rsid w:val="00BB6281"/>
    <w:rsid w:val="00BB64D6"/>
    <w:rsid w:val="00BB6ABD"/>
    <w:rsid w:val="00BB6B54"/>
    <w:rsid w:val="00BB702E"/>
    <w:rsid w:val="00BB7561"/>
    <w:rsid w:val="00BB7751"/>
    <w:rsid w:val="00BB7B9C"/>
    <w:rsid w:val="00BC03BB"/>
    <w:rsid w:val="00BC085A"/>
    <w:rsid w:val="00BC08AB"/>
    <w:rsid w:val="00BC09FB"/>
    <w:rsid w:val="00BC0A2C"/>
    <w:rsid w:val="00BC0A61"/>
    <w:rsid w:val="00BC1B16"/>
    <w:rsid w:val="00BC1E27"/>
    <w:rsid w:val="00BC2098"/>
    <w:rsid w:val="00BC20C8"/>
    <w:rsid w:val="00BC2183"/>
    <w:rsid w:val="00BC24D8"/>
    <w:rsid w:val="00BC25ED"/>
    <w:rsid w:val="00BC2605"/>
    <w:rsid w:val="00BC2761"/>
    <w:rsid w:val="00BC2790"/>
    <w:rsid w:val="00BC28D1"/>
    <w:rsid w:val="00BC2B3B"/>
    <w:rsid w:val="00BC2B7D"/>
    <w:rsid w:val="00BC2EFC"/>
    <w:rsid w:val="00BC3070"/>
    <w:rsid w:val="00BC31AA"/>
    <w:rsid w:val="00BC3232"/>
    <w:rsid w:val="00BC34C9"/>
    <w:rsid w:val="00BC361C"/>
    <w:rsid w:val="00BC36A7"/>
    <w:rsid w:val="00BC39FC"/>
    <w:rsid w:val="00BC3A6A"/>
    <w:rsid w:val="00BC3D42"/>
    <w:rsid w:val="00BC4008"/>
    <w:rsid w:val="00BC4198"/>
    <w:rsid w:val="00BC4579"/>
    <w:rsid w:val="00BC463D"/>
    <w:rsid w:val="00BC4661"/>
    <w:rsid w:val="00BC47AE"/>
    <w:rsid w:val="00BC49B1"/>
    <w:rsid w:val="00BC4ACA"/>
    <w:rsid w:val="00BC4F8B"/>
    <w:rsid w:val="00BC52DB"/>
    <w:rsid w:val="00BC543C"/>
    <w:rsid w:val="00BC5779"/>
    <w:rsid w:val="00BC5799"/>
    <w:rsid w:val="00BC59A8"/>
    <w:rsid w:val="00BC59E8"/>
    <w:rsid w:val="00BC5BA2"/>
    <w:rsid w:val="00BC6226"/>
    <w:rsid w:val="00BC6254"/>
    <w:rsid w:val="00BC65C6"/>
    <w:rsid w:val="00BC695E"/>
    <w:rsid w:val="00BC6B6B"/>
    <w:rsid w:val="00BC6DE9"/>
    <w:rsid w:val="00BC6E8B"/>
    <w:rsid w:val="00BC6EBC"/>
    <w:rsid w:val="00BC6F11"/>
    <w:rsid w:val="00BC72DD"/>
    <w:rsid w:val="00BC7606"/>
    <w:rsid w:val="00BC7980"/>
    <w:rsid w:val="00BC79D1"/>
    <w:rsid w:val="00BC7D96"/>
    <w:rsid w:val="00BC7E80"/>
    <w:rsid w:val="00BD01BF"/>
    <w:rsid w:val="00BD03BC"/>
    <w:rsid w:val="00BD0B1B"/>
    <w:rsid w:val="00BD0B1F"/>
    <w:rsid w:val="00BD0BB6"/>
    <w:rsid w:val="00BD0E07"/>
    <w:rsid w:val="00BD11D4"/>
    <w:rsid w:val="00BD126E"/>
    <w:rsid w:val="00BD13E7"/>
    <w:rsid w:val="00BD1464"/>
    <w:rsid w:val="00BD165F"/>
    <w:rsid w:val="00BD1855"/>
    <w:rsid w:val="00BD193B"/>
    <w:rsid w:val="00BD1940"/>
    <w:rsid w:val="00BD1BDE"/>
    <w:rsid w:val="00BD21B0"/>
    <w:rsid w:val="00BD2604"/>
    <w:rsid w:val="00BD2853"/>
    <w:rsid w:val="00BD2F79"/>
    <w:rsid w:val="00BD301D"/>
    <w:rsid w:val="00BD3396"/>
    <w:rsid w:val="00BD3C0A"/>
    <w:rsid w:val="00BD3D24"/>
    <w:rsid w:val="00BD3E05"/>
    <w:rsid w:val="00BD3F2A"/>
    <w:rsid w:val="00BD3F67"/>
    <w:rsid w:val="00BD469D"/>
    <w:rsid w:val="00BD49FD"/>
    <w:rsid w:val="00BD4A85"/>
    <w:rsid w:val="00BD4B1A"/>
    <w:rsid w:val="00BD4E64"/>
    <w:rsid w:val="00BD4F88"/>
    <w:rsid w:val="00BD5C5C"/>
    <w:rsid w:val="00BD5DF1"/>
    <w:rsid w:val="00BD627F"/>
    <w:rsid w:val="00BD62E0"/>
    <w:rsid w:val="00BD640F"/>
    <w:rsid w:val="00BD6414"/>
    <w:rsid w:val="00BD6466"/>
    <w:rsid w:val="00BD6551"/>
    <w:rsid w:val="00BD66BF"/>
    <w:rsid w:val="00BD67C1"/>
    <w:rsid w:val="00BD67FF"/>
    <w:rsid w:val="00BD6A77"/>
    <w:rsid w:val="00BD6B2C"/>
    <w:rsid w:val="00BD6C77"/>
    <w:rsid w:val="00BD6C86"/>
    <w:rsid w:val="00BD6EEE"/>
    <w:rsid w:val="00BD7126"/>
    <w:rsid w:val="00BD714D"/>
    <w:rsid w:val="00BD7585"/>
    <w:rsid w:val="00BD76C2"/>
    <w:rsid w:val="00BD7B02"/>
    <w:rsid w:val="00BD7B2F"/>
    <w:rsid w:val="00BD7B3E"/>
    <w:rsid w:val="00BD7C26"/>
    <w:rsid w:val="00BD7DD8"/>
    <w:rsid w:val="00BD7E96"/>
    <w:rsid w:val="00BE0111"/>
    <w:rsid w:val="00BE01F5"/>
    <w:rsid w:val="00BE0486"/>
    <w:rsid w:val="00BE06F1"/>
    <w:rsid w:val="00BE0854"/>
    <w:rsid w:val="00BE0C60"/>
    <w:rsid w:val="00BE0CA9"/>
    <w:rsid w:val="00BE0E0F"/>
    <w:rsid w:val="00BE0EE2"/>
    <w:rsid w:val="00BE1137"/>
    <w:rsid w:val="00BE14C5"/>
    <w:rsid w:val="00BE1650"/>
    <w:rsid w:val="00BE1FDD"/>
    <w:rsid w:val="00BE2012"/>
    <w:rsid w:val="00BE206D"/>
    <w:rsid w:val="00BE24E5"/>
    <w:rsid w:val="00BE263A"/>
    <w:rsid w:val="00BE27F2"/>
    <w:rsid w:val="00BE2855"/>
    <w:rsid w:val="00BE286F"/>
    <w:rsid w:val="00BE28D3"/>
    <w:rsid w:val="00BE2ACF"/>
    <w:rsid w:val="00BE2B9F"/>
    <w:rsid w:val="00BE2FE9"/>
    <w:rsid w:val="00BE31B5"/>
    <w:rsid w:val="00BE346F"/>
    <w:rsid w:val="00BE36E0"/>
    <w:rsid w:val="00BE386C"/>
    <w:rsid w:val="00BE3CCE"/>
    <w:rsid w:val="00BE3E22"/>
    <w:rsid w:val="00BE3E6B"/>
    <w:rsid w:val="00BE409A"/>
    <w:rsid w:val="00BE4768"/>
    <w:rsid w:val="00BE48AD"/>
    <w:rsid w:val="00BE491C"/>
    <w:rsid w:val="00BE4D48"/>
    <w:rsid w:val="00BE5447"/>
    <w:rsid w:val="00BE55AE"/>
    <w:rsid w:val="00BE5622"/>
    <w:rsid w:val="00BE59A1"/>
    <w:rsid w:val="00BE5A5F"/>
    <w:rsid w:val="00BE5A95"/>
    <w:rsid w:val="00BE6000"/>
    <w:rsid w:val="00BE63AF"/>
    <w:rsid w:val="00BE6EC8"/>
    <w:rsid w:val="00BE6F7A"/>
    <w:rsid w:val="00BE6FA7"/>
    <w:rsid w:val="00BE71AE"/>
    <w:rsid w:val="00BE7238"/>
    <w:rsid w:val="00BE7398"/>
    <w:rsid w:val="00BE73D2"/>
    <w:rsid w:val="00BE7465"/>
    <w:rsid w:val="00BE769B"/>
    <w:rsid w:val="00BE7C40"/>
    <w:rsid w:val="00BF0073"/>
    <w:rsid w:val="00BF01CB"/>
    <w:rsid w:val="00BF02A3"/>
    <w:rsid w:val="00BF0922"/>
    <w:rsid w:val="00BF0BA7"/>
    <w:rsid w:val="00BF0BD7"/>
    <w:rsid w:val="00BF0C46"/>
    <w:rsid w:val="00BF0CD1"/>
    <w:rsid w:val="00BF0D9D"/>
    <w:rsid w:val="00BF1399"/>
    <w:rsid w:val="00BF1554"/>
    <w:rsid w:val="00BF176A"/>
    <w:rsid w:val="00BF1AF1"/>
    <w:rsid w:val="00BF1AF8"/>
    <w:rsid w:val="00BF1CBD"/>
    <w:rsid w:val="00BF1FC9"/>
    <w:rsid w:val="00BF1FD8"/>
    <w:rsid w:val="00BF2058"/>
    <w:rsid w:val="00BF20E8"/>
    <w:rsid w:val="00BF26B8"/>
    <w:rsid w:val="00BF2A99"/>
    <w:rsid w:val="00BF2C44"/>
    <w:rsid w:val="00BF2D81"/>
    <w:rsid w:val="00BF330D"/>
    <w:rsid w:val="00BF3782"/>
    <w:rsid w:val="00BF38CD"/>
    <w:rsid w:val="00BF38DC"/>
    <w:rsid w:val="00BF3BCA"/>
    <w:rsid w:val="00BF3D96"/>
    <w:rsid w:val="00BF40C8"/>
    <w:rsid w:val="00BF45EA"/>
    <w:rsid w:val="00BF480A"/>
    <w:rsid w:val="00BF4A76"/>
    <w:rsid w:val="00BF50C1"/>
    <w:rsid w:val="00BF5997"/>
    <w:rsid w:val="00BF59CA"/>
    <w:rsid w:val="00BF5BDD"/>
    <w:rsid w:val="00BF5C35"/>
    <w:rsid w:val="00BF5C66"/>
    <w:rsid w:val="00BF5C7E"/>
    <w:rsid w:val="00BF6050"/>
    <w:rsid w:val="00BF62D5"/>
    <w:rsid w:val="00BF63B6"/>
    <w:rsid w:val="00BF63D0"/>
    <w:rsid w:val="00BF66EE"/>
    <w:rsid w:val="00BF6703"/>
    <w:rsid w:val="00BF6BB7"/>
    <w:rsid w:val="00BF71A3"/>
    <w:rsid w:val="00BF75A1"/>
    <w:rsid w:val="00BF7680"/>
    <w:rsid w:val="00BF796C"/>
    <w:rsid w:val="00BF7A2C"/>
    <w:rsid w:val="00BF7A2E"/>
    <w:rsid w:val="00BF7A78"/>
    <w:rsid w:val="00BF7BF0"/>
    <w:rsid w:val="00BF7D46"/>
    <w:rsid w:val="00BF7E8C"/>
    <w:rsid w:val="00C0018A"/>
    <w:rsid w:val="00C0034C"/>
    <w:rsid w:val="00C0037D"/>
    <w:rsid w:val="00C003B9"/>
    <w:rsid w:val="00C00905"/>
    <w:rsid w:val="00C00A7C"/>
    <w:rsid w:val="00C00BA7"/>
    <w:rsid w:val="00C00C90"/>
    <w:rsid w:val="00C0104C"/>
    <w:rsid w:val="00C01170"/>
    <w:rsid w:val="00C0156D"/>
    <w:rsid w:val="00C01892"/>
    <w:rsid w:val="00C01BBB"/>
    <w:rsid w:val="00C01D05"/>
    <w:rsid w:val="00C01D22"/>
    <w:rsid w:val="00C01FD1"/>
    <w:rsid w:val="00C024A5"/>
    <w:rsid w:val="00C0273C"/>
    <w:rsid w:val="00C02CDD"/>
    <w:rsid w:val="00C02CE1"/>
    <w:rsid w:val="00C02D1E"/>
    <w:rsid w:val="00C02F14"/>
    <w:rsid w:val="00C03144"/>
    <w:rsid w:val="00C0314D"/>
    <w:rsid w:val="00C0331F"/>
    <w:rsid w:val="00C035B5"/>
    <w:rsid w:val="00C036AC"/>
    <w:rsid w:val="00C03865"/>
    <w:rsid w:val="00C03D5A"/>
    <w:rsid w:val="00C03F13"/>
    <w:rsid w:val="00C03F1A"/>
    <w:rsid w:val="00C0487A"/>
    <w:rsid w:val="00C04A19"/>
    <w:rsid w:val="00C05276"/>
    <w:rsid w:val="00C054A3"/>
    <w:rsid w:val="00C05622"/>
    <w:rsid w:val="00C05851"/>
    <w:rsid w:val="00C059CB"/>
    <w:rsid w:val="00C05ECD"/>
    <w:rsid w:val="00C05FB6"/>
    <w:rsid w:val="00C06BEC"/>
    <w:rsid w:val="00C06CD9"/>
    <w:rsid w:val="00C06D8C"/>
    <w:rsid w:val="00C06F7C"/>
    <w:rsid w:val="00C07249"/>
    <w:rsid w:val="00C074E8"/>
    <w:rsid w:val="00C07620"/>
    <w:rsid w:val="00C0775F"/>
    <w:rsid w:val="00C07AB6"/>
    <w:rsid w:val="00C07ACB"/>
    <w:rsid w:val="00C102F3"/>
    <w:rsid w:val="00C105A0"/>
    <w:rsid w:val="00C106B8"/>
    <w:rsid w:val="00C10AFD"/>
    <w:rsid w:val="00C10B22"/>
    <w:rsid w:val="00C10C3F"/>
    <w:rsid w:val="00C10C52"/>
    <w:rsid w:val="00C10CFD"/>
    <w:rsid w:val="00C10D5C"/>
    <w:rsid w:val="00C11442"/>
    <w:rsid w:val="00C11623"/>
    <w:rsid w:val="00C1172F"/>
    <w:rsid w:val="00C119A0"/>
    <w:rsid w:val="00C11A92"/>
    <w:rsid w:val="00C11ABD"/>
    <w:rsid w:val="00C11AE9"/>
    <w:rsid w:val="00C11DDE"/>
    <w:rsid w:val="00C125ED"/>
    <w:rsid w:val="00C129D9"/>
    <w:rsid w:val="00C13089"/>
    <w:rsid w:val="00C134DA"/>
    <w:rsid w:val="00C136D5"/>
    <w:rsid w:val="00C13B10"/>
    <w:rsid w:val="00C13C06"/>
    <w:rsid w:val="00C13C90"/>
    <w:rsid w:val="00C13CF2"/>
    <w:rsid w:val="00C13E91"/>
    <w:rsid w:val="00C14417"/>
    <w:rsid w:val="00C14F19"/>
    <w:rsid w:val="00C14FB2"/>
    <w:rsid w:val="00C15205"/>
    <w:rsid w:val="00C1534A"/>
    <w:rsid w:val="00C155EE"/>
    <w:rsid w:val="00C1575F"/>
    <w:rsid w:val="00C15B0C"/>
    <w:rsid w:val="00C15C5F"/>
    <w:rsid w:val="00C15DE5"/>
    <w:rsid w:val="00C16260"/>
    <w:rsid w:val="00C162C8"/>
    <w:rsid w:val="00C16621"/>
    <w:rsid w:val="00C168CF"/>
    <w:rsid w:val="00C16912"/>
    <w:rsid w:val="00C16AA7"/>
    <w:rsid w:val="00C17007"/>
    <w:rsid w:val="00C17204"/>
    <w:rsid w:val="00C17304"/>
    <w:rsid w:val="00C1748F"/>
    <w:rsid w:val="00C175FD"/>
    <w:rsid w:val="00C176AC"/>
    <w:rsid w:val="00C17CE1"/>
    <w:rsid w:val="00C17D2E"/>
    <w:rsid w:val="00C2058B"/>
    <w:rsid w:val="00C205AF"/>
    <w:rsid w:val="00C20668"/>
    <w:rsid w:val="00C208B8"/>
    <w:rsid w:val="00C209AD"/>
    <w:rsid w:val="00C20B13"/>
    <w:rsid w:val="00C2103A"/>
    <w:rsid w:val="00C21580"/>
    <w:rsid w:val="00C2164B"/>
    <w:rsid w:val="00C21CC5"/>
    <w:rsid w:val="00C21DA3"/>
    <w:rsid w:val="00C21EF9"/>
    <w:rsid w:val="00C21FE6"/>
    <w:rsid w:val="00C221C0"/>
    <w:rsid w:val="00C222A1"/>
    <w:rsid w:val="00C222F7"/>
    <w:rsid w:val="00C2234D"/>
    <w:rsid w:val="00C22397"/>
    <w:rsid w:val="00C224E3"/>
    <w:rsid w:val="00C229E4"/>
    <w:rsid w:val="00C22AAB"/>
    <w:rsid w:val="00C22ECB"/>
    <w:rsid w:val="00C230D9"/>
    <w:rsid w:val="00C233F4"/>
    <w:rsid w:val="00C23BB4"/>
    <w:rsid w:val="00C23F47"/>
    <w:rsid w:val="00C242C1"/>
    <w:rsid w:val="00C24589"/>
    <w:rsid w:val="00C24707"/>
    <w:rsid w:val="00C2474B"/>
    <w:rsid w:val="00C24792"/>
    <w:rsid w:val="00C24839"/>
    <w:rsid w:val="00C24930"/>
    <w:rsid w:val="00C24D35"/>
    <w:rsid w:val="00C24FA4"/>
    <w:rsid w:val="00C2525E"/>
    <w:rsid w:val="00C2583E"/>
    <w:rsid w:val="00C2584D"/>
    <w:rsid w:val="00C25F77"/>
    <w:rsid w:val="00C25FBC"/>
    <w:rsid w:val="00C26159"/>
    <w:rsid w:val="00C2629C"/>
    <w:rsid w:val="00C262ED"/>
    <w:rsid w:val="00C26551"/>
    <w:rsid w:val="00C265C9"/>
    <w:rsid w:val="00C26968"/>
    <w:rsid w:val="00C26A69"/>
    <w:rsid w:val="00C26B1C"/>
    <w:rsid w:val="00C26D56"/>
    <w:rsid w:val="00C26FB8"/>
    <w:rsid w:val="00C27037"/>
    <w:rsid w:val="00C27231"/>
    <w:rsid w:val="00C27A1B"/>
    <w:rsid w:val="00C27C23"/>
    <w:rsid w:val="00C27F3E"/>
    <w:rsid w:val="00C30019"/>
    <w:rsid w:val="00C301CF"/>
    <w:rsid w:val="00C30566"/>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5DB"/>
    <w:rsid w:val="00C32CA7"/>
    <w:rsid w:val="00C32CB6"/>
    <w:rsid w:val="00C32E58"/>
    <w:rsid w:val="00C330B7"/>
    <w:rsid w:val="00C33183"/>
    <w:rsid w:val="00C33706"/>
    <w:rsid w:val="00C33A05"/>
    <w:rsid w:val="00C33B39"/>
    <w:rsid w:val="00C33F14"/>
    <w:rsid w:val="00C34760"/>
    <w:rsid w:val="00C34944"/>
    <w:rsid w:val="00C34D0A"/>
    <w:rsid w:val="00C35028"/>
    <w:rsid w:val="00C357EA"/>
    <w:rsid w:val="00C3588F"/>
    <w:rsid w:val="00C35941"/>
    <w:rsid w:val="00C35A3D"/>
    <w:rsid w:val="00C35BCA"/>
    <w:rsid w:val="00C3616F"/>
    <w:rsid w:val="00C36691"/>
    <w:rsid w:val="00C366C6"/>
    <w:rsid w:val="00C3679D"/>
    <w:rsid w:val="00C36A9F"/>
    <w:rsid w:val="00C370C9"/>
    <w:rsid w:val="00C374C1"/>
    <w:rsid w:val="00C37611"/>
    <w:rsid w:val="00C37666"/>
    <w:rsid w:val="00C37B9E"/>
    <w:rsid w:val="00C37C9C"/>
    <w:rsid w:val="00C37CD0"/>
    <w:rsid w:val="00C37CF3"/>
    <w:rsid w:val="00C40013"/>
    <w:rsid w:val="00C40D70"/>
    <w:rsid w:val="00C411E9"/>
    <w:rsid w:val="00C4129B"/>
    <w:rsid w:val="00C41369"/>
    <w:rsid w:val="00C416FD"/>
    <w:rsid w:val="00C417CC"/>
    <w:rsid w:val="00C417F5"/>
    <w:rsid w:val="00C419AA"/>
    <w:rsid w:val="00C41AFB"/>
    <w:rsid w:val="00C41C84"/>
    <w:rsid w:val="00C41DF7"/>
    <w:rsid w:val="00C41E33"/>
    <w:rsid w:val="00C41F79"/>
    <w:rsid w:val="00C41FB7"/>
    <w:rsid w:val="00C420BE"/>
    <w:rsid w:val="00C420EC"/>
    <w:rsid w:val="00C424DF"/>
    <w:rsid w:val="00C426CE"/>
    <w:rsid w:val="00C42740"/>
    <w:rsid w:val="00C428FF"/>
    <w:rsid w:val="00C42C84"/>
    <w:rsid w:val="00C42ED7"/>
    <w:rsid w:val="00C42F3E"/>
    <w:rsid w:val="00C42FAA"/>
    <w:rsid w:val="00C43034"/>
    <w:rsid w:val="00C43051"/>
    <w:rsid w:val="00C43064"/>
    <w:rsid w:val="00C43149"/>
    <w:rsid w:val="00C43173"/>
    <w:rsid w:val="00C43291"/>
    <w:rsid w:val="00C43314"/>
    <w:rsid w:val="00C433AA"/>
    <w:rsid w:val="00C434B4"/>
    <w:rsid w:val="00C43EA9"/>
    <w:rsid w:val="00C43EC5"/>
    <w:rsid w:val="00C4473A"/>
    <w:rsid w:val="00C447D8"/>
    <w:rsid w:val="00C44D46"/>
    <w:rsid w:val="00C44DED"/>
    <w:rsid w:val="00C45289"/>
    <w:rsid w:val="00C454D9"/>
    <w:rsid w:val="00C45525"/>
    <w:rsid w:val="00C45537"/>
    <w:rsid w:val="00C45779"/>
    <w:rsid w:val="00C45C60"/>
    <w:rsid w:val="00C45DA7"/>
    <w:rsid w:val="00C465E2"/>
    <w:rsid w:val="00C46782"/>
    <w:rsid w:val="00C4684C"/>
    <w:rsid w:val="00C469F2"/>
    <w:rsid w:val="00C46D29"/>
    <w:rsid w:val="00C46E19"/>
    <w:rsid w:val="00C46E5B"/>
    <w:rsid w:val="00C474AB"/>
    <w:rsid w:val="00C47541"/>
    <w:rsid w:val="00C47584"/>
    <w:rsid w:val="00C475C7"/>
    <w:rsid w:val="00C47601"/>
    <w:rsid w:val="00C47CC1"/>
    <w:rsid w:val="00C47DB8"/>
    <w:rsid w:val="00C47DF2"/>
    <w:rsid w:val="00C500FD"/>
    <w:rsid w:val="00C50AAE"/>
    <w:rsid w:val="00C50FD2"/>
    <w:rsid w:val="00C51050"/>
    <w:rsid w:val="00C5119C"/>
    <w:rsid w:val="00C51267"/>
    <w:rsid w:val="00C51591"/>
    <w:rsid w:val="00C515B0"/>
    <w:rsid w:val="00C51702"/>
    <w:rsid w:val="00C5171D"/>
    <w:rsid w:val="00C517ED"/>
    <w:rsid w:val="00C51B08"/>
    <w:rsid w:val="00C51BA8"/>
    <w:rsid w:val="00C51C23"/>
    <w:rsid w:val="00C51C57"/>
    <w:rsid w:val="00C51DB8"/>
    <w:rsid w:val="00C51E7A"/>
    <w:rsid w:val="00C51EDF"/>
    <w:rsid w:val="00C51FF9"/>
    <w:rsid w:val="00C522F8"/>
    <w:rsid w:val="00C5298A"/>
    <w:rsid w:val="00C52D6B"/>
    <w:rsid w:val="00C5304F"/>
    <w:rsid w:val="00C53513"/>
    <w:rsid w:val="00C53730"/>
    <w:rsid w:val="00C538BC"/>
    <w:rsid w:val="00C53E49"/>
    <w:rsid w:val="00C540B9"/>
    <w:rsid w:val="00C54398"/>
    <w:rsid w:val="00C543A2"/>
    <w:rsid w:val="00C54411"/>
    <w:rsid w:val="00C54490"/>
    <w:rsid w:val="00C54CC3"/>
    <w:rsid w:val="00C54D6E"/>
    <w:rsid w:val="00C54E52"/>
    <w:rsid w:val="00C54EE3"/>
    <w:rsid w:val="00C552F9"/>
    <w:rsid w:val="00C554D4"/>
    <w:rsid w:val="00C554D9"/>
    <w:rsid w:val="00C55860"/>
    <w:rsid w:val="00C56057"/>
    <w:rsid w:val="00C560DB"/>
    <w:rsid w:val="00C56526"/>
    <w:rsid w:val="00C56532"/>
    <w:rsid w:val="00C56D39"/>
    <w:rsid w:val="00C57155"/>
    <w:rsid w:val="00C5715C"/>
    <w:rsid w:val="00C57A92"/>
    <w:rsid w:val="00C57C0D"/>
    <w:rsid w:val="00C57E63"/>
    <w:rsid w:val="00C6002F"/>
    <w:rsid w:val="00C6069B"/>
    <w:rsid w:val="00C607D1"/>
    <w:rsid w:val="00C60962"/>
    <w:rsid w:val="00C60A86"/>
    <w:rsid w:val="00C60CB5"/>
    <w:rsid w:val="00C60D11"/>
    <w:rsid w:val="00C60E16"/>
    <w:rsid w:val="00C60FBF"/>
    <w:rsid w:val="00C61109"/>
    <w:rsid w:val="00C61324"/>
    <w:rsid w:val="00C6183D"/>
    <w:rsid w:val="00C619B5"/>
    <w:rsid w:val="00C61AB2"/>
    <w:rsid w:val="00C61B02"/>
    <w:rsid w:val="00C61E90"/>
    <w:rsid w:val="00C61F1C"/>
    <w:rsid w:val="00C61FD2"/>
    <w:rsid w:val="00C620D4"/>
    <w:rsid w:val="00C6222B"/>
    <w:rsid w:val="00C625FF"/>
    <w:rsid w:val="00C6276A"/>
    <w:rsid w:val="00C62798"/>
    <w:rsid w:val="00C628E1"/>
    <w:rsid w:val="00C6296B"/>
    <w:rsid w:val="00C6297B"/>
    <w:rsid w:val="00C62A0D"/>
    <w:rsid w:val="00C62AB4"/>
    <w:rsid w:val="00C63512"/>
    <w:rsid w:val="00C6361A"/>
    <w:rsid w:val="00C6379D"/>
    <w:rsid w:val="00C63BFA"/>
    <w:rsid w:val="00C64208"/>
    <w:rsid w:val="00C643EB"/>
    <w:rsid w:val="00C644C4"/>
    <w:rsid w:val="00C644F2"/>
    <w:rsid w:val="00C64544"/>
    <w:rsid w:val="00C645FD"/>
    <w:rsid w:val="00C646C2"/>
    <w:rsid w:val="00C64868"/>
    <w:rsid w:val="00C64DA3"/>
    <w:rsid w:val="00C64E8C"/>
    <w:rsid w:val="00C6539B"/>
    <w:rsid w:val="00C6540F"/>
    <w:rsid w:val="00C65840"/>
    <w:rsid w:val="00C65C09"/>
    <w:rsid w:val="00C65D6D"/>
    <w:rsid w:val="00C65FF3"/>
    <w:rsid w:val="00C6624C"/>
    <w:rsid w:val="00C662FA"/>
    <w:rsid w:val="00C66338"/>
    <w:rsid w:val="00C6642E"/>
    <w:rsid w:val="00C66494"/>
    <w:rsid w:val="00C66676"/>
    <w:rsid w:val="00C666B9"/>
    <w:rsid w:val="00C668B8"/>
    <w:rsid w:val="00C66E98"/>
    <w:rsid w:val="00C670FC"/>
    <w:rsid w:val="00C6743E"/>
    <w:rsid w:val="00C67968"/>
    <w:rsid w:val="00C70072"/>
    <w:rsid w:val="00C7012E"/>
    <w:rsid w:val="00C702A2"/>
    <w:rsid w:val="00C70370"/>
    <w:rsid w:val="00C7050E"/>
    <w:rsid w:val="00C70585"/>
    <w:rsid w:val="00C707A9"/>
    <w:rsid w:val="00C708F6"/>
    <w:rsid w:val="00C70975"/>
    <w:rsid w:val="00C709F0"/>
    <w:rsid w:val="00C70B31"/>
    <w:rsid w:val="00C7101E"/>
    <w:rsid w:val="00C71364"/>
    <w:rsid w:val="00C71490"/>
    <w:rsid w:val="00C71783"/>
    <w:rsid w:val="00C71946"/>
    <w:rsid w:val="00C719A2"/>
    <w:rsid w:val="00C71DC7"/>
    <w:rsid w:val="00C71E2E"/>
    <w:rsid w:val="00C71F0B"/>
    <w:rsid w:val="00C71F6D"/>
    <w:rsid w:val="00C72165"/>
    <w:rsid w:val="00C72184"/>
    <w:rsid w:val="00C721B9"/>
    <w:rsid w:val="00C7230F"/>
    <w:rsid w:val="00C72773"/>
    <w:rsid w:val="00C72A19"/>
    <w:rsid w:val="00C72B8E"/>
    <w:rsid w:val="00C72D7B"/>
    <w:rsid w:val="00C73317"/>
    <w:rsid w:val="00C73777"/>
    <w:rsid w:val="00C73AB0"/>
    <w:rsid w:val="00C73AE6"/>
    <w:rsid w:val="00C73D66"/>
    <w:rsid w:val="00C74167"/>
    <w:rsid w:val="00C741D2"/>
    <w:rsid w:val="00C742E3"/>
    <w:rsid w:val="00C7486E"/>
    <w:rsid w:val="00C74929"/>
    <w:rsid w:val="00C74D98"/>
    <w:rsid w:val="00C75044"/>
    <w:rsid w:val="00C75357"/>
    <w:rsid w:val="00C75547"/>
    <w:rsid w:val="00C7574B"/>
    <w:rsid w:val="00C757AE"/>
    <w:rsid w:val="00C758BD"/>
    <w:rsid w:val="00C75A64"/>
    <w:rsid w:val="00C75A6D"/>
    <w:rsid w:val="00C75CEB"/>
    <w:rsid w:val="00C75D08"/>
    <w:rsid w:val="00C76268"/>
    <w:rsid w:val="00C76624"/>
    <w:rsid w:val="00C76661"/>
    <w:rsid w:val="00C7692D"/>
    <w:rsid w:val="00C76AAF"/>
    <w:rsid w:val="00C76C46"/>
    <w:rsid w:val="00C76E35"/>
    <w:rsid w:val="00C77478"/>
    <w:rsid w:val="00C774A1"/>
    <w:rsid w:val="00C775A0"/>
    <w:rsid w:val="00C776EF"/>
    <w:rsid w:val="00C80743"/>
    <w:rsid w:val="00C80AFD"/>
    <w:rsid w:val="00C80C41"/>
    <w:rsid w:val="00C80CEF"/>
    <w:rsid w:val="00C80E40"/>
    <w:rsid w:val="00C81120"/>
    <w:rsid w:val="00C81432"/>
    <w:rsid w:val="00C81A14"/>
    <w:rsid w:val="00C823EC"/>
    <w:rsid w:val="00C8287D"/>
    <w:rsid w:val="00C828B8"/>
    <w:rsid w:val="00C82994"/>
    <w:rsid w:val="00C82B4F"/>
    <w:rsid w:val="00C82D7C"/>
    <w:rsid w:val="00C82E07"/>
    <w:rsid w:val="00C82EC5"/>
    <w:rsid w:val="00C83041"/>
    <w:rsid w:val="00C83221"/>
    <w:rsid w:val="00C8326A"/>
    <w:rsid w:val="00C83397"/>
    <w:rsid w:val="00C838C3"/>
    <w:rsid w:val="00C83BFA"/>
    <w:rsid w:val="00C8452A"/>
    <w:rsid w:val="00C848A7"/>
    <w:rsid w:val="00C849C0"/>
    <w:rsid w:val="00C84F2E"/>
    <w:rsid w:val="00C85035"/>
    <w:rsid w:val="00C851F6"/>
    <w:rsid w:val="00C85674"/>
    <w:rsid w:val="00C858FF"/>
    <w:rsid w:val="00C85AE0"/>
    <w:rsid w:val="00C85E30"/>
    <w:rsid w:val="00C8648F"/>
    <w:rsid w:val="00C86BFA"/>
    <w:rsid w:val="00C86E8E"/>
    <w:rsid w:val="00C8712F"/>
    <w:rsid w:val="00C8720B"/>
    <w:rsid w:val="00C87495"/>
    <w:rsid w:val="00C876A0"/>
    <w:rsid w:val="00C878CA"/>
    <w:rsid w:val="00C87AF2"/>
    <w:rsid w:val="00C87B57"/>
    <w:rsid w:val="00C87FC6"/>
    <w:rsid w:val="00C901FE"/>
    <w:rsid w:val="00C905F3"/>
    <w:rsid w:val="00C908BE"/>
    <w:rsid w:val="00C908C6"/>
    <w:rsid w:val="00C90B42"/>
    <w:rsid w:val="00C90F83"/>
    <w:rsid w:val="00C91074"/>
    <w:rsid w:val="00C91529"/>
    <w:rsid w:val="00C9182B"/>
    <w:rsid w:val="00C91913"/>
    <w:rsid w:val="00C91C5F"/>
    <w:rsid w:val="00C91C63"/>
    <w:rsid w:val="00C91D51"/>
    <w:rsid w:val="00C9213E"/>
    <w:rsid w:val="00C9255D"/>
    <w:rsid w:val="00C9296C"/>
    <w:rsid w:val="00C92D7E"/>
    <w:rsid w:val="00C92DFF"/>
    <w:rsid w:val="00C93384"/>
    <w:rsid w:val="00C935D3"/>
    <w:rsid w:val="00C93FD8"/>
    <w:rsid w:val="00C94170"/>
    <w:rsid w:val="00C94380"/>
    <w:rsid w:val="00C945C2"/>
    <w:rsid w:val="00C946B2"/>
    <w:rsid w:val="00C946F6"/>
    <w:rsid w:val="00C9475D"/>
    <w:rsid w:val="00C947EE"/>
    <w:rsid w:val="00C94806"/>
    <w:rsid w:val="00C94AB9"/>
    <w:rsid w:val="00C94B1E"/>
    <w:rsid w:val="00C95056"/>
    <w:rsid w:val="00C95115"/>
    <w:rsid w:val="00C951FD"/>
    <w:rsid w:val="00C95231"/>
    <w:rsid w:val="00C952C3"/>
    <w:rsid w:val="00C9536E"/>
    <w:rsid w:val="00C95924"/>
    <w:rsid w:val="00C95A15"/>
    <w:rsid w:val="00C95A37"/>
    <w:rsid w:val="00C95B68"/>
    <w:rsid w:val="00C95D21"/>
    <w:rsid w:val="00C95E7C"/>
    <w:rsid w:val="00C9603E"/>
    <w:rsid w:val="00C961DD"/>
    <w:rsid w:val="00C962F3"/>
    <w:rsid w:val="00C963BF"/>
    <w:rsid w:val="00C96516"/>
    <w:rsid w:val="00C96C65"/>
    <w:rsid w:val="00C96F70"/>
    <w:rsid w:val="00C96FA3"/>
    <w:rsid w:val="00C970A1"/>
    <w:rsid w:val="00C97397"/>
    <w:rsid w:val="00C975E6"/>
    <w:rsid w:val="00C97820"/>
    <w:rsid w:val="00C978FE"/>
    <w:rsid w:val="00C979C5"/>
    <w:rsid w:val="00C97D40"/>
    <w:rsid w:val="00C97D48"/>
    <w:rsid w:val="00C97E1A"/>
    <w:rsid w:val="00C97EAC"/>
    <w:rsid w:val="00CA0372"/>
    <w:rsid w:val="00CA0481"/>
    <w:rsid w:val="00CA056F"/>
    <w:rsid w:val="00CA0608"/>
    <w:rsid w:val="00CA068F"/>
    <w:rsid w:val="00CA0C2D"/>
    <w:rsid w:val="00CA0D6A"/>
    <w:rsid w:val="00CA0E9B"/>
    <w:rsid w:val="00CA10D0"/>
    <w:rsid w:val="00CA1333"/>
    <w:rsid w:val="00CA13DE"/>
    <w:rsid w:val="00CA1458"/>
    <w:rsid w:val="00CA15AC"/>
    <w:rsid w:val="00CA16B8"/>
    <w:rsid w:val="00CA175E"/>
    <w:rsid w:val="00CA19A9"/>
    <w:rsid w:val="00CA1B16"/>
    <w:rsid w:val="00CA1E51"/>
    <w:rsid w:val="00CA21A9"/>
    <w:rsid w:val="00CA24FA"/>
    <w:rsid w:val="00CA28A8"/>
    <w:rsid w:val="00CA2A0F"/>
    <w:rsid w:val="00CA2AE1"/>
    <w:rsid w:val="00CA2D08"/>
    <w:rsid w:val="00CA316B"/>
    <w:rsid w:val="00CA3CC2"/>
    <w:rsid w:val="00CA3F35"/>
    <w:rsid w:val="00CA43F9"/>
    <w:rsid w:val="00CA4458"/>
    <w:rsid w:val="00CA45FC"/>
    <w:rsid w:val="00CA481F"/>
    <w:rsid w:val="00CA487E"/>
    <w:rsid w:val="00CA4DC9"/>
    <w:rsid w:val="00CA516C"/>
    <w:rsid w:val="00CA52B2"/>
    <w:rsid w:val="00CA56C5"/>
    <w:rsid w:val="00CA59C2"/>
    <w:rsid w:val="00CA5C47"/>
    <w:rsid w:val="00CA5C82"/>
    <w:rsid w:val="00CA6228"/>
    <w:rsid w:val="00CA62EE"/>
    <w:rsid w:val="00CA64F4"/>
    <w:rsid w:val="00CA65EF"/>
    <w:rsid w:val="00CA6647"/>
    <w:rsid w:val="00CA679A"/>
    <w:rsid w:val="00CA6E9A"/>
    <w:rsid w:val="00CA7414"/>
    <w:rsid w:val="00CA7459"/>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9C4"/>
    <w:rsid w:val="00CB0A1F"/>
    <w:rsid w:val="00CB0B65"/>
    <w:rsid w:val="00CB0CB1"/>
    <w:rsid w:val="00CB0CE9"/>
    <w:rsid w:val="00CB131F"/>
    <w:rsid w:val="00CB1320"/>
    <w:rsid w:val="00CB16C4"/>
    <w:rsid w:val="00CB1A00"/>
    <w:rsid w:val="00CB2121"/>
    <w:rsid w:val="00CB2187"/>
    <w:rsid w:val="00CB21AF"/>
    <w:rsid w:val="00CB221C"/>
    <w:rsid w:val="00CB2476"/>
    <w:rsid w:val="00CB24DB"/>
    <w:rsid w:val="00CB2766"/>
    <w:rsid w:val="00CB2CE8"/>
    <w:rsid w:val="00CB2E15"/>
    <w:rsid w:val="00CB2EEF"/>
    <w:rsid w:val="00CB2F06"/>
    <w:rsid w:val="00CB339E"/>
    <w:rsid w:val="00CB33D0"/>
    <w:rsid w:val="00CB3404"/>
    <w:rsid w:val="00CB3539"/>
    <w:rsid w:val="00CB3555"/>
    <w:rsid w:val="00CB3693"/>
    <w:rsid w:val="00CB36F7"/>
    <w:rsid w:val="00CB372C"/>
    <w:rsid w:val="00CB3E69"/>
    <w:rsid w:val="00CB434C"/>
    <w:rsid w:val="00CB439C"/>
    <w:rsid w:val="00CB452B"/>
    <w:rsid w:val="00CB4662"/>
    <w:rsid w:val="00CB4900"/>
    <w:rsid w:val="00CB496F"/>
    <w:rsid w:val="00CB4DC2"/>
    <w:rsid w:val="00CB4DCD"/>
    <w:rsid w:val="00CB4E4B"/>
    <w:rsid w:val="00CB4F2D"/>
    <w:rsid w:val="00CB53F8"/>
    <w:rsid w:val="00CB544A"/>
    <w:rsid w:val="00CB5CCC"/>
    <w:rsid w:val="00CB5E59"/>
    <w:rsid w:val="00CB5FF4"/>
    <w:rsid w:val="00CB603C"/>
    <w:rsid w:val="00CB6272"/>
    <w:rsid w:val="00CB644D"/>
    <w:rsid w:val="00CB68EA"/>
    <w:rsid w:val="00CB6B3F"/>
    <w:rsid w:val="00CB6C9D"/>
    <w:rsid w:val="00CB7418"/>
    <w:rsid w:val="00CB7A7D"/>
    <w:rsid w:val="00CB7C49"/>
    <w:rsid w:val="00CB7EC4"/>
    <w:rsid w:val="00CC018F"/>
    <w:rsid w:val="00CC01EB"/>
    <w:rsid w:val="00CC0670"/>
    <w:rsid w:val="00CC0743"/>
    <w:rsid w:val="00CC0B35"/>
    <w:rsid w:val="00CC0BBE"/>
    <w:rsid w:val="00CC100B"/>
    <w:rsid w:val="00CC1311"/>
    <w:rsid w:val="00CC1690"/>
    <w:rsid w:val="00CC1969"/>
    <w:rsid w:val="00CC19DE"/>
    <w:rsid w:val="00CC1B33"/>
    <w:rsid w:val="00CC2213"/>
    <w:rsid w:val="00CC2221"/>
    <w:rsid w:val="00CC23B3"/>
    <w:rsid w:val="00CC2677"/>
    <w:rsid w:val="00CC27FE"/>
    <w:rsid w:val="00CC2A78"/>
    <w:rsid w:val="00CC2D98"/>
    <w:rsid w:val="00CC2DCA"/>
    <w:rsid w:val="00CC2E06"/>
    <w:rsid w:val="00CC3066"/>
    <w:rsid w:val="00CC367D"/>
    <w:rsid w:val="00CC3A33"/>
    <w:rsid w:val="00CC3C18"/>
    <w:rsid w:val="00CC3D23"/>
    <w:rsid w:val="00CC4035"/>
    <w:rsid w:val="00CC41B5"/>
    <w:rsid w:val="00CC4210"/>
    <w:rsid w:val="00CC4238"/>
    <w:rsid w:val="00CC44F1"/>
    <w:rsid w:val="00CC44FE"/>
    <w:rsid w:val="00CC4921"/>
    <w:rsid w:val="00CC4A47"/>
    <w:rsid w:val="00CC5431"/>
    <w:rsid w:val="00CC576D"/>
    <w:rsid w:val="00CC5E67"/>
    <w:rsid w:val="00CC637B"/>
    <w:rsid w:val="00CC644D"/>
    <w:rsid w:val="00CC658D"/>
    <w:rsid w:val="00CC6657"/>
    <w:rsid w:val="00CC665A"/>
    <w:rsid w:val="00CC67EC"/>
    <w:rsid w:val="00CC6FB8"/>
    <w:rsid w:val="00CC718D"/>
    <w:rsid w:val="00CC7210"/>
    <w:rsid w:val="00CC74A2"/>
    <w:rsid w:val="00CC779C"/>
    <w:rsid w:val="00CC7B51"/>
    <w:rsid w:val="00CC7F36"/>
    <w:rsid w:val="00CD0492"/>
    <w:rsid w:val="00CD0518"/>
    <w:rsid w:val="00CD0593"/>
    <w:rsid w:val="00CD07CA"/>
    <w:rsid w:val="00CD07DE"/>
    <w:rsid w:val="00CD0B5E"/>
    <w:rsid w:val="00CD0E7F"/>
    <w:rsid w:val="00CD0F24"/>
    <w:rsid w:val="00CD107A"/>
    <w:rsid w:val="00CD1184"/>
    <w:rsid w:val="00CD1311"/>
    <w:rsid w:val="00CD146B"/>
    <w:rsid w:val="00CD155B"/>
    <w:rsid w:val="00CD178A"/>
    <w:rsid w:val="00CD1A3E"/>
    <w:rsid w:val="00CD1F85"/>
    <w:rsid w:val="00CD1F96"/>
    <w:rsid w:val="00CD1FD1"/>
    <w:rsid w:val="00CD20D4"/>
    <w:rsid w:val="00CD2187"/>
    <w:rsid w:val="00CD246B"/>
    <w:rsid w:val="00CD2519"/>
    <w:rsid w:val="00CD251C"/>
    <w:rsid w:val="00CD2653"/>
    <w:rsid w:val="00CD2C94"/>
    <w:rsid w:val="00CD2CBE"/>
    <w:rsid w:val="00CD2CDC"/>
    <w:rsid w:val="00CD2F34"/>
    <w:rsid w:val="00CD3208"/>
    <w:rsid w:val="00CD3B66"/>
    <w:rsid w:val="00CD3F67"/>
    <w:rsid w:val="00CD477A"/>
    <w:rsid w:val="00CD4817"/>
    <w:rsid w:val="00CD4ADB"/>
    <w:rsid w:val="00CD4CB3"/>
    <w:rsid w:val="00CD4CF2"/>
    <w:rsid w:val="00CD4D1A"/>
    <w:rsid w:val="00CD4F23"/>
    <w:rsid w:val="00CD4FC6"/>
    <w:rsid w:val="00CD520E"/>
    <w:rsid w:val="00CD5217"/>
    <w:rsid w:val="00CD52AC"/>
    <w:rsid w:val="00CD5562"/>
    <w:rsid w:val="00CD558B"/>
    <w:rsid w:val="00CD55B3"/>
    <w:rsid w:val="00CD59D9"/>
    <w:rsid w:val="00CD5A05"/>
    <w:rsid w:val="00CD5B7D"/>
    <w:rsid w:val="00CD5D09"/>
    <w:rsid w:val="00CD5D9A"/>
    <w:rsid w:val="00CD5F3B"/>
    <w:rsid w:val="00CD6A01"/>
    <w:rsid w:val="00CD6ABC"/>
    <w:rsid w:val="00CD750A"/>
    <w:rsid w:val="00CD77DB"/>
    <w:rsid w:val="00CD7A27"/>
    <w:rsid w:val="00CD7A7B"/>
    <w:rsid w:val="00CD7AAD"/>
    <w:rsid w:val="00CD7CD0"/>
    <w:rsid w:val="00CD7E16"/>
    <w:rsid w:val="00CD7E96"/>
    <w:rsid w:val="00CD7EE5"/>
    <w:rsid w:val="00CD7FD7"/>
    <w:rsid w:val="00CE0097"/>
    <w:rsid w:val="00CE04A0"/>
    <w:rsid w:val="00CE04BA"/>
    <w:rsid w:val="00CE06BD"/>
    <w:rsid w:val="00CE0755"/>
    <w:rsid w:val="00CE07A2"/>
    <w:rsid w:val="00CE0855"/>
    <w:rsid w:val="00CE09E2"/>
    <w:rsid w:val="00CE0AA1"/>
    <w:rsid w:val="00CE1714"/>
    <w:rsid w:val="00CE186D"/>
    <w:rsid w:val="00CE1A39"/>
    <w:rsid w:val="00CE1AAD"/>
    <w:rsid w:val="00CE1B34"/>
    <w:rsid w:val="00CE23B9"/>
    <w:rsid w:val="00CE29C5"/>
    <w:rsid w:val="00CE2B23"/>
    <w:rsid w:val="00CE2C38"/>
    <w:rsid w:val="00CE3042"/>
    <w:rsid w:val="00CE30A7"/>
    <w:rsid w:val="00CE30B0"/>
    <w:rsid w:val="00CE30E6"/>
    <w:rsid w:val="00CE333D"/>
    <w:rsid w:val="00CE341F"/>
    <w:rsid w:val="00CE3420"/>
    <w:rsid w:val="00CE345F"/>
    <w:rsid w:val="00CE34DC"/>
    <w:rsid w:val="00CE368B"/>
    <w:rsid w:val="00CE36DD"/>
    <w:rsid w:val="00CE380B"/>
    <w:rsid w:val="00CE3A3D"/>
    <w:rsid w:val="00CE3BF2"/>
    <w:rsid w:val="00CE3F11"/>
    <w:rsid w:val="00CE43A9"/>
    <w:rsid w:val="00CE4415"/>
    <w:rsid w:val="00CE4443"/>
    <w:rsid w:val="00CE474B"/>
    <w:rsid w:val="00CE49AB"/>
    <w:rsid w:val="00CE4BBB"/>
    <w:rsid w:val="00CE4D3C"/>
    <w:rsid w:val="00CE553D"/>
    <w:rsid w:val="00CE5899"/>
    <w:rsid w:val="00CE593C"/>
    <w:rsid w:val="00CE5CF6"/>
    <w:rsid w:val="00CE5E95"/>
    <w:rsid w:val="00CE5E98"/>
    <w:rsid w:val="00CE5F30"/>
    <w:rsid w:val="00CE60CD"/>
    <w:rsid w:val="00CE69FC"/>
    <w:rsid w:val="00CE6CC6"/>
    <w:rsid w:val="00CE6E47"/>
    <w:rsid w:val="00CE6E7E"/>
    <w:rsid w:val="00CE6E81"/>
    <w:rsid w:val="00CF0219"/>
    <w:rsid w:val="00CF04B4"/>
    <w:rsid w:val="00CF05DB"/>
    <w:rsid w:val="00CF05F0"/>
    <w:rsid w:val="00CF066A"/>
    <w:rsid w:val="00CF07E2"/>
    <w:rsid w:val="00CF0B33"/>
    <w:rsid w:val="00CF0B8C"/>
    <w:rsid w:val="00CF0C78"/>
    <w:rsid w:val="00CF0D30"/>
    <w:rsid w:val="00CF0FC4"/>
    <w:rsid w:val="00CF103E"/>
    <w:rsid w:val="00CF1089"/>
    <w:rsid w:val="00CF17DB"/>
    <w:rsid w:val="00CF1BFF"/>
    <w:rsid w:val="00CF1C79"/>
    <w:rsid w:val="00CF1D89"/>
    <w:rsid w:val="00CF2157"/>
    <w:rsid w:val="00CF2502"/>
    <w:rsid w:val="00CF26C2"/>
    <w:rsid w:val="00CF2708"/>
    <w:rsid w:val="00CF2BC9"/>
    <w:rsid w:val="00CF2C08"/>
    <w:rsid w:val="00CF2C97"/>
    <w:rsid w:val="00CF2F64"/>
    <w:rsid w:val="00CF303B"/>
    <w:rsid w:val="00CF311A"/>
    <w:rsid w:val="00CF3359"/>
    <w:rsid w:val="00CF3400"/>
    <w:rsid w:val="00CF379F"/>
    <w:rsid w:val="00CF3AB1"/>
    <w:rsid w:val="00CF3B6E"/>
    <w:rsid w:val="00CF3DFC"/>
    <w:rsid w:val="00CF3FDD"/>
    <w:rsid w:val="00CF42DF"/>
    <w:rsid w:val="00CF4307"/>
    <w:rsid w:val="00CF44DB"/>
    <w:rsid w:val="00CF46A7"/>
    <w:rsid w:val="00CF5040"/>
    <w:rsid w:val="00CF570D"/>
    <w:rsid w:val="00CF59A1"/>
    <w:rsid w:val="00CF613E"/>
    <w:rsid w:val="00CF64AA"/>
    <w:rsid w:val="00CF680C"/>
    <w:rsid w:val="00CF78CD"/>
    <w:rsid w:val="00CF79D0"/>
    <w:rsid w:val="00CF7EDA"/>
    <w:rsid w:val="00CF7F26"/>
    <w:rsid w:val="00CF7FAF"/>
    <w:rsid w:val="00D0008E"/>
    <w:rsid w:val="00D002BB"/>
    <w:rsid w:val="00D0061F"/>
    <w:rsid w:val="00D0064F"/>
    <w:rsid w:val="00D007CD"/>
    <w:rsid w:val="00D009CB"/>
    <w:rsid w:val="00D009E6"/>
    <w:rsid w:val="00D00EEC"/>
    <w:rsid w:val="00D011FE"/>
    <w:rsid w:val="00D01453"/>
    <w:rsid w:val="00D018CD"/>
    <w:rsid w:val="00D018FE"/>
    <w:rsid w:val="00D01954"/>
    <w:rsid w:val="00D01A0D"/>
    <w:rsid w:val="00D01E05"/>
    <w:rsid w:val="00D01ED5"/>
    <w:rsid w:val="00D021F0"/>
    <w:rsid w:val="00D02271"/>
    <w:rsid w:val="00D02456"/>
    <w:rsid w:val="00D025A3"/>
    <w:rsid w:val="00D025A7"/>
    <w:rsid w:val="00D026BC"/>
    <w:rsid w:val="00D02AD7"/>
    <w:rsid w:val="00D02C47"/>
    <w:rsid w:val="00D03458"/>
    <w:rsid w:val="00D03459"/>
    <w:rsid w:val="00D03AF1"/>
    <w:rsid w:val="00D03E7A"/>
    <w:rsid w:val="00D04056"/>
    <w:rsid w:val="00D0418C"/>
    <w:rsid w:val="00D042BD"/>
    <w:rsid w:val="00D04667"/>
    <w:rsid w:val="00D04827"/>
    <w:rsid w:val="00D049DD"/>
    <w:rsid w:val="00D04EFF"/>
    <w:rsid w:val="00D04F02"/>
    <w:rsid w:val="00D051A6"/>
    <w:rsid w:val="00D051E5"/>
    <w:rsid w:val="00D05245"/>
    <w:rsid w:val="00D05307"/>
    <w:rsid w:val="00D0557D"/>
    <w:rsid w:val="00D05669"/>
    <w:rsid w:val="00D057BA"/>
    <w:rsid w:val="00D059BC"/>
    <w:rsid w:val="00D05CA1"/>
    <w:rsid w:val="00D05D53"/>
    <w:rsid w:val="00D05D64"/>
    <w:rsid w:val="00D0650A"/>
    <w:rsid w:val="00D06878"/>
    <w:rsid w:val="00D06A55"/>
    <w:rsid w:val="00D06CBF"/>
    <w:rsid w:val="00D0713C"/>
    <w:rsid w:val="00D074E2"/>
    <w:rsid w:val="00D077D3"/>
    <w:rsid w:val="00D07846"/>
    <w:rsid w:val="00D078C6"/>
    <w:rsid w:val="00D07D12"/>
    <w:rsid w:val="00D07D82"/>
    <w:rsid w:val="00D07F8E"/>
    <w:rsid w:val="00D07FB4"/>
    <w:rsid w:val="00D1036E"/>
    <w:rsid w:val="00D10506"/>
    <w:rsid w:val="00D1060A"/>
    <w:rsid w:val="00D107E7"/>
    <w:rsid w:val="00D10D0E"/>
    <w:rsid w:val="00D10E7B"/>
    <w:rsid w:val="00D10E91"/>
    <w:rsid w:val="00D10F8F"/>
    <w:rsid w:val="00D1105A"/>
    <w:rsid w:val="00D1137B"/>
    <w:rsid w:val="00D116E6"/>
    <w:rsid w:val="00D11799"/>
    <w:rsid w:val="00D11DB6"/>
    <w:rsid w:val="00D121D3"/>
    <w:rsid w:val="00D12482"/>
    <w:rsid w:val="00D125D9"/>
    <w:rsid w:val="00D126CA"/>
    <w:rsid w:val="00D12700"/>
    <w:rsid w:val="00D12790"/>
    <w:rsid w:val="00D128D7"/>
    <w:rsid w:val="00D1298F"/>
    <w:rsid w:val="00D12B8A"/>
    <w:rsid w:val="00D12BAC"/>
    <w:rsid w:val="00D12BB7"/>
    <w:rsid w:val="00D13059"/>
    <w:rsid w:val="00D132D5"/>
    <w:rsid w:val="00D13621"/>
    <w:rsid w:val="00D13631"/>
    <w:rsid w:val="00D13869"/>
    <w:rsid w:val="00D13C9C"/>
    <w:rsid w:val="00D13E53"/>
    <w:rsid w:val="00D13EF5"/>
    <w:rsid w:val="00D14108"/>
    <w:rsid w:val="00D14C6F"/>
    <w:rsid w:val="00D151EA"/>
    <w:rsid w:val="00D15303"/>
    <w:rsid w:val="00D15473"/>
    <w:rsid w:val="00D1594B"/>
    <w:rsid w:val="00D1596F"/>
    <w:rsid w:val="00D15B26"/>
    <w:rsid w:val="00D15FB3"/>
    <w:rsid w:val="00D16051"/>
    <w:rsid w:val="00D160F7"/>
    <w:rsid w:val="00D16297"/>
    <w:rsid w:val="00D1657B"/>
    <w:rsid w:val="00D166E3"/>
    <w:rsid w:val="00D168DB"/>
    <w:rsid w:val="00D16EF2"/>
    <w:rsid w:val="00D17119"/>
    <w:rsid w:val="00D17428"/>
    <w:rsid w:val="00D174BE"/>
    <w:rsid w:val="00D174FF"/>
    <w:rsid w:val="00D176FB"/>
    <w:rsid w:val="00D17788"/>
    <w:rsid w:val="00D17A2A"/>
    <w:rsid w:val="00D20039"/>
    <w:rsid w:val="00D20209"/>
    <w:rsid w:val="00D2024A"/>
    <w:rsid w:val="00D20461"/>
    <w:rsid w:val="00D20A89"/>
    <w:rsid w:val="00D20B75"/>
    <w:rsid w:val="00D20DEF"/>
    <w:rsid w:val="00D20EB0"/>
    <w:rsid w:val="00D21163"/>
    <w:rsid w:val="00D2141F"/>
    <w:rsid w:val="00D2148E"/>
    <w:rsid w:val="00D21504"/>
    <w:rsid w:val="00D218BB"/>
    <w:rsid w:val="00D21A6E"/>
    <w:rsid w:val="00D21FA8"/>
    <w:rsid w:val="00D22097"/>
    <w:rsid w:val="00D220EF"/>
    <w:rsid w:val="00D22166"/>
    <w:rsid w:val="00D224EB"/>
    <w:rsid w:val="00D22675"/>
    <w:rsid w:val="00D22A28"/>
    <w:rsid w:val="00D22B80"/>
    <w:rsid w:val="00D22B8A"/>
    <w:rsid w:val="00D233DF"/>
    <w:rsid w:val="00D236B7"/>
    <w:rsid w:val="00D238C8"/>
    <w:rsid w:val="00D239D9"/>
    <w:rsid w:val="00D23AFF"/>
    <w:rsid w:val="00D23BE3"/>
    <w:rsid w:val="00D23E48"/>
    <w:rsid w:val="00D243D1"/>
    <w:rsid w:val="00D244BE"/>
    <w:rsid w:val="00D244CE"/>
    <w:rsid w:val="00D24537"/>
    <w:rsid w:val="00D24640"/>
    <w:rsid w:val="00D2482B"/>
    <w:rsid w:val="00D2482F"/>
    <w:rsid w:val="00D2489E"/>
    <w:rsid w:val="00D248E1"/>
    <w:rsid w:val="00D24B50"/>
    <w:rsid w:val="00D24B54"/>
    <w:rsid w:val="00D24BB6"/>
    <w:rsid w:val="00D24F12"/>
    <w:rsid w:val="00D24FFA"/>
    <w:rsid w:val="00D25352"/>
    <w:rsid w:val="00D25386"/>
    <w:rsid w:val="00D25410"/>
    <w:rsid w:val="00D25767"/>
    <w:rsid w:val="00D25964"/>
    <w:rsid w:val="00D25EC9"/>
    <w:rsid w:val="00D25FED"/>
    <w:rsid w:val="00D263FE"/>
    <w:rsid w:val="00D2670B"/>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5E1"/>
    <w:rsid w:val="00D3090A"/>
    <w:rsid w:val="00D309AC"/>
    <w:rsid w:val="00D310F3"/>
    <w:rsid w:val="00D3111E"/>
    <w:rsid w:val="00D31221"/>
    <w:rsid w:val="00D31318"/>
    <w:rsid w:val="00D31697"/>
    <w:rsid w:val="00D316DF"/>
    <w:rsid w:val="00D31700"/>
    <w:rsid w:val="00D31851"/>
    <w:rsid w:val="00D31BF4"/>
    <w:rsid w:val="00D31CD6"/>
    <w:rsid w:val="00D31CF3"/>
    <w:rsid w:val="00D31D96"/>
    <w:rsid w:val="00D31F8D"/>
    <w:rsid w:val="00D323F9"/>
    <w:rsid w:val="00D32449"/>
    <w:rsid w:val="00D32598"/>
    <w:rsid w:val="00D32664"/>
    <w:rsid w:val="00D326D0"/>
    <w:rsid w:val="00D32776"/>
    <w:rsid w:val="00D328D5"/>
    <w:rsid w:val="00D32A68"/>
    <w:rsid w:val="00D32D36"/>
    <w:rsid w:val="00D32FA5"/>
    <w:rsid w:val="00D3300B"/>
    <w:rsid w:val="00D33211"/>
    <w:rsid w:val="00D33470"/>
    <w:rsid w:val="00D336AD"/>
    <w:rsid w:val="00D33C32"/>
    <w:rsid w:val="00D33E44"/>
    <w:rsid w:val="00D33EBE"/>
    <w:rsid w:val="00D34058"/>
    <w:rsid w:val="00D342E8"/>
    <w:rsid w:val="00D3434F"/>
    <w:rsid w:val="00D34376"/>
    <w:rsid w:val="00D345E2"/>
    <w:rsid w:val="00D34615"/>
    <w:rsid w:val="00D34B57"/>
    <w:rsid w:val="00D35357"/>
    <w:rsid w:val="00D353B4"/>
    <w:rsid w:val="00D3569C"/>
    <w:rsid w:val="00D35718"/>
    <w:rsid w:val="00D35755"/>
    <w:rsid w:val="00D358E8"/>
    <w:rsid w:val="00D35E91"/>
    <w:rsid w:val="00D35FE9"/>
    <w:rsid w:val="00D361CC"/>
    <w:rsid w:val="00D361D9"/>
    <w:rsid w:val="00D3652D"/>
    <w:rsid w:val="00D36697"/>
    <w:rsid w:val="00D36CB6"/>
    <w:rsid w:val="00D36CE8"/>
    <w:rsid w:val="00D36CFB"/>
    <w:rsid w:val="00D36F4C"/>
    <w:rsid w:val="00D370C6"/>
    <w:rsid w:val="00D373EE"/>
    <w:rsid w:val="00D373FF"/>
    <w:rsid w:val="00D375EF"/>
    <w:rsid w:val="00D37807"/>
    <w:rsid w:val="00D37ECC"/>
    <w:rsid w:val="00D401AB"/>
    <w:rsid w:val="00D401C6"/>
    <w:rsid w:val="00D4025E"/>
    <w:rsid w:val="00D4049E"/>
    <w:rsid w:val="00D40508"/>
    <w:rsid w:val="00D40668"/>
    <w:rsid w:val="00D406B2"/>
    <w:rsid w:val="00D4098C"/>
    <w:rsid w:val="00D40B82"/>
    <w:rsid w:val="00D40B95"/>
    <w:rsid w:val="00D40DB2"/>
    <w:rsid w:val="00D40EAE"/>
    <w:rsid w:val="00D4111E"/>
    <w:rsid w:val="00D411E0"/>
    <w:rsid w:val="00D414C5"/>
    <w:rsid w:val="00D414C7"/>
    <w:rsid w:val="00D41A59"/>
    <w:rsid w:val="00D41CF9"/>
    <w:rsid w:val="00D41E77"/>
    <w:rsid w:val="00D4274D"/>
    <w:rsid w:val="00D4281E"/>
    <w:rsid w:val="00D42B97"/>
    <w:rsid w:val="00D43096"/>
    <w:rsid w:val="00D435C4"/>
    <w:rsid w:val="00D43B5E"/>
    <w:rsid w:val="00D43BC4"/>
    <w:rsid w:val="00D43D89"/>
    <w:rsid w:val="00D43DE4"/>
    <w:rsid w:val="00D43F83"/>
    <w:rsid w:val="00D44715"/>
    <w:rsid w:val="00D44806"/>
    <w:rsid w:val="00D44B95"/>
    <w:rsid w:val="00D44DEF"/>
    <w:rsid w:val="00D44FC7"/>
    <w:rsid w:val="00D45001"/>
    <w:rsid w:val="00D45034"/>
    <w:rsid w:val="00D451FB"/>
    <w:rsid w:val="00D4534D"/>
    <w:rsid w:val="00D4583F"/>
    <w:rsid w:val="00D458E5"/>
    <w:rsid w:val="00D45A7A"/>
    <w:rsid w:val="00D45A7F"/>
    <w:rsid w:val="00D45DA9"/>
    <w:rsid w:val="00D45DEB"/>
    <w:rsid w:val="00D4610D"/>
    <w:rsid w:val="00D463A2"/>
    <w:rsid w:val="00D46593"/>
    <w:rsid w:val="00D46852"/>
    <w:rsid w:val="00D469D9"/>
    <w:rsid w:val="00D46AB2"/>
    <w:rsid w:val="00D46C90"/>
    <w:rsid w:val="00D46D50"/>
    <w:rsid w:val="00D46ECA"/>
    <w:rsid w:val="00D4703E"/>
    <w:rsid w:val="00D471ED"/>
    <w:rsid w:val="00D472D9"/>
    <w:rsid w:val="00D47331"/>
    <w:rsid w:val="00D47815"/>
    <w:rsid w:val="00D47A4F"/>
    <w:rsid w:val="00D47A54"/>
    <w:rsid w:val="00D47ADE"/>
    <w:rsid w:val="00D47B52"/>
    <w:rsid w:val="00D47D2C"/>
    <w:rsid w:val="00D500D3"/>
    <w:rsid w:val="00D5010C"/>
    <w:rsid w:val="00D501AA"/>
    <w:rsid w:val="00D501FA"/>
    <w:rsid w:val="00D50344"/>
    <w:rsid w:val="00D503A5"/>
    <w:rsid w:val="00D5050B"/>
    <w:rsid w:val="00D5069A"/>
    <w:rsid w:val="00D51099"/>
    <w:rsid w:val="00D51160"/>
    <w:rsid w:val="00D511DE"/>
    <w:rsid w:val="00D51298"/>
    <w:rsid w:val="00D5135A"/>
    <w:rsid w:val="00D51477"/>
    <w:rsid w:val="00D51647"/>
    <w:rsid w:val="00D516BD"/>
    <w:rsid w:val="00D518A7"/>
    <w:rsid w:val="00D51F0F"/>
    <w:rsid w:val="00D52283"/>
    <w:rsid w:val="00D525EA"/>
    <w:rsid w:val="00D5267B"/>
    <w:rsid w:val="00D526DD"/>
    <w:rsid w:val="00D526F8"/>
    <w:rsid w:val="00D5276E"/>
    <w:rsid w:val="00D527C8"/>
    <w:rsid w:val="00D5287C"/>
    <w:rsid w:val="00D52B7E"/>
    <w:rsid w:val="00D52BBB"/>
    <w:rsid w:val="00D52C17"/>
    <w:rsid w:val="00D52E6A"/>
    <w:rsid w:val="00D53509"/>
    <w:rsid w:val="00D53637"/>
    <w:rsid w:val="00D5373F"/>
    <w:rsid w:val="00D5376F"/>
    <w:rsid w:val="00D5392D"/>
    <w:rsid w:val="00D53953"/>
    <w:rsid w:val="00D5396D"/>
    <w:rsid w:val="00D53BC0"/>
    <w:rsid w:val="00D53CE6"/>
    <w:rsid w:val="00D53E1E"/>
    <w:rsid w:val="00D53F13"/>
    <w:rsid w:val="00D54587"/>
    <w:rsid w:val="00D54840"/>
    <w:rsid w:val="00D54B50"/>
    <w:rsid w:val="00D55094"/>
    <w:rsid w:val="00D552EE"/>
    <w:rsid w:val="00D5567E"/>
    <w:rsid w:val="00D557F0"/>
    <w:rsid w:val="00D55928"/>
    <w:rsid w:val="00D55AF0"/>
    <w:rsid w:val="00D55F0F"/>
    <w:rsid w:val="00D5648E"/>
    <w:rsid w:val="00D56559"/>
    <w:rsid w:val="00D565D4"/>
    <w:rsid w:val="00D567A6"/>
    <w:rsid w:val="00D56AFE"/>
    <w:rsid w:val="00D56B70"/>
    <w:rsid w:val="00D56F15"/>
    <w:rsid w:val="00D5713D"/>
    <w:rsid w:val="00D57180"/>
    <w:rsid w:val="00D573EC"/>
    <w:rsid w:val="00D5755B"/>
    <w:rsid w:val="00D577B7"/>
    <w:rsid w:val="00D578F0"/>
    <w:rsid w:val="00D57A1F"/>
    <w:rsid w:val="00D57AB1"/>
    <w:rsid w:val="00D57B11"/>
    <w:rsid w:val="00D57D93"/>
    <w:rsid w:val="00D60157"/>
    <w:rsid w:val="00D60805"/>
    <w:rsid w:val="00D60A87"/>
    <w:rsid w:val="00D60E7F"/>
    <w:rsid w:val="00D61130"/>
    <w:rsid w:val="00D61217"/>
    <w:rsid w:val="00D614B7"/>
    <w:rsid w:val="00D6173B"/>
    <w:rsid w:val="00D61767"/>
    <w:rsid w:val="00D61981"/>
    <w:rsid w:val="00D619FD"/>
    <w:rsid w:val="00D61B65"/>
    <w:rsid w:val="00D6243F"/>
    <w:rsid w:val="00D628D0"/>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391"/>
    <w:rsid w:val="00D644C2"/>
    <w:rsid w:val="00D64561"/>
    <w:rsid w:val="00D64667"/>
    <w:rsid w:val="00D64833"/>
    <w:rsid w:val="00D64A56"/>
    <w:rsid w:val="00D64D01"/>
    <w:rsid w:val="00D65425"/>
    <w:rsid w:val="00D65434"/>
    <w:rsid w:val="00D654DD"/>
    <w:rsid w:val="00D6553D"/>
    <w:rsid w:val="00D655E5"/>
    <w:rsid w:val="00D65610"/>
    <w:rsid w:val="00D656EB"/>
    <w:rsid w:val="00D65D96"/>
    <w:rsid w:val="00D65F20"/>
    <w:rsid w:val="00D6617C"/>
    <w:rsid w:val="00D66181"/>
    <w:rsid w:val="00D6686E"/>
    <w:rsid w:val="00D66BA4"/>
    <w:rsid w:val="00D66CFF"/>
    <w:rsid w:val="00D679FD"/>
    <w:rsid w:val="00D67AB5"/>
    <w:rsid w:val="00D67EEA"/>
    <w:rsid w:val="00D701E8"/>
    <w:rsid w:val="00D70222"/>
    <w:rsid w:val="00D703B9"/>
    <w:rsid w:val="00D707A9"/>
    <w:rsid w:val="00D708E9"/>
    <w:rsid w:val="00D70BB2"/>
    <w:rsid w:val="00D71026"/>
    <w:rsid w:val="00D71050"/>
    <w:rsid w:val="00D711CC"/>
    <w:rsid w:val="00D7149A"/>
    <w:rsid w:val="00D71528"/>
    <w:rsid w:val="00D715B2"/>
    <w:rsid w:val="00D71A9A"/>
    <w:rsid w:val="00D71CD8"/>
    <w:rsid w:val="00D720DF"/>
    <w:rsid w:val="00D721E0"/>
    <w:rsid w:val="00D7250F"/>
    <w:rsid w:val="00D72544"/>
    <w:rsid w:val="00D72A83"/>
    <w:rsid w:val="00D72BF1"/>
    <w:rsid w:val="00D72CBF"/>
    <w:rsid w:val="00D72EC5"/>
    <w:rsid w:val="00D72FDC"/>
    <w:rsid w:val="00D730B0"/>
    <w:rsid w:val="00D73385"/>
    <w:rsid w:val="00D73403"/>
    <w:rsid w:val="00D734C7"/>
    <w:rsid w:val="00D73652"/>
    <w:rsid w:val="00D73691"/>
    <w:rsid w:val="00D73744"/>
    <w:rsid w:val="00D73C16"/>
    <w:rsid w:val="00D740D3"/>
    <w:rsid w:val="00D741B9"/>
    <w:rsid w:val="00D7448B"/>
    <w:rsid w:val="00D749C1"/>
    <w:rsid w:val="00D74D67"/>
    <w:rsid w:val="00D74E87"/>
    <w:rsid w:val="00D74EA4"/>
    <w:rsid w:val="00D7506D"/>
    <w:rsid w:val="00D7563F"/>
    <w:rsid w:val="00D758AC"/>
    <w:rsid w:val="00D758C7"/>
    <w:rsid w:val="00D75B12"/>
    <w:rsid w:val="00D75B70"/>
    <w:rsid w:val="00D75BA0"/>
    <w:rsid w:val="00D76269"/>
    <w:rsid w:val="00D764F0"/>
    <w:rsid w:val="00D765A0"/>
    <w:rsid w:val="00D76684"/>
    <w:rsid w:val="00D766AA"/>
    <w:rsid w:val="00D76998"/>
    <w:rsid w:val="00D76AB5"/>
    <w:rsid w:val="00D771FD"/>
    <w:rsid w:val="00D772CB"/>
    <w:rsid w:val="00D7796D"/>
    <w:rsid w:val="00D77FDB"/>
    <w:rsid w:val="00D800F7"/>
    <w:rsid w:val="00D80598"/>
    <w:rsid w:val="00D80604"/>
    <w:rsid w:val="00D80855"/>
    <w:rsid w:val="00D80B1A"/>
    <w:rsid w:val="00D80C06"/>
    <w:rsid w:val="00D80F22"/>
    <w:rsid w:val="00D8111F"/>
    <w:rsid w:val="00D812C7"/>
    <w:rsid w:val="00D812DB"/>
    <w:rsid w:val="00D8158D"/>
    <w:rsid w:val="00D816C6"/>
    <w:rsid w:val="00D81962"/>
    <w:rsid w:val="00D81B18"/>
    <w:rsid w:val="00D82253"/>
    <w:rsid w:val="00D82666"/>
    <w:rsid w:val="00D82A99"/>
    <w:rsid w:val="00D82E52"/>
    <w:rsid w:val="00D831DB"/>
    <w:rsid w:val="00D8327F"/>
    <w:rsid w:val="00D83541"/>
    <w:rsid w:val="00D836EA"/>
    <w:rsid w:val="00D836F8"/>
    <w:rsid w:val="00D83768"/>
    <w:rsid w:val="00D8435E"/>
    <w:rsid w:val="00D8466B"/>
    <w:rsid w:val="00D8487E"/>
    <w:rsid w:val="00D8491C"/>
    <w:rsid w:val="00D84B4D"/>
    <w:rsid w:val="00D84D05"/>
    <w:rsid w:val="00D84F38"/>
    <w:rsid w:val="00D8501A"/>
    <w:rsid w:val="00D856AF"/>
    <w:rsid w:val="00D85853"/>
    <w:rsid w:val="00D85EC8"/>
    <w:rsid w:val="00D85F1D"/>
    <w:rsid w:val="00D86281"/>
    <w:rsid w:val="00D86421"/>
    <w:rsid w:val="00D865F5"/>
    <w:rsid w:val="00D86675"/>
    <w:rsid w:val="00D866A4"/>
    <w:rsid w:val="00D86757"/>
    <w:rsid w:val="00D86A8C"/>
    <w:rsid w:val="00D86BED"/>
    <w:rsid w:val="00D86F9B"/>
    <w:rsid w:val="00D86FBE"/>
    <w:rsid w:val="00D873DC"/>
    <w:rsid w:val="00D87453"/>
    <w:rsid w:val="00D8794E"/>
    <w:rsid w:val="00D87C14"/>
    <w:rsid w:val="00D900DB"/>
    <w:rsid w:val="00D901AD"/>
    <w:rsid w:val="00D903DE"/>
    <w:rsid w:val="00D906D9"/>
    <w:rsid w:val="00D908B8"/>
    <w:rsid w:val="00D90932"/>
    <w:rsid w:val="00D90F51"/>
    <w:rsid w:val="00D9113A"/>
    <w:rsid w:val="00D91390"/>
    <w:rsid w:val="00D91540"/>
    <w:rsid w:val="00D9166E"/>
    <w:rsid w:val="00D91696"/>
    <w:rsid w:val="00D9192D"/>
    <w:rsid w:val="00D91B3E"/>
    <w:rsid w:val="00D91C9B"/>
    <w:rsid w:val="00D91F6E"/>
    <w:rsid w:val="00D91F70"/>
    <w:rsid w:val="00D92069"/>
    <w:rsid w:val="00D92148"/>
    <w:rsid w:val="00D9222C"/>
    <w:rsid w:val="00D9223B"/>
    <w:rsid w:val="00D9224C"/>
    <w:rsid w:val="00D922E4"/>
    <w:rsid w:val="00D923DB"/>
    <w:rsid w:val="00D926F3"/>
    <w:rsid w:val="00D927AC"/>
    <w:rsid w:val="00D92832"/>
    <w:rsid w:val="00D92A3A"/>
    <w:rsid w:val="00D92FC6"/>
    <w:rsid w:val="00D931D7"/>
    <w:rsid w:val="00D93459"/>
    <w:rsid w:val="00D9345C"/>
    <w:rsid w:val="00D9355C"/>
    <w:rsid w:val="00D939A2"/>
    <w:rsid w:val="00D93A16"/>
    <w:rsid w:val="00D93B28"/>
    <w:rsid w:val="00D93B89"/>
    <w:rsid w:val="00D93C1B"/>
    <w:rsid w:val="00D93CD5"/>
    <w:rsid w:val="00D93D55"/>
    <w:rsid w:val="00D93E03"/>
    <w:rsid w:val="00D93E19"/>
    <w:rsid w:val="00D94187"/>
    <w:rsid w:val="00D941D9"/>
    <w:rsid w:val="00D945AB"/>
    <w:rsid w:val="00D9496D"/>
    <w:rsid w:val="00D94E49"/>
    <w:rsid w:val="00D9500A"/>
    <w:rsid w:val="00D95336"/>
    <w:rsid w:val="00D95ACE"/>
    <w:rsid w:val="00D96288"/>
    <w:rsid w:val="00D962E5"/>
    <w:rsid w:val="00D96356"/>
    <w:rsid w:val="00D96649"/>
    <w:rsid w:val="00D96699"/>
    <w:rsid w:val="00D967AF"/>
    <w:rsid w:val="00D96AF1"/>
    <w:rsid w:val="00D96DBC"/>
    <w:rsid w:val="00D96DCC"/>
    <w:rsid w:val="00D96E5F"/>
    <w:rsid w:val="00D96ED8"/>
    <w:rsid w:val="00D97252"/>
    <w:rsid w:val="00D975AB"/>
    <w:rsid w:val="00D97B7F"/>
    <w:rsid w:val="00D97BEF"/>
    <w:rsid w:val="00D97CAF"/>
    <w:rsid w:val="00D97F9A"/>
    <w:rsid w:val="00DA004C"/>
    <w:rsid w:val="00DA05D8"/>
    <w:rsid w:val="00DA0676"/>
    <w:rsid w:val="00DA0768"/>
    <w:rsid w:val="00DA076C"/>
    <w:rsid w:val="00DA0E91"/>
    <w:rsid w:val="00DA0FBC"/>
    <w:rsid w:val="00DA1398"/>
    <w:rsid w:val="00DA161A"/>
    <w:rsid w:val="00DA18A4"/>
    <w:rsid w:val="00DA1A2A"/>
    <w:rsid w:val="00DA1B62"/>
    <w:rsid w:val="00DA1CD0"/>
    <w:rsid w:val="00DA20A3"/>
    <w:rsid w:val="00DA2220"/>
    <w:rsid w:val="00DA2344"/>
    <w:rsid w:val="00DA2416"/>
    <w:rsid w:val="00DA241F"/>
    <w:rsid w:val="00DA2886"/>
    <w:rsid w:val="00DA2C18"/>
    <w:rsid w:val="00DA2E98"/>
    <w:rsid w:val="00DA2F4F"/>
    <w:rsid w:val="00DA32A5"/>
    <w:rsid w:val="00DA3494"/>
    <w:rsid w:val="00DA3633"/>
    <w:rsid w:val="00DA374D"/>
    <w:rsid w:val="00DA3A39"/>
    <w:rsid w:val="00DA3E2F"/>
    <w:rsid w:val="00DA3EEE"/>
    <w:rsid w:val="00DA4039"/>
    <w:rsid w:val="00DA41DE"/>
    <w:rsid w:val="00DA4258"/>
    <w:rsid w:val="00DA4375"/>
    <w:rsid w:val="00DA43A0"/>
    <w:rsid w:val="00DA461D"/>
    <w:rsid w:val="00DA46CD"/>
    <w:rsid w:val="00DA475F"/>
    <w:rsid w:val="00DA4850"/>
    <w:rsid w:val="00DA4968"/>
    <w:rsid w:val="00DA4B07"/>
    <w:rsid w:val="00DA4C70"/>
    <w:rsid w:val="00DA4F7F"/>
    <w:rsid w:val="00DA56D1"/>
    <w:rsid w:val="00DA575C"/>
    <w:rsid w:val="00DA5A94"/>
    <w:rsid w:val="00DA5BD7"/>
    <w:rsid w:val="00DA6507"/>
    <w:rsid w:val="00DA6514"/>
    <w:rsid w:val="00DA66DA"/>
    <w:rsid w:val="00DA6824"/>
    <w:rsid w:val="00DA6A04"/>
    <w:rsid w:val="00DA6BB1"/>
    <w:rsid w:val="00DA6C16"/>
    <w:rsid w:val="00DA7191"/>
    <w:rsid w:val="00DA72E7"/>
    <w:rsid w:val="00DA73F4"/>
    <w:rsid w:val="00DA752A"/>
    <w:rsid w:val="00DA7597"/>
    <w:rsid w:val="00DA7634"/>
    <w:rsid w:val="00DA7727"/>
    <w:rsid w:val="00DA7863"/>
    <w:rsid w:val="00DA7953"/>
    <w:rsid w:val="00DA7A46"/>
    <w:rsid w:val="00DA7A60"/>
    <w:rsid w:val="00DA7A61"/>
    <w:rsid w:val="00DA7C81"/>
    <w:rsid w:val="00DA7EFD"/>
    <w:rsid w:val="00DA7F1B"/>
    <w:rsid w:val="00DB012F"/>
    <w:rsid w:val="00DB031B"/>
    <w:rsid w:val="00DB0324"/>
    <w:rsid w:val="00DB05B7"/>
    <w:rsid w:val="00DB05BD"/>
    <w:rsid w:val="00DB061A"/>
    <w:rsid w:val="00DB0867"/>
    <w:rsid w:val="00DB0C91"/>
    <w:rsid w:val="00DB0D45"/>
    <w:rsid w:val="00DB1044"/>
    <w:rsid w:val="00DB1144"/>
    <w:rsid w:val="00DB14EB"/>
    <w:rsid w:val="00DB190B"/>
    <w:rsid w:val="00DB1B4A"/>
    <w:rsid w:val="00DB1C04"/>
    <w:rsid w:val="00DB1C73"/>
    <w:rsid w:val="00DB1CA0"/>
    <w:rsid w:val="00DB1E32"/>
    <w:rsid w:val="00DB1F6E"/>
    <w:rsid w:val="00DB1FCF"/>
    <w:rsid w:val="00DB227A"/>
    <w:rsid w:val="00DB2355"/>
    <w:rsid w:val="00DB2588"/>
    <w:rsid w:val="00DB2775"/>
    <w:rsid w:val="00DB28AC"/>
    <w:rsid w:val="00DB2914"/>
    <w:rsid w:val="00DB29FD"/>
    <w:rsid w:val="00DB2A15"/>
    <w:rsid w:val="00DB2CF9"/>
    <w:rsid w:val="00DB2E7C"/>
    <w:rsid w:val="00DB3163"/>
    <w:rsid w:val="00DB316D"/>
    <w:rsid w:val="00DB32D2"/>
    <w:rsid w:val="00DB3336"/>
    <w:rsid w:val="00DB348C"/>
    <w:rsid w:val="00DB34A5"/>
    <w:rsid w:val="00DB35FF"/>
    <w:rsid w:val="00DB3651"/>
    <w:rsid w:val="00DB38DC"/>
    <w:rsid w:val="00DB3BB4"/>
    <w:rsid w:val="00DB3C71"/>
    <w:rsid w:val="00DB3EA6"/>
    <w:rsid w:val="00DB40E4"/>
    <w:rsid w:val="00DB40EF"/>
    <w:rsid w:val="00DB43B7"/>
    <w:rsid w:val="00DB4403"/>
    <w:rsid w:val="00DB4432"/>
    <w:rsid w:val="00DB45AB"/>
    <w:rsid w:val="00DB4665"/>
    <w:rsid w:val="00DB4717"/>
    <w:rsid w:val="00DB4B58"/>
    <w:rsid w:val="00DB4DD2"/>
    <w:rsid w:val="00DB50AC"/>
    <w:rsid w:val="00DB5415"/>
    <w:rsid w:val="00DB541B"/>
    <w:rsid w:val="00DB5620"/>
    <w:rsid w:val="00DB5777"/>
    <w:rsid w:val="00DB5889"/>
    <w:rsid w:val="00DB5B8E"/>
    <w:rsid w:val="00DB5EA9"/>
    <w:rsid w:val="00DB5F6C"/>
    <w:rsid w:val="00DB62E0"/>
    <w:rsid w:val="00DB6699"/>
    <w:rsid w:val="00DB6782"/>
    <w:rsid w:val="00DB6906"/>
    <w:rsid w:val="00DB6ECF"/>
    <w:rsid w:val="00DB6EE1"/>
    <w:rsid w:val="00DB6F15"/>
    <w:rsid w:val="00DB6F95"/>
    <w:rsid w:val="00DB74B3"/>
    <w:rsid w:val="00DB762B"/>
    <w:rsid w:val="00DB78E4"/>
    <w:rsid w:val="00DB7A2E"/>
    <w:rsid w:val="00DB7CF1"/>
    <w:rsid w:val="00DB7ED7"/>
    <w:rsid w:val="00DB7FDD"/>
    <w:rsid w:val="00DC0015"/>
    <w:rsid w:val="00DC0226"/>
    <w:rsid w:val="00DC023A"/>
    <w:rsid w:val="00DC07A1"/>
    <w:rsid w:val="00DC081C"/>
    <w:rsid w:val="00DC0BFE"/>
    <w:rsid w:val="00DC0DB1"/>
    <w:rsid w:val="00DC0F02"/>
    <w:rsid w:val="00DC0F8D"/>
    <w:rsid w:val="00DC1325"/>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718"/>
    <w:rsid w:val="00DC379E"/>
    <w:rsid w:val="00DC38AC"/>
    <w:rsid w:val="00DC38DA"/>
    <w:rsid w:val="00DC3914"/>
    <w:rsid w:val="00DC3B8B"/>
    <w:rsid w:val="00DC3CA4"/>
    <w:rsid w:val="00DC3E5C"/>
    <w:rsid w:val="00DC3E76"/>
    <w:rsid w:val="00DC40D2"/>
    <w:rsid w:val="00DC410B"/>
    <w:rsid w:val="00DC420E"/>
    <w:rsid w:val="00DC4304"/>
    <w:rsid w:val="00DC44B9"/>
    <w:rsid w:val="00DC49CF"/>
    <w:rsid w:val="00DC49F5"/>
    <w:rsid w:val="00DC4DD4"/>
    <w:rsid w:val="00DC4FAF"/>
    <w:rsid w:val="00DC4FF9"/>
    <w:rsid w:val="00DC5201"/>
    <w:rsid w:val="00DC53B8"/>
    <w:rsid w:val="00DC554E"/>
    <w:rsid w:val="00DC556C"/>
    <w:rsid w:val="00DC55A0"/>
    <w:rsid w:val="00DC58A2"/>
    <w:rsid w:val="00DC5AD1"/>
    <w:rsid w:val="00DC5B96"/>
    <w:rsid w:val="00DC5C0D"/>
    <w:rsid w:val="00DC6158"/>
    <w:rsid w:val="00DC7032"/>
    <w:rsid w:val="00DC72A4"/>
    <w:rsid w:val="00DC72D1"/>
    <w:rsid w:val="00DC73B5"/>
    <w:rsid w:val="00DC746E"/>
    <w:rsid w:val="00DC76EE"/>
    <w:rsid w:val="00DC7C57"/>
    <w:rsid w:val="00DC7D95"/>
    <w:rsid w:val="00DD0043"/>
    <w:rsid w:val="00DD01CA"/>
    <w:rsid w:val="00DD02F4"/>
    <w:rsid w:val="00DD033D"/>
    <w:rsid w:val="00DD043A"/>
    <w:rsid w:val="00DD04FA"/>
    <w:rsid w:val="00DD069E"/>
    <w:rsid w:val="00DD0986"/>
    <w:rsid w:val="00DD1176"/>
    <w:rsid w:val="00DD133C"/>
    <w:rsid w:val="00DD1919"/>
    <w:rsid w:val="00DD1A7E"/>
    <w:rsid w:val="00DD1B4E"/>
    <w:rsid w:val="00DD1D23"/>
    <w:rsid w:val="00DD2284"/>
    <w:rsid w:val="00DD2309"/>
    <w:rsid w:val="00DD245C"/>
    <w:rsid w:val="00DD2484"/>
    <w:rsid w:val="00DD295D"/>
    <w:rsid w:val="00DD2CD9"/>
    <w:rsid w:val="00DD2D9C"/>
    <w:rsid w:val="00DD2E0D"/>
    <w:rsid w:val="00DD304A"/>
    <w:rsid w:val="00DD3333"/>
    <w:rsid w:val="00DD3684"/>
    <w:rsid w:val="00DD37AB"/>
    <w:rsid w:val="00DD399A"/>
    <w:rsid w:val="00DD3A13"/>
    <w:rsid w:val="00DD3B60"/>
    <w:rsid w:val="00DD3BDC"/>
    <w:rsid w:val="00DD3CA5"/>
    <w:rsid w:val="00DD4217"/>
    <w:rsid w:val="00DD4C6D"/>
    <w:rsid w:val="00DD4D63"/>
    <w:rsid w:val="00DD4D92"/>
    <w:rsid w:val="00DD552F"/>
    <w:rsid w:val="00DD55D0"/>
    <w:rsid w:val="00DD5786"/>
    <w:rsid w:val="00DD5880"/>
    <w:rsid w:val="00DD5A48"/>
    <w:rsid w:val="00DD5A72"/>
    <w:rsid w:val="00DD5BF3"/>
    <w:rsid w:val="00DD6621"/>
    <w:rsid w:val="00DD6705"/>
    <w:rsid w:val="00DD68A6"/>
    <w:rsid w:val="00DD68C4"/>
    <w:rsid w:val="00DD6A17"/>
    <w:rsid w:val="00DD6B1E"/>
    <w:rsid w:val="00DD6D0B"/>
    <w:rsid w:val="00DD6D1F"/>
    <w:rsid w:val="00DD6E06"/>
    <w:rsid w:val="00DD6E0D"/>
    <w:rsid w:val="00DD6E9C"/>
    <w:rsid w:val="00DD742C"/>
    <w:rsid w:val="00DD7523"/>
    <w:rsid w:val="00DD75C0"/>
    <w:rsid w:val="00DD75EF"/>
    <w:rsid w:val="00DD77E9"/>
    <w:rsid w:val="00DD7815"/>
    <w:rsid w:val="00DD7CB3"/>
    <w:rsid w:val="00DD7DD2"/>
    <w:rsid w:val="00DD7E9E"/>
    <w:rsid w:val="00DD7F87"/>
    <w:rsid w:val="00DE03A0"/>
    <w:rsid w:val="00DE077F"/>
    <w:rsid w:val="00DE0A1C"/>
    <w:rsid w:val="00DE0B17"/>
    <w:rsid w:val="00DE1255"/>
    <w:rsid w:val="00DE1376"/>
    <w:rsid w:val="00DE15D5"/>
    <w:rsid w:val="00DE1C0E"/>
    <w:rsid w:val="00DE1CF4"/>
    <w:rsid w:val="00DE1E36"/>
    <w:rsid w:val="00DE1FAF"/>
    <w:rsid w:val="00DE2193"/>
    <w:rsid w:val="00DE228D"/>
    <w:rsid w:val="00DE2293"/>
    <w:rsid w:val="00DE2417"/>
    <w:rsid w:val="00DE246B"/>
    <w:rsid w:val="00DE27BB"/>
    <w:rsid w:val="00DE2953"/>
    <w:rsid w:val="00DE2D56"/>
    <w:rsid w:val="00DE2DB1"/>
    <w:rsid w:val="00DE2E9D"/>
    <w:rsid w:val="00DE2F4A"/>
    <w:rsid w:val="00DE3440"/>
    <w:rsid w:val="00DE35A7"/>
    <w:rsid w:val="00DE3672"/>
    <w:rsid w:val="00DE36A9"/>
    <w:rsid w:val="00DE374E"/>
    <w:rsid w:val="00DE37BE"/>
    <w:rsid w:val="00DE3A83"/>
    <w:rsid w:val="00DE4103"/>
    <w:rsid w:val="00DE4210"/>
    <w:rsid w:val="00DE42F6"/>
    <w:rsid w:val="00DE4578"/>
    <w:rsid w:val="00DE4812"/>
    <w:rsid w:val="00DE4C5E"/>
    <w:rsid w:val="00DE4CD1"/>
    <w:rsid w:val="00DE4DA8"/>
    <w:rsid w:val="00DE51B4"/>
    <w:rsid w:val="00DE5403"/>
    <w:rsid w:val="00DE55AF"/>
    <w:rsid w:val="00DE55CB"/>
    <w:rsid w:val="00DE57C5"/>
    <w:rsid w:val="00DE58E6"/>
    <w:rsid w:val="00DE591A"/>
    <w:rsid w:val="00DE591E"/>
    <w:rsid w:val="00DE5D56"/>
    <w:rsid w:val="00DE5D79"/>
    <w:rsid w:val="00DE5D83"/>
    <w:rsid w:val="00DE5E6A"/>
    <w:rsid w:val="00DE5E6B"/>
    <w:rsid w:val="00DE61C3"/>
    <w:rsid w:val="00DE62FF"/>
    <w:rsid w:val="00DE70FC"/>
    <w:rsid w:val="00DE729F"/>
    <w:rsid w:val="00DE7991"/>
    <w:rsid w:val="00DE7B29"/>
    <w:rsid w:val="00DE7B41"/>
    <w:rsid w:val="00DF005A"/>
    <w:rsid w:val="00DF010F"/>
    <w:rsid w:val="00DF0155"/>
    <w:rsid w:val="00DF01B6"/>
    <w:rsid w:val="00DF0237"/>
    <w:rsid w:val="00DF02F1"/>
    <w:rsid w:val="00DF0315"/>
    <w:rsid w:val="00DF03CC"/>
    <w:rsid w:val="00DF0412"/>
    <w:rsid w:val="00DF04EE"/>
    <w:rsid w:val="00DF06D5"/>
    <w:rsid w:val="00DF0779"/>
    <w:rsid w:val="00DF08AE"/>
    <w:rsid w:val="00DF0A34"/>
    <w:rsid w:val="00DF0D8B"/>
    <w:rsid w:val="00DF0ED9"/>
    <w:rsid w:val="00DF1423"/>
    <w:rsid w:val="00DF1879"/>
    <w:rsid w:val="00DF198F"/>
    <w:rsid w:val="00DF1BDB"/>
    <w:rsid w:val="00DF1E48"/>
    <w:rsid w:val="00DF1E89"/>
    <w:rsid w:val="00DF1F1E"/>
    <w:rsid w:val="00DF2549"/>
    <w:rsid w:val="00DF26FF"/>
    <w:rsid w:val="00DF2741"/>
    <w:rsid w:val="00DF277A"/>
    <w:rsid w:val="00DF2BD1"/>
    <w:rsid w:val="00DF3038"/>
    <w:rsid w:val="00DF32E7"/>
    <w:rsid w:val="00DF33DD"/>
    <w:rsid w:val="00DF3467"/>
    <w:rsid w:val="00DF34EF"/>
    <w:rsid w:val="00DF35F1"/>
    <w:rsid w:val="00DF3743"/>
    <w:rsid w:val="00DF3757"/>
    <w:rsid w:val="00DF3E35"/>
    <w:rsid w:val="00DF3E60"/>
    <w:rsid w:val="00DF3E7F"/>
    <w:rsid w:val="00DF40FE"/>
    <w:rsid w:val="00DF42E0"/>
    <w:rsid w:val="00DF430B"/>
    <w:rsid w:val="00DF441A"/>
    <w:rsid w:val="00DF4742"/>
    <w:rsid w:val="00DF4F6D"/>
    <w:rsid w:val="00DF511B"/>
    <w:rsid w:val="00DF53A0"/>
    <w:rsid w:val="00DF583A"/>
    <w:rsid w:val="00DF5B56"/>
    <w:rsid w:val="00DF6076"/>
    <w:rsid w:val="00DF61EF"/>
    <w:rsid w:val="00DF620E"/>
    <w:rsid w:val="00DF6326"/>
    <w:rsid w:val="00DF66E4"/>
    <w:rsid w:val="00DF6C13"/>
    <w:rsid w:val="00DF718E"/>
    <w:rsid w:val="00DF7249"/>
    <w:rsid w:val="00DF784C"/>
    <w:rsid w:val="00DF7A9C"/>
    <w:rsid w:val="00DF7D84"/>
    <w:rsid w:val="00DF7FC3"/>
    <w:rsid w:val="00E00460"/>
    <w:rsid w:val="00E004BA"/>
    <w:rsid w:val="00E006E9"/>
    <w:rsid w:val="00E00844"/>
    <w:rsid w:val="00E00C71"/>
    <w:rsid w:val="00E00CA2"/>
    <w:rsid w:val="00E00EAA"/>
    <w:rsid w:val="00E00FA1"/>
    <w:rsid w:val="00E01034"/>
    <w:rsid w:val="00E0103C"/>
    <w:rsid w:val="00E01615"/>
    <w:rsid w:val="00E016AB"/>
    <w:rsid w:val="00E017A2"/>
    <w:rsid w:val="00E01934"/>
    <w:rsid w:val="00E01ECD"/>
    <w:rsid w:val="00E0220F"/>
    <w:rsid w:val="00E02399"/>
    <w:rsid w:val="00E0240A"/>
    <w:rsid w:val="00E0274F"/>
    <w:rsid w:val="00E02814"/>
    <w:rsid w:val="00E029C0"/>
    <w:rsid w:val="00E02D97"/>
    <w:rsid w:val="00E02FD4"/>
    <w:rsid w:val="00E032EC"/>
    <w:rsid w:val="00E0338D"/>
    <w:rsid w:val="00E0339C"/>
    <w:rsid w:val="00E035E0"/>
    <w:rsid w:val="00E038C7"/>
    <w:rsid w:val="00E038DC"/>
    <w:rsid w:val="00E03CAD"/>
    <w:rsid w:val="00E03ED5"/>
    <w:rsid w:val="00E03F68"/>
    <w:rsid w:val="00E04119"/>
    <w:rsid w:val="00E0443B"/>
    <w:rsid w:val="00E04491"/>
    <w:rsid w:val="00E044AB"/>
    <w:rsid w:val="00E047E5"/>
    <w:rsid w:val="00E04AE7"/>
    <w:rsid w:val="00E04C96"/>
    <w:rsid w:val="00E04C97"/>
    <w:rsid w:val="00E04D3D"/>
    <w:rsid w:val="00E051A7"/>
    <w:rsid w:val="00E05241"/>
    <w:rsid w:val="00E05365"/>
    <w:rsid w:val="00E05508"/>
    <w:rsid w:val="00E059B3"/>
    <w:rsid w:val="00E05A10"/>
    <w:rsid w:val="00E05C0E"/>
    <w:rsid w:val="00E05E6B"/>
    <w:rsid w:val="00E05E70"/>
    <w:rsid w:val="00E06056"/>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828"/>
    <w:rsid w:val="00E0783F"/>
    <w:rsid w:val="00E07ABA"/>
    <w:rsid w:val="00E07DB5"/>
    <w:rsid w:val="00E07EC1"/>
    <w:rsid w:val="00E10709"/>
    <w:rsid w:val="00E108DE"/>
    <w:rsid w:val="00E109C1"/>
    <w:rsid w:val="00E10EFF"/>
    <w:rsid w:val="00E10F9C"/>
    <w:rsid w:val="00E1114D"/>
    <w:rsid w:val="00E11277"/>
    <w:rsid w:val="00E11282"/>
    <w:rsid w:val="00E1144B"/>
    <w:rsid w:val="00E11807"/>
    <w:rsid w:val="00E11863"/>
    <w:rsid w:val="00E11BA4"/>
    <w:rsid w:val="00E11D0F"/>
    <w:rsid w:val="00E11DF4"/>
    <w:rsid w:val="00E12185"/>
    <w:rsid w:val="00E12242"/>
    <w:rsid w:val="00E12378"/>
    <w:rsid w:val="00E124AF"/>
    <w:rsid w:val="00E124DA"/>
    <w:rsid w:val="00E128B2"/>
    <w:rsid w:val="00E128FF"/>
    <w:rsid w:val="00E12AE2"/>
    <w:rsid w:val="00E12BFF"/>
    <w:rsid w:val="00E12F0C"/>
    <w:rsid w:val="00E130AD"/>
    <w:rsid w:val="00E13601"/>
    <w:rsid w:val="00E136BF"/>
    <w:rsid w:val="00E13C52"/>
    <w:rsid w:val="00E13FCA"/>
    <w:rsid w:val="00E14E5F"/>
    <w:rsid w:val="00E15026"/>
    <w:rsid w:val="00E1507C"/>
    <w:rsid w:val="00E1568D"/>
    <w:rsid w:val="00E157D3"/>
    <w:rsid w:val="00E15A4F"/>
    <w:rsid w:val="00E15D54"/>
    <w:rsid w:val="00E15E7A"/>
    <w:rsid w:val="00E15FCB"/>
    <w:rsid w:val="00E162A4"/>
    <w:rsid w:val="00E162D7"/>
    <w:rsid w:val="00E16569"/>
    <w:rsid w:val="00E16717"/>
    <w:rsid w:val="00E16869"/>
    <w:rsid w:val="00E16888"/>
    <w:rsid w:val="00E1688C"/>
    <w:rsid w:val="00E16C1E"/>
    <w:rsid w:val="00E16EED"/>
    <w:rsid w:val="00E17008"/>
    <w:rsid w:val="00E1725C"/>
    <w:rsid w:val="00E172C5"/>
    <w:rsid w:val="00E173CC"/>
    <w:rsid w:val="00E17493"/>
    <w:rsid w:val="00E17712"/>
    <w:rsid w:val="00E17843"/>
    <w:rsid w:val="00E17CFF"/>
    <w:rsid w:val="00E17E8E"/>
    <w:rsid w:val="00E17F5F"/>
    <w:rsid w:val="00E2006F"/>
    <w:rsid w:val="00E205B6"/>
    <w:rsid w:val="00E2060C"/>
    <w:rsid w:val="00E208A0"/>
    <w:rsid w:val="00E20955"/>
    <w:rsid w:val="00E20995"/>
    <w:rsid w:val="00E20D89"/>
    <w:rsid w:val="00E20DCA"/>
    <w:rsid w:val="00E20E33"/>
    <w:rsid w:val="00E21877"/>
    <w:rsid w:val="00E219B4"/>
    <w:rsid w:val="00E21AD0"/>
    <w:rsid w:val="00E21F91"/>
    <w:rsid w:val="00E21FC0"/>
    <w:rsid w:val="00E220C6"/>
    <w:rsid w:val="00E22665"/>
    <w:rsid w:val="00E226B6"/>
    <w:rsid w:val="00E227AE"/>
    <w:rsid w:val="00E229A3"/>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51"/>
    <w:rsid w:val="00E24799"/>
    <w:rsid w:val="00E2482D"/>
    <w:rsid w:val="00E2486C"/>
    <w:rsid w:val="00E24906"/>
    <w:rsid w:val="00E2492A"/>
    <w:rsid w:val="00E24AF1"/>
    <w:rsid w:val="00E24B28"/>
    <w:rsid w:val="00E24C10"/>
    <w:rsid w:val="00E24C6A"/>
    <w:rsid w:val="00E24F35"/>
    <w:rsid w:val="00E24FB5"/>
    <w:rsid w:val="00E25041"/>
    <w:rsid w:val="00E250A1"/>
    <w:rsid w:val="00E25365"/>
    <w:rsid w:val="00E25616"/>
    <w:rsid w:val="00E25801"/>
    <w:rsid w:val="00E2584D"/>
    <w:rsid w:val="00E25910"/>
    <w:rsid w:val="00E25E05"/>
    <w:rsid w:val="00E263EE"/>
    <w:rsid w:val="00E26810"/>
    <w:rsid w:val="00E2682C"/>
    <w:rsid w:val="00E269D9"/>
    <w:rsid w:val="00E26F6A"/>
    <w:rsid w:val="00E276A9"/>
    <w:rsid w:val="00E27BB1"/>
    <w:rsid w:val="00E27C9A"/>
    <w:rsid w:val="00E30029"/>
    <w:rsid w:val="00E30037"/>
    <w:rsid w:val="00E30499"/>
    <w:rsid w:val="00E30875"/>
    <w:rsid w:val="00E30B51"/>
    <w:rsid w:val="00E30B8E"/>
    <w:rsid w:val="00E30C8B"/>
    <w:rsid w:val="00E30D20"/>
    <w:rsid w:val="00E30EC3"/>
    <w:rsid w:val="00E3102A"/>
    <w:rsid w:val="00E31116"/>
    <w:rsid w:val="00E31290"/>
    <w:rsid w:val="00E3168A"/>
    <w:rsid w:val="00E31767"/>
    <w:rsid w:val="00E317E3"/>
    <w:rsid w:val="00E319F6"/>
    <w:rsid w:val="00E31BF4"/>
    <w:rsid w:val="00E32339"/>
    <w:rsid w:val="00E324BB"/>
    <w:rsid w:val="00E324FC"/>
    <w:rsid w:val="00E32840"/>
    <w:rsid w:val="00E32A7A"/>
    <w:rsid w:val="00E32BBD"/>
    <w:rsid w:val="00E32ECD"/>
    <w:rsid w:val="00E338C4"/>
    <w:rsid w:val="00E339F0"/>
    <w:rsid w:val="00E340D5"/>
    <w:rsid w:val="00E341F5"/>
    <w:rsid w:val="00E34287"/>
    <w:rsid w:val="00E342C2"/>
    <w:rsid w:val="00E34324"/>
    <w:rsid w:val="00E344CB"/>
    <w:rsid w:val="00E345EC"/>
    <w:rsid w:val="00E34796"/>
    <w:rsid w:val="00E347A0"/>
    <w:rsid w:val="00E34884"/>
    <w:rsid w:val="00E34B1D"/>
    <w:rsid w:val="00E34CA9"/>
    <w:rsid w:val="00E34D8C"/>
    <w:rsid w:val="00E353FE"/>
    <w:rsid w:val="00E35427"/>
    <w:rsid w:val="00E35600"/>
    <w:rsid w:val="00E35718"/>
    <w:rsid w:val="00E357B8"/>
    <w:rsid w:val="00E35E41"/>
    <w:rsid w:val="00E35E8B"/>
    <w:rsid w:val="00E36824"/>
    <w:rsid w:val="00E36CE6"/>
    <w:rsid w:val="00E37017"/>
    <w:rsid w:val="00E373AC"/>
    <w:rsid w:val="00E37424"/>
    <w:rsid w:val="00E375C1"/>
    <w:rsid w:val="00E377E8"/>
    <w:rsid w:val="00E37821"/>
    <w:rsid w:val="00E37841"/>
    <w:rsid w:val="00E37858"/>
    <w:rsid w:val="00E37B7F"/>
    <w:rsid w:val="00E37C98"/>
    <w:rsid w:val="00E37E42"/>
    <w:rsid w:val="00E37E88"/>
    <w:rsid w:val="00E40283"/>
    <w:rsid w:val="00E40444"/>
    <w:rsid w:val="00E40844"/>
    <w:rsid w:val="00E40986"/>
    <w:rsid w:val="00E40F22"/>
    <w:rsid w:val="00E41069"/>
    <w:rsid w:val="00E41252"/>
    <w:rsid w:val="00E415B1"/>
    <w:rsid w:val="00E416FC"/>
    <w:rsid w:val="00E41711"/>
    <w:rsid w:val="00E41B49"/>
    <w:rsid w:val="00E41C77"/>
    <w:rsid w:val="00E41CA3"/>
    <w:rsid w:val="00E41D54"/>
    <w:rsid w:val="00E41E0A"/>
    <w:rsid w:val="00E41FB9"/>
    <w:rsid w:val="00E42089"/>
    <w:rsid w:val="00E42735"/>
    <w:rsid w:val="00E427F0"/>
    <w:rsid w:val="00E4289B"/>
    <w:rsid w:val="00E42951"/>
    <w:rsid w:val="00E42BE9"/>
    <w:rsid w:val="00E42C72"/>
    <w:rsid w:val="00E42EDF"/>
    <w:rsid w:val="00E43055"/>
    <w:rsid w:val="00E43464"/>
    <w:rsid w:val="00E434FC"/>
    <w:rsid w:val="00E43542"/>
    <w:rsid w:val="00E4394A"/>
    <w:rsid w:val="00E43A9B"/>
    <w:rsid w:val="00E43AED"/>
    <w:rsid w:val="00E43C11"/>
    <w:rsid w:val="00E43D44"/>
    <w:rsid w:val="00E43ECB"/>
    <w:rsid w:val="00E44270"/>
    <w:rsid w:val="00E44414"/>
    <w:rsid w:val="00E44472"/>
    <w:rsid w:val="00E44AD2"/>
    <w:rsid w:val="00E451BE"/>
    <w:rsid w:val="00E4520E"/>
    <w:rsid w:val="00E45295"/>
    <w:rsid w:val="00E4564D"/>
    <w:rsid w:val="00E456B4"/>
    <w:rsid w:val="00E45D80"/>
    <w:rsid w:val="00E45EF9"/>
    <w:rsid w:val="00E46181"/>
    <w:rsid w:val="00E46667"/>
    <w:rsid w:val="00E471D4"/>
    <w:rsid w:val="00E4767B"/>
    <w:rsid w:val="00E477EE"/>
    <w:rsid w:val="00E47917"/>
    <w:rsid w:val="00E47A69"/>
    <w:rsid w:val="00E47AAF"/>
    <w:rsid w:val="00E47C85"/>
    <w:rsid w:val="00E47D6F"/>
    <w:rsid w:val="00E501F9"/>
    <w:rsid w:val="00E50A52"/>
    <w:rsid w:val="00E50B87"/>
    <w:rsid w:val="00E50BE7"/>
    <w:rsid w:val="00E50C35"/>
    <w:rsid w:val="00E51472"/>
    <w:rsid w:val="00E518D2"/>
    <w:rsid w:val="00E51919"/>
    <w:rsid w:val="00E51AB6"/>
    <w:rsid w:val="00E51E3A"/>
    <w:rsid w:val="00E51EAD"/>
    <w:rsid w:val="00E51F40"/>
    <w:rsid w:val="00E521A6"/>
    <w:rsid w:val="00E523E2"/>
    <w:rsid w:val="00E5247E"/>
    <w:rsid w:val="00E52AB5"/>
    <w:rsid w:val="00E52C36"/>
    <w:rsid w:val="00E52CF0"/>
    <w:rsid w:val="00E532C7"/>
    <w:rsid w:val="00E5330C"/>
    <w:rsid w:val="00E534C6"/>
    <w:rsid w:val="00E53967"/>
    <w:rsid w:val="00E53BE5"/>
    <w:rsid w:val="00E53F73"/>
    <w:rsid w:val="00E54064"/>
    <w:rsid w:val="00E546DA"/>
    <w:rsid w:val="00E54FDA"/>
    <w:rsid w:val="00E55405"/>
    <w:rsid w:val="00E5545A"/>
    <w:rsid w:val="00E5558E"/>
    <w:rsid w:val="00E55696"/>
    <w:rsid w:val="00E556F7"/>
    <w:rsid w:val="00E5578F"/>
    <w:rsid w:val="00E55D00"/>
    <w:rsid w:val="00E55D5A"/>
    <w:rsid w:val="00E55DB5"/>
    <w:rsid w:val="00E561DE"/>
    <w:rsid w:val="00E56347"/>
    <w:rsid w:val="00E56410"/>
    <w:rsid w:val="00E564DD"/>
    <w:rsid w:val="00E5650C"/>
    <w:rsid w:val="00E56DAC"/>
    <w:rsid w:val="00E57128"/>
    <w:rsid w:val="00E571BB"/>
    <w:rsid w:val="00E5733A"/>
    <w:rsid w:val="00E577C9"/>
    <w:rsid w:val="00E57A79"/>
    <w:rsid w:val="00E57C45"/>
    <w:rsid w:val="00E600B4"/>
    <w:rsid w:val="00E60147"/>
    <w:rsid w:val="00E603B9"/>
    <w:rsid w:val="00E60430"/>
    <w:rsid w:val="00E60774"/>
    <w:rsid w:val="00E6086D"/>
    <w:rsid w:val="00E6092E"/>
    <w:rsid w:val="00E60A84"/>
    <w:rsid w:val="00E60B92"/>
    <w:rsid w:val="00E61404"/>
    <w:rsid w:val="00E615CB"/>
    <w:rsid w:val="00E61990"/>
    <w:rsid w:val="00E61B27"/>
    <w:rsid w:val="00E61C81"/>
    <w:rsid w:val="00E61F08"/>
    <w:rsid w:val="00E61F92"/>
    <w:rsid w:val="00E620F9"/>
    <w:rsid w:val="00E62740"/>
    <w:rsid w:val="00E62C15"/>
    <w:rsid w:val="00E62DFB"/>
    <w:rsid w:val="00E631AB"/>
    <w:rsid w:val="00E631B5"/>
    <w:rsid w:val="00E63760"/>
    <w:rsid w:val="00E637D7"/>
    <w:rsid w:val="00E6383D"/>
    <w:rsid w:val="00E638A3"/>
    <w:rsid w:val="00E63E86"/>
    <w:rsid w:val="00E63FED"/>
    <w:rsid w:val="00E640FF"/>
    <w:rsid w:val="00E64207"/>
    <w:rsid w:val="00E6435E"/>
    <w:rsid w:val="00E643C6"/>
    <w:rsid w:val="00E64B24"/>
    <w:rsid w:val="00E64D19"/>
    <w:rsid w:val="00E64DF4"/>
    <w:rsid w:val="00E64FDE"/>
    <w:rsid w:val="00E65145"/>
    <w:rsid w:val="00E652D3"/>
    <w:rsid w:val="00E65370"/>
    <w:rsid w:val="00E6552F"/>
    <w:rsid w:val="00E655E8"/>
    <w:rsid w:val="00E65FD2"/>
    <w:rsid w:val="00E6620A"/>
    <w:rsid w:val="00E6657E"/>
    <w:rsid w:val="00E665F9"/>
    <w:rsid w:val="00E666B9"/>
    <w:rsid w:val="00E6695B"/>
    <w:rsid w:val="00E6697E"/>
    <w:rsid w:val="00E66D4A"/>
    <w:rsid w:val="00E66F79"/>
    <w:rsid w:val="00E670C0"/>
    <w:rsid w:val="00E67128"/>
    <w:rsid w:val="00E672E6"/>
    <w:rsid w:val="00E675E0"/>
    <w:rsid w:val="00E6778B"/>
    <w:rsid w:val="00E67A21"/>
    <w:rsid w:val="00E706CF"/>
    <w:rsid w:val="00E70957"/>
    <w:rsid w:val="00E70BF2"/>
    <w:rsid w:val="00E70ED0"/>
    <w:rsid w:val="00E715E1"/>
    <w:rsid w:val="00E71A20"/>
    <w:rsid w:val="00E71C50"/>
    <w:rsid w:val="00E71DDF"/>
    <w:rsid w:val="00E720FA"/>
    <w:rsid w:val="00E7216F"/>
    <w:rsid w:val="00E7229E"/>
    <w:rsid w:val="00E725B3"/>
    <w:rsid w:val="00E72A82"/>
    <w:rsid w:val="00E72AA8"/>
    <w:rsid w:val="00E73434"/>
    <w:rsid w:val="00E735F0"/>
    <w:rsid w:val="00E73B44"/>
    <w:rsid w:val="00E73BE1"/>
    <w:rsid w:val="00E742D4"/>
    <w:rsid w:val="00E742F5"/>
    <w:rsid w:val="00E74435"/>
    <w:rsid w:val="00E7444B"/>
    <w:rsid w:val="00E745B2"/>
    <w:rsid w:val="00E74860"/>
    <w:rsid w:val="00E74A0E"/>
    <w:rsid w:val="00E74B21"/>
    <w:rsid w:val="00E74B5D"/>
    <w:rsid w:val="00E74E72"/>
    <w:rsid w:val="00E74F46"/>
    <w:rsid w:val="00E74F92"/>
    <w:rsid w:val="00E75236"/>
    <w:rsid w:val="00E7566E"/>
    <w:rsid w:val="00E75866"/>
    <w:rsid w:val="00E758AD"/>
    <w:rsid w:val="00E75ABF"/>
    <w:rsid w:val="00E75F53"/>
    <w:rsid w:val="00E75F75"/>
    <w:rsid w:val="00E7637F"/>
    <w:rsid w:val="00E76430"/>
    <w:rsid w:val="00E765D4"/>
    <w:rsid w:val="00E7691E"/>
    <w:rsid w:val="00E76A19"/>
    <w:rsid w:val="00E76A86"/>
    <w:rsid w:val="00E76DAC"/>
    <w:rsid w:val="00E76E17"/>
    <w:rsid w:val="00E7709D"/>
    <w:rsid w:val="00E774A2"/>
    <w:rsid w:val="00E7751C"/>
    <w:rsid w:val="00E77A79"/>
    <w:rsid w:val="00E77D4E"/>
    <w:rsid w:val="00E77F09"/>
    <w:rsid w:val="00E801BC"/>
    <w:rsid w:val="00E80898"/>
    <w:rsid w:val="00E80AF8"/>
    <w:rsid w:val="00E80FE6"/>
    <w:rsid w:val="00E81119"/>
    <w:rsid w:val="00E812F1"/>
    <w:rsid w:val="00E8130F"/>
    <w:rsid w:val="00E8161A"/>
    <w:rsid w:val="00E816B3"/>
    <w:rsid w:val="00E817E4"/>
    <w:rsid w:val="00E81B1A"/>
    <w:rsid w:val="00E81C60"/>
    <w:rsid w:val="00E81D9F"/>
    <w:rsid w:val="00E82880"/>
    <w:rsid w:val="00E82958"/>
    <w:rsid w:val="00E829CA"/>
    <w:rsid w:val="00E82B73"/>
    <w:rsid w:val="00E831E5"/>
    <w:rsid w:val="00E83650"/>
    <w:rsid w:val="00E836E2"/>
    <w:rsid w:val="00E83920"/>
    <w:rsid w:val="00E840AE"/>
    <w:rsid w:val="00E84134"/>
    <w:rsid w:val="00E84563"/>
    <w:rsid w:val="00E848C5"/>
    <w:rsid w:val="00E84B9A"/>
    <w:rsid w:val="00E8509A"/>
    <w:rsid w:val="00E8529E"/>
    <w:rsid w:val="00E85A5D"/>
    <w:rsid w:val="00E85EF5"/>
    <w:rsid w:val="00E860BF"/>
    <w:rsid w:val="00E86100"/>
    <w:rsid w:val="00E864A7"/>
    <w:rsid w:val="00E86B7B"/>
    <w:rsid w:val="00E86C1B"/>
    <w:rsid w:val="00E86C6A"/>
    <w:rsid w:val="00E874B0"/>
    <w:rsid w:val="00E874FA"/>
    <w:rsid w:val="00E87908"/>
    <w:rsid w:val="00E87A98"/>
    <w:rsid w:val="00E87D22"/>
    <w:rsid w:val="00E900F1"/>
    <w:rsid w:val="00E90457"/>
    <w:rsid w:val="00E90533"/>
    <w:rsid w:val="00E90685"/>
    <w:rsid w:val="00E9074C"/>
    <w:rsid w:val="00E907B5"/>
    <w:rsid w:val="00E90914"/>
    <w:rsid w:val="00E90B49"/>
    <w:rsid w:val="00E90B50"/>
    <w:rsid w:val="00E90B9C"/>
    <w:rsid w:val="00E90D30"/>
    <w:rsid w:val="00E90D4C"/>
    <w:rsid w:val="00E91158"/>
    <w:rsid w:val="00E9135F"/>
    <w:rsid w:val="00E91860"/>
    <w:rsid w:val="00E91C12"/>
    <w:rsid w:val="00E91CE1"/>
    <w:rsid w:val="00E91E5B"/>
    <w:rsid w:val="00E92395"/>
    <w:rsid w:val="00E9256D"/>
    <w:rsid w:val="00E926E8"/>
    <w:rsid w:val="00E9283C"/>
    <w:rsid w:val="00E92AC9"/>
    <w:rsid w:val="00E92B67"/>
    <w:rsid w:val="00E92C15"/>
    <w:rsid w:val="00E93116"/>
    <w:rsid w:val="00E931DD"/>
    <w:rsid w:val="00E932AE"/>
    <w:rsid w:val="00E937DD"/>
    <w:rsid w:val="00E93D55"/>
    <w:rsid w:val="00E9431A"/>
    <w:rsid w:val="00E9460B"/>
    <w:rsid w:val="00E9498C"/>
    <w:rsid w:val="00E9505D"/>
    <w:rsid w:val="00E954B7"/>
    <w:rsid w:val="00E95CEB"/>
    <w:rsid w:val="00E95EA0"/>
    <w:rsid w:val="00E9627C"/>
    <w:rsid w:val="00E96768"/>
    <w:rsid w:val="00E9691D"/>
    <w:rsid w:val="00E96CC7"/>
    <w:rsid w:val="00E96CCA"/>
    <w:rsid w:val="00E96E58"/>
    <w:rsid w:val="00E96FDB"/>
    <w:rsid w:val="00E976AC"/>
    <w:rsid w:val="00E9780F"/>
    <w:rsid w:val="00E9794E"/>
    <w:rsid w:val="00E97C3D"/>
    <w:rsid w:val="00E97CF8"/>
    <w:rsid w:val="00E97E43"/>
    <w:rsid w:val="00EA0075"/>
    <w:rsid w:val="00EA00F9"/>
    <w:rsid w:val="00EA01D5"/>
    <w:rsid w:val="00EA031F"/>
    <w:rsid w:val="00EA032A"/>
    <w:rsid w:val="00EA0598"/>
    <w:rsid w:val="00EA059C"/>
    <w:rsid w:val="00EA074A"/>
    <w:rsid w:val="00EA0D29"/>
    <w:rsid w:val="00EA107B"/>
    <w:rsid w:val="00EA1186"/>
    <w:rsid w:val="00EA17C0"/>
    <w:rsid w:val="00EA1902"/>
    <w:rsid w:val="00EA199B"/>
    <w:rsid w:val="00EA1AAF"/>
    <w:rsid w:val="00EA1BDD"/>
    <w:rsid w:val="00EA1D27"/>
    <w:rsid w:val="00EA2328"/>
    <w:rsid w:val="00EA23F6"/>
    <w:rsid w:val="00EA2517"/>
    <w:rsid w:val="00EA26FE"/>
    <w:rsid w:val="00EA27BB"/>
    <w:rsid w:val="00EA27C6"/>
    <w:rsid w:val="00EA2A7D"/>
    <w:rsid w:val="00EA2A96"/>
    <w:rsid w:val="00EA2B7A"/>
    <w:rsid w:val="00EA2E80"/>
    <w:rsid w:val="00EA34D0"/>
    <w:rsid w:val="00EA3575"/>
    <w:rsid w:val="00EA374A"/>
    <w:rsid w:val="00EA3CF7"/>
    <w:rsid w:val="00EA3ED8"/>
    <w:rsid w:val="00EA3F11"/>
    <w:rsid w:val="00EA40A6"/>
    <w:rsid w:val="00EA4232"/>
    <w:rsid w:val="00EA4359"/>
    <w:rsid w:val="00EA43AA"/>
    <w:rsid w:val="00EA43EE"/>
    <w:rsid w:val="00EA44D4"/>
    <w:rsid w:val="00EA4645"/>
    <w:rsid w:val="00EA478E"/>
    <w:rsid w:val="00EA4B3F"/>
    <w:rsid w:val="00EA4D40"/>
    <w:rsid w:val="00EA4E56"/>
    <w:rsid w:val="00EA50F6"/>
    <w:rsid w:val="00EA59C6"/>
    <w:rsid w:val="00EA63C3"/>
    <w:rsid w:val="00EA64A8"/>
    <w:rsid w:val="00EA6BA8"/>
    <w:rsid w:val="00EA6D62"/>
    <w:rsid w:val="00EA6DAB"/>
    <w:rsid w:val="00EA71C4"/>
    <w:rsid w:val="00EA75E0"/>
    <w:rsid w:val="00EA76E4"/>
    <w:rsid w:val="00EA76EE"/>
    <w:rsid w:val="00EA79F7"/>
    <w:rsid w:val="00EA7AD0"/>
    <w:rsid w:val="00EA7AD3"/>
    <w:rsid w:val="00EA7AEE"/>
    <w:rsid w:val="00EA7BAF"/>
    <w:rsid w:val="00EA7DE0"/>
    <w:rsid w:val="00EA7F09"/>
    <w:rsid w:val="00EA7F4C"/>
    <w:rsid w:val="00EB0AD8"/>
    <w:rsid w:val="00EB0BE2"/>
    <w:rsid w:val="00EB0D3A"/>
    <w:rsid w:val="00EB0E5A"/>
    <w:rsid w:val="00EB0F7C"/>
    <w:rsid w:val="00EB1029"/>
    <w:rsid w:val="00EB106C"/>
    <w:rsid w:val="00EB1098"/>
    <w:rsid w:val="00EB10AC"/>
    <w:rsid w:val="00EB11AD"/>
    <w:rsid w:val="00EB11C8"/>
    <w:rsid w:val="00EB13D5"/>
    <w:rsid w:val="00EB1662"/>
    <w:rsid w:val="00EB196D"/>
    <w:rsid w:val="00EB196F"/>
    <w:rsid w:val="00EB1C84"/>
    <w:rsid w:val="00EB1CC0"/>
    <w:rsid w:val="00EB2084"/>
    <w:rsid w:val="00EB2100"/>
    <w:rsid w:val="00EB21CC"/>
    <w:rsid w:val="00EB27EA"/>
    <w:rsid w:val="00EB2A88"/>
    <w:rsid w:val="00EB2AC1"/>
    <w:rsid w:val="00EB2C5B"/>
    <w:rsid w:val="00EB2E97"/>
    <w:rsid w:val="00EB3295"/>
    <w:rsid w:val="00EB356D"/>
    <w:rsid w:val="00EB363B"/>
    <w:rsid w:val="00EB3897"/>
    <w:rsid w:val="00EB3B2F"/>
    <w:rsid w:val="00EB3C32"/>
    <w:rsid w:val="00EB3CE5"/>
    <w:rsid w:val="00EB3D5C"/>
    <w:rsid w:val="00EB3F40"/>
    <w:rsid w:val="00EB4130"/>
    <w:rsid w:val="00EB41D7"/>
    <w:rsid w:val="00EB432B"/>
    <w:rsid w:val="00EB45E9"/>
    <w:rsid w:val="00EB462F"/>
    <w:rsid w:val="00EB47C0"/>
    <w:rsid w:val="00EB4A21"/>
    <w:rsid w:val="00EB4A93"/>
    <w:rsid w:val="00EB4C29"/>
    <w:rsid w:val="00EB506B"/>
    <w:rsid w:val="00EB50A1"/>
    <w:rsid w:val="00EB523E"/>
    <w:rsid w:val="00EB5648"/>
    <w:rsid w:val="00EB585A"/>
    <w:rsid w:val="00EB58BC"/>
    <w:rsid w:val="00EB5A97"/>
    <w:rsid w:val="00EB5B7C"/>
    <w:rsid w:val="00EB5C8A"/>
    <w:rsid w:val="00EB5CD0"/>
    <w:rsid w:val="00EB6109"/>
    <w:rsid w:val="00EB641F"/>
    <w:rsid w:val="00EB6750"/>
    <w:rsid w:val="00EB67A9"/>
    <w:rsid w:val="00EB67F4"/>
    <w:rsid w:val="00EB6889"/>
    <w:rsid w:val="00EB69A1"/>
    <w:rsid w:val="00EB6AB9"/>
    <w:rsid w:val="00EB6D31"/>
    <w:rsid w:val="00EB6F86"/>
    <w:rsid w:val="00EB7437"/>
    <w:rsid w:val="00EB745E"/>
    <w:rsid w:val="00EB7517"/>
    <w:rsid w:val="00EB7678"/>
    <w:rsid w:val="00EB76D7"/>
    <w:rsid w:val="00EB77F0"/>
    <w:rsid w:val="00EB784E"/>
    <w:rsid w:val="00EB7A93"/>
    <w:rsid w:val="00EC0103"/>
    <w:rsid w:val="00EC06CC"/>
    <w:rsid w:val="00EC0B17"/>
    <w:rsid w:val="00EC0DFD"/>
    <w:rsid w:val="00EC0FEF"/>
    <w:rsid w:val="00EC10A0"/>
    <w:rsid w:val="00EC1195"/>
    <w:rsid w:val="00EC1383"/>
    <w:rsid w:val="00EC13D0"/>
    <w:rsid w:val="00EC1591"/>
    <w:rsid w:val="00EC165C"/>
    <w:rsid w:val="00EC16A5"/>
    <w:rsid w:val="00EC16C6"/>
    <w:rsid w:val="00EC16F1"/>
    <w:rsid w:val="00EC1C65"/>
    <w:rsid w:val="00EC1C8A"/>
    <w:rsid w:val="00EC1DD2"/>
    <w:rsid w:val="00EC1DFD"/>
    <w:rsid w:val="00EC20D8"/>
    <w:rsid w:val="00EC21C7"/>
    <w:rsid w:val="00EC2260"/>
    <w:rsid w:val="00EC282D"/>
    <w:rsid w:val="00EC2840"/>
    <w:rsid w:val="00EC294E"/>
    <w:rsid w:val="00EC2B0D"/>
    <w:rsid w:val="00EC2BBF"/>
    <w:rsid w:val="00EC2EA4"/>
    <w:rsid w:val="00EC310F"/>
    <w:rsid w:val="00EC320B"/>
    <w:rsid w:val="00EC346E"/>
    <w:rsid w:val="00EC3539"/>
    <w:rsid w:val="00EC3573"/>
    <w:rsid w:val="00EC37F0"/>
    <w:rsid w:val="00EC3BEA"/>
    <w:rsid w:val="00EC419F"/>
    <w:rsid w:val="00EC48FC"/>
    <w:rsid w:val="00EC5054"/>
    <w:rsid w:val="00EC50A2"/>
    <w:rsid w:val="00EC518D"/>
    <w:rsid w:val="00EC52B8"/>
    <w:rsid w:val="00EC54F8"/>
    <w:rsid w:val="00EC5791"/>
    <w:rsid w:val="00EC57C6"/>
    <w:rsid w:val="00EC5835"/>
    <w:rsid w:val="00EC5852"/>
    <w:rsid w:val="00EC5890"/>
    <w:rsid w:val="00EC5BA0"/>
    <w:rsid w:val="00EC5FB8"/>
    <w:rsid w:val="00EC628D"/>
    <w:rsid w:val="00EC640D"/>
    <w:rsid w:val="00EC648E"/>
    <w:rsid w:val="00EC65BD"/>
    <w:rsid w:val="00EC6763"/>
    <w:rsid w:val="00EC6A39"/>
    <w:rsid w:val="00EC6C28"/>
    <w:rsid w:val="00EC6D0E"/>
    <w:rsid w:val="00EC6DFD"/>
    <w:rsid w:val="00EC6EF3"/>
    <w:rsid w:val="00EC7048"/>
    <w:rsid w:val="00EC71CB"/>
    <w:rsid w:val="00EC71D1"/>
    <w:rsid w:val="00EC71D5"/>
    <w:rsid w:val="00EC731B"/>
    <w:rsid w:val="00EC765A"/>
    <w:rsid w:val="00EC769C"/>
    <w:rsid w:val="00EC76D2"/>
    <w:rsid w:val="00EC76F3"/>
    <w:rsid w:val="00EC7797"/>
    <w:rsid w:val="00EC78BC"/>
    <w:rsid w:val="00EC7D87"/>
    <w:rsid w:val="00EC7E17"/>
    <w:rsid w:val="00ED015D"/>
    <w:rsid w:val="00ED0226"/>
    <w:rsid w:val="00ED022E"/>
    <w:rsid w:val="00ED05D6"/>
    <w:rsid w:val="00ED060E"/>
    <w:rsid w:val="00ED0B36"/>
    <w:rsid w:val="00ED0C6F"/>
    <w:rsid w:val="00ED0D88"/>
    <w:rsid w:val="00ED0E62"/>
    <w:rsid w:val="00ED1071"/>
    <w:rsid w:val="00ED10F4"/>
    <w:rsid w:val="00ED1210"/>
    <w:rsid w:val="00ED13D1"/>
    <w:rsid w:val="00ED1505"/>
    <w:rsid w:val="00ED19A4"/>
    <w:rsid w:val="00ED1AA8"/>
    <w:rsid w:val="00ED1F82"/>
    <w:rsid w:val="00ED221F"/>
    <w:rsid w:val="00ED233E"/>
    <w:rsid w:val="00ED27AC"/>
    <w:rsid w:val="00ED29F2"/>
    <w:rsid w:val="00ED2D3B"/>
    <w:rsid w:val="00ED2FB5"/>
    <w:rsid w:val="00ED2FCC"/>
    <w:rsid w:val="00ED3028"/>
    <w:rsid w:val="00ED3599"/>
    <w:rsid w:val="00ED374D"/>
    <w:rsid w:val="00ED3762"/>
    <w:rsid w:val="00ED3A81"/>
    <w:rsid w:val="00ED3C4A"/>
    <w:rsid w:val="00ED3CD5"/>
    <w:rsid w:val="00ED3F32"/>
    <w:rsid w:val="00ED428E"/>
    <w:rsid w:val="00ED48B2"/>
    <w:rsid w:val="00ED4967"/>
    <w:rsid w:val="00ED4BD8"/>
    <w:rsid w:val="00ED4C12"/>
    <w:rsid w:val="00ED4E12"/>
    <w:rsid w:val="00ED50C8"/>
    <w:rsid w:val="00ED50D8"/>
    <w:rsid w:val="00ED5223"/>
    <w:rsid w:val="00ED53B0"/>
    <w:rsid w:val="00ED5646"/>
    <w:rsid w:val="00ED5FE3"/>
    <w:rsid w:val="00ED67CE"/>
    <w:rsid w:val="00ED692E"/>
    <w:rsid w:val="00ED6AD0"/>
    <w:rsid w:val="00ED72A1"/>
    <w:rsid w:val="00ED72C7"/>
    <w:rsid w:val="00ED7559"/>
    <w:rsid w:val="00ED7637"/>
    <w:rsid w:val="00ED7A84"/>
    <w:rsid w:val="00ED7DEC"/>
    <w:rsid w:val="00EE0279"/>
    <w:rsid w:val="00EE03D9"/>
    <w:rsid w:val="00EE0538"/>
    <w:rsid w:val="00EE05EC"/>
    <w:rsid w:val="00EE0625"/>
    <w:rsid w:val="00EE0A2E"/>
    <w:rsid w:val="00EE0A4C"/>
    <w:rsid w:val="00EE0B6E"/>
    <w:rsid w:val="00EE0F57"/>
    <w:rsid w:val="00EE0F97"/>
    <w:rsid w:val="00EE1046"/>
    <w:rsid w:val="00EE1709"/>
    <w:rsid w:val="00EE1A5A"/>
    <w:rsid w:val="00EE1B10"/>
    <w:rsid w:val="00EE1F65"/>
    <w:rsid w:val="00EE2371"/>
    <w:rsid w:val="00EE24FE"/>
    <w:rsid w:val="00EE26C8"/>
    <w:rsid w:val="00EE28A4"/>
    <w:rsid w:val="00EE28CE"/>
    <w:rsid w:val="00EE28F4"/>
    <w:rsid w:val="00EE2D19"/>
    <w:rsid w:val="00EE32F7"/>
    <w:rsid w:val="00EE3422"/>
    <w:rsid w:val="00EE3728"/>
    <w:rsid w:val="00EE38B6"/>
    <w:rsid w:val="00EE3DA7"/>
    <w:rsid w:val="00EE3E7B"/>
    <w:rsid w:val="00EE3E83"/>
    <w:rsid w:val="00EE4261"/>
    <w:rsid w:val="00EE4493"/>
    <w:rsid w:val="00EE45C5"/>
    <w:rsid w:val="00EE4967"/>
    <w:rsid w:val="00EE4ADF"/>
    <w:rsid w:val="00EE4B3E"/>
    <w:rsid w:val="00EE4DE9"/>
    <w:rsid w:val="00EE5377"/>
    <w:rsid w:val="00EE5499"/>
    <w:rsid w:val="00EE5A6B"/>
    <w:rsid w:val="00EE5B3C"/>
    <w:rsid w:val="00EE5F75"/>
    <w:rsid w:val="00EE628F"/>
    <w:rsid w:val="00EE63BE"/>
    <w:rsid w:val="00EE648D"/>
    <w:rsid w:val="00EE65F8"/>
    <w:rsid w:val="00EE6757"/>
    <w:rsid w:val="00EE6972"/>
    <w:rsid w:val="00EE6A2B"/>
    <w:rsid w:val="00EE6B04"/>
    <w:rsid w:val="00EE6B89"/>
    <w:rsid w:val="00EE712F"/>
    <w:rsid w:val="00EE73B5"/>
    <w:rsid w:val="00EE79AF"/>
    <w:rsid w:val="00EF0024"/>
    <w:rsid w:val="00EF0243"/>
    <w:rsid w:val="00EF03B6"/>
    <w:rsid w:val="00EF0799"/>
    <w:rsid w:val="00EF095B"/>
    <w:rsid w:val="00EF09CD"/>
    <w:rsid w:val="00EF10CC"/>
    <w:rsid w:val="00EF12C5"/>
    <w:rsid w:val="00EF1413"/>
    <w:rsid w:val="00EF15C4"/>
    <w:rsid w:val="00EF15F5"/>
    <w:rsid w:val="00EF17BC"/>
    <w:rsid w:val="00EF1A0C"/>
    <w:rsid w:val="00EF1C75"/>
    <w:rsid w:val="00EF1EB2"/>
    <w:rsid w:val="00EF2006"/>
    <w:rsid w:val="00EF21AF"/>
    <w:rsid w:val="00EF2342"/>
    <w:rsid w:val="00EF2462"/>
    <w:rsid w:val="00EF24F7"/>
    <w:rsid w:val="00EF2722"/>
    <w:rsid w:val="00EF2A35"/>
    <w:rsid w:val="00EF2A8E"/>
    <w:rsid w:val="00EF2B93"/>
    <w:rsid w:val="00EF2DB3"/>
    <w:rsid w:val="00EF341A"/>
    <w:rsid w:val="00EF363D"/>
    <w:rsid w:val="00EF37D9"/>
    <w:rsid w:val="00EF3850"/>
    <w:rsid w:val="00EF38C8"/>
    <w:rsid w:val="00EF3A75"/>
    <w:rsid w:val="00EF40A5"/>
    <w:rsid w:val="00EF40BE"/>
    <w:rsid w:val="00EF416B"/>
    <w:rsid w:val="00EF41D2"/>
    <w:rsid w:val="00EF41D3"/>
    <w:rsid w:val="00EF4469"/>
    <w:rsid w:val="00EF4AE4"/>
    <w:rsid w:val="00EF5082"/>
    <w:rsid w:val="00EF5107"/>
    <w:rsid w:val="00EF559C"/>
    <w:rsid w:val="00EF5B55"/>
    <w:rsid w:val="00EF5CE4"/>
    <w:rsid w:val="00EF5E9A"/>
    <w:rsid w:val="00EF5EEA"/>
    <w:rsid w:val="00EF625D"/>
    <w:rsid w:val="00EF6294"/>
    <w:rsid w:val="00EF63E3"/>
    <w:rsid w:val="00EF6601"/>
    <w:rsid w:val="00EF676B"/>
    <w:rsid w:val="00EF6805"/>
    <w:rsid w:val="00EF696D"/>
    <w:rsid w:val="00EF698D"/>
    <w:rsid w:val="00EF6AED"/>
    <w:rsid w:val="00EF6D9B"/>
    <w:rsid w:val="00EF6EAE"/>
    <w:rsid w:val="00EF6EBF"/>
    <w:rsid w:val="00EF711F"/>
    <w:rsid w:val="00EF730B"/>
    <w:rsid w:val="00EF7338"/>
    <w:rsid w:val="00EF768F"/>
    <w:rsid w:val="00EF77B7"/>
    <w:rsid w:val="00EF78A0"/>
    <w:rsid w:val="00EF7BD7"/>
    <w:rsid w:val="00EF7CF2"/>
    <w:rsid w:val="00EF7D85"/>
    <w:rsid w:val="00EF7F31"/>
    <w:rsid w:val="00F0038D"/>
    <w:rsid w:val="00F00508"/>
    <w:rsid w:val="00F00618"/>
    <w:rsid w:val="00F00784"/>
    <w:rsid w:val="00F00B2E"/>
    <w:rsid w:val="00F00FFC"/>
    <w:rsid w:val="00F012C9"/>
    <w:rsid w:val="00F01490"/>
    <w:rsid w:val="00F017B8"/>
    <w:rsid w:val="00F01820"/>
    <w:rsid w:val="00F0193F"/>
    <w:rsid w:val="00F01A72"/>
    <w:rsid w:val="00F01C5B"/>
    <w:rsid w:val="00F01E52"/>
    <w:rsid w:val="00F0208C"/>
    <w:rsid w:val="00F02473"/>
    <w:rsid w:val="00F0256E"/>
    <w:rsid w:val="00F02B68"/>
    <w:rsid w:val="00F02DCB"/>
    <w:rsid w:val="00F0319D"/>
    <w:rsid w:val="00F0389E"/>
    <w:rsid w:val="00F03A56"/>
    <w:rsid w:val="00F03B08"/>
    <w:rsid w:val="00F04286"/>
    <w:rsid w:val="00F042DC"/>
    <w:rsid w:val="00F04309"/>
    <w:rsid w:val="00F0448B"/>
    <w:rsid w:val="00F0463B"/>
    <w:rsid w:val="00F046BD"/>
    <w:rsid w:val="00F049A1"/>
    <w:rsid w:val="00F04D63"/>
    <w:rsid w:val="00F04E40"/>
    <w:rsid w:val="00F04E72"/>
    <w:rsid w:val="00F04EA2"/>
    <w:rsid w:val="00F0526B"/>
    <w:rsid w:val="00F05626"/>
    <w:rsid w:val="00F0576E"/>
    <w:rsid w:val="00F057C2"/>
    <w:rsid w:val="00F0584D"/>
    <w:rsid w:val="00F05999"/>
    <w:rsid w:val="00F059AB"/>
    <w:rsid w:val="00F05B05"/>
    <w:rsid w:val="00F05F05"/>
    <w:rsid w:val="00F06322"/>
    <w:rsid w:val="00F06893"/>
    <w:rsid w:val="00F06894"/>
    <w:rsid w:val="00F06906"/>
    <w:rsid w:val="00F06C35"/>
    <w:rsid w:val="00F06DDD"/>
    <w:rsid w:val="00F07099"/>
    <w:rsid w:val="00F074FA"/>
    <w:rsid w:val="00F07A90"/>
    <w:rsid w:val="00F07B75"/>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768"/>
    <w:rsid w:val="00F11D55"/>
    <w:rsid w:val="00F11DC7"/>
    <w:rsid w:val="00F11EBD"/>
    <w:rsid w:val="00F11FA7"/>
    <w:rsid w:val="00F12175"/>
    <w:rsid w:val="00F1249A"/>
    <w:rsid w:val="00F12541"/>
    <w:rsid w:val="00F12A69"/>
    <w:rsid w:val="00F12AB3"/>
    <w:rsid w:val="00F12C14"/>
    <w:rsid w:val="00F13010"/>
    <w:rsid w:val="00F13580"/>
    <w:rsid w:val="00F13586"/>
    <w:rsid w:val="00F1376D"/>
    <w:rsid w:val="00F13C63"/>
    <w:rsid w:val="00F143EE"/>
    <w:rsid w:val="00F14435"/>
    <w:rsid w:val="00F1474E"/>
    <w:rsid w:val="00F14AAF"/>
    <w:rsid w:val="00F14C45"/>
    <w:rsid w:val="00F14DE7"/>
    <w:rsid w:val="00F1510D"/>
    <w:rsid w:val="00F15233"/>
    <w:rsid w:val="00F15618"/>
    <w:rsid w:val="00F15E91"/>
    <w:rsid w:val="00F164D2"/>
    <w:rsid w:val="00F16702"/>
    <w:rsid w:val="00F167E7"/>
    <w:rsid w:val="00F16BE7"/>
    <w:rsid w:val="00F16E72"/>
    <w:rsid w:val="00F16F98"/>
    <w:rsid w:val="00F1735C"/>
    <w:rsid w:val="00F17473"/>
    <w:rsid w:val="00F178FF"/>
    <w:rsid w:val="00F1792A"/>
    <w:rsid w:val="00F17C97"/>
    <w:rsid w:val="00F17F93"/>
    <w:rsid w:val="00F20479"/>
    <w:rsid w:val="00F204EA"/>
    <w:rsid w:val="00F2064C"/>
    <w:rsid w:val="00F20B53"/>
    <w:rsid w:val="00F20B5F"/>
    <w:rsid w:val="00F20D2A"/>
    <w:rsid w:val="00F21056"/>
    <w:rsid w:val="00F2105F"/>
    <w:rsid w:val="00F21961"/>
    <w:rsid w:val="00F21A42"/>
    <w:rsid w:val="00F21BA6"/>
    <w:rsid w:val="00F21C71"/>
    <w:rsid w:val="00F21D12"/>
    <w:rsid w:val="00F21DC1"/>
    <w:rsid w:val="00F21FB3"/>
    <w:rsid w:val="00F22035"/>
    <w:rsid w:val="00F22461"/>
    <w:rsid w:val="00F2291C"/>
    <w:rsid w:val="00F22A18"/>
    <w:rsid w:val="00F22C19"/>
    <w:rsid w:val="00F22D18"/>
    <w:rsid w:val="00F22FD6"/>
    <w:rsid w:val="00F2300F"/>
    <w:rsid w:val="00F23350"/>
    <w:rsid w:val="00F23434"/>
    <w:rsid w:val="00F234BE"/>
    <w:rsid w:val="00F235FB"/>
    <w:rsid w:val="00F23664"/>
    <w:rsid w:val="00F2367A"/>
    <w:rsid w:val="00F237F6"/>
    <w:rsid w:val="00F23880"/>
    <w:rsid w:val="00F23901"/>
    <w:rsid w:val="00F23D89"/>
    <w:rsid w:val="00F23F3C"/>
    <w:rsid w:val="00F24450"/>
    <w:rsid w:val="00F24B44"/>
    <w:rsid w:val="00F2521E"/>
    <w:rsid w:val="00F25545"/>
    <w:rsid w:val="00F2564A"/>
    <w:rsid w:val="00F25B50"/>
    <w:rsid w:val="00F25D28"/>
    <w:rsid w:val="00F26025"/>
    <w:rsid w:val="00F26073"/>
    <w:rsid w:val="00F26137"/>
    <w:rsid w:val="00F26270"/>
    <w:rsid w:val="00F262AF"/>
    <w:rsid w:val="00F26385"/>
    <w:rsid w:val="00F2678A"/>
    <w:rsid w:val="00F267AE"/>
    <w:rsid w:val="00F26AA8"/>
    <w:rsid w:val="00F26AF2"/>
    <w:rsid w:val="00F26B6B"/>
    <w:rsid w:val="00F271FB"/>
    <w:rsid w:val="00F27D48"/>
    <w:rsid w:val="00F27EF2"/>
    <w:rsid w:val="00F3026A"/>
    <w:rsid w:val="00F30303"/>
    <w:rsid w:val="00F3039A"/>
    <w:rsid w:val="00F30770"/>
    <w:rsid w:val="00F307B3"/>
    <w:rsid w:val="00F30A58"/>
    <w:rsid w:val="00F30A91"/>
    <w:rsid w:val="00F30BB4"/>
    <w:rsid w:val="00F30F8A"/>
    <w:rsid w:val="00F3110B"/>
    <w:rsid w:val="00F312B5"/>
    <w:rsid w:val="00F3132B"/>
    <w:rsid w:val="00F313C9"/>
    <w:rsid w:val="00F31419"/>
    <w:rsid w:val="00F31711"/>
    <w:rsid w:val="00F3174C"/>
    <w:rsid w:val="00F31837"/>
    <w:rsid w:val="00F31ABE"/>
    <w:rsid w:val="00F31CB9"/>
    <w:rsid w:val="00F31DD9"/>
    <w:rsid w:val="00F31E7F"/>
    <w:rsid w:val="00F31EC4"/>
    <w:rsid w:val="00F32554"/>
    <w:rsid w:val="00F327CC"/>
    <w:rsid w:val="00F327E2"/>
    <w:rsid w:val="00F32A89"/>
    <w:rsid w:val="00F32B61"/>
    <w:rsid w:val="00F32CAB"/>
    <w:rsid w:val="00F32F13"/>
    <w:rsid w:val="00F332D0"/>
    <w:rsid w:val="00F33460"/>
    <w:rsid w:val="00F33CB6"/>
    <w:rsid w:val="00F33F9F"/>
    <w:rsid w:val="00F34042"/>
    <w:rsid w:val="00F3429B"/>
    <w:rsid w:val="00F342C9"/>
    <w:rsid w:val="00F34429"/>
    <w:rsid w:val="00F34AE1"/>
    <w:rsid w:val="00F34D65"/>
    <w:rsid w:val="00F34FC3"/>
    <w:rsid w:val="00F3503C"/>
    <w:rsid w:val="00F35643"/>
    <w:rsid w:val="00F35795"/>
    <w:rsid w:val="00F357BC"/>
    <w:rsid w:val="00F35870"/>
    <w:rsid w:val="00F358B5"/>
    <w:rsid w:val="00F35B9F"/>
    <w:rsid w:val="00F361D0"/>
    <w:rsid w:val="00F368E6"/>
    <w:rsid w:val="00F369C2"/>
    <w:rsid w:val="00F36C87"/>
    <w:rsid w:val="00F36E5C"/>
    <w:rsid w:val="00F370AF"/>
    <w:rsid w:val="00F372E4"/>
    <w:rsid w:val="00F376F4"/>
    <w:rsid w:val="00F37AAC"/>
    <w:rsid w:val="00F37C04"/>
    <w:rsid w:val="00F37D6F"/>
    <w:rsid w:val="00F4033A"/>
    <w:rsid w:val="00F40460"/>
    <w:rsid w:val="00F40485"/>
    <w:rsid w:val="00F40547"/>
    <w:rsid w:val="00F4060C"/>
    <w:rsid w:val="00F40FF7"/>
    <w:rsid w:val="00F4165C"/>
    <w:rsid w:val="00F4169A"/>
    <w:rsid w:val="00F41869"/>
    <w:rsid w:val="00F41A52"/>
    <w:rsid w:val="00F41DBA"/>
    <w:rsid w:val="00F41E2A"/>
    <w:rsid w:val="00F420C8"/>
    <w:rsid w:val="00F4256F"/>
    <w:rsid w:val="00F426A6"/>
    <w:rsid w:val="00F42725"/>
    <w:rsid w:val="00F427F0"/>
    <w:rsid w:val="00F42B21"/>
    <w:rsid w:val="00F42BC5"/>
    <w:rsid w:val="00F42C4B"/>
    <w:rsid w:val="00F4325B"/>
    <w:rsid w:val="00F4348E"/>
    <w:rsid w:val="00F4359B"/>
    <w:rsid w:val="00F43848"/>
    <w:rsid w:val="00F438CC"/>
    <w:rsid w:val="00F439C9"/>
    <w:rsid w:val="00F43DE0"/>
    <w:rsid w:val="00F43F8F"/>
    <w:rsid w:val="00F44339"/>
    <w:rsid w:val="00F4433B"/>
    <w:rsid w:val="00F4433C"/>
    <w:rsid w:val="00F4442C"/>
    <w:rsid w:val="00F44A07"/>
    <w:rsid w:val="00F44EC9"/>
    <w:rsid w:val="00F45218"/>
    <w:rsid w:val="00F453A1"/>
    <w:rsid w:val="00F458AE"/>
    <w:rsid w:val="00F4633E"/>
    <w:rsid w:val="00F46404"/>
    <w:rsid w:val="00F468D3"/>
    <w:rsid w:val="00F46927"/>
    <w:rsid w:val="00F47062"/>
    <w:rsid w:val="00F475F6"/>
    <w:rsid w:val="00F4771A"/>
    <w:rsid w:val="00F478E5"/>
    <w:rsid w:val="00F504F3"/>
    <w:rsid w:val="00F5076F"/>
    <w:rsid w:val="00F50999"/>
    <w:rsid w:val="00F509A6"/>
    <w:rsid w:val="00F50ADA"/>
    <w:rsid w:val="00F50F79"/>
    <w:rsid w:val="00F51129"/>
    <w:rsid w:val="00F51302"/>
    <w:rsid w:val="00F51396"/>
    <w:rsid w:val="00F5145C"/>
    <w:rsid w:val="00F516DA"/>
    <w:rsid w:val="00F51762"/>
    <w:rsid w:val="00F51AA5"/>
    <w:rsid w:val="00F51C6A"/>
    <w:rsid w:val="00F51C8A"/>
    <w:rsid w:val="00F51C94"/>
    <w:rsid w:val="00F51C95"/>
    <w:rsid w:val="00F51D13"/>
    <w:rsid w:val="00F5223F"/>
    <w:rsid w:val="00F52406"/>
    <w:rsid w:val="00F53237"/>
    <w:rsid w:val="00F5385F"/>
    <w:rsid w:val="00F538BE"/>
    <w:rsid w:val="00F53C30"/>
    <w:rsid w:val="00F53CC4"/>
    <w:rsid w:val="00F543CC"/>
    <w:rsid w:val="00F54498"/>
    <w:rsid w:val="00F5467F"/>
    <w:rsid w:val="00F54865"/>
    <w:rsid w:val="00F5493B"/>
    <w:rsid w:val="00F55075"/>
    <w:rsid w:val="00F55097"/>
    <w:rsid w:val="00F55854"/>
    <w:rsid w:val="00F55A50"/>
    <w:rsid w:val="00F55A97"/>
    <w:rsid w:val="00F55CEC"/>
    <w:rsid w:val="00F5609A"/>
    <w:rsid w:val="00F56267"/>
    <w:rsid w:val="00F5634E"/>
    <w:rsid w:val="00F56813"/>
    <w:rsid w:val="00F5686F"/>
    <w:rsid w:val="00F56C03"/>
    <w:rsid w:val="00F56E4D"/>
    <w:rsid w:val="00F56FAE"/>
    <w:rsid w:val="00F5702A"/>
    <w:rsid w:val="00F5749B"/>
    <w:rsid w:val="00F57BEC"/>
    <w:rsid w:val="00F57F4B"/>
    <w:rsid w:val="00F60038"/>
    <w:rsid w:val="00F600BC"/>
    <w:rsid w:val="00F60257"/>
    <w:rsid w:val="00F60524"/>
    <w:rsid w:val="00F60B8D"/>
    <w:rsid w:val="00F60CA1"/>
    <w:rsid w:val="00F60F15"/>
    <w:rsid w:val="00F6117B"/>
    <w:rsid w:val="00F61664"/>
    <w:rsid w:val="00F6180A"/>
    <w:rsid w:val="00F6186D"/>
    <w:rsid w:val="00F6208E"/>
    <w:rsid w:val="00F62191"/>
    <w:rsid w:val="00F627EF"/>
    <w:rsid w:val="00F62D42"/>
    <w:rsid w:val="00F62DDB"/>
    <w:rsid w:val="00F62EDF"/>
    <w:rsid w:val="00F63515"/>
    <w:rsid w:val="00F63565"/>
    <w:rsid w:val="00F636AC"/>
    <w:rsid w:val="00F638AA"/>
    <w:rsid w:val="00F63A73"/>
    <w:rsid w:val="00F63B8F"/>
    <w:rsid w:val="00F63DC4"/>
    <w:rsid w:val="00F63E28"/>
    <w:rsid w:val="00F63F59"/>
    <w:rsid w:val="00F64222"/>
    <w:rsid w:val="00F6422C"/>
    <w:rsid w:val="00F64584"/>
    <w:rsid w:val="00F64A79"/>
    <w:rsid w:val="00F64B3B"/>
    <w:rsid w:val="00F64C10"/>
    <w:rsid w:val="00F64CD0"/>
    <w:rsid w:val="00F64FA9"/>
    <w:rsid w:val="00F65171"/>
    <w:rsid w:val="00F6532E"/>
    <w:rsid w:val="00F6534F"/>
    <w:rsid w:val="00F65413"/>
    <w:rsid w:val="00F656A6"/>
    <w:rsid w:val="00F656E3"/>
    <w:rsid w:val="00F65A32"/>
    <w:rsid w:val="00F65CFF"/>
    <w:rsid w:val="00F66298"/>
    <w:rsid w:val="00F663EB"/>
    <w:rsid w:val="00F66617"/>
    <w:rsid w:val="00F6687D"/>
    <w:rsid w:val="00F67053"/>
    <w:rsid w:val="00F674ED"/>
    <w:rsid w:val="00F67CAB"/>
    <w:rsid w:val="00F67EF6"/>
    <w:rsid w:val="00F70110"/>
    <w:rsid w:val="00F7011F"/>
    <w:rsid w:val="00F70402"/>
    <w:rsid w:val="00F707BE"/>
    <w:rsid w:val="00F707C2"/>
    <w:rsid w:val="00F70D54"/>
    <w:rsid w:val="00F711DA"/>
    <w:rsid w:val="00F71439"/>
    <w:rsid w:val="00F716BF"/>
    <w:rsid w:val="00F718A1"/>
    <w:rsid w:val="00F71A2D"/>
    <w:rsid w:val="00F71B9E"/>
    <w:rsid w:val="00F71E9A"/>
    <w:rsid w:val="00F721A0"/>
    <w:rsid w:val="00F72587"/>
    <w:rsid w:val="00F72A80"/>
    <w:rsid w:val="00F72C93"/>
    <w:rsid w:val="00F72E1A"/>
    <w:rsid w:val="00F72F3D"/>
    <w:rsid w:val="00F731F4"/>
    <w:rsid w:val="00F732F8"/>
    <w:rsid w:val="00F733EB"/>
    <w:rsid w:val="00F733F7"/>
    <w:rsid w:val="00F7363F"/>
    <w:rsid w:val="00F73671"/>
    <w:rsid w:val="00F736F7"/>
    <w:rsid w:val="00F73AAB"/>
    <w:rsid w:val="00F73C4D"/>
    <w:rsid w:val="00F73F95"/>
    <w:rsid w:val="00F74288"/>
    <w:rsid w:val="00F74442"/>
    <w:rsid w:val="00F746B3"/>
    <w:rsid w:val="00F74A58"/>
    <w:rsid w:val="00F74B4B"/>
    <w:rsid w:val="00F74CB4"/>
    <w:rsid w:val="00F754C2"/>
    <w:rsid w:val="00F75809"/>
    <w:rsid w:val="00F75843"/>
    <w:rsid w:val="00F75A5A"/>
    <w:rsid w:val="00F75ABD"/>
    <w:rsid w:val="00F75CAE"/>
    <w:rsid w:val="00F75E8F"/>
    <w:rsid w:val="00F76562"/>
    <w:rsid w:val="00F76B34"/>
    <w:rsid w:val="00F77498"/>
    <w:rsid w:val="00F77A64"/>
    <w:rsid w:val="00F77E20"/>
    <w:rsid w:val="00F800B8"/>
    <w:rsid w:val="00F80131"/>
    <w:rsid w:val="00F80263"/>
    <w:rsid w:val="00F8031E"/>
    <w:rsid w:val="00F80496"/>
    <w:rsid w:val="00F80662"/>
    <w:rsid w:val="00F80866"/>
    <w:rsid w:val="00F80A88"/>
    <w:rsid w:val="00F80B4E"/>
    <w:rsid w:val="00F80F5A"/>
    <w:rsid w:val="00F80F6B"/>
    <w:rsid w:val="00F81498"/>
    <w:rsid w:val="00F81684"/>
    <w:rsid w:val="00F816DE"/>
    <w:rsid w:val="00F81858"/>
    <w:rsid w:val="00F81DCC"/>
    <w:rsid w:val="00F81F72"/>
    <w:rsid w:val="00F823F5"/>
    <w:rsid w:val="00F824BE"/>
    <w:rsid w:val="00F826A2"/>
    <w:rsid w:val="00F82A1F"/>
    <w:rsid w:val="00F82D98"/>
    <w:rsid w:val="00F82E3B"/>
    <w:rsid w:val="00F82EE9"/>
    <w:rsid w:val="00F83072"/>
    <w:rsid w:val="00F837A3"/>
    <w:rsid w:val="00F8386F"/>
    <w:rsid w:val="00F8399B"/>
    <w:rsid w:val="00F83B09"/>
    <w:rsid w:val="00F83B2A"/>
    <w:rsid w:val="00F83D29"/>
    <w:rsid w:val="00F83D92"/>
    <w:rsid w:val="00F83EB1"/>
    <w:rsid w:val="00F83EFF"/>
    <w:rsid w:val="00F83FA0"/>
    <w:rsid w:val="00F840E9"/>
    <w:rsid w:val="00F84207"/>
    <w:rsid w:val="00F848F9"/>
    <w:rsid w:val="00F84939"/>
    <w:rsid w:val="00F85145"/>
    <w:rsid w:val="00F85588"/>
    <w:rsid w:val="00F85721"/>
    <w:rsid w:val="00F8591E"/>
    <w:rsid w:val="00F8599D"/>
    <w:rsid w:val="00F85AA8"/>
    <w:rsid w:val="00F85B10"/>
    <w:rsid w:val="00F85B1B"/>
    <w:rsid w:val="00F85EB7"/>
    <w:rsid w:val="00F85F5C"/>
    <w:rsid w:val="00F85F71"/>
    <w:rsid w:val="00F86028"/>
    <w:rsid w:val="00F860DC"/>
    <w:rsid w:val="00F8626D"/>
    <w:rsid w:val="00F863A8"/>
    <w:rsid w:val="00F86519"/>
    <w:rsid w:val="00F86799"/>
    <w:rsid w:val="00F867E4"/>
    <w:rsid w:val="00F8684F"/>
    <w:rsid w:val="00F86903"/>
    <w:rsid w:val="00F86B66"/>
    <w:rsid w:val="00F86F78"/>
    <w:rsid w:val="00F8761C"/>
    <w:rsid w:val="00F877FF"/>
    <w:rsid w:val="00F879DA"/>
    <w:rsid w:val="00F87CCC"/>
    <w:rsid w:val="00F87F8C"/>
    <w:rsid w:val="00F901DE"/>
    <w:rsid w:val="00F902DB"/>
    <w:rsid w:val="00F90311"/>
    <w:rsid w:val="00F906AA"/>
    <w:rsid w:val="00F909CB"/>
    <w:rsid w:val="00F90F77"/>
    <w:rsid w:val="00F91011"/>
    <w:rsid w:val="00F91368"/>
    <w:rsid w:val="00F9170D"/>
    <w:rsid w:val="00F91AD1"/>
    <w:rsid w:val="00F91F15"/>
    <w:rsid w:val="00F920C9"/>
    <w:rsid w:val="00F9251E"/>
    <w:rsid w:val="00F926E2"/>
    <w:rsid w:val="00F92734"/>
    <w:rsid w:val="00F92750"/>
    <w:rsid w:val="00F929E2"/>
    <w:rsid w:val="00F92E0A"/>
    <w:rsid w:val="00F93009"/>
    <w:rsid w:val="00F932D3"/>
    <w:rsid w:val="00F9337F"/>
    <w:rsid w:val="00F9351C"/>
    <w:rsid w:val="00F935A7"/>
    <w:rsid w:val="00F93824"/>
    <w:rsid w:val="00F939A9"/>
    <w:rsid w:val="00F93B52"/>
    <w:rsid w:val="00F93B64"/>
    <w:rsid w:val="00F93D18"/>
    <w:rsid w:val="00F93D8D"/>
    <w:rsid w:val="00F93E67"/>
    <w:rsid w:val="00F93F47"/>
    <w:rsid w:val="00F94368"/>
    <w:rsid w:val="00F94423"/>
    <w:rsid w:val="00F945EB"/>
    <w:rsid w:val="00F9472E"/>
    <w:rsid w:val="00F94807"/>
    <w:rsid w:val="00F9494C"/>
    <w:rsid w:val="00F94A0E"/>
    <w:rsid w:val="00F94B75"/>
    <w:rsid w:val="00F94BB7"/>
    <w:rsid w:val="00F94C8B"/>
    <w:rsid w:val="00F94CF4"/>
    <w:rsid w:val="00F94DBF"/>
    <w:rsid w:val="00F94EC4"/>
    <w:rsid w:val="00F957C5"/>
    <w:rsid w:val="00F958D7"/>
    <w:rsid w:val="00F95A03"/>
    <w:rsid w:val="00F95C8A"/>
    <w:rsid w:val="00F960A4"/>
    <w:rsid w:val="00F962C0"/>
    <w:rsid w:val="00F965D3"/>
    <w:rsid w:val="00F968AE"/>
    <w:rsid w:val="00F96992"/>
    <w:rsid w:val="00F96E89"/>
    <w:rsid w:val="00F97086"/>
    <w:rsid w:val="00F971B0"/>
    <w:rsid w:val="00F9733D"/>
    <w:rsid w:val="00F973BC"/>
    <w:rsid w:val="00F97474"/>
    <w:rsid w:val="00F97691"/>
    <w:rsid w:val="00F97A46"/>
    <w:rsid w:val="00F97A61"/>
    <w:rsid w:val="00F97CB8"/>
    <w:rsid w:val="00F97D79"/>
    <w:rsid w:val="00FA03AE"/>
    <w:rsid w:val="00FA0597"/>
    <w:rsid w:val="00FA0840"/>
    <w:rsid w:val="00FA10D2"/>
    <w:rsid w:val="00FA1232"/>
    <w:rsid w:val="00FA128C"/>
    <w:rsid w:val="00FA12AD"/>
    <w:rsid w:val="00FA15C8"/>
    <w:rsid w:val="00FA1640"/>
    <w:rsid w:val="00FA1ECD"/>
    <w:rsid w:val="00FA21D5"/>
    <w:rsid w:val="00FA2C5D"/>
    <w:rsid w:val="00FA2D86"/>
    <w:rsid w:val="00FA2FFC"/>
    <w:rsid w:val="00FA348C"/>
    <w:rsid w:val="00FA39D5"/>
    <w:rsid w:val="00FA3D87"/>
    <w:rsid w:val="00FA3EBD"/>
    <w:rsid w:val="00FA415D"/>
    <w:rsid w:val="00FA43EC"/>
    <w:rsid w:val="00FA463F"/>
    <w:rsid w:val="00FA4AED"/>
    <w:rsid w:val="00FA4BAD"/>
    <w:rsid w:val="00FA4C57"/>
    <w:rsid w:val="00FA4F25"/>
    <w:rsid w:val="00FA515B"/>
    <w:rsid w:val="00FA53D8"/>
    <w:rsid w:val="00FA5721"/>
    <w:rsid w:val="00FA5768"/>
    <w:rsid w:val="00FA5A4E"/>
    <w:rsid w:val="00FA5F04"/>
    <w:rsid w:val="00FA60B7"/>
    <w:rsid w:val="00FA61D7"/>
    <w:rsid w:val="00FA6201"/>
    <w:rsid w:val="00FA645E"/>
    <w:rsid w:val="00FA6674"/>
    <w:rsid w:val="00FA676A"/>
    <w:rsid w:val="00FA6792"/>
    <w:rsid w:val="00FA679E"/>
    <w:rsid w:val="00FA6961"/>
    <w:rsid w:val="00FA6A7C"/>
    <w:rsid w:val="00FA6AE2"/>
    <w:rsid w:val="00FA76C0"/>
    <w:rsid w:val="00FA7EB1"/>
    <w:rsid w:val="00FB0185"/>
    <w:rsid w:val="00FB0210"/>
    <w:rsid w:val="00FB027A"/>
    <w:rsid w:val="00FB045F"/>
    <w:rsid w:val="00FB0517"/>
    <w:rsid w:val="00FB0A85"/>
    <w:rsid w:val="00FB0AD8"/>
    <w:rsid w:val="00FB0C38"/>
    <w:rsid w:val="00FB0C4B"/>
    <w:rsid w:val="00FB0E05"/>
    <w:rsid w:val="00FB12DE"/>
    <w:rsid w:val="00FB13B5"/>
    <w:rsid w:val="00FB16A9"/>
    <w:rsid w:val="00FB1911"/>
    <w:rsid w:val="00FB1A3B"/>
    <w:rsid w:val="00FB1E1B"/>
    <w:rsid w:val="00FB20E7"/>
    <w:rsid w:val="00FB21CB"/>
    <w:rsid w:val="00FB2328"/>
    <w:rsid w:val="00FB24D9"/>
    <w:rsid w:val="00FB26BF"/>
    <w:rsid w:val="00FB29DD"/>
    <w:rsid w:val="00FB2AC3"/>
    <w:rsid w:val="00FB2E17"/>
    <w:rsid w:val="00FB2E47"/>
    <w:rsid w:val="00FB3570"/>
    <w:rsid w:val="00FB363C"/>
    <w:rsid w:val="00FB3652"/>
    <w:rsid w:val="00FB3802"/>
    <w:rsid w:val="00FB39F1"/>
    <w:rsid w:val="00FB3D71"/>
    <w:rsid w:val="00FB404B"/>
    <w:rsid w:val="00FB435D"/>
    <w:rsid w:val="00FB45E7"/>
    <w:rsid w:val="00FB4A29"/>
    <w:rsid w:val="00FB4C1F"/>
    <w:rsid w:val="00FB4C99"/>
    <w:rsid w:val="00FB4D6C"/>
    <w:rsid w:val="00FB4DBB"/>
    <w:rsid w:val="00FB50E9"/>
    <w:rsid w:val="00FB5249"/>
    <w:rsid w:val="00FB5526"/>
    <w:rsid w:val="00FB552F"/>
    <w:rsid w:val="00FB5753"/>
    <w:rsid w:val="00FB586C"/>
    <w:rsid w:val="00FB58C0"/>
    <w:rsid w:val="00FB59C2"/>
    <w:rsid w:val="00FB59D8"/>
    <w:rsid w:val="00FB5BE4"/>
    <w:rsid w:val="00FB5D4F"/>
    <w:rsid w:val="00FB5E1E"/>
    <w:rsid w:val="00FB5F97"/>
    <w:rsid w:val="00FB64FC"/>
    <w:rsid w:val="00FB66E4"/>
    <w:rsid w:val="00FB6A17"/>
    <w:rsid w:val="00FB6C21"/>
    <w:rsid w:val="00FB6C5B"/>
    <w:rsid w:val="00FB6CC9"/>
    <w:rsid w:val="00FB6E68"/>
    <w:rsid w:val="00FB7056"/>
    <w:rsid w:val="00FB7337"/>
    <w:rsid w:val="00FB748F"/>
    <w:rsid w:val="00FB74B9"/>
    <w:rsid w:val="00FB74D9"/>
    <w:rsid w:val="00FB7622"/>
    <w:rsid w:val="00FB792A"/>
    <w:rsid w:val="00FB7A57"/>
    <w:rsid w:val="00FB7B0F"/>
    <w:rsid w:val="00FB7D23"/>
    <w:rsid w:val="00FB7D3F"/>
    <w:rsid w:val="00FB7E30"/>
    <w:rsid w:val="00FC01C0"/>
    <w:rsid w:val="00FC023D"/>
    <w:rsid w:val="00FC0639"/>
    <w:rsid w:val="00FC0B1A"/>
    <w:rsid w:val="00FC0BFA"/>
    <w:rsid w:val="00FC1090"/>
    <w:rsid w:val="00FC13AD"/>
    <w:rsid w:val="00FC13BC"/>
    <w:rsid w:val="00FC13E5"/>
    <w:rsid w:val="00FC1510"/>
    <w:rsid w:val="00FC1717"/>
    <w:rsid w:val="00FC195C"/>
    <w:rsid w:val="00FC1A06"/>
    <w:rsid w:val="00FC1B68"/>
    <w:rsid w:val="00FC1B86"/>
    <w:rsid w:val="00FC1BB5"/>
    <w:rsid w:val="00FC1D33"/>
    <w:rsid w:val="00FC1FFE"/>
    <w:rsid w:val="00FC2007"/>
    <w:rsid w:val="00FC20DE"/>
    <w:rsid w:val="00FC21E3"/>
    <w:rsid w:val="00FC234A"/>
    <w:rsid w:val="00FC244B"/>
    <w:rsid w:val="00FC28A1"/>
    <w:rsid w:val="00FC28B1"/>
    <w:rsid w:val="00FC2923"/>
    <w:rsid w:val="00FC2974"/>
    <w:rsid w:val="00FC2B8F"/>
    <w:rsid w:val="00FC3086"/>
    <w:rsid w:val="00FC34E7"/>
    <w:rsid w:val="00FC3557"/>
    <w:rsid w:val="00FC36EE"/>
    <w:rsid w:val="00FC3A39"/>
    <w:rsid w:val="00FC3B89"/>
    <w:rsid w:val="00FC3BED"/>
    <w:rsid w:val="00FC3CF3"/>
    <w:rsid w:val="00FC43D1"/>
    <w:rsid w:val="00FC45A5"/>
    <w:rsid w:val="00FC46CA"/>
    <w:rsid w:val="00FC48C5"/>
    <w:rsid w:val="00FC4916"/>
    <w:rsid w:val="00FC4CF8"/>
    <w:rsid w:val="00FC531B"/>
    <w:rsid w:val="00FC555E"/>
    <w:rsid w:val="00FC5701"/>
    <w:rsid w:val="00FC5722"/>
    <w:rsid w:val="00FC5757"/>
    <w:rsid w:val="00FC59AD"/>
    <w:rsid w:val="00FC6138"/>
    <w:rsid w:val="00FC6370"/>
    <w:rsid w:val="00FC63C6"/>
    <w:rsid w:val="00FC6A2C"/>
    <w:rsid w:val="00FC7206"/>
    <w:rsid w:val="00FC7356"/>
    <w:rsid w:val="00FC751F"/>
    <w:rsid w:val="00FC7740"/>
    <w:rsid w:val="00FC7AF8"/>
    <w:rsid w:val="00FC7D7A"/>
    <w:rsid w:val="00FD00AA"/>
    <w:rsid w:val="00FD0147"/>
    <w:rsid w:val="00FD019D"/>
    <w:rsid w:val="00FD0423"/>
    <w:rsid w:val="00FD05BA"/>
    <w:rsid w:val="00FD07B3"/>
    <w:rsid w:val="00FD08D4"/>
    <w:rsid w:val="00FD0C68"/>
    <w:rsid w:val="00FD1065"/>
    <w:rsid w:val="00FD10FE"/>
    <w:rsid w:val="00FD1332"/>
    <w:rsid w:val="00FD1615"/>
    <w:rsid w:val="00FD1749"/>
    <w:rsid w:val="00FD1954"/>
    <w:rsid w:val="00FD1C2B"/>
    <w:rsid w:val="00FD2050"/>
    <w:rsid w:val="00FD2393"/>
    <w:rsid w:val="00FD2433"/>
    <w:rsid w:val="00FD244D"/>
    <w:rsid w:val="00FD24DE"/>
    <w:rsid w:val="00FD260F"/>
    <w:rsid w:val="00FD26DD"/>
    <w:rsid w:val="00FD356D"/>
    <w:rsid w:val="00FD3A64"/>
    <w:rsid w:val="00FD3FC1"/>
    <w:rsid w:val="00FD45BD"/>
    <w:rsid w:val="00FD4E2E"/>
    <w:rsid w:val="00FD4F3F"/>
    <w:rsid w:val="00FD4F96"/>
    <w:rsid w:val="00FD50D9"/>
    <w:rsid w:val="00FD51F3"/>
    <w:rsid w:val="00FD54A0"/>
    <w:rsid w:val="00FD5510"/>
    <w:rsid w:val="00FD5907"/>
    <w:rsid w:val="00FD592E"/>
    <w:rsid w:val="00FD5B15"/>
    <w:rsid w:val="00FD6973"/>
    <w:rsid w:val="00FD6AEB"/>
    <w:rsid w:val="00FD6B8A"/>
    <w:rsid w:val="00FD6C12"/>
    <w:rsid w:val="00FD6ED6"/>
    <w:rsid w:val="00FD717A"/>
    <w:rsid w:val="00FD7374"/>
    <w:rsid w:val="00FD74B9"/>
    <w:rsid w:val="00FD7546"/>
    <w:rsid w:val="00FD795A"/>
    <w:rsid w:val="00FD79E4"/>
    <w:rsid w:val="00FD7C8F"/>
    <w:rsid w:val="00FD7DAB"/>
    <w:rsid w:val="00FD7EC7"/>
    <w:rsid w:val="00FE0020"/>
    <w:rsid w:val="00FE01A4"/>
    <w:rsid w:val="00FE0249"/>
    <w:rsid w:val="00FE030E"/>
    <w:rsid w:val="00FE032C"/>
    <w:rsid w:val="00FE040A"/>
    <w:rsid w:val="00FE0471"/>
    <w:rsid w:val="00FE0A07"/>
    <w:rsid w:val="00FE0C45"/>
    <w:rsid w:val="00FE0C87"/>
    <w:rsid w:val="00FE0D40"/>
    <w:rsid w:val="00FE0DAB"/>
    <w:rsid w:val="00FE1219"/>
    <w:rsid w:val="00FE136C"/>
    <w:rsid w:val="00FE1406"/>
    <w:rsid w:val="00FE151E"/>
    <w:rsid w:val="00FE1539"/>
    <w:rsid w:val="00FE1AC3"/>
    <w:rsid w:val="00FE1B41"/>
    <w:rsid w:val="00FE1B87"/>
    <w:rsid w:val="00FE1C0F"/>
    <w:rsid w:val="00FE1EC3"/>
    <w:rsid w:val="00FE21B4"/>
    <w:rsid w:val="00FE22F3"/>
    <w:rsid w:val="00FE23E4"/>
    <w:rsid w:val="00FE2459"/>
    <w:rsid w:val="00FE24FF"/>
    <w:rsid w:val="00FE253B"/>
    <w:rsid w:val="00FE25FC"/>
    <w:rsid w:val="00FE27FC"/>
    <w:rsid w:val="00FE2C17"/>
    <w:rsid w:val="00FE3496"/>
    <w:rsid w:val="00FE39C8"/>
    <w:rsid w:val="00FE3A19"/>
    <w:rsid w:val="00FE3E6C"/>
    <w:rsid w:val="00FE411F"/>
    <w:rsid w:val="00FE434D"/>
    <w:rsid w:val="00FE4376"/>
    <w:rsid w:val="00FE47A4"/>
    <w:rsid w:val="00FE47AE"/>
    <w:rsid w:val="00FE48E8"/>
    <w:rsid w:val="00FE4B98"/>
    <w:rsid w:val="00FE4D0B"/>
    <w:rsid w:val="00FE5131"/>
    <w:rsid w:val="00FE518B"/>
    <w:rsid w:val="00FE5C41"/>
    <w:rsid w:val="00FE5C60"/>
    <w:rsid w:val="00FE5DC6"/>
    <w:rsid w:val="00FE5EED"/>
    <w:rsid w:val="00FE600C"/>
    <w:rsid w:val="00FE699F"/>
    <w:rsid w:val="00FE69B9"/>
    <w:rsid w:val="00FE6CA1"/>
    <w:rsid w:val="00FE6DFE"/>
    <w:rsid w:val="00FE7063"/>
    <w:rsid w:val="00FE70F8"/>
    <w:rsid w:val="00FE71D5"/>
    <w:rsid w:val="00FE736A"/>
    <w:rsid w:val="00FE7446"/>
    <w:rsid w:val="00FE7E05"/>
    <w:rsid w:val="00FE7E4E"/>
    <w:rsid w:val="00FE7FAF"/>
    <w:rsid w:val="00FF00EE"/>
    <w:rsid w:val="00FF01D7"/>
    <w:rsid w:val="00FF02CF"/>
    <w:rsid w:val="00FF0402"/>
    <w:rsid w:val="00FF0406"/>
    <w:rsid w:val="00FF050E"/>
    <w:rsid w:val="00FF072F"/>
    <w:rsid w:val="00FF07B8"/>
    <w:rsid w:val="00FF0841"/>
    <w:rsid w:val="00FF09C7"/>
    <w:rsid w:val="00FF0A81"/>
    <w:rsid w:val="00FF0CC6"/>
    <w:rsid w:val="00FF0DA3"/>
    <w:rsid w:val="00FF0DF0"/>
    <w:rsid w:val="00FF1027"/>
    <w:rsid w:val="00FF113A"/>
    <w:rsid w:val="00FF12F3"/>
    <w:rsid w:val="00FF1589"/>
    <w:rsid w:val="00FF15AE"/>
    <w:rsid w:val="00FF15B5"/>
    <w:rsid w:val="00FF1A4E"/>
    <w:rsid w:val="00FF1B94"/>
    <w:rsid w:val="00FF1CBE"/>
    <w:rsid w:val="00FF1D48"/>
    <w:rsid w:val="00FF1F04"/>
    <w:rsid w:val="00FF20D7"/>
    <w:rsid w:val="00FF20FF"/>
    <w:rsid w:val="00FF2320"/>
    <w:rsid w:val="00FF246E"/>
    <w:rsid w:val="00FF2B14"/>
    <w:rsid w:val="00FF2D85"/>
    <w:rsid w:val="00FF3186"/>
    <w:rsid w:val="00FF33FC"/>
    <w:rsid w:val="00FF35B8"/>
    <w:rsid w:val="00FF3733"/>
    <w:rsid w:val="00FF397B"/>
    <w:rsid w:val="00FF3ED1"/>
    <w:rsid w:val="00FF3FF2"/>
    <w:rsid w:val="00FF4613"/>
    <w:rsid w:val="00FF477B"/>
    <w:rsid w:val="00FF489E"/>
    <w:rsid w:val="00FF49CD"/>
    <w:rsid w:val="00FF4A26"/>
    <w:rsid w:val="00FF4D37"/>
    <w:rsid w:val="00FF4DB5"/>
    <w:rsid w:val="00FF5169"/>
    <w:rsid w:val="00FF51AD"/>
    <w:rsid w:val="00FF52AD"/>
    <w:rsid w:val="00FF534A"/>
    <w:rsid w:val="00FF5373"/>
    <w:rsid w:val="00FF55B1"/>
    <w:rsid w:val="00FF591A"/>
    <w:rsid w:val="00FF5937"/>
    <w:rsid w:val="00FF5AD3"/>
    <w:rsid w:val="00FF5B63"/>
    <w:rsid w:val="00FF6658"/>
    <w:rsid w:val="00FF6D46"/>
    <w:rsid w:val="00FF72EB"/>
    <w:rsid w:val="00FF744B"/>
    <w:rsid w:val="00FF7707"/>
    <w:rsid w:val="00FF7860"/>
    <w:rsid w:val="00FF7CF5"/>
    <w:rsid w:val="00FF7DF9"/>
    <w:rsid w:val="00FF7F6A"/>
    <w:rsid w:val="01042E10"/>
    <w:rsid w:val="041659EE"/>
    <w:rsid w:val="052B5E4D"/>
    <w:rsid w:val="071DF020"/>
    <w:rsid w:val="09B5B2F1"/>
    <w:rsid w:val="09B8C5CE"/>
    <w:rsid w:val="0ABB79E3"/>
    <w:rsid w:val="0BBC2BBF"/>
    <w:rsid w:val="0CA3AE72"/>
    <w:rsid w:val="0D8D2327"/>
    <w:rsid w:val="0DE2B118"/>
    <w:rsid w:val="12B6223B"/>
    <w:rsid w:val="16E185F0"/>
    <w:rsid w:val="18B9C39F"/>
    <w:rsid w:val="1A10DA79"/>
    <w:rsid w:val="1ACD131F"/>
    <w:rsid w:val="20B997D5"/>
    <w:rsid w:val="21B0E71D"/>
    <w:rsid w:val="23B22024"/>
    <w:rsid w:val="24F50054"/>
    <w:rsid w:val="2686E4BB"/>
    <w:rsid w:val="2A6DE07B"/>
    <w:rsid w:val="2AC61D13"/>
    <w:rsid w:val="2B0C12FE"/>
    <w:rsid w:val="2C8CF271"/>
    <w:rsid w:val="2CFC9453"/>
    <w:rsid w:val="2F8FDEBC"/>
    <w:rsid w:val="31BA9522"/>
    <w:rsid w:val="32082CDF"/>
    <w:rsid w:val="32768711"/>
    <w:rsid w:val="3495AE98"/>
    <w:rsid w:val="350C03F4"/>
    <w:rsid w:val="35A2B5B6"/>
    <w:rsid w:val="3740800C"/>
    <w:rsid w:val="394EEB81"/>
    <w:rsid w:val="396B101E"/>
    <w:rsid w:val="3B17BF18"/>
    <w:rsid w:val="3CE6ABB0"/>
    <w:rsid w:val="3D52ABD4"/>
    <w:rsid w:val="3EEEC718"/>
    <w:rsid w:val="3F7E27C5"/>
    <w:rsid w:val="4175B754"/>
    <w:rsid w:val="43034A2A"/>
    <w:rsid w:val="4311F264"/>
    <w:rsid w:val="456E2746"/>
    <w:rsid w:val="460D8C84"/>
    <w:rsid w:val="46C68D38"/>
    <w:rsid w:val="46F25864"/>
    <w:rsid w:val="477855AB"/>
    <w:rsid w:val="4917E216"/>
    <w:rsid w:val="4989216E"/>
    <w:rsid w:val="49BC46E6"/>
    <w:rsid w:val="4CAD2A99"/>
    <w:rsid w:val="4CC0C230"/>
    <w:rsid w:val="4E940D90"/>
    <w:rsid w:val="4FA0265A"/>
    <w:rsid w:val="4FDF3A95"/>
    <w:rsid w:val="50274945"/>
    <w:rsid w:val="5074E797"/>
    <w:rsid w:val="512A003F"/>
    <w:rsid w:val="517B0AF6"/>
    <w:rsid w:val="5280316E"/>
    <w:rsid w:val="53A7A6C3"/>
    <w:rsid w:val="55972A96"/>
    <w:rsid w:val="58353FC6"/>
    <w:rsid w:val="590B4D12"/>
    <w:rsid w:val="59F70394"/>
    <w:rsid w:val="5B5760B0"/>
    <w:rsid w:val="5B788B4C"/>
    <w:rsid w:val="5D3C852E"/>
    <w:rsid w:val="5D88BCC8"/>
    <w:rsid w:val="62993DC3"/>
    <w:rsid w:val="6330D13A"/>
    <w:rsid w:val="63365415"/>
    <w:rsid w:val="63F84288"/>
    <w:rsid w:val="66AFCFA2"/>
    <w:rsid w:val="6805A8FD"/>
    <w:rsid w:val="69BD0348"/>
    <w:rsid w:val="6B23A496"/>
    <w:rsid w:val="6B30D6A6"/>
    <w:rsid w:val="6B31D7A2"/>
    <w:rsid w:val="6C2A7269"/>
    <w:rsid w:val="6D757224"/>
    <w:rsid w:val="6F763252"/>
    <w:rsid w:val="705FD34C"/>
    <w:rsid w:val="707E9E70"/>
    <w:rsid w:val="70AD64BE"/>
    <w:rsid w:val="734B1071"/>
    <w:rsid w:val="73B22ADA"/>
    <w:rsid w:val="75D948AC"/>
    <w:rsid w:val="765BAD54"/>
    <w:rsid w:val="7682B133"/>
    <w:rsid w:val="78394C23"/>
    <w:rsid w:val="7AD72D8D"/>
    <w:rsid w:val="7BB13864"/>
    <w:rsid w:val="7CE487A7"/>
    <w:rsid w:val="7CEDC87C"/>
    <w:rsid w:val="7D27108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F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64A60"/>
    <w:pPr>
      <w:spacing w:before="2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64A6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TableRowNormal">
    <w:name w:val="TableRowNormal"/>
    <w:basedOn w:val="Normal"/>
    <w:link w:val="TableRowNormalChar"/>
    <w:rsid w:val="004C6846"/>
    <w:pPr>
      <w:keepNext/>
      <w:keepLines/>
      <w:tabs>
        <w:tab w:val="left" w:pos="475"/>
        <w:tab w:val="left" w:pos="1440"/>
        <w:tab w:val="left" w:pos="2160"/>
        <w:tab w:val="left" w:pos="2880"/>
      </w:tabs>
      <w:spacing w:before="60" w:after="60" w:line="200" w:lineRule="atLeast"/>
      <w:ind w:left="144" w:hanging="144"/>
      <w:jc w:val="right"/>
    </w:pPr>
    <w:rPr>
      <w:szCs w:val="20"/>
    </w:rPr>
  </w:style>
  <w:style w:type="character" w:customStyle="1" w:styleId="TableRowNormalChar">
    <w:name w:val="TableRowNormal Char"/>
    <w:basedOn w:val="DefaultParagraphFont"/>
    <w:link w:val="TableRowNormal"/>
    <w:locked/>
    <w:rsid w:val="004C6846"/>
    <w:rPr>
      <w:rFonts w:ascii="Open Sans Light" w:hAnsi="Open Sans Light"/>
      <w:sz w:val="20"/>
      <w:szCs w:val="20"/>
    </w:rPr>
  </w:style>
  <w:style w:type="paragraph" w:customStyle="1" w:styleId="CGC2025Boxtext">
    <w:name w:val="CGC 2025 Box text"/>
    <w:basedOn w:val="CGC2025ParaNumbers"/>
    <w:qFormat/>
    <w:rsid w:val="00C4129B"/>
    <w:pPr>
      <w:numPr>
        <w:ilvl w:val="0"/>
        <w:numId w:val="0"/>
      </w:numPr>
      <w:spacing w:before="0" w:after="120" w:line="280" w:lineRule="atLeast"/>
      <w:ind w:right="113"/>
    </w:pPr>
  </w:style>
  <w:style w:type="paragraph" w:customStyle="1" w:styleId="pf0">
    <w:name w:val="pf0"/>
    <w:basedOn w:val="Normal"/>
    <w:rsid w:val="003328C7"/>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3328C7"/>
    <w:rPr>
      <w:rFonts w:ascii="Segoe UI" w:hAnsi="Segoe UI" w:cs="Segoe UI" w:hint="default"/>
      <w:i/>
      <w:iCs/>
      <w:sz w:val="18"/>
      <w:szCs w:val="18"/>
    </w:rPr>
  </w:style>
  <w:style w:type="character" w:customStyle="1" w:styleId="latest-releasetext">
    <w:name w:val="latest-release__text"/>
    <w:basedOn w:val="DefaultParagraphFont"/>
    <w:rsid w:val="003328C7"/>
  </w:style>
  <w:style w:type="character" w:customStyle="1" w:styleId="field-content">
    <w:name w:val="field-content"/>
    <w:basedOn w:val="DefaultParagraphFont"/>
    <w:rsid w:val="003328C7"/>
  </w:style>
  <w:style w:type="character" w:customStyle="1" w:styleId="abs-next-release-text">
    <w:name w:val="abs-next-release-text"/>
    <w:basedOn w:val="DefaultParagraphFont"/>
    <w:rsid w:val="003328C7"/>
  </w:style>
  <w:style w:type="paragraph" w:styleId="NormalWeb">
    <w:name w:val="Normal (Web)"/>
    <w:basedOn w:val="Normal"/>
    <w:uiPriority w:val="99"/>
    <w:semiHidden/>
    <w:unhideWhenUsed/>
    <w:rsid w:val="003328C7"/>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17727188">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7404728">
      <w:bodyDiv w:val="1"/>
      <w:marLeft w:val="0"/>
      <w:marRight w:val="0"/>
      <w:marTop w:val="0"/>
      <w:marBottom w:val="0"/>
      <w:divBdr>
        <w:top w:val="none" w:sz="0" w:space="0" w:color="auto"/>
        <w:left w:val="none" w:sz="0" w:space="0" w:color="auto"/>
        <w:bottom w:val="none" w:sz="0" w:space="0" w:color="auto"/>
        <w:right w:val="none" w:sz="0" w:space="0" w:color="auto"/>
      </w:divBdr>
    </w:div>
    <w:div w:id="224804969">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130398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78719313">
      <w:bodyDiv w:val="1"/>
      <w:marLeft w:val="0"/>
      <w:marRight w:val="0"/>
      <w:marTop w:val="0"/>
      <w:marBottom w:val="0"/>
      <w:divBdr>
        <w:top w:val="none" w:sz="0" w:space="0" w:color="auto"/>
        <w:left w:val="none" w:sz="0" w:space="0" w:color="auto"/>
        <w:bottom w:val="none" w:sz="0" w:space="0" w:color="auto"/>
        <w:right w:val="none" w:sz="0" w:space="0" w:color="auto"/>
      </w:divBdr>
    </w:div>
    <w:div w:id="782774500">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1366454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80137308">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4247917">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55645670">
      <w:bodyDiv w:val="1"/>
      <w:marLeft w:val="0"/>
      <w:marRight w:val="0"/>
      <w:marTop w:val="0"/>
      <w:marBottom w:val="0"/>
      <w:divBdr>
        <w:top w:val="none" w:sz="0" w:space="0" w:color="auto"/>
        <w:left w:val="none" w:sz="0" w:space="0" w:color="auto"/>
        <w:bottom w:val="none" w:sz="0" w:space="0" w:color="auto"/>
        <w:right w:val="none" w:sz="0" w:space="0" w:color="auto"/>
      </w:divBdr>
      <w:divsChild>
        <w:div w:id="341012611">
          <w:marLeft w:val="0"/>
          <w:marRight w:val="0"/>
          <w:marTop w:val="0"/>
          <w:marBottom w:val="0"/>
          <w:divBdr>
            <w:top w:val="none" w:sz="0" w:space="0" w:color="auto"/>
            <w:left w:val="none" w:sz="0" w:space="0" w:color="auto"/>
            <w:bottom w:val="none" w:sz="0" w:space="0" w:color="auto"/>
            <w:right w:val="none" w:sz="0" w:space="0" w:color="auto"/>
          </w:divBdr>
          <w:divsChild>
            <w:div w:id="2088841653">
              <w:marLeft w:val="0"/>
              <w:marRight w:val="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7852">
          <w:marLeft w:val="0"/>
          <w:marRight w:val="0"/>
          <w:marTop w:val="0"/>
          <w:marBottom w:val="0"/>
          <w:divBdr>
            <w:top w:val="none" w:sz="0" w:space="0" w:color="auto"/>
            <w:left w:val="none" w:sz="0" w:space="0" w:color="auto"/>
            <w:bottom w:val="none" w:sz="0" w:space="0" w:color="auto"/>
            <w:right w:val="none" w:sz="0" w:space="0" w:color="auto"/>
          </w:divBdr>
          <w:divsChild>
            <w:div w:id="1239173666">
              <w:marLeft w:val="0"/>
              <w:marRight w:val="0"/>
              <w:marTop w:val="0"/>
              <w:marBottom w:val="0"/>
              <w:divBdr>
                <w:top w:val="none" w:sz="0" w:space="0" w:color="auto"/>
                <w:left w:val="none" w:sz="0" w:space="0" w:color="auto"/>
                <w:bottom w:val="none" w:sz="0" w:space="0" w:color="auto"/>
                <w:right w:val="none" w:sz="0" w:space="0" w:color="auto"/>
              </w:divBdr>
              <w:divsChild>
                <w:div w:id="864950676">
                  <w:marLeft w:val="0"/>
                  <w:marRight w:val="0"/>
                  <w:marTop w:val="0"/>
                  <w:marBottom w:val="0"/>
                  <w:divBdr>
                    <w:top w:val="none" w:sz="0" w:space="0" w:color="auto"/>
                    <w:left w:val="none" w:sz="0" w:space="0" w:color="auto"/>
                    <w:bottom w:val="none" w:sz="0" w:space="0" w:color="auto"/>
                    <w:right w:val="none" w:sz="0" w:space="0" w:color="auto"/>
                  </w:divBdr>
                  <w:divsChild>
                    <w:div w:id="20326881">
                      <w:marLeft w:val="0"/>
                      <w:marRight w:val="0"/>
                      <w:marTop w:val="0"/>
                      <w:marBottom w:val="0"/>
                      <w:divBdr>
                        <w:top w:val="none" w:sz="0" w:space="0" w:color="auto"/>
                        <w:left w:val="none" w:sz="0" w:space="0" w:color="auto"/>
                        <w:bottom w:val="none" w:sz="0" w:space="0" w:color="auto"/>
                        <w:right w:val="none" w:sz="0" w:space="0" w:color="auto"/>
                      </w:divBdr>
                      <w:divsChild>
                        <w:div w:id="1394432003">
                          <w:marLeft w:val="0"/>
                          <w:marRight w:val="0"/>
                          <w:marTop w:val="0"/>
                          <w:marBottom w:val="0"/>
                          <w:divBdr>
                            <w:top w:val="none" w:sz="0" w:space="0" w:color="auto"/>
                            <w:left w:val="none" w:sz="0" w:space="0" w:color="auto"/>
                            <w:bottom w:val="none" w:sz="0" w:space="0" w:color="auto"/>
                            <w:right w:val="none" w:sz="0" w:space="0" w:color="auto"/>
                          </w:divBdr>
                          <w:divsChild>
                            <w:div w:id="2133478384">
                              <w:marLeft w:val="0"/>
                              <w:marRight w:val="0"/>
                              <w:marTop w:val="0"/>
                              <w:marBottom w:val="0"/>
                              <w:divBdr>
                                <w:top w:val="none" w:sz="0" w:space="0" w:color="auto"/>
                                <w:left w:val="none" w:sz="0" w:space="0" w:color="auto"/>
                                <w:bottom w:val="none" w:sz="0" w:space="0" w:color="auto"/>
                                <w:right w:val="none" w:sz="0" w:space="0" w:color="auto"/>
                              </w:divBdr>
                              <w:divsChild>
                                <w:div w:id="20152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37624">
          <w:marLeft w:val="0"/>
          <w:marRight w:val="0"/>
          <w:marTop w:val="450"/>
          <w:marBottom w:val="0"/>
          <w:divBdr>
            <w:top w:val="none" w:sz="0" w:space="0" w:color="auto"/>
            <w:left w:val="none" w:sz="0" w:space="0" w:color="auto"/>
            <w:bottom w:val="none" w:sz="0" w:space="0" w:color="auto"/>
            <w:right w:val="none" w:sz="0" w:space="0" w:color="auto"/>
          </w:divBdr>
          <w:divsChild>
            <w:div w:id="1180315650">
              <w:marLeft w:val="0"/>
              <w:marRight w:val="0"/>
              <w:marTop w:val="0"/>
              <w:marBottom w:val="0"/>
              <w:divBdr>
                <w:top w:val="none" w:sz="0" w:space="0" w:color="auto"/>
                <w:left w:val="none" w:sz="0" w:space="0" w:color="auto"/>
                <w:bottom w:val="none" w:sz="0" w:space="0" w:color="auto"/>
                <w:right w:val="none" w:sz="0" w:space="0" w:color="auto"/>
              </w:divBdr>
              <w:divsChild>
                <w:div w:id="283923754">
                  <w:marLeft w:val="0"/>
                  <w:marRight w:val="0"/>
                  <w:marTop w:val="0"/>
                  <w:marBottom w:val="0"/>
                  <w:divBdr>
                    <w:top w:val="none" w:sz="0" w:space="0" w:color="auto"/>
                    <w:left w:val="none" w:sz="0" w:space="0" w:color="auto"/>
                    <w:bottom w:val="none" w:sz="0" w:space="0" w:color="auto"/>
                    <w:right w:val="none" w:sz="0" w:space="0" w:color="auto"/>
                  </w:divBdr>
                  <w:divsChild>
                    <w:div w:id="92359776">
                      <w:marLeft w:val="0"/>
                      <w:marRight w:val="0"/>
                      <w:marTop w:val="0"/>
                      <w:marBottom w:val="0"/>
                      <w:divBdr>
                        <w:top w:val="none" w:sz="0" w:space="0" w:color="auto"/>
                        <w:left w:val="none" w:sz="0" w:space="0" w:color="auto"/>
                        <w:bottom w:val="none" w:sz="0" w:space="0" w:color="auto"/>
                        <w:right w:val="none" w:sz="0" w:space="0" w:color="auto"/>
                      </w:divBdr>
                      <w:divsChild>
                        <w:div w:id="2540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4549">
          <w:marLeft w:val="0"/>
          <w:marRight w:val="0"/>
          <w:marTop w:val="0"/>
          <w:marBottom w:val="0"/>
          <w:divBdr>
            <w:top w:val="none" w:sz="0" w:space="0" w:color="auto"/>
            <w:left w:val="none" w:sz="0" w:space="0" w:color="auto"/>
            <w:bottom w:val="none" w:sz="0" w:space="0" w:color="auto"/>
            <w:right w:val="none" w:sz="0" w:space="0" w:color="auto"/>
          </w:divBdr>
          <w:divsChild>
            <w:div w:id="726689364">
              <w:marLeft w:val="0"/>
              <w:marRight w:val="0"/>
              <w:marTop w:val="0"/>
              <w:marBottom w:val="0"/>
              <w:divBdr>
                <w:top w:val="none" w:sz="0" w:space="0" w:color="auto"/>
                <w:left w:val="none" w:sz="0" w:space="0" w:color="auto"/>
                <w:bottom w:val="none" w:sz="0" w:space="0" w:color="auto"/>
                <w:right w:val="none" w:sz="0" w:space="0" w:color="auto"/>
              </w:divBdr>
            </w:div>
            <w:div w:id="1064568584">
              <w:marLeft w:val="0"/>
              <w:marRight w:val="0"/>
              <w:marTop w:val="0"/>
              <w:marBottom w:val="0"/>
              <w:divBdr>
                <w:top w:val="none" w:sz="0" w:space="0" w:color="auto"/>
                <w:left w:val="none" w:sz="0" w:space="0" w:color="auto"/>
                <w:bottom w:val="none" w:sz="0" w:space="0" w:color="auto"/>
                <w:right w:val="none" w:sz="0" w:space="0" w:color="auto"/>
              </w:divBdr>
            </w:div>
          </w:divsChild>
        </w:div>
        <w:div w:id="1639215206">
          <w:marLeft w:val="0"/>
          <w:marRight w:val="0"/>
          <w:marTop w:val="0"/>
          <w:marBottom w:val="0"/>
          <w:divBdr>
            <w:top w:val="single" w:sz="18" w:space="0" w:color="153D73"/>
            <w:left w:val="none" w:sz="0" w:space="0" w:color="auto"/>
            <w:bottom w:val="none" w:sz="0" w:space="0" w:color="auto"/>
            <w:right w:val="none" w:sz="0" w:space="0" w:color="auto"/>
          </w:divBdr>
          <w:divsChild>
            <w:div w:id="1417019805">
              <w:marLeft w:val="0"/>
              <w:marRight w:val="300"/>
              <w:marTop w:val="0"/>
              <w:marBottom w:val="0"/>
              <w:divBdr>
                <w:top w:val="none" w:sz="0" w:space="0" w:color="auto"/>
                <w:left w:val="none" w:sz="0" w:space="0" w:color="auto"/>
                <w:bottom w:val="none" w:sz="0" w:space="0" w:color="auto"/>
                <w:right w:val="none" w:sz="0" w:space="0" w:color="auto"/>
              </w:divBdr>
              <w:divsChild>
                <w:div w:id="82184685">
                  <w:marLeft w:val="0"/>
                  <w:marRight w:val="0"/>
                  <w:marTop w:val="0"/>
                  <w:marBottom w:val="0"/>
                  <w:divBdr>
                    <w:top w:val="none" w:sz="0" w:space="0" w:color="auto"/>
                    <w:left w:val="none" w:sz="0" w:space="0" w:color="auto"/>
                    <w:bottom w:val="none" w:sz="0" w:space="0" w:color="auto"/>
                    <w:right w:val="none" w:sz="0" w:space="0" w:color="auto"/>
                  </w:divBdr>
                </w:div>
              </w:divsChild>
            </w:div>
            <w:div w:id="2019692605">
              <w:marLeft w:val="0"/>
              <w:marRight w:val="300"/>
              <w:marTop w:val="0"/>
              <w:marBottom w:val="0"/>
              <w:divBdr>
                <w:top w:val="none" w:sz="0" w:space="0" w:color="auto"/>
                <w:left w:val="none" w:sz="0" w:space="0" w:color="auto"/>
                <w:bottom w:val="none" w:sz="0" w:space="0" w:color="auto"/>
                <w:right w:val="none" w:sz="0" w:space="0" w:color="auto"/>
              </w:divBdr>
              <w:divsChild>
                <w:div w:id="571817728">
                  <w:marLeft w:val="0"/>
                  <w:marRight w:val="0"/>
                  <w:marTop w:val="0"/>
                  <w:marBottom w:val="0"/>
                  <w:divBdr>
                    <w:top w:val="none" w:sz="0" w:space="0" w:color="auto"/>
                    <w:left w:val="none" w:sz="0" w:space="0" w:color="auto"/>
                    <w:bottom w:val="none" w:sz="0" w:space="0" w:color="auto"/>
                    <w:right w:val="none" w:sz="0" w:space="0" w:color="auto"/>
                  </w:divBdr>
                </w:div>
                <w:div w:id="2003389409">
                  <w:marLeft w:val="0"/>
                  <w:marRight w:val="0"/>
                  <w:marTop w:val="0"/>
                  <w:marBottom w:val="0"/>
                  <w:divBdr>
                    <w:top w:val="none" w:sz="0" w:space="0" w:color="auto"/>
                    <w:left w:val="none" w:sz="0" w:space="0" w:color="auto"/>
                    <w:bottom w:val="none" w:sz="0" w:space="0" w:color="auto"/>
                    <w:right w:val="none" w:sz="0" w:space="0" w:color="auto"/>
                  </w:divBdr>
                </w:div>
              </w:divsChild>
            </w:div>
            <w:div w:id="2023389268">
              <w:marLeft w:val="0"/>
              <w:marRight w:val="0"/>
              <w:marTop w:val="0"/>
              <w:marBottom w:val="0"/>
              <w:divBdr>
                <w:top w:val="none" w:sz="0" w:space="0" w:color="auto"/>
                <w:left w:val="none" w:sz="0" w:space="0" w:color="auto"/>
                <w:bottom w:val="none" w:sz="0" w:space="0" w:color="auto"/>
                <w:right w:val="none" w:sz="0" w:space="0" w:color="auto"/>
              </w:divBdr>
              <w:divsChild>
                <w:div w:id="1990938633">
                  <w:marLeft w:val="0"/>
                  <w:marRight w:val="0"/>
                  <w:marTop w:val="0"/>
                  <w:marBottom w:val="0"/>
                  <w:divBdr>
                    <w:top w:val="none" w:sz="0" w:space="0" w:color="auto"/>
                    <w:left w:val="none" w:sz="0" w:space="0" w:color="auto"/>
                    <w:bottom w:val="none" w:sz="0" w:space="0" w:color="auto"/>
                    <w:right w:val="none" w:sz="0" w:space="0" w:color="auto"/>
                  </w:divBdr>
                  <w:divsChild>
                    <w:div w:id="15749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32745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detailed-methodology-information/concepts-sources-methods/australian-system-government-finance-statistics-concepts-sources-and-methods/2015/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FB395313-F3E5-4624-AB2E-CB8D142FFB07}"/>
</file>

<file path=customXml/itemProps3.xml><?xml version="1.0" encoding="utf-8"?>
<ds:datastoreItem xmlns:ds="http://schemas.openxmlformats.org/officeDocument/2006/customXml" ds:itemID="{F47FBFAF-D7EB-49ED-9C15-6526027A1F6D}"/>
</file>

<file path=customXml/itemProps4.xml><?xml version="1.0" encoding="utf-8"?>
<ds:datastoreItem xmlns:ds="http://schemas.openxmlformats.org/officeDocument/2006/customXml" ds:itemID="{D951A324-E524-43F5-A7C5-EA7A4DC8C711}"/>
</file>

<file path=docProps/app.xml><?xml version="1.0" encoding="utf-8"?>
<Properties xmlns="http://schemas.openxmlformats.org/officeDocument/2006/extended-properties" xmlns:vt="http://schemas.openxmlformats.org/officeDocument/2006/docPropsVTypes">
  <Template>Normal.dotm</Template>
  <TotalTime>0</TotalTime>
  <Pages>16</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2025-02-19T23:13:00Z</dcterms:created>
  <dcterms:modified xsi:type="dcterms:W3CDTF">2025-02-19T23:13:00Z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2025-02-19T23:13:49Z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996d3779-9abf-4103-b726-767485902b34</vt:lpwstr>
  </property>
  <property fmtid="{D5CDD505-2E9C-101B-9397-08002B2CF9AE}" pid="8" name="MSIP_Label_4f932d64-9ab1-4d9b-81d2-a3a8b82dd47d_ContentBits">
    <vt:lpwstr>0</vt:lpwstr>
  </property>
  <property fmtid="{D5CDD505-2E9C-101B-9397-08002B2CF9AE}" pid="9" name="MSIP_Label_6e3dc468-5731-4ec9-b671-cf2147a52e3a_SetDate">
    <vt:lpwstr>2024-07-31T00:34:10Z</vt:lpwstr>
  </property>
  <property fmtid="{D5CDD505-2E9C-101B-9397-08002B2CF9AE}" pid="10" name="MSIP_Label_6e3dc468-5731-4ec9-b671-cf2147a52e3a_ActionId">
    <vt:lpwstr>974af5ae-4a86-4eec-9c8d-9a2addd075d5</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9,a,b,d,e,f</vt:lpwstr>
  </property>
  <property fmtid="{D5CDD505-2E9C-101B-9397-08002B2CF9AE}" pid="20" name="xd_Signature">
    <vt:bool>false</vt:bool>
  </property>
  <property fmtid="{D5CDD505-2E9C-101B-9397-08002B2CF9AE}" pid="21" name="GUID">
    <vt:lpwstr>3ac14e33-569d-4492-9f5e-cf3511fbf3d5</vt:lpwstr>
  </property>
  <property fmtid="{D5CDD505-2E9C-101B-9397-08002B2CF9AE}" pid="22" name="ClassificationContentMarkingHeaderShapeIds">
    <vt:lpwstr>2,3,4,6,7,8</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